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CB79" w14:textId="77777777" w:rsidR="005F6337" w:rsidRDefault="005F6337">
      <w:pPr>
        <w:spacing w:line="240" w:lineRule="auto"/>
        <w:jc w:val="center"/>
        <w:rPr>
          <w:b/>
          <w:bCs/>
          <w:sz w:val="24"/>
          <w:rtl/>
        </w:rPr>
      </w:pPr>
      <w:r>
        <w:rPr>
          <w:rFonts w:hint="cs"/>
          <w:b/>
          <w:bCs/>
          <w:sz w:val="24"/>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5F6337" w14:paraId="2B06F4E5" w14:textId="77777777" w:rsidTr="005F633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1D79CC1" w14:textId="77777777" w:rsidR="005F6337" w:rsidRDefault="005F6337">
            <w:pPr>
              <w:spacing w:line="240" w:lineRule="auto"/>
              <w:rPr>
                <w:b/>
                <w:bCs/>
                <w:sz w:val="24"/>
              </w:rPr>
            </w:pPr>
            <w:r>
              <w:rPr>
                <w:rFonts w:hint="cs"/>
                <w:b/>
                <w:bCs/>
                <w:sz w:val="24"/>
                <w:rtl/>
              </w:rPr>
              <w:t>בית משפט מחוזי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47A549A4" w14:textId="77777777" w:rsidR="005F6337" w:rsidRDefault="005F6337">
            <w:pPr>
              <w:pStyle w:val="Heading6"/>
              <w:spacing w:line="240" w:lineRule="auto"/>
            </w:pPr>
            <w:r>
              <w:rPr>
                <w:rFonts w:hint="cs"/>
                <w:rtl/>
              </w:rPr>
              <w:t>פ  5169/99</w:t>
            </w:r>
          </w:p>
        </w:tc>
      </w:tr>
      <w:tr w:rsidR="005F6337" w14:paraId="182BE2D1" w14:textId="77777777" w:rsidTr="005F633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4EDB747" w14:textId="77777777" w:rsidR="005F6337" w:rsidRDefault="005F6337">
            <w:pPr>
              <w:spacing w:line="240" w:lineRule="auto"/>
              <w:jc w:val="left"/>
              <w:rPr>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6E9D0092" w14:textId="77777777" w:rsidR="005F6337" w:rsidRDefault="00E74DE2">
            <w:pPr>
              <w:spacing w:line="240" w:lineRule="auto"/>
              <w:rPr>
                <w:b/>
                <w:bCs/>
                <w:sz w:val="24"/>
              </w:rPr>
            </w:pPr>
            <w:r>
              <w:rPr>
                <w:sz w:val="24"/>
                <w:rtl/>
              </w:rPr>
              <w:t xml:space="preserve"> </w:t>
            </w:r>
          </w:p>
        </w:tc>
      </w:tr>
      <w:tr w:rsidR="005F6337" w14:paraId="77DC962B" w14:textId="77777777" w:rsidTr="005F6337">
        <w:trPr>
          <w:trHeight w:val="286"/>
        </w:trPr>
        <w:tc>
          <w:tcPr>
            <w:tcW w:w="766" w:type="dxa"/>
            <w:tcBorders>
              <w:top w:val="single" w:sz="4" w:space="0" w:color="auto"/>
              <w:left w:val="single" w:sz="4" w:space="0" w:color="auto"/>
              <w:bottom w:val="single" w:sz="4" w:space="0" w:color="auto"/>
              <w:right w:val="single" w:sz="4" w:space="0" w:color="auto"/>
            </w:tcBorders>
          </w:tcPr>
          <w:p w14:paraId="66A9367A" w14:textId="77777777" w:rsidR="005F6337" w:rsidRDefault="005F6337">
            <w:pPr>
              <w:spacing w:line="240" w:lineRule="auto"/>
              <w:rPr>
                <w:b/>
                <w:bCs/>
                <w:color w:val="FFFFFF"/>
                <w:sz w:val="4"/>
                <w:szCs w:val="4"/>
              </w:rPr>
            </w:pPr>
            <w:r>
              <w:rPr>
                <w:rFonts w:hint="cs"/>
                <w:b/>
                <w:bCs/>
                <w:sz w:val="24"/>
                <w:rtl/>
              </w:rPr>
              <w:t>בפני:</w:t>
            </w:r>
            <w:r>
              <w:rPr>
                <w:b/>
                <w:bCs/>
                <w:color w:val="FFFFFF"/>
                <w:sz w:val="4"/>
                <w:szCs w:val="4"/>
                <w:rtl/>
              </w:rPr>
              <w:t>ו</w:t>
            </w:r>
          </w:p>
        </w:tc>
        <w:tc>
          <w:tcPr>
            <w:tcW w:w="4848" w:type="dxa"/>
            <w:tcBorders>
              <w:top w:val="single" w:sz="4" w:space="0" w:color="auto"/>
              <w:left w:val="single" w:sz="4" w:space="0" w:color="auto"/>
              <w:bottom w:val="single" w:sz="4" w:space="0" w:color="auto"/>
              <w:right w:val="single" w:sz="4" w:space="0" w:color="auto"/>
            </w:tcBorders>
          </w:tcPr>
          <w:p w14:paraId="049BDC43" w14:textId="77777777" w:rsidR="005F6337" w:rsidRDefault="005F6337">
            <w:pPr>
              <w:spacing w:line="240" w:lineRule="auto"/>
              <w:rPr>
                <w:b/>
                <w:bCs/>
                <w:color w:val="FFFFFF"/>
                <w:sz w:val="4"/>
                <w:szCs w:val="4"/>
              </w:rPr>
            </w:pPr>
            <w:r>
              <w:rPr>
                <w:rFonts w:hint="cs"/>
                <w:b/>
                <w:bCs/>
                <w:sz w:val="24"/>
                <w:rtl/>
              </w:rPr>
              <w:t>הרכב כב' השופטים:</w:t>
            </w:r>
            <w:r>
              <w:rPr>
                <w:b/>
                <w:bCs/>
                <w:color w:val="FFFFFF"/>
                <w:sz w:val="4"/>
                <w:szCs w:val="4"/>
                <w:rtl/>
              </w:rPr>
              <w:t>ב</w:t>
            </w:r>
          </w:p>
          <w:p w14:paraId="6A5DA611" w14:textId="77777777" w:rsidR="005F6337" w:rsidRDefault="005F6337">
            <w:pPr>
              <w:spacing w:line="240" w:lineRule="auto"/>
              <w:rPr>
                <w:rFonts w:hint="cs"/>
                <w:b/>
                <w:bCs/>
                <w:sz w:val="24"/>
                <w:rtl/>
              </w:rPr>
            </w:pPr>
            <w:r>
              <w:rPr>
                <w:rFonts w:hint="cs"/>
                <w:b/>
                <w:bCs/>
                <w:sz w:val="24"/>
                <w:rtl/>
              </w:rPr>
              <w:t>דוד בר-אופיר,                 סגן-נשיא - אב"ד</w:t>
            </w:r>
          </w:p>
          <w:p w14:paraId="25B8CF11" w14:textId="77777777" w:rsidR="005F6337" w:rsidRDefault="005F6337">
            <w:pPr>
              <w:spacing w:line="240" w:lineRule="auto"/>
              <w:rPr>
                <w:rFonts w:hint="cs"/>
                <w:b/>
                <w:bCs/>
                <w:sz w:val="24"/>
                <w:rtl/>
              </w:rPr>
            </w:pPr>
            <w:r>
              <w:rPr>
                <w:rFonts w:hint="cs"/>
                <w:b/>
                <w:bCs/>
                <w:sz w:val="24"/>
                <w:rtl/>
              </w:rPr>
              <w:t xml:space="preserve">הדסה אחיטוב-הרטמן,  שופטת  </w:t>
            </w:r>
          </w:p>
          <w:p w14:paraId="3DEC8070" w14:textId="77777777" w:rsidR="005F6337" w:rsidRDefault="005F6337">
            <w:pPr>
              <w:spacing w:line="240" w:lineRule="auto"/>
              <w:rPr>
                <w:b/>
                <w:bCs/>
                <w:sz w:val="24"/>
              </w:rPr>
            </w:pPr>
            <w:r>
              <w:rPr>
                <w:rFonts w:hint="cs"/>
                <w:b/>
                <w:bCs/>
                <w:sz w:val="24"/>
                <w:rtl/>
              </w:rPr>
              <w:t>נירה לידסקי,                  שופטת</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5082A8B" w14:textId="77777777" w:rsidR="005F6337" w:rsidRDefault="005F6337">
            <w:pPr>
              <w:spacing w:line="240" w:lineRule="auto"/>
              <w:rPr>
                <w:b/>
                <w:bCs/>
                <w:color w:val="FFFFFF"/>
                <w:sz w:val="4"/>
                <w:szCs w:val="4"/>
              </w:rPr>
            </w:pPr>
            <w:r>
              <w:rPr>
                <w:rFonts w:hint="cs"/>
                <w:b/>
                <w:bCs/>
                <w:sz w:val="24"/>
                <w:rtl/>
              </w:rPr>
              <w:t>תאריך:</w:t>
            </w:r>
            <w:r>
              <w:rPr>
                <w:b/>
                <w:bCs/>
                <w:color w:val="FFFFFF"/>
                <w:sz w:val="4"/>
                <w:szCs w:val="4"/>
                <w:rtl/>
              </w:rPr>
              <w:t>נ</w:t>
            </w:r>
          </w:p>
        </w:tc>
        <w:tc>
          <w:tcPr>
            <w:tcW w:w="2093" w:type="dxa"/>
            <w:tcBorders>
              <w:top w:val="single" w:sz="4" w:space="0" w:color="auto"/>
              <w:left w:val="single" w:sz="4" w:space="0" w:color="auto"/>
              <w:bottom w:val="single" w:sz="4" w:space="0" w:color="auto"/>
              <w:right w:val="single" w:sz="4" w:space="0" w:color="auto"/>
            </w:tcBorders>
          </w:tcPr>
          <w:p w14:paraId="1554F8E1" w14:textId="77777777" w:rsidR="005F6337" w:rsidRDefault="005F6337">
            <w:pPr>
              <w:spacing w:line="240" w:lineRule="auto"/>
              <w:rPr>
                <w:b/>
                <w:bCs/>
                <w:sz w:val="24"/>
              </w:rPr>
            </w:pPr>
            <w:r>
              <w:rPr>
                <w:rFonts w:hint="cs"/>
                <w:b/>
                <w:bCs/>
                <w:sz w:val="24"/>
                <w:rtl/>
              </w:rPr>
              <w:t>14/04/02</w:t>
            </w:r>
          </w:p>
        </w:tc>
      </w:tr>
    </w:tbl>
    <w:p w14:paraId="6479E5EE" w14:textId="77777777" w:rsidR="005F6337" w:rsidRDefault="00E74DE2">
      <w:pPr>
        <w:spacing w:line="240" w:lineRule="auto"/>
        <w:rPr>
          <w:rFonts w:hint="cs"/>
          <w:b/>
          <w:bCs/>
          <w:sz w:val="24"/>
          <w:rtl/>
        </w:rPr>
      </w:pPr>
      <w:r>
        <w:rPr>
          <w:rFonts w:hint="cs"/>
          <w:b/>
          <w:bCs/>
          <w:sz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5F6337" w14:paraId="7B9C4287" w14:textId="77777777" w:rsidTr="005F6337">
        <w:tc>
          <w:tcPr>
            <w:tcW w:w="1362" w:type="dxa"/>
          </w:tcPr>
          <w:p w14:paraId="3376D479" w14:textId="77777777" w:rsidR="005F6337" w:rsidRDefault="005F6337">
            <w:pPr>
              <w:pStyle w:val="a"/>
              <w:spacing w:line="240" w:lineRule="auto"/>
              <w:rPr>
                <w:color w:val="FFFFFF"/>
                <w:sz w:val="4"/>
                <w:szCs w:val="4"/>
                <w:u w:val="single"/>
              </w:rPr>
            </w:pPr>
            <w:r>
              <w:rPr>
                <w:rFonts w:hint="cs"/>
                <w:sz w:val="24"/>
                <w:u w:val="single"/>
                <w:rtl/>
              </w:rPr>
              <w:t>בעניין</w:t>
            </w:r>
            <w:r>
              <w:rPr>
                <w:rFonts w:hint="cs"/>
                <w:sz w:val="24"/>
                <w:rtl/>
              </w:rPr>
              <w:t>:</w:t>
            </w:r>
            <w:r>
              <w:rPr>
                <w:color w:val="FFFFFF"/>
                <w:sz w:val="4"/>
                <w:szCs w:val="4"/>
                <w:rtl/>
              </w:rPr>
              <w:t>נ</w:t>
            </w:r>
          </w:p>
        </w:tc>
        <w:tc>
          <w:tcPr>
            <w:tcW w:w="4820" w:type="dxa"/>
            <w:gridSpan w:val="2"/>
          </w:tcPr>
          <w:p w14:paraId="70C1E6D8" w14:textId="77777777" w:rsidR="005F6337" w:rsidRDefault="005F6337">
            <w:pPr>
              <w:pStyle w:val="a"/>
              <w:spacing w:line="240" w:lineRule="auto"/>
              <w:rPr>
                <w:sz w:val="24"/>
              </w:rPr>
            </w:pPr>
            <w:r>
              <w:rPr>
                <w:rFonts w:hint="cs"/>
                <w:sz w:val="24"/>
                <w:rtl/>
              </w:rPr>
              <w:t>מדינת ישראל</w:t>
            </w:r>
          </w:p>
        </w:tc>
        <w:tc>
          <w:tcPr>
            <w:tcW w:w="2409" w:type="dxa"/>
          </w:tcPr>
          <w:p w14:paraId="59C1D1D8" w14:textId="77777777" w:rsidR="005F6337" w:rsidRDefault="00E74DE2">
            <w:pPr>
              <w:pStyle w:val="a"/>
              <w:spacing w:line="240" w:lineRule="auto"/>
              <w:rPr>
                <w:sz w:val="24"/>
                <w:u w:val="single"/>
              </w:rPr>
            </w:pPr>
            <w:r>
              <w:rPr>
                <w:rFonts w:hint="cs"/>
                <w:b w:val="0"/>
                <w:bCs w:val="0"/>
                <w:sz w:val="24"/>
                <w:rtl/>
              </w:rPr>
              <w:t xml:space="preserve"> </w:t>
            </w:r>
            <w:r>
              <w:rPr>
                <w:sz w:val="24"/>
                <w:rtl/>
              </w:rPr>
              <w:t xml:space="preserve"> </w:t>
            </w:r>
          </w:p>
        </w:tc>
      </w:tr>
      <w:tr w:rsidR="005F6337" w14:paraId="2ECC70A8" w14:textId="77777777" w:rsidTr="005F6337">
        <w:tc>
          <w:tcPr>
            <w:tcW w:w="1362" w:type="dxa"/>
          </w:tcPr>
          <w:p w14:paraId="34B126EF" w14:textId="77777777" w:rsidR="005F6337" w:rsidRDefault="00E74DE2">
            <w:pPr>
              <w:pStyle w:val="a"/>
              <w:spacing w:line="240" w:lineRule="auto"/>
              <w:rPr>
                <w:sz w:val="24"/>
                <w:u w:val="single"/>
              </w:rPr>
            </w:pPr>
            <w:r>
              <w:rPr>
                <w:sz w:val="24"/>
                <w:rtl/>
              </w:rPr>
              <w:t xml:space="preserve"> </w:t>
            </w:r>
          </w:p>
        </w:tc>
        <w:tc>
          <w:tcPr>
            <w:tcW w:w="1757" w:type="dxa"/>
          </w:tcPr>
          <w:p w14:paraId="0B2F7C43" w14:textId="77777777" w:rsidR="005F6337" w:rsidRDefault="00E74DE2">
            <w:pPr>
              <w:pStyle w:val="a"/>
              <w:spacing w:line="240" w:lineRule="auto"/>
              <w:rPr>
                <w:sz w:val="24"/>
              </w:rPr>
            </w:pPr>
            <w:r>
              <w:rPr>
                <w:sz w:val="24"/>
                <w:rtl/>
              </w:rPr>
              <w:t xml:space="preserve"> </w:t>
            </w:r>
          </w:p>
        </w:tc>
        <w:tc>
          <w:tcPr>
            <w:tcW w:w="3063" w:type="dxa"/>
          </w:tcPr>
          <w:p w14:paraId="37BEDD39" w14:textId="77777777" w:rsidR="005F6337" w:rsidRDefault="00E74DE2">
            <w:pPr>
              <w:pStyle w:val="a"/>
              <w:spacing w:line="240" w:lineRule="auto"/>
              <w:rPr>
                <w:sz w:val="24"/>
              </w:rPr>
            </w:pPr>
            <w:r>
              <w:rPr>
                <w:sz w:val="24"/>
                <w:rtl/>
              </w:rPr>
              <w:t xml:space="preserve"> </w:t>
            </w:r>
          </w:p>
        </w:tc>
        <w:tc>
          <w:tcPr>
            <w:tcW w:w="2409" w:type="dxa"/>
          </w:tcPr>
          <w:p w14:paraId="3039A71A" w14:textId="77777777" w:rsidR="005F6337" w:rsidRDefault="005F6337">
            <w:pPr>
              <w:pStyle w:val="a"/>
              <w:spacing w:line="240" w:lineRule="auto"/>
              <w:rPr>
                <w:sz w:val="24"/>
                <w:u w:val="single"/>
              </w:rPr>
            </w:pPr>
            <w:r>
              <w:rPr>
                <w:rFonts w:hint="cs"/>
                <w:sz w:val="24"/>
                <w:u w:val="single"/>
                <w:rtl/>
              </w:rPr>
              <w:t>המאשימה</w:t>
            </w:r>
          </w:p>
        </w:tc>
      </w:tr>
      <w:tr w:rsidR="005F6337" w14:paraId="0D07B568" w14:textId="77777777" w:rsidTr="005F6337">
        <w:tc>
          <w:tcPr>
            <w:tcW w:w="1362" w:type="dxa"/>
          </w:tcPr>
          <w:p w14:paraId="740A9932" w14:textId="77777777" w:rsidR="005F6337" w:rsidRDefault="00E74DE2">
            <w:pPr>
              <w:pStyle w:val="a"/>
              <w:spacing w:line="240" w:lineRule="auto"/>
              <w:rPr>
                <w:sz w:val="24"/>
              </w:rPr>
            </w:pPr>
            <w:r>
              <w:rPr>
                <w:sz w:val="24"/>
                <w:rtl/>
              </w:rPr>
              <w:t xml:space="preserve"> </w:t>
            </w:r>
          </w:p>
        </w:tc>
        <w:tc>
          <w:tcPr>
            <w:tcW w:w="4820" w:type="dxa"/>
            <w:gridSpan w:val="2"/>
          </w:tcPr>
          <w:p w14:paraId="55A40DE5" w14:textId="77777777" w:rsidR="005F6337" w:rsidRDefault="005F6337">
            <w:pPr>
              <w:pStyle w:val="a"/>
              <w:spacing w:line="240" w:lineRule="auto"/>
              <w:jc w:val="center"/>
              <w:rPr>
                <w:sz w:val="24"/>
              </w:rPr>
            </w:pPr>
            <w:r>
              <w:rPr>
                <w:rFonts w:hint="cs"/>
                <w:sz w:val="24"/>
                <w:rtl/>
              </w:rPr>
              <w:t>נ  ג  ד</w:t>
            </w:r>
          </w:p>
        </w:tc>
        <w:tc>
          <w:tcPr>
            <w:tcW w:w="2409" w:type="dxa"/>
          </w:tcPr>
          <w:p w14:paraId="11B5F86A" w14:textId="77777777" w:rsidR="005F6337" w:rsidRDefault="00E74DE2">
            <w:pPr>
              <w:pStyle w:val="a"/>
              <w:spacing w:line="240" w:lineRule="auto"/>
              <w:rPr>
                <w:sz w:val="24"/>
              </w:rPr>
            </w:pPr>
            <w:r>
              <w:rPr>
                <w:sz w:val="24"/>
                <w:rtl/>
              </w:rPr>
              <w:t xml:space="preserve"> </w:t>
            </w:r>
          </w:p>
        </w:tc>
      </w:tr>
      <w:tr w:rsidR="005F6337" w14:paraId="484D06F6" w14:textId="77777777" w:rsidTr="005F6337">
        <w:tc>
          <w:tcPr>
            <w:tcW w:w="1362" w:type="dxa"/>
          </w:tcPr>
          <w:p w14:paraId="7BC7016A" w14:textId="77777777" w:rsidR="005F6337" w:rsidRDefault="00E74DE2">
            <w:pPr>
              <w:pStyle w:val="a"/>
              <w:spacing w:line="240" w:lineRule="auto"/>
              <w:rPr>
                <w:sz w:val="24"/>
                <w:u w:val="single"/>
              </w:rPr>
            </w:pPr>
            <w:bookmarkStart w:id="0" w:name="שם_ב" w:colFirst="1" w:colLast="1"/>
            <w:r>
              <w:rPr>
                <w:sz w:val="24"/>
                <w:rtl/>
              </w:rPr>
              <w:t xml:space="preserve"> </w:t>
            </w:r>
          </w:p>
        </w:tc>
        <w:tc>
          <w:tcPr>
            <w:tcW w:w="4820" w:type="dxa"/>
            <w:gridSpan w:val="2"/>
          </w:tcPr>
          <w:p w14:paraId="1C8E26E9" w14:textId="77777777" w:rsidR="005F6337" w:rsidRDefault="005F6337">
            <w:pPr>
              <w:pStyle w:val="a"/>
              <w:spacing w:line="240" w:lineRule="auto"/>
              <w:rPr>
                <w:sz w:val="24"/>
              </w:rPr>
            </w:pPr>
            <w:r>
              <w:rPr>
                <w:rFonts w:hint="cs"/>
                <w:sz w:val="24"/>
                <w:rtl/>
              </w:rPr>
              <w:t>עבדאללה עדנן</w:t>
            </w:r>
          </w:p>
        </w:tc>
        <w:tc>
          <w:tcPr>
            <w:tcW w:w="2409" w:type="dxa"/>
          </w:tcPr>
          <w:p w14:paraId="14778599" w14:textId="77777777" w:rsidR="005F6337" w:rsidRDefault="00E74DE2">
            <w:pPr>
              <w:pStyle w:val="a"/>
              <w:spacing w:line="240" w:lineRule="auto"/>
              <w:rPr>
                <w:sz w:val="24"/>
                <w:u w:val="single"/>
              </w:rPr>
            </w:pPr>
            <w:r>
              <w:rPr>
                <w:sz w:val="24"/>
                <w:rtl/>
              </w:rPr>
              <w:t xml:space="preserve"> </w:t>
            </w:r>
          </w:p>
        </w:tc>
      </w:tr>
      <w:bookmarkEnd w:id="0"/>
      <w:tr w:rsidR="005F6337" w14:paraId="0B02DBAA" w14:textId="77777777" w:rsidTr="005F6337">
        <w:tc>
          <w:tcPr>
            <w:tcW w:w="1362" w:type="dxa"/>
          </w:tcPr>
          <w:p w14:paraId="4E10F70A" w14:textId="77777777" w:rsidR="005F6337" w:rsidRDefault="00E74DE2">
            <w:pPr>
              <w:pStyle w:val="a"/>
              <w:spacing w:line="240" w:lineRule="auto"/>
              <w:rPr>
                <w:sz w:val="24"/>
                <w:u w:val="single"/>
              </w:rPr>
            </w:pPr>
            <w:r>
              <w:rPr>
                <w:sz w:val="24"/>
                <w:rtl/>
              </w:rPr>
              <w:t xml:space="preserve"> </w:t>
            </w:r>
          </w:p>
        </w:tc>
        <w:tc>
          <w:tcPr>
            <w:tcW w:w="1757" w:type="dxa"/>
          </w:tcPr>
          <w:p w14:paraId="7BE21525" w14:textId="77777777" w:rsidR="005F6337" w:rsidRDefault="00E74DE2">
            <w:pPr>
              <w:pStyle w:val="a"/>
              <w:spacing w:line="240" w:lineRule="auto"/>
              <w:rPr>
                <w:sz w:val="24"/>
              </w:rPr>
            </w:pPr>
            <w:r>
              <w:rPr>
                <w:sz w:val="24"/>
                <w:rtl/>
              </w:rPr>
              <w:t xml:space="preserve"> </w:t>
            </w:r>
          </w:p>
        </w:tc>
        <w:tc>
          <w:tcPr>
            <w:tcW w:w="3063" w:type="dxa"/>
          </w:tcPr>
          <w:p w14:paraId="2B521677" w14:textId="77777777" w:rsidR="005F6337" w:rsidRDefault="00E74DE2">
            <w:pPr>
              <w:pStyle w:val="a"/>
              <w:spacing w:line="240" w:lineRule="auto"/>
              <w:rPr>
                <w:sz w:val="24"/>
              </w:rPr>
            </w:pPr>
            <w:r>
              <w:rPr>
                <w:sz w:val="24"/>
                <w:rtl/>
              </w:rPr>
              <w:t xml:space="preserve"> </w:t>
            </w:r>
          </w:p>
        </w:tc>
        <w:tc>
          <w:tcPr>
            <w:tcW w:w="2409" w:type="dxa"/>
          </w:tcPr>
          <w:p w14:paraId="0734ADF9" w14:textId="77777777" w:rsidR="005F6337" w:rsidRDefault="005F6337">
            <w:pPr>
              <w:pStyle w:val="a"/>
              <w:spacing w:line="240" w:lineRule="auto"/>
              <w:rPr>
                <w:sz w:val="24"/>
                <w:u w:val="single"/>
              </w:rPr>
            </w:pPr>
            <w:r>
              <w:rPr>
                <w:rFonts w:hint="cs"/>
                <w:sz w:val="24"/>
                <w:u w:val="single"/>
                <w:rtl/>
              </w:rPr>
              <w:t>הנאשם</w:t>
            </w:r>
          </w:p>
        </w:tc>
      </w:tr>
    </w:tbl>
    <w:p w14:paraId="07B1B0B3" w14:textId="77777777" w:rsidR="00D93D12" w:rsidRDefault="00D93D12">
      <w:pPr>
        <w:spacing w:line="240" w:lineRule="auto"/>
        <w:jc w:val="center"/>
        <w:rPr>
          <w:i/>
          <w:iCs/>
          <w:sz w:val="24"/>
          <w:rtl/>
        </w:rPr>
      </w:pPr>
      <w:bookmarkStart w:id="1" w:name="סוג_מסמך"/>
      <w:bookmarkStart w:id="2" w:name="LawTable"/>
      <w:bookmarkEnd w:id="1"/>
      <w:bookmarkEnd w:id="2"/>
    </w:p>
    <w:p w14:paraId="46D46F63" w14:textId="77777777" w:rsidR="00D93D12" w:rsidRPr="00D93D12" w:rsidRDefault="00D93D12" w:rsidP="00D93D12">
      <w:pPr>
        <w:spacing w:after="120" w:line="240" w:lineRule="exact"/>
        <w:ind w:left="283" w:hanging="283"/>
        <w:rPr>
          <w:rFonts w:ascii="FrankRuehl" w:hAnsi="FrankRuehl" w:cs="FrankRuehl"/>
          <w:i/>
          <w:iCs/>
          <w:sz w:val="24"/>
          <w:rtl/>
        </w:rPr>
      </w:pPr>
    </w:p>
    <w:p w14:paraId="5EC1F0D2" w14:textId="77777777" w:rsidR="00D93D12" w:rsidRPr="00D93D12" w:rsidRDefault="00D93D12" w:rsidP="00D93D12">
      <w:pPr>
        <w:spacing w:after="120" w:line="240" w:lineRule="exact"/>
        <w:ind w:left="283" w:hanging="283"/>
        <w:rPr>
          <w:rFonts w:ascii="FrankRuehl" w:hAnsi="FrankRuehl" w:cs="FrankRuehl"/>
          <w:i/>
          <w:iCs/>
          <w:sz w:val="24"/>
          <w:rtl/>
        </w:rPr>
      </w:pPr>
      <w:r w:rsidRPr="00D93D12">
        <w:rPr>
          <w:rFonts w:ascii="FrankRuehl" w:hAnsi="FrankRuehl" w:cs="FrankRuehl"/>
          <w:i/>
          <w:iCs/>
          <w:sz w:val="24"/>
          <w:rtl/>
        </w:rPr>
        <w:t xml:space="preserve">חקיקה שאוזכרה: </w:t>
      </w:r>
    </w:p>
    <w:p w14:paraId="5140898C" w14:textId="77777777" w:rsidR="00D93D12" w:rsidRPr="00D93D12" w:rsidRDefault="00D93D12" w:rsidP="00D93D12">
      <w:pPr>
        <w:spacing w:after="120" w:line="240" w:lineRule="exact"/>
        <w:ind w:left="283" w:hanging="283"/>
        <w:rPr>
          <w:rFonts w:ascii="FrankRuehl" w:hAnsi="FrankRuehl" w:cs="FrankRuehl"/>
          <w:i/>
          <w:iCs/>
          <w:sz w:val="24"/>
          <w:rtl/>
        </w:rPr>
      </w:pPr>
      <w:hyperlink r:id="rId6" w:history="1">
        <w:r w:rsidRPr="00D93D12">
          <w:rPr>
            <w:rFonts w:ascii="FrankRuehl" w:hAnsi="FrankRuehl" w:cs="FrankRuehl"/>
            <w:i/>
            <w:iCs/>
            <w:color w:val="0000FF"/>
            <w:sz w:val="24"/>
            <w:u w:val="single"/>
            <w:rtl/>
          </w:rPr>
          <w:t>חוק העונשין, תשל"ז-1977</w:t>
        </w:r>
      </w:hyperlink>
      <w:r w:rsidRPr="00D93D12">
        <w:rPr>
          <w:rFonts w:ascii="FrankRuehl" w:hAnsi="FrankRuehl" w:cs="FrankRuehl"/>
          <w:i/>
          <w:iCs/>
          <w:sz w:val="24"/>
          <w:rtl/>
        </w:rPr>
        <w:t xml:space="preserve">: סע'  </w:t>
      </w:r>
      <w:hyperlink r:id="rId7" w:history="1">
        <w:r w:rsidRPr="00D93D12">
          <w:rPr>
            <w:rFonts w:ascii="FrankRuehl" w:hAnsi="FrankRuehl" w:cs="FrankRuehl"/>
            <w:i/>
            <w:iCs/>
            <w:color w:val="0000FF"/>
            <w:sz w:val="24"/>
            <w:u w:val="single"/>
            <w:rtl/>
          </w:rPr>
          <w:t>345.ב</w:t>
        </w:r>
      </w:hyperlink>
      <w:r w:rsidRPr="00D93D12">
        <w:rPr>
          <w:rFonts w:ascii="FrankRuehl" w:hAnsi="FrankRuehl" w:cs="FrankRuehl"/>
          <w:i/>
          <w:iCs/>
          <w:sz w:val="24"/>
          <w:rtl/>
        </w:rPr>
        <w:t xml:space="preserve">, </w:t>
      </w:r>
      <w:hyperlink r:id="rId8" w:history="1">
        <w:r w:rsidRPr="00D93D12">
          <w:rPr>
            <w:rFonts w:ascii="FrankRuehl" w:hAnsi="FrankRuehl" w:cs="FrankRuehl"/>
            <w:i/>
            <w:iCs/>
            <w:color w:val="0000FF"/>
            <w:sz w:val="24"/>
            <w:u w:val="single"/>
            <w:rtl/>
          </w:rPr>
          <w:t>345(ב)(2)</w:t>
        </w:r>
      </w:hyperlink>
      <w:r w:rsidRPr="00D93D12">
        <w:rPr>
          <w:rFonts w:ascii="FrankRuehl" w:hAnsi="FrankRuehl" w:cs="FrankRuehl"/>
          <w:i/>
          <w:iCs/>
          <w:sz w:val="24"/>
          <w:rtl/>
        </w:rPr>
        <w:t xml:space="preserve">, </w:t>
      </w:r>
      <w:hyperlink r:id="rId9" w:history="1">
        <w:r w:rsidRPr="00D93D12">
          <w:rPr>
            <w:rFonts w:ascii="FrankRuehl" w:hAnsi="FrankRuehl" w:cs="FrankRuehl"/>
            <w:i/>
            <w:iCs/>
            <w:color w:val="0000FF"/>
            <w:sz w:val="24"/>
            <w:u w:val="single"/>
            <w:rtl/>
          </w:rPr>
          <w:t>348 (ב)</w:t>
        </w:r>
      </w:hyperlink>
      <w:r w:rsidRPr="00D93D12">
        <w:rPr>
          <w:rFonts w:ascii="FrankRuehl" w:hAnsi="FrankRuehl" w:cs="FrankRuehl"/>
          <w:i/>
          <w:iCs/>
          <w:sz w:val="24"/>
          <w:rtl/>
        </w:rPr>
        <w:t xml:space="preserve">, </w:t>
      </w:r>
      <w:hyperlink r:id="rId10" w:history="1">
        <w:r w:rsidRPr="00D93D12">
          <w:rPr>
            <w:rFonts w:ascii="FrankRuehl" w:hAnsi="FrankRuehl" w:cs="FrankRuehl"/>
            <w:i/>
            <w:iCs/>
            <w:color w:val="0000FF"/>
            <w:sz w:val="24"/>
            <w:u w:val="single"/>
            <w:rtl/>
          </w:rPr>
          <w:t>348 (ו)</w:t>
        </w:r>
      </w:hyperlink>
      <w:r w:rsidRPr="00D93D12">
        <w:rPr>
          <w:rFonts w:ascii="FrankRuehl" w:hAnsi="FrankRuehl" w:cs="FrankRuehl"/>
          <w:i/>
          <w:iCs/>
          <w:sz w:val="24"/>
          <w:rtl/>
        </w:rPr>
        <w:t xml:space="preserve">, </w:t>
      </w:r>
      <w:hyperlink r:id="rId11" w:history="1">
        <w:r w:rsidRPr="00D93D12">
          <w:rPr>
            <w:rFonts w:ascii="FrankRuehl" w:hAnsi="FrankRuehl" w:cs="FrankRuehl"/>
            <w:i/>
            <w:iCs/>
            <w:color w:val="0000FF"/>
            <w:sz w:val="24"/>
            <w:u w:val="single"/>
            <w:rtl/>
          </w:rPr>
          <w:t>428</w:t>
        </w:r>
      </w:hyperlink>
    </w:p>
    <w:p w14:paraId="33E990DC" w14:textId="77777777" w:rsidR="00D93D12" w:rsidRPr="00D93D12" w:rsidRDefault="00D93D12" w:rsidP="00D93D12">
      <w:pPr>
        <w:spacing w:after="120" w:line="240" w:lineRule="exact"/>
        <w:ind w:left="283" w:hanging="283"/>
        <w:rPr>
          <w:rFonts w:ascii="FrankRuehl" w:hAnsi="FrankRuehl" w:cs="FrankRuehl"/>
          <w:i/>
          <w:iCs/>
          <w:sz w:val="24"/>
          <w:rtl/>
        </w:rPr>
      </w:pPr>
      <w:hyperlink r:id="rId12" w:history="1">
        <w:r w:rsidRPr="00D93D12">
          <w:rPr>
            <w:rFonts w:ascii="FrankRuehl" w:hAnsi="FrankRuehl" w:cs="FrankRuehl"/>
            <w:i/>
            <w:iCs/>
            <w:color w:val="0000FF"/>
            <w:sz w:val="24"/>
            <w:u w:val="single"/>
            <w:rtl/>
          </w:rPr>
          <w:t>פקודת הראיות [נוסח חדש], תשל"א-1971</w:t>
        </w:r>
      </w:hyperlink>
      <w:r w:rsidRPr="00D93D12">
        <w:rPr>
          <w:rFonts w:ascii="FrankRuehl" w:hAnsi="FrankRuehl" w:cs="FrankRuehl"/>
          <w:i/>
          <w:iCs/>
          <w:sz w:val="24"/>
          <w:rtl/>
        </w:rPr>
        <w:t xml:space="preserve">: סע'  </w:t>
      </w:r>
      <w:hyperlink r:id="rId13" w:history="1">
        <w:r w:rsidRPr="00D93D12">
          <w:rPr>
            <w:rFonts w:ascii="FrankRuehl" w:hAnsi="FrankRuehl" w:cs="FrankRuehl"/>
            <w:i/>
            <w:iCs/>
            <w:color w:val="0000FF"/>
            <w:sz w:val="24"/>
            <w:u w:val="single"/>
            <w:rtl/>
          </w:rPr>
          <w:t>10א (א)</w:t>
        </w:r>
      </w:hyperlink>
      <w:r w:rsidRPr="00D93D12">
        <w:rPr>
          <w:rFonts w:ascii="FrankRuehl" w:hAnsi="FrankRuehl" w:cs="FrankRuehl"/>
          <w:i/>
          <w:iCs/>
          <w:sz w:val="24"/>
          <w:rtl/>
        </w:rPr>
        <w:t xml:space="preserve">, </w:t>
      </w:r>
      <w:hyperlink r:id="rId14" w:history="1">
        <w:r w:rsidRPr="00D93D12">
          <w:rPr>
            <w:rFonts w:ascii="FrankRuehl" w:hAnsi="FrankRuehl" w:cs="FrankRuehl"/>
            <w:i/>
            <w:iCs/>
            <w:color w:val="0000FF"/>
            <w:sz w:val="24"/>
            <w:u w:val="single"/>
            <w:rtl/>
          </w:rPr>
          <w:t>10א (ד)</w:t>
        </w:r>
      </w:hyperlink>
    </w:p>
    <w:p w14:paraId="226708F6" w14:textId="77777777" w:rsidR="00D93D12" w:rsidRPr="00D93D12" w:rsidRDefault="00D93D12" w:rsidP="00D93D12">
      <w:pPr>
        <w:spacing w:after="120" w:line="240" w:lineRule="exact"/>
        <w:ind w:left="283" w:hanging="283"/>
        <w:rPr>
          <w:rFonts w:ascii="FrankRuehl" w:hAnsi="FrankRuehl" w:cs="FrankRuehl"/>
          <w:i/>
          <w:iCs/>
          <w:sz w:val="24"/>
          <w:rtl/>
        </w:rPr>
      </w:pPr>
    </w:p>
    <w:p w14:paraId="65CF9251" w14:textId="77777777" w:rsidR="00D93D12" w:rsidRPr="00D93D12" w:rsidRDefault="00D93D12">
      <w:pPr>
        <w:spacing w:line="240" w:lineRule="auto"/>
        <w:jc w:val="center"/>
        <w:rPr>
          <w:i/>
          <w:iCs/>
          <w:sz w:val="24"/>
          <w:rtl/>
        </w:rPr>
      </w:pPr>
      <w:bookmarkStart w:id="3" w:name="LawTable_End"/>
      <w:bookmarkEnd w:id="3"/>
    </w:p>
    <w:p w14:paraId="672D1C2B" w14:textId="77777777" w:rsidR="00D93D12" w:rsidRPr="00D93D12" w:rsidRDefault="00D93D12">
      <w:pPr>
        <w:spacing w:line="240" w:lineRule="auto"/>
        <w:jc w:val="center"/>
        <w:rPr>
          <w:i/>
          <w:iCs/>
          <w:sz w:val="24"/>
          <w:rtl/>
        </w:rPr>
      </w:pPr>
    </w:p>
    <w:p w14:paraId="489E894B" w14:textId="77777777" w:rsidR="00E74DE2" w:rsidRPr="00E74DE2" w:rsidRDefault="00E74DE2">
      <w:pPr>
        <w:spacing w:line="240" w:lineRule="auto"/>
        <w:jc w:val="center"/>
        <w:rPr>
          <w:i/>
          <w:iCs/>
          <w:sz w:val="24"/>
          <w:rtl/>
        </w:rPr>
      </w:pPr>
    </w:p>
    <w:p w14:paraId="0505DCC3" w14:textId="77777777" w:rsidR="00E74DE2" w:rsidRPr="00E74DE2" w:rsidRDefault="00E74DE2">
      <w:pPr>
        <w:spacing w:line="240" w:lineRule="auto"/>
        <w:jc w:val="center"/>
        <w:rPr>
          <w:b/>
          <w:bCs/>
          <w:i/>
          <w:iCs/>
          <w:sz w:val="24"/>
          <w:rtl/>
        </w:rPr>
      </w:pPr>
    </w:p>
    <w:p w14:paraId="4CF2E880" w14:textId="77777777" w:rsidR="005F6337" w:rsidRPr="00E74DE2" w:rsidRDefault="005F6337">
      <w:pPr>
        <w:spacing w:line="240" w:lineRule="auto"/>
        <w:jc w:val="center"/>
        <w:rPr>
          <w:b/>
          <w:bCs/>
          <w:i/>
          <w:iCs/>
          <w:sz w:val="24"/>
          <w:rtl/>
        </w:rPr>
      </w:pPr>
    </w:p>
    <w:p w14:paraId="1DCE512A" w14:textId="77777777" w:rsidR="005F6337" w:rsidRDefault="005F6337">
      <w:pPr>
        <w:spacing w:line="240" w:lineRule="auto"/>
        <w:jc w:val="center"/>
        <w:rPr>
          <w:b/>
          <w:bCs/>
          <w:i/>
          <w:iCs/>
          <w:sz w:val="24"/>
          <w:u w:val="single"/>
          <w:rtl/>
        </w:rPr>
      </w:pPr>
      <w:bookmarkStart w:id="4" w:name="PsakDin"/>
      <w:r>
        <w:rPr>
          <w:b/>
          <w:bCs/>
          <w:i/>
          <w:iCs/>
          <w:sz w:val="24"/>
          <w:u w:val="single"/>
          <w:rtl/>
        </w:rPr>
        <w:t>הכרעת-דין</w:t>
      </w:r>
    </w:p>
    <w:bookmarkEnd w:id="4"/>
    <w:p w14:paraId="0F0C89DC" w14:textId="77777777" w:rsidR="005F6337" w:rsidRDefault="005F6337">
      <w:pPr>
        <w:spacing w:line="240" w:lineRule="auto"/>
        <w:rPr>
          <w:rFonts w:hint="cs"/>
          <w:b/>
          <w:bCs/>
          <w:sz w:val="24"/>
          <w:u w:val="single"/>
          <w:rtl/>
        </w:rPr>
      </w:pPr>
    </w:p>
    <w:p w14:paraId="6F1168FA" w14:textId="77777777" w:rsidR="005F6337" w:rsidRDefault="005F6337">
      <w:pPr>
        <w:spacing w:line="240" w:lineRule="auto"/>
        <w:rPr>
          <w:rFonts w:hint="cs"/>
          <w:b/>
          <w:bCs/>
          <w:sz w:val="24"/>
          <w:u w:val="single"/>
          <w:rtl/>
        </w:rPr>
      </w:pPr>
      <w:r>
        <w:rPr>
          <w:rFonts w:hint="cs"/>
          <w:b/>
          <w:bCs/>
          <w:sz w:val="24"/>
          <w:u w:val="single"/>
          <w:rtl/>
        </w:rPr>
        <w:t>השופט דוד בר - אופיר, סגן נשיא, אב"ד</w:t>
      </w:r>
    </w:p>
    <w:p w14:paraId="09F53789" w14:textId="77777777" w:rsidR="005F6337" w:rsidRDefault="005F6337">
      <w:pPr>
        <w:pStyle w:val="Heading4"/>
        <w:spacing w:line="240" w:lineRule="auto"/>
        <w:jc w:val="left"/>
        <w:rPr>
          <w:rFonts w:cs="David" w:hint="cs"/>
          <w:sz w:val="24"/>
          <w:szCs w:val="24"/>
          <w:rtl/>
        </w:rPr>
      </w:pPr>
      <w:r>
        <w:rPr>
          <w:rFonts w:cs="David" w:hint="cs"/>
          <w:sz w:val="24"/>
          <w:szCs w:val="24"/>
          <w:rtl/>
        </w:rPr>
        <w:t>כתב האישום</w:t>
      </w:r>
    </w:p>
    <w:p w14:paraId="1F6027DD" w14:textId="77777777" w:rsidR="005F6337" w:rsidRDefault="00E74DE2">
      <w:pPr>
        <w:spacing w:line="240" w:lineRule="auto"/>
        <w:rPr>
          <w:rFonts w:hint="cs"/>
          <w:sz w:val="24"/>
          <w:rtl/>
        </w:rPr>
      </w:pPr>
      <w:r>
        <w:rPr>
          <w:rFonts w:hint="cs"/>
          <w:sz w:val="24"/>
          <w:rtl/>
        </w:rPr>
        <w:t xml:space="preserve"> </w:t>
      </w:r>
    </w:p>
    <w:p w14:paraId="46E5F964" w14:textId="77777777" w:rsidR="005F6337" w:rsidRDefault="005F6337">
      <w:pPr>
        <w:spacing w:line="240" w:lineRule="auto"/>
        <w:ind w:left="720" w:hanging="720"/>
        <w:rPr>
          <w:rFonts w:hint="cs"/>
          <w:color w:val="FFFFFF"/>
          <w:sz w:val="4"/>
          <w:szCs w:val="4"/>
          <w:rtl/>
        </w:rPr>
      </w:pPr>
      <w:r>
        <w:rPr>
          <w:rFonts w:hint="cs"/>
          <w:sz w:val="24"/>
          <w:rtl/>
        </w:rPr>
        <w:t>1.</w:t>
      </w:r>
      <w:r>
        <w:rPr>
          <w:rFonts w:hint="cs"/>
          <w:sz w:val="24"/>
          <w:rtl/>
        </w:rPr>
        <w:tab/>
        <w:t>המדינה הגישה כתב אישום נגד הנאשם עדנן עבדאללה, ובו שני אישומים:</w:t>
      </w:r>
      <w:r>
        <w:rPr>
          <w:color w:val="FFFFFF"/>
          <w:sz w:val="4"/>
          <w:szCs w:val="4"/>
          <w:rtl/>
        </w:rPr>
        <w:t>ב</w:t>
      </w:r>
    </w:p>
    <w:p w14:paraId="7F9D3C54" w14:textId="77777777" w:rsidR="005F6337" w:rsidRDefault="00E74DE2">
      <w:pPr>
        <w:spacing w:line="240" w:lineRule="auto"/>
        <w:ind w:left="720" w:hanging="720"/>
        <w:rPr>
          <w:rFonts w:hint="cs"/>
          <w:sz w:val="24"/>
          <w:rtl/>
        </w:rPr>
      </w:pPr>
      <w:r>
        <w:rPr>
          <w:rFonts w:hint="cs"/>
          <w:sz w:val="24"/>
          <w:rtl/>
        </w:rPr>
        <w:t xml:space="preserve"> </w:t>
      </w:r>
    </w:p>
    <w:p w14:paraId="4E205BE6" w14:textId="77777777" w:rsidR="005F6337" w:rsidRDefault="005F6337">
      <w:pPr>
        <w:spacing w:line="240" w:lineRule="auto"/>
        <w:ind w:left="1440" w:hanging="720"/>
        <w:rPr>
          <w:rFonts w:hint="cs"/>
          <w:sz w:val="24"/>
          <w:rtl/>
        </w:rPr>
      </w:pPr>
      <w:r>
        <w:rPr>
          <w:rFonts w:hint="cs"/>
          <w:sz w:val="24"/>
          <w:rtl/>
        </w:rPr>
        <w:t>א.</w:t>
      </w:r>
      <w:r>
        <w:rPr>
          <w:rFonts w:hint="cs"/>
          <w:sz w:val="24"/>
          <w:rtl/>
        </w:rPr>
        <w:tab/>
        <w:t xml:space="preserve">סחיטה באיומים - עבירה לפי </w:t>
      </w:r>
      <w:hyperlink r:id="rId15" w:history="1">
        <w:r w:rsidR="00D93D12" w:rsidRPr="00D93D12">
          <w:rPr>
            <w:color w:val="0000FF"/>
            <w:sz w:val="24"/>
            <w:u w:val="single"/>
            <w:rtl/>
          </w:rPr>
          <w:t>סעיף 428</w:t>
        </w:r>
      </w:hyperlink>
      <w:r>
        <w:rPr>
          <w:rFonts w:hint="cs"/>
          <w:sz w:val="24"/>
          <w:rtl/>
        </w:rPr>
        <w:t xml:space="preserve"> סיפא ל</w:t>
      </w:r>
      <w:hyperlink r:id="rId16" w:history="1">
        <w:r w:rsidR="00E74DE2" w:rsidRPr="00E74DE2">
          <w:rPr>
            <w:rStyle w:val="Hyperlink"/>
            <w:rFonts w:hint="eastAsia"/>
            <w:sz w:val="24"/>
            <w:rtl/>
          </w:rPr>
          <w:t>חוק</w:t>
        </w:r>
        <w:r w:rsidR="00E74DE2" w:rsidRPr="00E74DE2">
          <w:rPr>
            <w:rStyle w:val="Hyperlink"/>
            <w:sz w:val="24"/>
            <w:rtl/>
          </w:rPr>
          <w:t xml:space="preserve"> העונשין</w:t>
        </w:r>
      </w:hyperlink>
      <w:r>
        <w:rPr>
          <w:rFonts w:hint="cs"/>
          <w:sz w:val="24"/>
          <w:rtl/>
        </w:rPr>
        <w:t>,  התשל"ז – 1977;</w:t>
      </w:r>
    </w:p>
    <w:p w14:paraId="4A726A49" w14:textId="77777777" w:rsidR="005F6337" w:rsidRDefault="005F6337">
      <w:pPr>
        <w:spacing w:line="240" w:lineRule="auto"/>
        <w:ind w:left="1440" w:hanging="720"/>
        <w:rPr>
          <w:rFonts w:hint="cs"/>
          <w:sz w:val="24"/>
          <w:rtl/>
        </w:rPr>
      </w:pPr>
      <w:r>
        <w:rPr>
          <w:rFonts w:hint="cs"/>
          <w:sz w:val="24"/>
          <w:rtl/>
        </w:rPr>
        <w:t>ב.</w:t>
      </w:r>
      <w:r>
        <w:rPr>
          <w:rFonts w:hint="cs"/>
          <w:sz w:val="24"/>
          <w:rtl/>
        </w:rPr>
        <w:tab/>
        <w:t xml:space="preserve">מעשה מגונה- עבירה לפי </w:t>
      </w:r>
      <w:hyperlink r:id="rId17" w:history="1">
        <w:r w:rsidR="00D93D12" w:rsidRPr="00D93D12">
          <w:rPr>
            <w:color w:val="0000FF"/>
            <w:sz w:val="24"/>
            <w:u w:val="single"/>
            <w:rtl/>
          </w:rPr>
          <w:t>סעיף 348 (ב)</w:t>
        </w:r>
      </w:hyperlink>
      <w:r>
        <w:rPr>
          <w:rFonts w:hint="cs"/>
          <w:sz w:val="24"/>
          <w:rtl/>
        </w:rPr>
        <w:t xml:space="preserve"> בנסיבות </w:t>
      </w:r>
      <w:hyperlink r:id="rId18" w:history="1">
        <w:r w:rsidR="00D93D12" w:rsidRPr="00D93D12">
          <w:rPr>
            <w:color w:val="0000FF"/>
            <w:sz w:val="24"/>
            <w:u w:val="single"/>
            <w:rtl/>
          </w:rPr>
          <w:t>סעיף 345(ב)(2)</w:t>
        </w:r>
      </w:hyperlink>
      <w:r>
        <w:rPr>
          <w:rFonts w:hint="cs"/>
          <w:sz w:val="24"/>
          <w:rtl/>
        </w:rPr>
        <w:t xml:space="preserve"> ל</w:t>
      </w:r>
      <w:hyperlink r:id="rId19" w:history="1">
        <w:r w:rsidR="00E74DE2" w:rsidRPr="00E74DE2">
          <w:rPr>
            <w:rStyle w:val="Hyperlink"/>
            <w:rFonts w:hint="eastAsia"/>
            <w:sz w:val="24"/>
            <w:rtl/>
          </w:rPr>
          <w:t>חוק</w:t>
        </w:r>
        <w:r w:rsidR="00E74DE2" w:rsidRPr="00E74DE2">
          <w:rPr>
            <w:rStyle w:val="Hyperlink"/>
            <w:sz w:val="24"/>
            <w:rtl/>
          </w:rPr>
          <w:t xml:space="preserve"> העונשין</w:t>
        </w:r>
      </w:hyperlink>
      <w:r>
        <w:rPr>
          <w:rFonts w:hint="cs"/>
          <w:sz w:val="24"/>
          <w:rtl/>
        </w:rPr>
        <w:t xml:space="preserve">.  </w:t>
      </w:r>
    </w:p>
    <w:p w14:paraId="2264434B" w14:textId="77777777" w:rsidR="005F6337" w:rsidRDefault="00E74DE2">
      <w:pPr>
        <w:spacing w:line="240" w:lineRule="auto"/>
        <w:ind w:left="1440" w:hanging="720"/>
        <w:rPr>
          <w:rFonts w:hint="cs"/>
          <w:sz w:val="24"/>
          <w:rtl/>
        </w:rPr>
      </w:pPr>
      <w:r>
        <w:rPr>
          <w:rFonts w:hint="cs"/>
          <w:sz w:val="24"/>
          <w:rtl/>
        </w:rPr>
        <w:t xml:space="preserve"> </w:t>
      </w:r>
    </w:p>
    <w:p w14:paraId="7B7666BD" w14:textId="77777777" w:rsidR="005F6337" w:rsidRDefault="005F6337">
      <w:pPr>
        <w:spacing w:line="240" w:lineRule="auto"/>
        <w:ind w:left="720" w:hanging="720"/>
        <w:rPr>
          <w:rFonts w:hint="cs"/>
          <w:sz w:val="24"/>
          <w:rtl/>
        </w:rPr>
      </w:pPr>
      <w:r>
        <w:rPr>
          <w:rFonts w:hint="cs"/>
          <w:sz w:val="24"/>
          <w:rtl/>
        </w:rPr>
        <w:t>2.</w:t>
      </w:r>
      <w:r>
        <w:rPr>
          <w:rFonts w:hint="cs"/>
          <w:sz w:val="24"/>
          <w:rtl/>
        </w:rPr>
        <w:tab/>
        <w:t>הנאשם  והמתלונן (א"ס) היו עצורים בבית  המעצר אבו כביר, והיה להם תא מעצר משותף. בין השניים פרץ ריב בתוך התא, ומאוחר יותר באותו לילה רצה המתלונן "לעשות סולחה"  עם הנאשם. אולם הנאשם  הבהיר למתלונן כי הוא איננו מעוניין בסולחה  עם מי שפגע בו. לטענת התביעה, אילץ הנאשם את המתלונן, באיומי דוקרן וסכין גילוח, לשפשף את איבר מינו של  הנאשם, וכן   שיפשף  גם הנאשם את איבר מינו  של  המתלונן.</w:t>
      </w:r>
    </w:p>
    <w:p w14:paraId="08506057" w14:textId="77777777" w:rsidR="005F6337" w:rsidRDefault="00E74DE2">
      <w:pPr>
        <w:spacing w:line="240" w:lineRule="auto"/>
        <w:ind w:left="720" w:hanging="720"/>
        <w:rPr>
          <w:rFonts w:hint="cs"/>
          <w:sz w:val="24"/>
          <w:rtl/>
        </w:rPr>
      </w:pPr>
      <w:r>
        <w:rPr>
          <w:rFonts w:hint="cs"/>
          <w:sz w:val="24"/>
          <w:rtl/>
        </w:rPr>
        <w:t xml:space="preserve"> </w:t>
      </w:r>
    </w:p>
    <w:p w14:paraId="0E8CB0DE" w14:textId="77777777" w:rsidR="005F6337" w:rsidRDefault="005F6337">
      <w:pPr>
        <w:spacing w:line="240" w:lineRule="auto"/>
        <w:ind w:left="720" w:hanging="720"/>
        <w:rPr>
          <w:rFonts w:hint="cs"/>
          <w:sz w:val="24"/>
          <w:rtl/>
        </w:rPr>
      </w:pPr>
      <w:r>
        <w:rPr>
          <w:rFonts w:hint="cs"/>
          <w:sz w:val="24"/>
          <w:rtl/>
        </w:rPr>
        <w:t>3.</w:t>
      </w:r>
      <w:r>
        <w:rPr>
          <w:rFonts w:hint="cs"/>
          <w:sz w:val="24"/>
          <w:rtl/>
        </w:rPr>
        <w:tab/>
        <w:t>האירועים נמשכו באותו תא מעצר, ומאוחר יותר בלילה נכנס הנאשם למיטתו של המתלונן, ביצע בו מין אורלי, והחדיר אצבעותיו לפי הטבעת של המתלונן. כשהתעורר אסיר נוסף ששהה בתא, שכנע המתלונן את  האסיר לשחק  אתו בקלפים. גם בשעת המשחק  נעמד הנאשם מאחורי המתלונן, משך למטה את מכנסיו והחדיר את אצבעותיו לפי טבעת של המתלונן. כל זאת, לטענת התביעה, לצורך ביזוי וסיפוק מיני.</w:t>
      </w:r>
    </w:p>
    <w:p w14:paraId="4669DE29" w14:textId="77777777" w:rsidR="005F6337" w:rsidRDefault="00E74DE2">
      <w:pPr>
        <w:spacing w:line="240" w:lineRule="auto"/>
        <w:ind w:left="720" w:hanging="720"/>
        <w:rPr>
          <w:rFonts w:hint="cs"/>
          <w:sz w:val="24"/>
          <w:rtl/>
        </w:rPr>
      </w:pPr>
      <w:r>
        <w:rPr>
          <w:rFonts w:hint="cs"/>
          <w:sz w:val="24"/>
          <w:rtl/>
        </w:rPr>
        <w:t xml:space="preserve"> </w:t>
      </w:r>
    </w:p>
    <w:p w14:paraId="667C967F" w14:textId="77777777" w:rsidR="005F6337" w:rsidRDefault="005F6337">
      <w:pPr>
        <w:pStyle w:val="Heading4"/>
        <w:overflowPunct/>
        <w:autoSpaceDE w:val="0"/>
        <w:adjustRightInd/>
        <w:spacing w:line="240" w:lineRule="auto"/>
        <w:jc w:val="left"/>
        <w:rPr>
          <w:rFonts w:cs="David" w:hint="cs"/>
          <w:color w:val="FFFFFF"/>
          <w:sz w:val="4"/>
          <w:szCs w:val="4"/>
          <w:rtl/>
        </w:rPr>
      </w:pPr>
    </w:p>
    <w:p w14:paraId="54A66A8A" w14:textId="77777777" w:rsidR="005F6337" w:rsidRDefault="005F6337">
      <w:pPr>
        <w:pStyle w:val="Heading4"/>
        <w:overflowPunct/>
        <w:autoSpaceDE w:val="0"/>
        <w:adjustRightInd/>
        <w:spacing w:line="240" w:lineRule="auto"/>
        <w:jc w:val="left"/>
        <w:rPr>
          <w:rFonts w:cs="David" w:hint="cs"/>
          <w:sz w:val="24"/>
          <w:szCs w:val="24"/>
          <w:rtl/>
        </w:rPr>
      </w:pPr>
      <w:r>
        <w:rPr>
          <w:rFonts w:cs="David" w:hint="cs"/>
          <w:sz w:val="24"/>
          <w:szCs w:val="24"/>
          <w:rtl/>
        </w:rPr>
        <w:t xml:space="preserve">אמרות המתלונן  במשטרה (ת/1 + ת/2/ב) עדיפות  על עדותו בבית המשפט </w:t>
      </w:r>
    </w:p>
    <w:p w14:paraId="0F521943" w14:textId="77777777" w:rsidR="005F6337" w:rsidRDefault="00E74DE2">
      <w:pPr>
        <w:spacing w:line="240" w:lineRule="auto"/>
        <w:rPr>
          <w:rFonts w:hint="cs"/>
          <w:sz w:val="24"/>
          <w:rtl/>
        </w:rPr>
      </w:pPr>
      <w:r>
        <w:rPr>
          <w:rFonts w:hint="cs"/>
          <w:sz w:val="24"/>
          <w:rtl/>
        </w:rPr>
        <w:t xml:space="preserve"> </w:t>
      </w:r>
    </w:p>
    <w:p w14:paraId="5B9FCCBF" w14:textId="77777777" w:rsidR="005F6337" w:rsidRDefault="005F6337">
      <w:pPr>
        <w:spacing w:line="240" w:lineRule="auto"/>
        <w:ind w:left="720" w:hanging="720"/>
        <w:rPr>
          <w:rFonts w:hint="cs"/>
          <w:sz w:val="24"/>
          <w:rtl/>
        </w:rPr>
      </w:pPr>
      <w:r>
        <w:rPr>
          <w:rFonts w:hint="cs"/>
          <w:sz w:val="24"/>
          <w:rtl/>
        </w:rPr>
        <w:t>4.</w:t>
      </w:r>
      <w:r>
        <w:rPr>
          <w:rFonts w:hint="cs"/>
          <w:sz w:val="24"/>
          <w:rtl/>
        </w:rPr>
        <w:tab/>
        <w:t xml:space="preserve">אקדים ואומר כי המתלונן הפליל את הנאשם, באורח נחרץ וחד משמעי, באמרה ת/1 שניתנה במשטרה. לדברים שנאמרו בהודעה מפורטת זו נודעת חשיבות מירבית,  מכיוון שהם מתעדים באופן שוטף וענייני את מסכת האשמות שהוא מטיח בנאשם. גובה האמרה הוא רס"ר כהן שהעיד כי  הדברים שרשומים בהודעה, אלה הדברים שהמתלונן אמר לו, באותו סדר (עמ' 72, ש’ 14). העד העיד  כי  תומללו  הדברים שנשאלו והוקלטו  (ת/2/ב). </w:t>
      </w:r>
      <w:r>
        <w:rPr>
          <w:rFonts w:hint="cs"/>
          <w:sz w:val="24"/>
          <w:rtl/>
        </w:rPr>
        <w:lastRenderedPageBreak/>
        <w:t xml:space="preserve">העד מכחיש הפעלת לחצים על המתלונן כדי  שיעיד ,ולדבריו נעשה ניסיון  לדובב אותו בגלל  העדר  שיתוף פעולה מצידו (עמ' 71, ש’ 18). אך כאשר התבקש המתלונן לתת עדות בבית המשפט, בפנינו ,הוא סרב להעיד ולענות לשאלותיו של  בא כוח התביעה עו"ד קורצברג. </w:t>
      </w:r>
    </w:p>
    <w:p w14:paraId="1C7E9813" w14:textId="77777777" w:rsidR="005F6337" w:rsidRDefault="00E74DE2">
      <w:pPr>
        <w:spacing w:line="240" w:lineRule="auto"/>
        <w:ind w:left="720" w:hanging="720"/>
        <w:rPr>
          <w:rFonts w:hint="cs"/>
          <w:sz w:val="24"/>
          <w:rtl/>
        </w:rPr>
      </w:pPr>
      <w:r>
        <w:rPr>
          <w:rFonts w:hint="cs"/>
          <w:sz w:val="24"/>
          <w:rtl/>
        </w:rPr>
        <w:t xml:space="preserve"> </w:t>
      </w:r>
    </w:p>
    <w:p w14:paraId="3F9CDED4" w14:textId="77777777" w:rsidR="005F6337" w:rsidRDefault="005F6337">
      <w:pPr>
        <w:spacing w:line="240" w:lineRule="auto"/>
        <w:ind w:left="720" w:hanging="720"/>
        <w:rPr>
          <w:rFonts w:hint="cs"/>
          <w:sz w:val="24"/>
          <w:rtl/>
        </w:rPr>
      </w:pPr>
      <w:r>
        <w:rPr>
          <w:rFonts w:hint="cs"/>
          <w:sz w:val="24"/>
          <w:rtl/>
        </w:rPr>
        <w:t>5.</w:t>
      </w:r>
      <w:r>
        <w:rPr>
          <w:rFonts w:hint="cs"/>
          <w:sz w:val="24"/>
          <w:rtl/>
        </w:rPr>
        <w:tab/>
        <w:t xml:space="preserve">בנוסף לאמרה ת/1  מסר  המתלונן אמרה נוספת בפני החוקרים משה כהן ופנחס אילן  (קלטת ת/2/א + תמליל ת/2/ב). אמרה זו  הוקלטה מפיו בבית המעצר.  ניכר ממהלך הדברים שלא היה מעוניין להעלות בפני חוקריו את  האירוע. בקצב איטי  הוא מעלה דברים מפלילים נגד הנאשם  ומתאר בצמצום מעשים מיניים שעשה בו (עמ' 9 ש' 13; עמ' 12 ש' 23 לתמליל). תיאור מצומצם זה משתלב בתיאור  המפורט  שבאמרה ת/1.     </w:t>
      </w:r>
    </w:p>
    <w:p w14:paraId="001D4143" w14:textId="77777777" w:rsidR="005F6337" w:rsidRDefault="00E74DE2">
      <w:pPr>
        <w:spacing w:line="240" w:lineRule="auto"/>
        <w:ind w:left="720" w:hanging="720"/>
        <w:rPr>
          <w:rFonts w:hint="cs"/>
          <w:sz w:val="24"/>
          <w:rtl/>
        </w:rPr>
      </w:pPr>
      <w:r>
        <w:rPr>
          <w:rFonts w:hint="cs"/>
          <w:sz w:val="24"/>
          <w:rtl/>
        </w:rPr>
        <w:t xml:space="preserve"> </w:t>
      </w:r>
    </w:p>
    <w:p w14:paraId="7D5D5D6F" w14:textId="77777777" w:rsidR="005F6337" w:rsidRDefault="005F6337">
      <w:pPr>
        <w:spacing w:line="240" w:lineRule="auto"/>
        <w:ind w:left="720" w:hanging="720"/>
        <w:rPr>
          <w:rFonts w:hint="cs"/>
          <w:sz w:val="24"/>
          <w:rtl/>
        </w:rPr>
      </w:pPr>
      <w:r>
        <w:rPr>
          <w:rFonts w:hint="cs"/>
          <w:sz w:val="24"/>
          <w:rtl/>
        </w:rPr>
        <w:t>6.</w:t>
      </w:r>
      <w:r>
        <w:rPr>
          <w:rFonts w:hint="cs"/>
          <w:sz w:val="24"/>
          <w:rtl/>
        </w:rPr>
        <w:tab/>
        <w:t xml:space="preserve">מכיוון  שהמתלונן סרב  לענות על  שאלותיו של  בא כוח  התביעה, וסתר את אמרותיו בעת עדותו  בפנינו, הכרזנו עליו כעל עד עוין  והתרנו את חקירתו הנגדית על ידי  התובע, עו"ד קורצברג. אמרותיו  במשטרה הוגשו כראיה לפי </w:t>
      </w:r>
      <w:hyperlink r:id="rId20" w:history="1">
        <w:r w:rsidR="00D93D12" w:rsidRPr="00D93D12">
          <w:rPr>
            <w:color w:val="0000FF"/>
            <w:sz w:val="24"/>
            <w:u w:val="single"/>
            <w:rtl/>
          </w:rPr>
          <w:t>סעיף 10א (א)</w:t>
        </w:r>
      </w:hyperlink>
      <w:r>
        <w:rPr>
          <w:rFonts w:hint="cs"/>
          <w:sz w:val="24"/>
          <w:rtl/>
        </w:rPr>
        <w:t xml:space="preserve"> ל</w:t>
      </w:r>
      <w:hyperlink r:id="rId21" w:history="1">
        <w:r w:rsidR="00E74DE2" w:rsidRPr="00E74DE2">
          <w:rPr>
            <w:rStyle w:val="Hyperlink"/>
            <w:rFonts w:hint="eastAsia"/>
            <w:sz w:val="24"/>
            <w:rtl/>
          </w:rPr>
          <w:t>פקודת</w:t>
        </w:r>
        <w:r w:rsidR="00E74DE2" w:rsidRPr="00E74DE2">
          <w:rPr>
            <w:rStyle w:val="Hyperlink"/>
            <w:sz w:val="24"/>
            <w:rtl/>
          </w:rPr>
          <w:t xml:space="preserve"> הראיות</w:t>
        </w:r>
      </w:hyperlink>
      <w:r>
        <w:rPr>
          <w:rFonts w:hint="cs"/>
          <w:sz w:val="24"/>
          <w:rtl/>
        </w:rPr>
        <w:t xml:space="preserve"> [נוסח חדש], (עמ’  9 לפרוטוקול, ש’ 9). שלושת התנאים הקבועים בסעיף זה התקיימו במלואם:</w:t>
      </w:r>
      <w:r>
        <w:rPr>
          <w:color w:val="FFFFFF"/>
          <w:sz w:val="4"/>
          <w:szCs w:val="4"/>
          <w:rtl/>
        </w:rPr>
        <w:t>ו</w:t>
      </w:r>
      <w:r>
        <w:rPr>
          <w:rFonts w:hint="cs"/>
          <w:color w:val="FFFFFF"/>
          <w:sz w:val="4"/>
          <w:szCs w:val="4"/>
          <w:rtl/>
        </w:rPr>
        <w:t xml:space="preserve"> </w:t>
      </w:r>
    </w:p>
    <w:p w14:paraId="01D67114" w14:textId="77777777" w:rsidR="005F6337" w:rsidRDefault="00E74DE2">
      <w:pPr>
        <w:spacing w:line="240" w:lineRule="auto"/>
        <w:ind w:left="720" w:hanging="720"/>
        <w:rPr>
          <w:rFonts w:hint="cs"/>
          <w:sz w:val="24"/>
          <w:rtl/>
        </w:rPr>
      </w:pPr>
      <w:r>
        <w:rPr>
          <w:rFonts w:hint="cs"/>
          <w:sz w:val="24"/>
          <w:rtl/>
        </w:rPr>
        <w:t xml:space="preserve"> </w:t>
      </w:r>
    </w:p>
    <w:p w14:paraId="1ABCB09C" w14:textId="77777777" w:rsidR="005F6337" w:rsidRDefault="005F6337">
      <w:pPr>
        <w:spacing w:line="240" w:lineRule="auto"/>
        <w:ind w:left="1440" w:hanging="720"/>
        <w:rPr>
          <w:rFonts w:hint="cs"/>
          <w:sz w:val="24"/>
          <w:rtl/>
        </w:rPr>
      </w:pPr>
      <w:r>
        <w:rPr>
          <w:rFonts w:hint="cs"/>
          <w:sz w:val="24"/>
          <w:rtl/>
        </w:rPr>
        <w:t>א.</w:t>
      </w:r>
      <w:r>
        <w:rPr>
          <w:rFonts w:hint="cs"/>
          <w:sz w:val="24"/>
          <w:rtl/>
        </w:rPr>
        <w:tab/>
        <w:t>מתן ההודעות הוכח במסגרת הדיון שנערך בפנינו. המתלונן  הכחיש את  מתן האמרות, ולכן הן הוגשו לאחר שבא כוח התביעה הבהיר כי העדות אינה מתיישבת עם תוכן האמרה. נעשה ניסיון לרענן את זכרונו והוא הוכרז כעד עוין  (עמ' 13 ש’ 8 לפרוטוקול). אבהיר ואומר כי המתלונן חזר בו מהודאתו לפיה הוא  הדובר בקלטת, ועל כן העידה התביעה את החוקר אשר גבה את האמרה מפיו של המתלונן (רס"ר כהן במשטרה ורס"ר איטח בבית המעצר). משמעות הדיבור "אמרה" היא התבטאות של אדם, בכל מקום בארץ ובכל זמן, ובלבד שתועלה על "הכתב", אם בידי האומר ואם על ידי אחר מפיו. דרישת הכתב איננה מבטאת דרישה לרישום האמרה על ידי מוסר האמרה דווקא, ואין היא חייבת לשאת את חתימתו. האמרה יכולה להירשם על ידי אחר, בידיעתו או שלא בידיעתו של העד, בין שהוא מודע לעובדת הרישום ובין שאינו מודע לה. בגדרה של אמרה באה גם הקלטה, אשר מתבצעת ללא הסכמתו וידיעתו של העד (</w:t>
      </w:r>
      <w:hyperlink r:id="rId22" w:history="1">
        <w:r w:rsidR="00E74DE2" w:rsidRPr="00E74DE2">
          <w:rPr>
            <w:rStyle w:val="Hyperlink"/>
            <w:rFonts w:hint="eastAsia"/>
            <w:sz w:val="24"/>
            <w:rtl/>
          </w:rPr>
          <w:t>ע</w:t>
        </w:r>
        <w:r w:rsidR="00E74DE2" w:rsidRPr="00E74DE2">
          <w:rPr>
            <w:rStyle w:val="Hyperlink"/>
            <w:sz w:val="24"/>
            <w:rtl/>
          </w:rPr>
          <w:t>"פ 141/84 מ"י נ' טובול, פ"ד ל"ט</w:t>
        </w:r>
      </w:hyperlink>
      <w:r>
        <w:rPr>
          <w:rFonts w:hint="cs"/>
          <w:sz w:val="24"/>
          <w:rtl/>
        </w:rPr>
        <w:t xml:space="preserve"> (3), 596).</w:t>
      </w:r>
    </w:p>
    <w:p w14:paraId="53D007D2" w14:textId="77777777" w:rsidR="005F6337" w:rsidRDefault="00E74DE2">
      <w:pPr>
        <w:spacing w:line="240" w:lineRule="auto"/>
        <w:ind w:left="1440" w:hanging="720"/>
        <w:rPr>
          <w:rFonts w:hint="cs"/>
          <w:sz w:val="24"/>
          <w:rtl/>
        </w:rPr>
      </w:pPr>
      <w:r>
        <w:rPr>
          <w:rFonts w:hint="cs"/>
          <w:sz w:val="24"/>
          <w:rtl/>
        </w:rPr>
        <w:t xml:space="preserve"> </w:t>
      </w:r>
    </w:p>
    <w:p w14:paraId="6EC8E824" w14:textId="77777777" w:rsidR="005F6337" w:rsidRDefault="005F6337">
      <w:pPr>
        <w:spacing w:line="240" w:lineRule="auto"/>
        <w:ind w:left="1440" w:hanging="720"/>
        <w:rPr>
          <w:rFonts w:hint="cs"/>
          <w:sz w:val="24"/>
          <w:rtl/>
        </w:rPr>
      </w:pPr>
      <w:r>
        <w:rPr>
          <w:rFonts w:hint="cs"/>
          <w:sz w:val="24"/>
          <w:rtl/>
        </w:rPr>
        <w:t>ב.</w:t>
      </w:r>
      <w:r>
        <w:rPr>
          <w:rFonts w:hint="cs"/>
          <w:sz w:val="24"/>
          <w:rtl/>
        </w:rPr>
        <w:tab/>
        <w:t>המתלונן (נותן ההודעות) הוא עד במשפט ונחקר על ידי באי כוח הצדדים; די בנכחותו על דוכן העדים ובהתנהגותו שם, כדי לצאת ידי דרישת התנאי ש"היתה לצדדים הזדמנות לחוקרו", וכך הוא הדין כאשר העד משיב במלל חסר משמעות ואף כאשר הוא מסרב להשיב (</w:t>
      </w:r>
      <w:hyperlink r:id="rId23" w:history="1">
        <w:r w:rsidR="00E74DE2" w:rsidRPr="00E74DE2">
          <w:rPr>
            <w:rStyle w:val="Hyperlink"/>
            <w:rFonts w:hint="eastAsia"/>
            <w:sz w:val="24"/>
            <w:rtl/>
          </w:rPr>
          <w:t>דנ</w:t>
        </w:r>
        <w:r w:rsidR="00E74DE2" w:rsidRPr="00E74DE2">
          <w:rPr>
            <w:rStyle w:val="Hyperlink"/>
            <w:sz w:val="24"/>
            <w:rtl/>
          </w:rPr>
          <w:t>"פ 4390/91, מ"י נ' חאג' יחיא, פ"ד מ"ז</w:t>
        </w:r>
      </w:hyperlink>
      <w:r>
        <w:rPr>
          <w:rFonts w:hint="cs"/>
          <w:sz w:val="24"/>
          <w:rtl/>
        </w:rPr>
        <w:t xml:space="preserve"> (3) 661).  </w:t>
      </w:r>
    </w:p>
    <w:p w14:paraId="2C7E99A7" w14:textId="77777777" w:rsidR="005F6337" w:rsidRDefault="00E74DE2">
      <w:pPr>
        <w:spacing w:line="240" w:lineRule="auto"/>
        <w:ind w:left="1440" w:hanging="720"/>
        <w:rPr>
          <w:rFonts w:hint="cs"/>
          <w:sz w:val="24"/>
          <w:rtl/>
        </w:rPr>
      </w:pPr>
      <w:r>
        <w:rPr>
          <w:rFonts w:hint="cs"/>
          <w:sz w:val="24"/>
          <w:rtl/>
        </w:rPr>
        <w:t xml:space="preserve"> </w:t>
      </w:r>
    </w:p>
    <w:p w14:paraId="0FD956CA" w14:textId="77777777" w:rsidR="005F6337" w:rsidRDefault="005F6337">
      <w:pPr>
        <w:spacing w:line="240" w:lineRule="auto"/>
        <w:ind w:left="1440" w:hanging="720"/>
        <w:rPr>
          <w:rFonts w:hint="cs"/>
          <w:sz w:val="24"/>
          <w:rtl/>
        </w:rPr>
      </w:pPr>
      <w:r>
        <w:rPr>
          <w:rFonts w:hint="cs"/>
          <w:sz w:val="24"/>
          <w:rtl/>
        </w:rPr>
        <w:t>ג.</w:t>
      </w:r>
      <w:r>
        <w:rPr>
          <w:rFonts w:hint="cs"/>
          <w:sz w:val="24"/>
          <w:rtl/>
        </w:rPr>
        <w:tab/>
        <w:t>העדות שנתן המתלונן בבית המשפט שונה מהאמרות בפרטים מהותיים; מתן תשובות לא עניניות או תשובות מתחמקות או סירוב להשיב - די בהן למלא את הדרישה (</w:t>
      </w:r>
      <w:hyperlink r:id="rId24" w:history="1">
        <w:r w:rsidR="00E74DE2" w:rsidRPr="00E74DE2">
          <w:rPr>
            <w:rStyle w:val="Hyperlink"/>
            <w:rFonts w:hint="eastAsia"/>
            <w:sz w:val="24"/>
            <w:rtl/>
          </w:rPr>
          <w:t>ע</w:t>
        </w:r>
        <w:r w:rsidR="00E74DE2" w:rsidRPr="00E74DE2">
          <w:rPr>
            <w:rStyle w:val="Hyperlink"/>
            <w:sz w:val="24"/>
            <w:rtl/>
          </w:rPr>
          <w:t>"פ 231/92 ,אבו סאלח נ' מ"י, פ"ד מ"ז</w:t>
        </w:r>
      </w:hyperlink>
      <w:r>
        <w:rPr>
          <w:rFonts w:hint="cs"/>
          <w:sz w:val="24"/>
          <w:rtl/>
        </w:rPr>
        <w:t>(2) 736). אין צורך בקיום "סתירה" דווקא בין  העדות לאמרה (</w:t>
      </w:r>
      <w:hyperlink r:id="rId25" w:history="1">
        <w:r w:rsidR="00E74DE2" w:rsidRPr="00E74DE2">
          <w:rPr>
            <w:rStyle w:val="Hyperlink"/>
            <w:rFonts w:hint="eastAsia"/>
            <w:sz w:val="24"/>
            <w:rtl/>
          </w:rPr>
          <w:t>ע</w:t>
        </w:r>
        <w:r w:rsidR="00E74DE2" w:rsidRPr="00E74DE2">
          <w:rPr>
            <w:rStyle w:val="Hyperlink"/>
            <w:sz w:val="24"/>
            <w:rtl/>
          </w:rPr>
          <w:t>"פ 365/81 אושרי נ' מ"י, פ"ד ל"ח</w:t>
        </w:r>
      </w:hyperlink>
      <w:r>
        <w:rPr>
          <w:rFonts w:hint="cs"/>
          <w:sz w:val="24"/>
          <w:rtl/>
        </w:rPr>
        <w:t xml:space="preserve"> (1) 113). וכאשר התקבלה אמרה של עד, והועדפה על פני העדות בבית המשפט, יש להתייחס לאמרה לכל דבר ועניין, כאל עדות. </w:t>
      </w:r>
    </w:p>
    <w:p w14:paraId="1FE342ED" w14:textId="77777777" w:rsidR="005F6337" w:rsidRDefault="00E74DE2">
      <w:pPr>
        <w:spacing w:line="240" w:lineRule="auto"/>
        <w:ind w:left="1440" w:hanging="720"/>
        <w:rPr>
          <w:rFonts w:hint="cs"/>
          <w:sz w:val="24"/>
          <w:rtl/>
        </w:rPr>
      </w:pPr>
      <w:r>
        <w:rPr>
          <w:rFonts w:hint="cs"/>
          <w:sz w:val="24"/>
          <w:rtl/>
        </w:rPr>
        <w:t xml:space="preserve"> </w:t>
      </w:r>
    </w:p>
    <w:p w14:paraId="6C8B32C5" w14:textId="77777777" w:rsidR="005F6337" w:rsidRDefault="005F6337">
      <w:pPr>
        <w:spacing w:line="240" w:lineRule="auto"/>
        <w:ind w:left="720" w:hanging="720"/>
        <w:rPr>
          <w:rFonts w:hint="cs"/>
          <w:sz w:val="24"/>
          <w:rtl/>
        </w:rPr>
      </w:pPr>
      <w:r>
        <w:rPr>
          <w:rFonts w:hint="cs"/>
          <w:sz w:val="24"/>
          <w:rtl/>
        </w:rPr>
        <w:t>7.</w:t>
      </w:r>
      <w:r>
        <w:rPr>
          <w:rFonts w:hint="cs"/>
          <w:sz w:val="24"/>
          <w:rtl/>
        </w:rPr>
        <w:tab/>
        <w:t>המתלונן הרבה להשיב  על  השאלות  שנשאל, בתשובה  אחידה:</w:t>
      </w:r>
      <w:r>
        <w:rPr>
          <w:color w:val="FFFFFF"/>
          <w:sz w:val="4"/>
          <w:szCs w:val="4"/>
          <w:rtl/>
        </w:rPr>
        <w:t>נ</w:t>
      </w:r>
      <w:r>
        <w:rPr>
          <w:rFonts w:hint="cs"/>
          <w:color w:val="FFFFFF"/>
          <w:sz w:val="4"/>
          <w:szCs w:val="4"/>
          <w:rtl/>
        </w:rPr>
        <w:t xml:space="preserve"> </w:t>
      </w:r>
      <w:r>
        <w:rPr>
          <w:rFonts w:hint="cs"/>
          <w:sz w:val="24"/>
          <w:rtl/>
        </w:rPr>
        <w:t>"אינני זוכר".  ברור לנו שהמתלונן איננו טוען, באמצעות תשובה זו,  שהאירועים מושא  השאלות  לא קרו כלל. כוונתו לומר שאיננו מוכן לענות על שאלות אלה. כלומר:</w:t>
      </w:r>
      <w:r>
        <w:rPr>
          <w:color w:val="FFFFFF"/>
          <w:sz w:val="4"/>
          <w:szCs w:val="4"/>
          <w:rtl/>
        </w:rPr>
        <w:t>ב</w:t>
      </w:r>
      <w:r>
        <w:rPr>
          <w:rFonts w:hint="cs"/>
          <w:color w:val="FFFFFF"/>
          <w:sz w:val="4"/>
          <w:szCs w:val="4"/>
          <w:rtl/>
        </w:rPr>
        <w:t xml:space="preserve"> </w:t>
      </w:r>
      <w:r>
        <w:rPr>
          <w:rFonts w:hint="cs"/>
          <w:sz w:val="24"/>
          <w:rtl/>
        </w:rPr>
        <w:t xml:space="preserve">הוא עונה אמנם, בפועל,  על  השאלות שנשאל, אולם איננו עונה  תשובות  תכליתיות  ומהותיות לפי השאלות. אני דוחה כל ניסיון מצד המתלונן להעמיד פנים שבאמת איננו זוכר מה היו המעשים הפליליים שנעשו בו. אני קובע שהוא מסרב לענות  תשובות שעלולות, במהלך העניינים הרגיל בדיון זה, להפליל את  הנאשם. הדבר נלמד  בבירור מהעמדות החד משמעיות שנקט בהן באמרותיו במשטרה נגד הנאשם, בעוד שבעומדו בבית  המשפט  הוא משנה  כיוון  ואיננו מוכן לחזור על טיעוניו המפלילים.  </w:t>
      </w:r>
    </w:p>
    <w:p w14:paraId="3327A402" w14:textId="77777777" w:rsidR="005F6337" w:rsidRDefault="00E74DE2">
      <w:pPr>
        <w:spacing w:line="240" w:lineRule="auto"/>
        <w:ind w:left="720" w:hanging="720"/>
        <w:rPr>
          <w:rFonts w:hint="cs"/>
          <w:sz w:val="24"/>
          <w:rtl/>
        </w:rPr>
      </w:pPr>
      <w:r>
        <w:rPr>
          <w:rFonts w:hint="cs"/>
          <w:sz w:val="24"/>
          <w:rtl/>
        </w:rPr>
        <w:t xml:space="preserve"> </w:t>
      </w:r>
    </w:p>
    <w:p w14:paraId="12CB9EB2" w14:textId="77777777" w:rsidR="005F6337" w:rsidRDefault="005F6337">
      <w:pPr>
        <w:spacing w:line="240" w:lineRule="auto"/>
        <w:ind w:left="720" w:hanging="720"/>
        <w:rPr>
          <w:rFonts w:hint="cs"/>
          <w:sz w:val="24"/>
          <w:rtl/>
        </w:rPr>
      </w:pPr>
      <w:r>
        <w:rPr>
          <w:rFonts w:hint="cs"/>
          <w:sz w:val="24"/>
          <w:rtl/>
        </w:rPr>
        <w:t>8.</w:t>
      </w:r>
      <w:r>
        <w:rPr>
          <w:rFonts w:hint="cs"/>
          <w:sz w:val="24"/>
          <w:rtl/>
        </w:rPr>
        <w:tab/>
        <w:t>הוא העיד בפנינו בלשון  עממית  וציורית ,  ולא חסך מעצמו אף כינוי גנאי אחד. הוא מעיד על עצמו  כעל מי ש"דפוק בראש" (עמ’  19 ש’ 18); "משתמש בסמים, רמאי, פושע, הכל ביחד" (עמ’  19, ש’    21); "אני כבר אמרתי:</w:t>
      </w:r>
      <w:r>
        <w:rPr>
          <w:color w:val="FFFFFF"/>
          <w:sz w:val="4"/>
          <w:szCs w:val="4"/>
          <w:rtl/>
        </w:rPr>
        <w:t>ו</w:t>
      </w:r>
      <w:r>
        <w:rPr>
          <w:rFonts w:hint="cs"/>
          <w:color w:val="FFFFFF"/>
          <w:sz w:val="4"/>
          <w:szCs w:val="4"/>
          <w:rtl/>
        </w:rPr>
        <w:t xml:space="preserve"> </w:t>
      </w:r>
      <w:r>
        <w:rPr>
          <w:rFonts w:hint="cs"/>
          <w:sz w:val="24"/>
          <w:rtl/>
        </w:rPr>
        <w:t>אני גנב, שקרן, אלים, מעשן סמים, סוחר סמים, הכל. וכשהוא נשאל מדוע אמר דברים כאלה על עצמו הוא עונה:</w:t>
      </w:r>
      <w:r>
        <w:rPr>
          <w:color w:val="FFFFFF"/>
          <w:sz w:val="4"/>
          <w:szCs w:val="4"/>
          <w:rtl/>
        </w:rPr>
        <w:t>נ</w:t>
      </w:r>
      <w:r>
        <w:rPr>
          <w:rFonts w:hint="cs"/>
          <w:color w:val="FFFFFF"/>
          <w:sz w:val="4"/>
          <w:szCs w:val="4"/>
          <w:rtl/>
        </w:rPr>
        <w:t xml:space="preserve"> </w:t>
      </w:r>
      <w:r>
        <w:rPr>
          <w:rFonts w:hint="cs"/>
          <w:sz w:val="24"/>
          <w:rtl/>
        </w:rPr>
        <w:t xml:space="preserve">"אני אוהב </w:t>
      </w:r>
      <w:r>
        <w:rPr>
          <w:rFonts w:hint="cs"/>
          <w:sz w:val="24"/>
          <w:rtl/>
        </w:rPr>
        <w:lastRenderedPageBreak/>
        <w:t>לאסוף את כל הסטיגמות השליליות לאסוף אותן אלי", וכשנשאל מדוע אמר שהוא גנב ומה הוא גנב, תשובתו היא:</w:t>
      </w:r>
      <w:r>
        <w:rPr>
          <w:color w:val="FFFFFF"/>
          <w:sz w:val="4"/>
          <w:szCs w:val="4"/>
          <w:rtl/>
        </w:rPr>
        <w:t>ב</w:t>
      </w:r>
      <w:r>
        <w:rPr>
          <w:rFonts w:hint="cs"/>
          <w:color w:val="FFFFFF"/>
          <w:sz w:val="4"/>
          <w:szCs w:val="4"/>
          <w:rtl/>
        </w:rPr>
        <w:t xml:space="preserve"> </w:t>
      </w:r>
      <w:r>
        <w:rPr>
          <w:rFonts w:hint="cs"/>
          <w:sz w:val="24"/>
          <w:rtl/>
        </w:rPr>
        <w:t>"כל מה שזז. אם הייתי רואה אותך בחוץ, הייתי גונב גם אותך" (עמ’ 21, ש’ 18 עד 20). לדעתו כולם שקרנים, וכל אחד משקר באיזו שהיא דרך. "אני בטוח משקר" הוא אומר לנו  (עמ' 21, ש’ 15-14). "עצם זה שאני אומר שכל בן אדם משקר, גם אני שיקרתי. זה לא משנה אם שיקרתי במשטרה או אצל סבתא עליזה בחדרה" (עמ' 24, ש’ 21 - 20). אך באותו הקשר הוא מעיד כי לא שיקר במקרה זה, והוא לא משקר בבית המשפט (עמ' 25 ש’ 7-1). לזכותו ייאמר כי בגזרה צרה מאוד ענה לשאלותינו תשובות ענייניות:</w:t>
      </w:r>
      <w:r>
        <w:rPr>
          <w:color w:val="FFFFFF"/>
          <w:sz w:val="4"/>
          <w:szCs w:val="4"/>
          <w:rtl/>
        </w:rPr>
        <w:t>ו</w:t>
      </w:r>
      <w:r>
        <w:rPr>
          <w:rFonts w:hint="cs"/>
          <w:color w:val="FFFFFF"/>
          <w:sz w:val="4"/>
          <w:szCs w:val="4"/>
          <w:rtl/>
        </w:rPr>
        <w:t xml:space="preserve"> </w:t>
      </w:r>
      <w:r>
        <w:rPr>
          <w:rFonts w:hint="cs"/>
          <w:sz w:val="24"/>
          <w:rtl/>
        </w:rPr>
        <w:t xml:space="preserve">בזמן האירוע היה  עצור חודשים אחדים בבית המעצר אבו - כביר על החזקת סמים (עמ' 6, ש’ 10-20). בסיום המשפט בעבירת הסמים נשפט למאסר של שנתיים אותו ריצה בכלא תל מונד. בבית המעצר ישב  עם הנאשם עדנן באותו התא, ואחרי שהתלונן עליו הוציאו אותו מהתא (עמ' 26, ש’ 22-20). </w:t>
      </w:r>
    </w:p>
    <w:p w14:paraId="2893CE75" w14:textId="77777777" w:rsidR="005F6337" w:rsidRDefault="005F6337">
      <w:pPr>
        <w:spacing w:line="240" w:lineRule="auto"/>
        <w:ind w:left="720" w:hanging="720"/>
        <w:rPr>
          <w:rFonts w:hint="cs"/>
          <w:sz w:val="24"/>
          <w:rtl/>
        </w:rPr>
      </w:pPr>
      <w:r>
        <w:rPr>
          <w:rFonts w:hint="cs"/>
          <w:sz w:val="24"/>
          <w:rtl/>
        </w:rPr>
        <w:t>9.</w:t>
      </w:r>
      <w:r>
        <w:rPr>
          <w:rFonts w:hint="cs"/>
          <w:sz w:val="24"/>
          <w:rtl/>
        </w:rPr>
        <w:tab/>
        <w:t xml:space="preserve">אין לי ספק בכך  שהמתלונן התכוון להביע  בפני הנאשם, בצורה בה  העיד,  את  סירובו להעיד נגדו ולהפליל אותו בפנינו. אינני יודע  מדוע נקט בדרך זו, והדבר  גם איננו חשוב. הוראות  החוק מאפשרות לנו להעדיף את  הדברים שאמר  המתלונן לחוקריו במשטרה, על פני הגרסה  המתעתעת  והקשקשנית שהביא בפנינו, וכך אני מציע שנעשה.  </w:t>
      </w:r>
    </w:p>
    <w:p w14:paraId="49643665" w14:textId="77777777" w:rsidR="005F6337" w:rsidRDefault="00E74DE2">
      <w:pPr>
        <w:spacing w:line="240" w:lineRule="auto"/>
        <w:ind w:left="720" w:hanging="720"/>
        <w:rPr>
          <w:rFonts w:hint="cs"/>
          <w:sz w:val="24"/>
          <w:rtl/>
        </w:rPr>
      </w:pPr>
      <w:r>
        <w:rPr>
          <w:rFonts w:hint="cs"/>
          <w:sz w:val="24"/>
          <w:rtl/>
        </w:rPr>
        <w:t xml:space="preserve"> </w:t>
      </w:r>
    </w:p>
    <w:p w14:paraId="24879D01" w14:textId="77777777" w:rsidR="005F6337" w:rsidRDefault="005F6337">
      <w:pPr>
        <w:pStyle w:val="Heading4"/>
        <w:spacing w:line="240" w:lineRule="auto"/>
        <w:jc w:val="left"/>
        <w:rPr>
          <w:rFonts w:cs="David" w:hint="cs"/>
          <w:sz w:val="24"/>
          <w:szCs w:val="24"/>
          <w:rtl/>
        </w:rPr>
      </w:pPr>
      <w:r>
        <w:rPr>
          <w:rFonts w:cs="David" w:hint="cs"/>
          <w:sz w:val="24"/>
          <w:szCs w:val="24"/>
          <w:rtl/>
        </w:rPr>
        <w:t>היבטים עובדתיים</w:t>
      </w:r>
    </w:p>
    <w:p w14:paraId="019F00D1" w14:textId="77777777" w:rsidR="005F6337" w:rsidRDefault="00E74DE2">
      <w:pPr>
        <w:spacing w:line="240" w:lineRule="auto"/>
        <w:rPr>
          <w:rFonts w:hint="cs"/>
          <w:sz w:val="24"/>
          <w:rtl/>
        </w:rPr>
      </w:pPr>
      <w:r>
        <w:rPr>
          <w:rFonts w:hint="cs"/>
          <w:sz w:val="24"/>
          <w:rtl/>
        </w:rPr>
        <w:t xml:space="preserve"> </w:t>
      </w:r>
    </w:p>
    <w:p w14:paraId="4BEEF00C" w14:textId="77777777" w:rsidR="005F6337" w:rsidRDefault="005F6337">
      <w:pPr>
        <w:spacing w:line="240" w:lineRule="auto"/>
        <w:ind w:left="720" w:hanging="720"/>
        <w:rPr>
          <w:rFonts w:hint="cs"/>
          <w:sz w:val="24"/>
          <w:rtl/>
        </w:rPr>
      </w:pPr>
      <w:r>
        <w:rPr>
          <w:rFonts w:hint="cs"/>
          <w:sz w:val="24"/>
          <w:rtl/>
        </w:rPr>
        <w:t>10.</w:t>
      </w:r>
      <w:r>
        <w:rPr>
          <w:rFonts w:hint="cs"/>
          <w:sz w:val="24"/>
          <w:rtl/>
        </w:rPr>
        <w:tab/>
        <w:t xml:space="preserve">כאמור, אשרנו את הגשת  אמרתו של  המתלונן במשטרה (ת/1) לפי </w:t>
      </w:r>
      <w:hyperlink r:id="rId26" w:history="1">
        <w:r w:rsidR="00D93D12" w:rsidRPr="00D93D12">
          <w:rPr>
            <w:color w:val="0000FF"/>
            <w:sz w:val="24"/>
            <w:u w:val="single"/>
            <w:rtl/>
          </w:rPr>
          <w:t>סעיף 10א (א)</w:t>
        </w:r>
      </w:hyperlink>
      <w:r>
        <w:rPr>
          <w:rFonts w:hint="cs"/>
          <w:sz w:val="24"/>
          <w:rtl/>
        </w:rPr>
        <w:t xml:space="preserve"> ל</w:t>
      </w:r>
      <w:hyperlink r:id="rId27" w:history="1">
        <w:r w:rsidR="00E74DE2" w:rsidRPr="00E74DE2">
          <w:rPr>
            <w:rStyle w:val="Hyperlink"/>
            <w:rFonts w:hint="eastAsia"/>
            <w:sz w:val="24"/>
            <w:rtl/>
          </w:rPr>
          <w:t>פקודת</w:t>
        </w:r>
        <w:r w:rsidR="00E74DE2" w:rsidRPr="00E74DE2">
          <w:rPr>
            <w:rStyle w:val="Hyperlink"/>
            <w:sz w:val="24"/>
            <w:rtl/>
          </w:rPr>
          <w:t xml:space="preserve"> הראיות</w:t>
        </w:r>
      </w:hyperlink>
      <w:r>
        <w:rPr>
          <w:rFonts w:hint="cs"/>
          <w:sz w:val="24"/>
          <w:rtl/>
        </w:rPr>
        <w:t xml:space="preserve"> [נוסח חדש], ואני מציע שנקבע  את הממצאים העובדתיים על פי האמור בה.   באמרה זו מתאר המתלונן במפורט  את  אשר קרה ביום האירוע, ומן  הנכון הוא שארחיב בפרטים. המתלונן רב עם הנאשם ואחר כך הלך לישון. מאוחר יותר התעורר המתלונן כשהוא רגוע,  ובקש לעשות סולחה. הנאשם קרא לו שיעלה למיטתו ושם הבהיר לו כי כשמישהו פוגע בו  -  הוא  (הנאשם) לא מוותר בסליחה (עמ’  1  לאמרה  ש’ 4-5). תוך כדי שיחה, כאשר שקלו השניים כיצד לפתור את הבעיה, הפתיע הנאשם את המתלונן  בדוקרן וסכין גילוח  שהוציא מהצד של המכנס שלו. הנאשם שם את רגלו  שלו על  רגלו של המתלונן, וכשהמתלונן ניסה לנער אותו מעליו - ביקש הנאשם כי המתלונן יעשה לו ביד (עמוד 1 לעדות שורות 10-11). המתלונן סירב, והנאשם איים עליו כי אם לא ישמע בקולו, הוא  (הנאשם) יצטרך לדבר על זה עם מישהו. המתלונן מבהיר במשטרה כי בדברים אלה שאמר הנאשם, הוא התכוון להבהיר למתלונן שאם לא ישמע בקולו, הוא יצטרך לצעוק לעזרה של מישהו. אם לא די בכך איים  הנאשם  על המתלונן שאם לא יעשה את רצונו הוא יחתוך לו את הגרון  "ישר עם סכין גילוח". </w:t>
      </w:r>
    </w:p>
    <w:p w14:paraId="287BD6F3" w14:textId="77777777" w:rsidR="005F6337" w:rsidRDefault="00E74DE2">
      <w:pPr>
        <w:spacing w:line="240" w:lineRule="auto"/>
        <w:ind w:left="720" w:hanging="720"/>
        <w:rPr>
          <w:rFonts w:hint="cs"/>
          <w:sz w:val="24"/>
          <w:rtl/>
        </w:rPr>
      </w:pPr>
      <w:r>
        <w:rPr>
          <w:rFonts w:hint="cs"/>
          <w:sz w:val="24"/>
          <w:rtl/>
        </w:rPr>
        <w:t xml:space="preserve"> </w:t>
      </w:r>
    </w:p>
    <w:p w14:paraId="31F1FE5F" w14:textId="77777777" w:rsidR="005F6337" w:rsidRDefault="005F6337">
      <w:pPr>
        <w:spacing w:line="240" w:lineRule="auto"/>
        <w:ind w:left="720" w:hanging="720"/>
        <w:rPr>
          <w:rFonts w:hint="cs"/>
          <w:sz w:val="24"/>
          <w:rtl/>
        </w:rPr>
      </w:pPr>
      <w:r>
        <w:rPr>
          <w:rFonts w:hint="cs"/>
          <w:sz w:val="24"/>
          <w:rtl/>
        </w:rPr>
        <w:t>11.</w:t>
      </w:r>
      <w:r>
        <w:rPr>
          <w:rFonts w:hint="cs"/>
          <w:sz w:val="24"/>
          <w:rtl/>
        </w:rPr>
        <w:tab/>
        <w:t>המתלונן  היה מפוחד, והנאשם הכניס את  ידו לתוך המכנסיים של המתלונן, והתחיל לגעת באיבר מינו. כדברי המתלונן:</w:t>
      </w:r>
      <w:r>
        <w:rPr>
          <w:color w:val="FFFFFF"/>
          <w:sz w:val="4"/>
          <w:szCs w:val="4"/>
          <w:rtl/>
        </w:rPr>
        <w:t>נ</w:t>
      </w:r>
      <w:r>
        <w:rPr>
          <w:rFonts w:hint="cs"/>
          <w:color w:val="FFFFFF"/>
          <w:sz w:val="4"/>
          <w:szCs w:val="4"/>
          <w:rtl/>
        </w:rPr>
        <w:t xml:space="preserve"> </w:t>
      </w:r>
      <w:r>
        <w:rPr>
          <w:rFonts w:hint="cs"/>
          <w:sz w:val="24"/>
          <w:rtl/>
        </w:rPr>
        <w:t xml:space="preserve">"לשפשף אותו ולהעמיד לי אותו" (ת/1 עמ’  1, ש’ 16). בשלב הבא, דרש הנאשם מהמתלונן שגם הוא ישפשף את אבר מינו (של הנאשם),  ויספר לו סיפורים על ניסיונו המיני עם נשים. לאחר כשעה וחצי  "עדנן  (הנאשם) גמר", ואמר למתלונן כי ייכנס להתקלח, בעוד שהנאשם יעמוד כאילו לבשל. בהמשך  האירוע  דרש הנאשם מהמתלונן שיבצע פעולה מינית  מסוימת ויעמוד  כפוף, מכיוון שהנאשם רוצה לראות אותו ככה . המתלונן פחד "מהאיום של הסכין"  ועשה כדברי הנאשם. כשיצא המתלונן מהמקלחת הוא נכנס למיטתו. אולם הנאשם לא הניח לו. הוא  נכנס אחריו למיטה, ומתחת לשמיכה החל שוב לגעת באיבר מינו של  המתלונן, ולתחוב  את אצבעותיו לפי הטבעת שלו (ת/1 עמ’ 1, ש’ 19 ואילך). המתלונן מעריך כי גם האקט הזה נמשך כשעה  וחצי עד  שעתיים בהפסקות, כיוון שהאסירים שבתא התעוררו מדי פעם, והנאשם צריך  היה להסתתר מתחת לשמיכה. </w:t>
      </w:r>
    </w:p>
    <w:p w14:paraId="2BB8510A" w14:textId="77777777" w:rsidR="005F6337" w:rsidRDefault="00E74DE2">
      <w:pPr>
        <w:spacing w:line="240" w:lineRule="auto"/>
        <w:ind w:left="720" w:hanging="720"/>
        <w:rPr>
          <w:rFonts w:hint="cs"/>
          <w:sz w:val="24"/>
          <w:rtl/>
        </w:rPr>
      </w:pPr>
      <w:r>
        <w:rPr>
          <w:rFonts w:hint="cs"/>
          <w:sz w:val="24"/>
          <w:rtl/>
        </w:rPr>
        <w:t xml:space="preserve"> </w:t>
      </w:r>
    </w:p>
    <w:p w14:paraId="5909ADE5" w14:textId="77777777" w:rsidR="005F6337" w:rsidRDefault="005F6337">
      <w:pPr>
        <w:spacing w:line="240" w:lineRule="auto"/>
        <w:ind w:left="720" w:hanging="720"/>
        <w:rPr>
          <w:rFonts w:hint="cs"/>
          <w:sz w:val="24"/>
          <w:rtl/>
        </w:rPr>
      </w:pPr>
      <w:r>
        <w:rPr>
          <w:rFonts w:hint="cs"/>
          <w:sz w:val="24"/>
          <w:rtl/>
        </w:rPr>
        <w:t>12.</w:t>
      </w:r>
      <w:r>
        <w:rPr>
          <w:rFonts w:hint="cs"/>
          <w:sz w:val="24"/>
          <w:rtl/>
        </w:rPr>
        <w:tab/>
        <w:t>בין כה וכה  התעורר  אסיר בשם מאג'ד  שהוא אחיו של המתלונן, והיה גם  הוא באותו תא. מאג'ד הכין  תה ונכנס לשירותים, ואז ירד הנאשם מתחת לשמיכה וביצע במתלונן מין אורלי, עד שמאג'ד יצא מהשירותים. המתלונן  ביקש ממאג'ד שישחק  אתו  בקלפים, כדי להפסיק את מעשיו של הנאשם. השניים החלו לשחק אלא שהנאשם גמר אומר שלא להניח למתלונן. הנאשם בא מאחורי המתלונן, משך את המכנסיים הקצרים  שהיו עליו, ותחב  את אצבעותיו לפי הטבעת שלו (עמ’  2 לאמרה ש’ 8 - 9 ). את המשך הדברים אביא בלשונו של  המתלונן:</w:t>
      </w:r>
      <w:r>
        <w:rPr>
          <w:color w:val="FFFFFF"/>
          <w:sz w:val="4"/>
          <w:szCs w:val="4"/>
          <w:rtl/>
        </w:rPr>
        <w:t>ב</w:t>
      </w:r>
      <w:r>
        <w:rPr>
          <w:rFonts w:hint="cs"/>
          <w:color w:val="FFFFFF"/>
          <w:sz w:val="4"/>
          <w:szCs w:val="4"/>
          <w:rtl/>
        </w:rPr>
        <w:t xml:space="preserve"> </w:t>
      </w:r>
    </w:p>
    <w:p w14:paraId="63610C0C" w14:textId="77777777" w:rsidR="005F6337" w:rsidRDefault="00E74DE2">
      <w:pPr>
        <w:spacing w:line="240" w:lineRule="auto"/>
        <w:ind w:left="720" w:hanging="720"/>
        <w:rPr>
          <w:rFonts w:hint="cs"/>
          <w:sz w:val="24"/>
          <w:rtl/>
        </w:rPr>
      </w:pPr>
      <w:r>
        <w:rPr>
          <w:rFonts w:hint="cs"/>
          <w:sz w:val="24"/>
          <w:rtl/>
        </w:rPr>
        <w:t xml:space="preserve"> </w:t>
      </w:r>
    </w:p>
    <w:p w14:paraId="1D180ABE" w14:textId="77777777" w:rsidR="005F6337" w:rsidRDefault="005F6337">
      <w:pPr>
        <w:spacing w:line="240" w:lineRule="auto"/>
        <w:ind w:left="720" w:hanging="720"/>
        <w:rPr>
          <w:rFonts w:hint="cs"/>
          <w:sz w:val="24"/>
          <w:rtl/>
        </w:rPr>
      </w:pPr>
      <w:r>
        <w:rPr>
          <w:rFonts w:hint="cs"/>
          <w:sz w:val="24"/>
          <w:rtl/>
        </w:rPr>
        <w:tab/>
        <w:t>"</w:t>
      </w:r>
      <w:r>
        <w:rPr>
          <w:rFonts w:hint="cs"/>
          <w:b/>
          <w:bCs/>
          <w:sz w:val="24"/>
          <w:rtl/>
        </w:rPr>
        <w:t>הסתובבתי אליו ועשיתי לו קול בפה שיפסיק והסתכלתי עליו ככה פעמיים שלוש, ומאג'יד שאל אותי מה קרה ואמרתי לו מהפחד כלום כלום כי לא רציתי שיהיה בלאגן עד הבוקר. זה היה לקראת הבוקר וחשבתי בראש שלי על נקמה בבוקר, לכן לא עשיתי עדיין דבר"</w:t>
      </w:r>
      <w:r>
        <w:rPr>
          <w:rFonts w:hint="cs"/>
          <w:sz w:val="24"/>
          <w:rtl/>
        </w:rPr>
        <w:t xml:space="preserve"> (עמ’  2 לעדות, ש’ 10 - 14).</w:t>
      </w:r>
    </w:p>
    <w:p w14:paraId="3E60E175" w14:textId="77777777" w:rsidR="005F6337" w:rsidRDefault="00E74DE2">
      <w:pPr>
        <w:spacing w:line="240" w:lineRule="auto"/>
        <w:ind w:left="720" w:hanging="720"/>
        <w:rPr>
          <w:rFonts w:hint="cs"/>
          <w:sz w:val="24"/>
          <w:rtl/>
        </w:rPr>
      </w:pPr>
      <w:r>
        <w:rPr>
          <w:rFonts w:hint="cs"/>
          <w:sz w:val="24"/>
          <w:rtl/>
        </w:rPr>
        <w:lastRenderedPageBreak/>
        <w:t xml:space="preserve"> </w:t>
      </w:r>
    </w:p>
    <w:p w14:paraId="25B61574" w14:textId="77777777" w:rsidR="005F6337" w:rsidRDefault="005F6337">
      <w:pPr>
        <w:spacing w:line="240" w:lineRule="auto"/>
        <w:ind w:left="720" w:hanging="720"/>
        <w:rPr>
          <w:rFonts w:hint="cs"/>
          <w:sz w:val="24"/>
          <w:rtl/>
        </w:rPr>
      </w:pPr>
      <w:r>
        <w:rPr>
          <w:rFonts w:hint="cs"/>
          <w:sz w:val="24"/>
          <w:rtl/>
        </w:rPr>
        <w:t>13.</w:t>
      </w:r>
      <w:r>
        <w:rPr>
          <w:rFonts w:hint="cs"/>
          <w:sz w:val="24"/>
          <w:rtl/>
        </w:rPr>
        <w:tab/>
        <w:t>לשאלת החוקר, מבהיר המתלונן כי לא ביצע מין אוראלי בנאשם, שכן הנאשם לא דרש ממנו מעשים כאלה. המתלונן  אמר גם זאת שהנאשם לא החדיר את איבר מינו לפי הטבעת שלו (עמ’  3 לאמרה,  ש’  1 - 3). למתלונן  נגרם סבל פיזי כתוצאה מממעשיו של  הנאשם, והוא (המתלונן) התקשה לשבת  בימים הראשונים לאחר  שהמעשים בוצעו. אולם בעת החקירה במשטרה – פחתו כאביו (עמ’  3 לאמרה  ש’ 18 - 20). פרט  לכאבים, סובל  הנאשם לטענתו מסיוטים בלילה, והוא מתעורר  ומזיע לאחר שחולם על מה שקרה לו. לדבריו, חבריו אומרים כי הוא צועק את שמו של  הנאשם מתוך שינה (עמ’  3 לאמרה  ש’ 21 עד 24). הארוע  התמשך, לדברי המתלונן, על פני שעות אחדות משעה  23:</w:t>
      </w:r>
      <w:r>
        <w:rPr>
          <w:color w:val="FFFFFF"/>
          <w:sz w:val="4"/>
          <w:szCs w:val="4"/>
          <w:rtl/>
        </w:rPr>
        <w:t>ו</w:t>
      </w:r>
      <w:r>
        <w:rPr>
          <w:rFonts w:hint="cs"/>
          <w:color w:val="FFFFFF"/>
          <w:sz w:val="4"/>
          <w:szCs w:val="4"/>
          <w:rtl/>
        </w:rPr>
        <w:t xml:space="preserve"> 0</w:t>
      </w:r>
      <w:r>
        <w:rPr>
          <w:rFonts w:hint="cs"/>
          <w:sz w:val="24"/>
          <w:rtl/>
        </w:rPr>
        <w:t>0  עד השעה  5:</w:t>
      </w:r>
      <w:r>
        <w:rPr>
          <w:color w:val="FFFFFF"/>
          <w:sz w:val="4"/>
          <w:szCs w:val="4"/>
          <w:rtl/>
        </w:rPr>
        <w:t>נ</w:t>
      </w:r>
      <w:r>
        <w:rPr>
          <w:rFonts w:hint="cs"/>
          <w:color w:val="FFFFFF"/>
          <w:sz w:val="4"/>
          <w:szCs w:val="4"/>
          <w:rtl/>
        </w:rPr>
        <w:t xml:space="preserve"> 0</w:t>
      </w:r>
      <w:r>
        <w:rPr>
          <w:rFonts w:hint="cs"/>
          <w:sz w:val="24"/>
          <w:rtl/>
        </w:rPr>
        <w:t xml:space="preserve">0 לפנות בוקר (עמ’ 3 לאימרה  שורה 9). </w:t>
      </w:r>
    </w:p>
    <w:p w14:paraId="5561D5B6" w14:textId="77777777" w:rsidR="005F6337" w:rsidRDefault="00E74DE2">
      <w:pPr>
        <w:spacing w:line="240" w:lineRule="auto"/>
        <w:ind w:left="720" w:hanging="720"/>
        <w:rPr>
          <w:rFonts w:hint="cs"/>
          <w:sz w:val="24"/>
          <w:rtl/>
        </w:rPr>
      </w:pPr>
      <w:r>
        <w:rPr>
          <w:rFonts w:hint="cs"/>
          <w:sz w:val="24"/>
          <w:rtl/>
        </w:rPr>
        <w:t xml:space="preserve"> </w:t>
      </w:r>
    </w:p>
    <w:p w14:paraId="25508767" w14:textId="77777777" w:rsidR="005F6337" w:rsidRDefault="005F6337">
      <w:pPr>
        <w:spacing w:line="240" w:lineRule="auto"/>
        <w:ind w:left="720" w:hanging="720"/>
        <w:rPr>
          <w:rFonts w:hint="cs"/>
          <w:sz w:val="24"/>
          <w:rtl/>
        </w:rPr>
      </w:pPr>
      <w:r>
        <w:rPr>
          <w:rFonts w:hint="cs"/>
          <w:sz w:val="24"/>
          <w:rtl/>
        </w:rPr>
        <w:t>14.</w:t>
      </w:r>
      <w:r>
        <w:rPr>
          <w:rFonts w:hint="cs"/>
          <w:sz w:val="24"/>
          <w:rtl/>
        </w:rPr>
        <w:tab/>
        <w:t xml:space="preserve">והנה הגיעה שעת הבוקר,  והמתלונן יצא מהתא כדי להתקשר לאמא שלו. הנאשם פחד  שהוא עומד להתקשר  למישהו כי לספר  לו על  מה שקרה בלילה. הנאשם רץ אחריו לתא הטלפון, אולם כשראה שלא נותנים למתלונן לשוחח  בטלפון - נרגע  והלך. המתלונן סיפר לחבריו על המקרה, וכשאלה קראו לנאשם בהיותם בחצר של בית המעצר – נמלט הנאשם אל קצין המשמרת. הם שוחחו ביניהם והקצין שוחח עם המתלונן  שהיה, באותה שעה, בתא אחר. קצין המשמרת אמר למתלונן שהוא יודע הכל, המתלונן סיפר את גרסתו, והקצין ערך מזכר ת/5. </w:t>
      </w:r>
    </w:p>
    <w:p w14:paraId="1D673D8E" w14:textId="77777777" w:rsidR="005F6337" w:rsidRDefault="00E74DE2">
      <w:pPr>
        <w:spacing w:line="240" w:lineRule="auto"/>
        <w:ind w:left="720" w:hanging="720"/>
        <w:rPr>
          <w:rFonts w:hint="cs"/>
          <w:sz w:val="24"/>
          <w:rtl/>
        </w:rPr>
      </w:pPr>
      <w:r>
        <w:rPr>
          <w:rFonts w:hint="cs"/>
          <w:sz w:val="24"/>
          <w:rtl/>
        </w:rPr>
        <w:t xml:space="preserve"> </w:t>
      </w:r>
    </w:p>
    <w:p w14:paraId="1CB140D6" w14:textId="77777777" w:rsidR="005F6337" w:rsidRDefault="005F6337">
      <w:pPr>
        <w:pStyle w:val="Heading4"/>
        <w:spacing w:line="240" w:lineRule="auto"/>
        <w:jc w:val="left"/>
        <w:rPr>
          <w:rFonts w:cs="David" w:hint="cs"/>
          <w:sz w:val="24"/>
          <w:szCs w:val="24"/>
          <w:rtl/>
        </w:rPr>
      </w:pPr>
      <w:r>
        <w:rPr>
          <w:rFonts w:cs="David" w:hint="cs"/>
          <w:sz w:val="24"/>
          <w:szCs w:val="24"/>
          <w:rtl/>
        </w:rPr>
        <w:t>הערכת עדותו של המתלונן</w:t>
      </w:r>
    </w:p>
    <w:p w14:paraId="571119D2" w14:textId="77777777" w:rsidR="005F6337" w:rsidRDefault="00E74DE2">
      <w:pPr>
        <w:spacing w:line="240" w:lineRule="auto"/>
        <w:rPr>
          <w:rFonts w:hint="cs"/>
          <w:sz w:val="24"/>
          <w:rtl/>
        </w:rPr>
      </w:pPr>
      <w:r>
        <w:rPr>
          <w:rFonts w:hint="cs"/>
          <w:sz w:val="24"/>
          <w:rtl/>
        </w:rPr>
        <w:t xml:space="preserve"> </w:t>
      </w:r>
    </w:p>
    <w:p w14:paraId="46188373" w14:textId="77777777" w:rsidR="005F6337" w:rsidRDefault="005F6337">
      <w:pPr>
        <w:spacing w:line="240" w:lineRule="auto"/>
        <w:ind w:left="720" w:hanging="720"/>
        <w:rPr>
          <w:rFonts w:hint="cs"/>
          <w:sz w:val="24"/>
          <w:rtl/>
        </w:rPr>
      </w:pPr>
      <w:r>
        <w:rPr>
          <w:rFonts w:hint="cs"/>
          <w:sz w:val="24"/>
          <w:rtl/>
        </w:rPr>
        <w:t>15.</w:t>
      </w:r>
      <w:r>
        <w:rPr>
          <w:rFonts w:hint="cs"/>
          <w:sz w:val="24"/>
          <w:rtl/>
        </w:rPr>
        <w:tab/>
        <w:t>המתלונן מצייר עצמו כ"אדם דפוק בראש", ואין דבר תועבה שלא ייחס לעצמו. יחד עם זאת  אני מציע שנהיה ערים לדברים שמשמיע לנו המתלונן כאילו מבין השיטין.  הוא שוזר  בעדותו רמזים הקוראים לנו בקול רם  לקבל  דווקא את הודעתו במשטרה, ולא להאמין לעדותו בבית המשפט. אבהיר את דברי:</w:t>
      </w:r>
      <w:r>
        <w:rPr>
          <w:color w:val="FFFFFF"/>
          <w:sz w:val="4"/>
          <w:szCs w:val="4"/>
          <w:rtl/>
        </w:rPr>
        <w:t>ב</w:t>
      </w:r>
      <w:r>
        <w:rPr>
          <w:rFonts w:hint="cs"/>
          <w:color w:val="FFFFFF"/>
          <w:sz w:val="4"/>
          <w:szCs w:val="4"/>
          <w:rtl/>
        </w:rPr>
        <w:t xml:space="preserve"> </w:t>
      </w:r>
    </w:p>
    <w:p w14:paraId="3577BDC7" w14:textId="77777777" w:rsidR="005F6337" w:rsidRDefault="00E74DE2">
      <w:pPr>
        <w:spacing w:line="240" w:lineRule="auto"/>
        <w:ind w:left="720" w:hanging="720"/>
        <w:rPr>
          <w:rFonts w:hint="cs"/>
          <w:sz w:val="24"/>
          <w:rtl/>
        </w:rPr>
      </w:pPr>
      <w:r>
        <w:rPr>
          <w:rFonts w:hint="cs"/>
          <w:sz w:val="24"/>
          <w:rtl/>
        </w:rPr>
        <w:t xml:space="preserve"> </w:t>
      </w:r>
    </w:p>
    <w:p w14:paraId="4DB83D74" w14:textId="77777777" w:rsidR="005F6337" w:rsidRDefault="005F6337">
      <w:pPr>
        <w:spacing w:line="240" w:lineRule="auto"/>
        <w:ind w:left="1440" w:hanging="720"/>
        <w:rPr>
          <w:rFonts w:hint="cs"/>
          <w:sz w:val="24"/>
          <w:rtl/>
        </w:rPr>
      </w:pPr>
      <w:r>
        <w:rPr>
          <w:rFonts w:hint="cs"/>
          <w:sz w:val="24"/>
          <w:rtl/>
        </w:rPr>
        <w:t>א.</w:t>
      </w:r>
      <w:r>
        <w:rPr>
          <w:rFonts w:hint="cs"/>
          <w:sz w:val="24"/>
          <w:rtl/>
        </w:rPr>
        <w:tab/>
        <w:t>המתלונן אומר לנו שאיננו רוצה "להגיש עדות". ובלשונו:</w:t>
      </w:r>
      <w:r>
        <w:rPr>
          <w:color w:val="FFFFFF"/>
          <w:sz w:val="4"/>
          <w:szCs w:val="4"/>
          <w:rtl/>
        </w:rPr>
        <w:t>ו</w:t>
      </w:r>
      <w:r>
        <w:rPr>
          <w:rFonts w:hint="cs"/>
          <w:color w:val="FFFFFF"/>
          <w:sz w:val="4"/>
          <w:szCs w:val="4"/>
          <w:rtl/>
        </w:rPr>
        <w:t xml:space="preserve"> </w:t>
      </w:r>
      <w:r>
        <w:rPr>
          <w:rFonts w:hint="cs"/>
          <w:sz w:val="24"/>
          <w:rtl/>
        </w:rPr>
        <w:t>"שיעבדו לפי החומר שיש להם". לשאלה  התובע לפי איזה חומר? עונה המתלונן:</w:t>
      </w:r>
      <w:r>
        <w:rPr>
          <w:color w:val="FFFFFF"/>
          <w:sz w:val="4"/>
          <w:szCs w:val="4"/>
          <w:rtl/>
        </w:rPr>
        <w:t>נ</w:t>
      </w:r>
      <w:r>
        <w:rPr>
          <w:rFonts w:hint="cs"/>
          <w:color w:val="FFFFFF"/>
          <w:sz w:val="4"/>
          <w:szCs w:val="4"/>
          <w:rtl/>
        </w:rPr>
        <w:t xml:space="preserve"> </w:t>
      </w:r>
      <w:r>
        <w:rPr>
          <w:rFonts w:hint="cs"/>
          <w:sz w:val="24"/>
          <w:rtl/>
        </w:rPr>
        <w:t xml:space="preserve">"אתם יש לכם חומר...אני לא צריך להגיד לך לפי מה לעבוד" (עמ’ 2 ש’ 6 לפרוטוקול). </w:t>
      </w:r>
    </w:p>
    <w:p w14:paraId="301A73E4" w14:textId="77777777" w:rsidR="005F6337" w:rsidRDefault="00E74DE2">
      <w:pPr>
        <w:spacing w:line="240" w:lineRule="auto"/>
        <w:ind w:left="1440" w:hanging="720"/>
        <w:rPr>
          <w:rFonts w:hint="cs"/>
          <w:sz w:val="24"/>
          <w:rtl/>
        </w:rPr>
      </w:pPr>
      <w:r>
        <w:rPr>
          <w:rFonts w:hint="cs"/>
          <w:sz w:val="24"/>
          <w:rtl/>
        </w:rPr>
        <w:t xml:space="preserve"> </w:t>
      </w:r>
    </w:p>
    <w:p w14:paraId="01DCC920" w14:textId="77777777" w:rsidR="005F6337" w:rsidRDefault="005F6337">
      <w:pPr>
        <w:spacing w:line="240" w:lineRule="auto"/>
        <w:ind w:left="1440" w:hanging="720"/>
        <w:rPr>
          <w:rFonts w:hint="cs"/>
          <w:sz w:val="24"/>
          <w:rtl/>
        </w:rPr>
      </w:pPr>
      <w:r>
        <w:rPr>
          <w:rFonts w:hint="cs"/>
          <w:sz w:val="24"/>
          <w:rtl/>
        </w:rPr>
        <w:t>ב.</w:t>
      </w:r>
      <w:r>
        <w:rPr>
          <w:rFonts w:hint="cs"/>
          <w:sz w:val="24"/>
          <w:rtl/>
        </w:rPr>
        <w:tab/>
        <w:t>בהמשך דבריו הוא שב ומעביר  לנו את  המסר הזה:</w:t>
      </w:r>
      <w:r>
        <w:rPr>
          <w:color w:val="FFFFFF"/>
          <w:sz w:val="4"/>
          <w:szCs w:val="4"/>
          <w:rtl/>
        </w:rPr>
        <w:t>ב</w:t>
      </w:r>
      <w:r>
        <w:rPr>
          <w:rFonts w:hint="cs"/>
          <w:color w:val="FFFFFF"/>
          <w:sz w:val="4"/>
          <w:szCs w:val="4"/>
          <w:rtl/>
        </w:rPr>
        <w:t xml:space="preserve"> </w:t>
      </w:r>
      <w:r>
        <w:rPr>
          <w:rFonts w:hint="cs"/>
          <w:sz w:val="24"/>
          <w:rtl/>
        </w:rPr>
        <w:t xml:space="preserve">"לא רוצה להגיד לכם לא כן ולא לא, מה שיש לכם ביד תעבדו לפי זה, אני רוצה לחזור לבית הסוהר וזהו" (עמ’  5 ש’ 17). </w:t>
      </w:r>
    </w:p>
    <w:p w14:paraId="0E1C7532" w14:textId="77777777" w:rsidR="005F6337" w:rsidRDefault="00E74DE2">
      <w:pPr>
        <w:spacing w:line="240" w:lineRule="auto"/>
        <w:ind w:left="1440" w:hanging="720"/>
        <w:rPr>
          <w:rFonts w:hint="cs"/>
          <w:sz w:val="24"/>
          <w:rtl/>
        </w:rPr>
      </w:pPr>
      <w:r>
        <w:rPr>
          <w:rFonts w:hint="cs"/>
          <w:sz w:val="24"/>
          <w:rtl/>
        </w:rPr>
        <w:t xml:space="preserve"> </w:t>
      </w:r>
    </w:p>
    <w:p w14:paraId="74C8A4DA" w14:textId="77777777" w:rsidR="005F6337" w:rsidRDefault="005F6337">
      <w:pPr>
        <w:spacing w:line="240" w:lineRule="auto"/>
        <w:ind w:left="720"/>
        <w:rPr>
          <w:rFonts w:hint="cs"/>
          <w:sz w:val="24"/>
          <w:rtl/>
        </w:rPr>
      </w:pPr>
      <w:r>
        <w:rPr>
          <w:rFonts w:hint="cs"/>
          <w:sz w:val="24"/>
          <w:rtl/>
        </w:rPr>
        <w:t xml:space="preserve">מהו  אותו "חומר" שהמתלונן מדבר בו? לא קשה לברר ולומר  כי הכוונה  היא לאמרה  ת/1 ולתמליל  החקירה ת/2/ב'  (קלטת ת/2/א) שערכו החוקרים משה כהן ואילן פנחס. באמרה ת/1 טמון  המפתח לקביעת התשתית העובדתית  הצריכה לענייננו, לאחר  שקבלנו אמרה זו  כראיה קבילה. התמליל  ת/2/ב הנ"ל  חוזר ומשלים דברים מעטים,  אלא שניתן היה לקבוע ממצאים עובדתיים גם  ללא התמליל הנ"ל.    </w:t>
      </w:r>
    </w:p>
    <w:p w14:paraId="50693E0C" w14:textId="77777777" w:rsidR="005F6337" w:rsidRDefault="00E74DE2">
      <w:pPr>
        <w:spacing w:line="240" w:lineRule="auto"/>
        <w:rPr>
          <w:rFonts w:hint="cs"/>
          <w:sz w:val="24"/>
          <w:rtl/>
        </w:rPr>
      </w:pPr>
      <w:r>
        <w:rPr>
          <w:rFonts w:hint="cs"/>
          <w:sz w:val="24"/>
          <w:rtl/>
        </w:rPr>
        <w:t xml:space="preserve"> </w:t>
      </w:r>
    </w:p>
    <w:p w14:paraId="707E4020" w14:textId="77777777" w:rsidR="005F6337" w:rsidRDefault="005F6337">
      <w:pPr>
        <w:spacing w:line="240" w:lineRule="auto"/>
        <w:ind w:left="720" w:hanging="720"/>
        <w:rPr>
          <w:rFonts w:hint="cs"/>
          <w:sz w:val="24"/>
          <w:rtl/>
        </w:rPr>
      </w:pPr>
      <w:r>
        <w:rPr>
          <w:rFonts w:hint="cs"/>
          <w:sz w:val="24"/>
          <w:rtl/>
        </w:rPr>
        <w:t>16.</w:t>
      </w:r>
      <w:r>
        <w:rPr>
          <w:rFonts w:hint="cs"/>
          <w:sz w:val="24"/>
          <w:rtl/>
        </w:rPr>
        <w:tab/>
        <w:t>ההלכה הפסוקה מורה לנו כי לעיתים נוח  יותר לעד תביעה לאמת על ידי אזכור והפניה, את מה שאמר כבר במשטרה, מאשר לחזור באופן מפורש ובפרוטרוט, בנוכחות הנאשם, על דברים שיש בהם כדי להפליל אותו (</w:t>
      </w:r>
      <w:hyperlink r:id="rId28" w:history="1">
        <w:r w:rsidR="00E74DE2" w:rsidRPr="00E74DE2">
          <w:rPr>
            <w:rStyle w:val="Hyperlink"/>
            <w:rFonts w:hint="eastAsia"/>
            <w:sz w:val="24"/>
            <w:rtl/>
          </w:rPr>
          <w:t>ע</w:t>
        </w:r>
        <w:r w:rsidR="00E74DE2" w:rsidRPr="00E74DE2">
          <w:rPr>
            <w:rStyle w:val="Hyperlink"/>
            <w:sz w:val="24"/>
            <w:rtl/>
          </w:rPr>
          <w:t>"פ 71/76 מכלוף מרילי ואח' נ' מ"י,  פ"ד ל</w:t>
        </w:r>
      </w:hyperlink>
      <w:r>
        <w:rPr>
          <w:rFonts w:hint="cs"/>
          <w:sz w:val="24"/>
          <w:rtl/>
        </w:rPr>
        <w:t xml:space="preserve"> (2) 813,   820  ;  </w:t>
      </w:r>
      <w:hyperlink r:id="rId29" w:history="1">
        <w:r w:rsidR="00D93D12" w:rsidRPr="00D93D12">
          <w:rPr>
            <w:color w:val="0000FF"/>
            <w:sz w:val="24"/>
            <w:u w:val="single"/>
            <w:rtl/>
          </w:rPr>
          <w:t xml:space="preserve">ע"פ 355/87 רפי לוי נ' מ"י  </w:t>
        </w:r>
      </w:hyperlink>
      <w:r>
        <w:rPr>
          <w:rFonts w:hint="cs"/>
          <w:sz w:val="24"/>
          <w:rtl/>
        </w:rPr>
        <w:t xml:space="preserve"> פ"ד מ"ג (3) 221). וכך יהיה גם בענייננו:</w:t>
      </w:r>
      <w:r>
        <w:rPr>
          <w:color w:val="FFFFFF"/>
          <w:sz w:val="4"/>
          <w:szCs w:val="4"/>
          <w:rtl/>
        </w:rPr>
        <w:t>ו</w:t>
      </w:r>
      <w:r>
        <w:rPr>
          <w:rFonts w:hint="cs"/>
          <w:color w:val="FFFFFF"/>
          <w:sz w:val="4"/>
          <w:szCs w:val="4"/>
          <w:rtl/>
        </w:rPr>
        <w:t xml:space="preserve"> </w:t>
      </w:r>
      <w:r>
        <w:rPr>
          <w:rFonts w:hint="cs"/>
          <w:sz w:val="24"/>
          <w:rtl/>
        </w:rPr>
        <w:t xml:space="preserve">הגיון הדברים קורא  לנו לומר  בקול רם שלמתלונן לא היה נוח, מטעמים משלו, להטיח  את תלונותיו  בפני הנאשם. ייתכן שפחד מפניו שהרי כבר במשטרה היה צריך לדובב אותו, מכיוון שהיה אחוז פחד. הוא הצהיר במשטרה שלא טוב להיות עד תביעה כשאתה מרצה עונש מאסר, מפחד שיתנקמו בך בכלא, או שתהיה מוחרם. נראה לי שהמתלונן נשא אתו את פחדיו מהמשטרה אל בית המשפט, ולכן:  במקום לומר  לנאשם את  אשמתו בפניו, העדיף המתלונן ללכת בדרך עקיפה ומרומזת של הפניה אל  חומר  החקירה שבידי המשטרה, כפי שכבר אמרתי ("לא רוצה להגיד לכם לא כן ולא לא, מה שיש לכם ביד תעבדו לפי זה, אני רוצה לחזור לבית הסוהר וזהו" (עמ’  5 ש’ 17; </w:t>
      </w:r>
      <w:r>
        <w:rPr>
          <w:rFonts w:hint="cs"/>
          <w:b/>
          <w:bCs/>
          <w:sz w:val="24"/>
          <w:rtl/>
        </w:rPr>
        <w:t xml:space="preserve">"אתם יש לכם חומר...אני לא צריך להגיד לך לפי מה לעבוד" </w:t>
      </w:r>
      <w:r>
        <w:rPr>
          <w:rFonts w:hint="cs"/>
          <w:sz w:val="24"/>
          <w:rtl/>
        </w:rPr>
        <w:t xml:space="preserve">(עמ’  2 ש’ 6  לפרוט'). </w:t>
      </w:r>
    </w:p>
    <w:p w14:paraId="366F0FCD" w14:textId="77777777" w:rsidR="005F6337" w:rsidRDefault="00E74DE2">
      <w:pPr>
        <w:spacing w:line="240" w:lineRule="auto"/>
        <w:ind w:left="720" w:hanging="720"/>
        <w:rPr>
          <w:rFonts w:hint="cs"/>
          <w:sz w:val="24"/>
          <w:rtl/>
        </w:rPr>
      </w:pPr>
      <w:r>
        <w:rPr>
          <w:rFonts w:hint="cs"/>
          <w:sz w:val="24"/>
          <w:rtl/>
        </w:rPr>
        <w:t xml:space="preserve"> </w:t>
      </w:r>
    </w:p>
    <w:p w14:paraId="5DBDEED5" w14:textId="77777777" w:rsidR="005F6337" w:rsidRDefault="005F6337">
      <w:pPr>
        <w:spacing w:line="240" w:lineRule="auto"/>
        <w:ind w:left="720" w:hanging="720"/>
        <w:rPr>
          <w:rFonts w:hint="cs"/>
          <w:sz w:val="24"/>
          <w:rtl/>
        </w:rPr>
      </w:pPr>
      <w:r>
        <w:rPr>
          <w:rFonts w:hint="cs"/>
          <w:sz w:val="24"/>
          <w:rtl/>
        </w:rPr>
        <w:t>17.</w:t>
      </w:r>
      <w:r>
        <w:rPr>
          <w:rFonts w:hint="cs"/>
          <w:sz w:val="24"/>
          <w:rtl/>
        </w:rPr>
        <w:tab/>
        <w:t xml:space="preserve">בענייננו די בכך שהתביעה הרימה את  הנטל  והוכיחה  את קיומם של  הרכיבים הדרושים להגשת אמרותיו של  המתלונן כראיה קבילה לפי </w:t>
      </w:r>
      <w:hyperlink r:id="rId30" w:history="1">
        <w:r w:rsidR="00D93D12" w:rsidRPr="00D93D12">
          <w:rPr>
            <w:color w:val="0000FF"/>
            <w:sz w:val="24"/>
            <w:u w:val="single"/>
            <w:rtl/>
          </w:rPr>
          <w:t>סעיף 10א (א)</w:t>
        </w:r>
      </w:hyperlink>
      <w:r>
        <w:rPr>
          <w:rFonts w:hint="cs"/>
          <w:sz w:val="24"/>
          <w:rtl/>
        </w:rPr>
        <w:t xml:space="preserve"> ל</w:t>
      </w:r>
      <w:hyperlink r:id="rId31" w:history="1">
        <w:r w:rsidR="00E74DE2" w:rsidRPr="00E74DE2">
          <w:rPr>
            <w:rStyle w:val="Hyperlink"/>
            <w:rFonts w:hint="eastAsia"/>
            <w:sz w:val="24"/>
            <w:rtl/>
          </w:rPr>
          <w:t>פקודת</w:t>
        </w:r>
        <w:r w:rsidR="00E74DE2" w:rsidRPr="00E74DE2">
          <w:rPr>
            <w:rStyle w:val="Hyperlink"/>
            <w:sz w:val="24"/>
            <w:rtl/>
          </w:rPr>
          <w:t xml:space="preserve"> הראיות</w:t>
        </w:r>
      </w:hyperlink>
      <w:r>
        <w:rPr>
          <w:rFonts w:hint="cs"/>
          <w:sz w:val="24"/>
          <w:rtl/>
        </w:rPr>
        <w:t xml:space="preserve">; ומשעה שהאמרות הוגשו לפי הסעיף האמור  – דינן כדין עדות שניתנה בבית המשפט.  </w:t>
      </w:r>
    </w:p>
    <w:p w14:paraId="5A804688" w14:textId="77777777" w:rsidR="005F6337" w:rsidRDefault="00E74DE2">
      <w:pPr>
        <w:spacing w:line="240" w:lineRule="auto"/>
        <w:ind w:left="720" w:hanging="720"/>
        <w:rPr>
          <w:rFonts w:hint="cs"/>
          <w:sz w:val="24"/>
          <w:rtl/>
        </w:rPr>
      </w:pPr>
      <w:r>
        <w:rPr>
          <w:rFonts w:hint="cs"/>
          <w:sz w:val="24"/>
          <w:rtl/>
        </w:rPr>
        <w:t xml:space="preserve"> </w:t>
      </w:r>
    </w:p>
    <w:p w14:paraId="061EB17E" w14:textId="77777777" w:rsidR="005F6337" w:rsidRDefault="005F6337">
      <w:pPr>
        <w:spacing w:line="240" w:lineRule="auto"/>
        <w:ind w:left="720" w:hanging="720"/>
        <w:rPr>
          <w:rFonts w:hint="cs"/>
          <w:sz w:val="24"/>
          <w:rtl/>
        </w:rPr>
      </w:pPr>
      <w:r>
        <w:rPr>
          <w:rFonts w:hint="cs"/>
          <w:sz w:val="24"/>
          <w:rtl/>
        </w:rPr>
        <w:t>18.</w:t>
      </w:r>
      <w:r>
        <w:rPr>
          <w:rFonts w:hint="cs"/>
          <w:sz w:val="24"/>
          <w:rtl/>
        </w:rPr>
        <w:tab/>
        <w:t xml:space="preserve">לסיכומה של נקודה זו: אני  מציע שנדחה   את עדות  המתלונן בבית המשפט, ונעדיף על פניה  את  הדברים שאמר באמרתו ת/1.  אלה דברים אמיתיים ונכונים  אשר  מתארים  ברצף הגיוני  את מעשיו של  הנאשם כלפי המתלונן בתא המעצר.  חשוב שאומר כי ההגנה לא הצביעה על  מניע  כלשהו  שהמריץ את  המתלונן  להטיח בנאשם עלילת שווא. אין כל ראיות על סכסוכים קודמים בין הנאשם לבין המתלונן שיניעו את המתלונן "להעניש"  את  עדנאן ולהביא אותו לספסל הנאשמים על עבירה שלא ביצע. ברור לכולנו שהמתלונן הוא עבריין מועד  אשר יוצא ובא בבתי מעצר ובבתי סוהר.  עלינו להתייחס לעדותו בזהירות, שכן מותר לנו להניח  (לפי עברו) כי  אמת  ויושר אינם ערכים שמנחים אותו בדרך חייו. הייתי ער למצב דברים זה, וחפשתי חיזוקים לאמרתו. נמצאו שלושה חיזוקים שאתייחס אליהם להלן.      </w:t>
      </w:r>
    </w:p>
    <w:p w14:paraId="628BD955" w14:textId="77777777" w:rsidR="005F6337" w:rsidRDefault="00E74DE2">
      <w:pPr>
        <w:spacing w:line="240" w:lineRule="auto"/>
        <w:ind w:left="720" w:hanging="720"/>
        <w:rPr>
          <w:rFonts w:hint="cs"/>
          <w:sz w:val="24"/>
          <w:rtl/>
        </w:rPr>
      </w:pPr>
      <w:r>
        <w:rPr>
          <w:rFonts w:hint="cs"/>
          <w:sz w:val="24"/>
          <w:rtl/>
        </w:rPr>
        <w:t xml:space="preserve"> </w:t>
      </w:r>
    </w:p>
    <w:p w14:paraId="2A1D7250" w14:textId="77777777" w:rsidR="005F6337" w:rsidRDefault="005F6337">
      <w:pPr>
        <w:spacing w:line="240" w:lineRule="auto"/>
        <w:rPr>
          <w:rFonts w:hint="cs"/>
          <w:b/>
          <w:bCs/>
          <w:sz w:val="24"/>
          <w:u w:val="single"/>
          <w:rtl/>
        </w:rPr>
      </w:pPr>
    </w:p>
    <w:p w14:paraId="46B73823" w14:textId="77777777" w:rsidR="005F6337" w:rsidRDefault="005F6337">
      <w:pPr>
        <w:spacing w:line="240" w:lineRule="auto"/>
        <w:rPr>
          <w:rFonts w:hint="cs"/>
          <w:b/>
          <w:bCs/>
          <w:sz w:val="24"/>
          <w:u w:val="single"/>
          <w:rtl/>
        </w:rPr>
      </w:pPr>
    </w:p>
    <w:p w14:paraId="7DF15EB8" w14:textId="77777777" w:rsidR="005F6337" w:rsidRDefault="005F6337">
      <w:pPr>
        <w:spacing w:line="240" w:lineRule="auto"/>
        <w:rPr>
          <w:rFonts w:hint="cs"/>
          <w:b/>
          <w:bCs/>
          <w:sz w:val="24"/>
          <w:u w:val="single"/>
          <w:rtl/>
        </w:rPr>
      </w:pPr>
      <w:r>
        <w:rPr>
          <w:rFonts w:hint="cs"/>
          <w:b/>
          <w:bCs/>
          <w:sz w:val="24"/>
          <w:u w:val="single"/>
          <w:rtl/>
        </w:rPr>
        <w:t xml:space="preserve">חיזוקים לעדות המתלונן </w:t>
      </w:r>
    </w:p>
    <w:p w14:paraId="2FCBA80A" w14:textId="77777777" w:rsidR="005F6337" w:rsidRDefault="00E74DE2">
      <w:pPr>
        <w:spacing w:line="240" w:lineRule="auto"/>
        <w:rPr>
          <w:rFonts w:hint="cs"/>
          <w:b/>
          <w:bCs/>
          <w:sz w:val="24"/>
          <w:u w:val="single"/>
          <w:rtl/>
        </w:rPr>
      </w:pPr>
      <w:r>
        <w:rPr>
          <w:rFonts w:hint="cs"/>
          <w:b/>
          <w:bCs/>
          <w:sz w:val="24"/>
          <w:u w:val="single"/>
          <w:rtl/>
        </w:rPr>
        <w:t xml:space="preserve"> </w:t>
      </w:r>
    </w:p>
    <w:p w14:paraId="32FA5064" w14:textId="77777777" w:rsidR="005F6337" w:rsidRDefault="005F6337">
      <w:pPr>
        <w:spacing w:line="240" w:lineRule="auto"/>
        <w:ind w:left="720" w:hanging="720"/>
        <w:rPr>
          <w:rFonts w:hint="cs"/>
          <w:sz w:val="24"/>
          <w:rtl/>
        </w:rPr>
      </w:pPr>
      <w:r>
        <w:rPr>
          <w:rFonts w:hint="cs"/>
          <w:sz w:val="24"/>
          <w:rtl/>
        </w:rPr>
        <w:t>19.</w:t>
      </w:r>
      <w:r>
        <w:rPr>
          <w:rFonts w:hint="cs"/>
          <w:sz w:val="24"/>
          <w:rtl/>
        </w:rPr>
        <w:tab/>
        <w:t xml:space="preserve">במסכת הראייתית הביאה התביעה ראיות חיזוק  שמוסיפות  משמעות איכותית לעדותו של המתלונן: </w:t>
      </w:r>
    </w:p>
    <w:p w14:paraId="47EACE1D" w14:textId="77777777" w:rsidR="005F6337" w:rsidRDefault="00E74DE2">
      <w:pPr>
        <w:spacing w:line="240" w:lineRule="auto"/>
        <w:ind w:left="720" w:hanging="720"/>
        <w:rPr>
          <w:rFonts w:hint="cs"/>
          <w:sz w:val="24"/>
          <w:rtl/>
        </w:rPr>
      </w:pPr>
      <w:r>
        <w:rPr>
          <w:rFonts w:hint="cs"/>
          <w:sz w:val="24"/>
          <w:rtl/>
        </w:rPr>
        <w:t xml:space="preserve"> </w:t>
      </w:r>
    </w:p>
    <w:p w14:paraId="15F21ACF" w14:textId="77777777" w:rsidR="005F6337" w:rsidRDefault="005F6337">
      <w:pPr>
        <w:spacing w:line="240" w:lineRule="auto"/>
        <w:ind w:left="1440" w:hanging="720"/>
        <w:rPr>
          <w:rFonts w:hint="cs"/>
          <w:sz w:val="24"/>
          <w:rtl/>
        </w:rPr>
      </w:pPr>
      <w:r>
        <w:rPr>
          <w:rFonts w:hint="cs"/>
          <w:sz w:val="24"/>
          <w:rtl/>
        </w:rPr>
        <w:t>א.</w:t>
      </w:r>
      <w:r>
        <w:rPr>
          <w:rFonts w:hint="cs"/>
          <w:sz w:val="24"/>
          <w:rtl/>
        </w:rPr>
        <w:tab/>
        <w:t xml:space="preserve">שוטרי בית המעצר מצאו  דוקרן חבוי בתוך גרב  בתא מעצר מס'  29 בו שהו הנאשם והמתלונן. החיפוש נערך במעמד הנאשם, והדוקרן נמצא כאשר היה נוכח במקום (ת/4).  כך מחזק ממצא זה  את טענתו של  המתלונן לפיה איים  עליו הנאשם באותו דוקרן (ת/1  גיליון 1 ש' 8; צילום ת/9) (עדותו של רס"ר איטח (עמ' 37 ש' 12 ואילך; עמ’  39  ש’ 19; מזכרים  ת/3 ו - ת/4).  אמנם אין ראיה שהדוקרן הוא של הנאשם, אולם מציאת הדוקרן בתא- זמן קצר לאחר האירוע, מגבירה את האמון בגרסתו הכללית של המתלונן.     </w:t>
      </w:r>
    </w:p>
    <w:p w14:paraId="03FB3CBD" w14:textId="77777777" w:rsidR="005F6337" w:rsidRDefault="00E74DE2">
      <w:pPr>
        <w:spacing w:line="240" w:lineRule="auto"/>
        <w:ind w:left="1440" w:hanging="720"/>
        <w:rPr>
          <w:rFonts w:hint="cs"/>
          <w:sz w:val="24"/>
          <w:rtl/>
        </w:rPr>
      </w:pPr>
      <w:r>
        <w:rPr>
          <w:rFonts w:hint="cs"/>
          <w:sz w:val="24"/>
          <w:rtl/>
        </w:rPr>
        <w:t xml:space="preserve"> </w:t>
      </w:r>
    </w:p>
    <w:p w14:paraId="5855C15A" w14:textId="77777777" w:rsidR="005F6337" w:rsidRDefault="005F6337">
      <w:pPr>
        <w:spacing w:line="240" w:lineRule="auto"/>
        <w:ind w:left="1440" w:hanging="720"/>
        <w:rPr>
          <w:rFonts w:hint="cs"/>
          <w:sz w:val="24"/>
          <w:rtl/>
        </w:rPr>
      </w:pPr>
      <w:r>
        <w:rPr>
          <w:rFonts w:hint="cs"/>
          <w:sz w:val="24"/>
          <w:rtl/>
        </w:rPr>
        <w:t>ב.</w:t>
      </w:r>
      <w:r>
        <w:rPr>
          <w:rFonts w:hint="cs"/>
          <w:sz w:val="24"/>
          <w:rtl/>
        </w:rPr>
        <w:tab/>
        <w:t xml:space="preserve">תלונתו התכופה של המתלונן על המעשים שעשה בו הנאשם. התלונה הושמעה באוזני  השוטרים בבית המעצר וביניהם קצין המשמרת רס"ר ז'אן  גבאי ורס"ר יוסף איטח  (ת/4, ת/5; עמ' 37 ש' 19). רס"ר גבאי העיד כי ביום האירוע נקרא על ידי רס"ר איטח  על מנת לשוחח עם המתלונן שבקש לפגוש אותו (את גבאי) בדחיפות. המתלונן סיפר לרס"ר גבאי שהנאשם ביצע בו מעשים מגונים. גבאי הפריד בין השניים: את המתלונן שלח לבדיקה במרפאה, ואת הנאשם כבל באזיקים ולקח לאזור המכונה ה"כלוב"  (עמ’  69, ש’ 10-9). </w:t>
      </w:r>
    </w:p>
    <w:p w14:paraId="6CE7775A" w14:textId="77777777" w:rsidR="005F6337" w:rsidRDefault="00E74DE2">
      <w:pPr>
        <w:spacing w:line="240" w:lineRule="auto"/>
        <w:ind w:left="1440" w:hanging="720"/>
        <w:rPr>
          <w:rFonts w:hint="cs"/>
          <w:sz w:val="24"/>
          <w:rtl/>
        </w:rPr>
      </w:pPr>
      <w:r>
        <w:rPr>
          <w:rFonts w:hint="cs"/>
          <w:sz w:val="24"/>
          <w:rtl/>
        </w:rPr>
        <w:t xml:space="preserve"> </w:t>
      </w:r>
    </w:p>
    <w:p w14:paraId="06DAB9D9" w14:textId="77777777" w:rsidR="005F6337" w:rsidRDefault="005F6337">
      <w:pPr>
        <w:spacing w:line="240" w:lineRule="auto"/>
        <w:ind w:left="1440" w:hanging="720"/>
        <w:rPr>
          <w:rFonts w:hint="cs"/>
          <w:sz w:val="24"/>
          <w:rtl/>
        </w:rPr>
      </w:pPr>
      <w:r>
        <w:rPr>
          <w:rFonts w:hint="cs"/>
          <w:sz w:val="24"/>
          <w:rtl/>
        </w:rPr>
        <w:t>ג.</w:t>
      </w:r>
      <w:r>
        <w:rPr>
          <w:rFonts w:hint="cs"/>
          <w:sz w:val="24"/>
          <w:rtl/>
        </w:rPr>
        <w:tab/>
        <w:t>התביעה הצביעה על  "שיטת ביצוע" אופיינית לנאשם בנסיבות זהות לענייננו.  הנאשם כבר ביצע בעבר   אותם מעשים ממש לפי המוצגים ת/11 +  ת/12. הזהרתי את עצמי כי אנו מקבלים כאן ראיה על קיומה של הרשעה קודמת  שהנאשם מוכתם בה, בנסיבות זהות לנסיבות שבפרשה זו שבפנינו. יודגש כי לא על פי ראיה זו  בלבד, של  "שיטת ביצוע", אני מציע להרשיע את הנאשם בפרשה זו,  ולא ממנה אני למד על "אופיו הרע" של הנאשם (קדמי, על הראיות חלק ראשון עמ' 212). בענייננו מבוססת ההרשעה על  המכלול  הראייתי  שחוליותיו משתלבות  זו בזו ומחזקות זו את זו. השופט י' קדמי מורה לנו כי  יש הגורסים כי קבילותה  של  ראיה - בדבר מעשים דומים או שיטת ביצוע כ"תוספת" לראיה העיקרית - מותנית אך בכך  שעל  פי  ההיגיון  והשכל הישר, יש בכוחה לספק את  דרישת  אותה  "תוספת" (קדמי, על הראיות חלק ראשון עמ' 212). שני אלה: ההגיון והשכל הישר פועלים גם בעניינו. ולעניין  ההוכחה של "שיטת ביצוע":</w:t>
      </w:r>
      <w:r>
        <w:rPr>
          <w:rFonts w:hint="cs"/>
          <w:color w:val="FF0000"/>
          <w:sz w:val="24"/>
          <w:rtl/>
        </w:rPr>
        <w:t xml:space="preserve">  </w:t>
      </w:r>
      <w:r>
        <w:rPr>
          <w:rFonts w:hint="cs"/>
          <w:sz w:val="24"/>
          <w:rtl/>
        </w:rPr>
        <w:t>כאשר</w:t>
      </w:r>
      <w:r>
        <w:rPr>
          <w:rFonts w:hint="cs"/>
          <w:color w:val="FF0000"/>
          <w:sz w:val="24"/>
          <w:rtl/>
        </w:rPr>
        <w:t xml:space="preserve">  </w:t>
      </w:r>
      <w:r>
        <w:rPr>
          <w:rFonts w:hint="cs"/>
          <w:sz w:val="24"/>
          <w:rtl/>
        </w:rPr>
        <w:t xml:space="preserve">מדובר בהרשעה קודמת, ניתן להוכיח אותה בהצגת פסק הדין, וכך הרי נעשה גם כאן. </w:t>
      </w:r>
    </w:p>
    <w:p w14:paraId="101880F1" w14:textId="77777777" w:rsidR="005F6337" w:rsidRDefault="00E74DE2">
      <w:pPr>
        <w:spacing w:line="240" w:lineRule="auto"/>
        <w:ind w:left="1440" w:hanging="720"/>
        <w:rPr>
          <w:rFonts w:hint="cs"/>
          <w:sz w:val="24"/>
          <w:rtl/>
        </w:rPr>
      </w:pPr>
      <w:r>
        <w:rPr>
          <w:rFonts w:hint="cs"/>
          <w:sz w:val="24"/>
          <w:rtl/>
        </w:rPr>
        <w:t xml:space="preserve"> </w:t>
      </w:r>
    </w:p>
    <w:p w14:paraId="17175F7E" w14:textId="77777777" w:rsidR="005F6337" w:rsidRDefault="005F6337">
      <w:pPr>
        <w:spacing w:line="240" w:lineRule="auto"/>
        <w:ind w:left="1440" w:hanging="720"/>
        <w:rPr>
          <w:rFonts w:hint="cs"/>
          <w:sz w:val="24"/>
          <w:rtl/>
        </w:rPr>
      </w:pPr>
      <w:r>
        <w:rPr>
          <w:rFonts w:hint="cs"/>
          <w:sz w:val="24"/>
          <w:rtl/>
        </w:rPr>
        <w:t>ד.</w:t>
      </w:r>
      <w:r>
        <w:rPr>
          <w:rFonts w:hint="cs"/>
          <w:sz w:val="24"/>
          <w:rtl/>
        </w:rPr>
        <w:tab/>
        <w:t>אוסיף ואומר כי מעשה של  "שיטה" מבטא רמת דמיון  מוחלטת של מאפיינים מייחדים  בין  המעשה  נושא  האישום לבין מעשה קודם. מעשה המשקף "שיטת ביצוע"  מצביע  על  עושה המעשה הקודם כעושה המעשה נושא האישום  (</w:t>
      </w:r>
      <w:hyperlink r:id="rId32" w:history="1">
        <w:r w:rsidR="00E74DE2" w:rsidRPr="00E74DE2">
          <w:rPr>
            <w:rStyle w:val="Hyperlink"/>
            <w:rFonts w:hint="eastAsia"/>
            <w:sz w:val="24"/>
            <w:rtl/>
          </w:rPr>
          <w:t>ע</w:t>
        </w:r>
        <w:r w:rsidR="00E74DE2" w:rsidRPr="00E74DE2">
          <w:rPr>
            <w:rStyle w:val="Hyperlink"/>
            <w:sz w:val="24"/>
            <w:rtl/>
          </w:rPr>
          <w:t>"פ 595/95</w:t>
        </w:r>
      </w:hyperlink>
      <w:r>
        <w:rPr>
          <w:rFonts w:hint="cs"/>
          <w:sz w:val="24"/>
          <w:rtl/>
        </w:rPr>
        <w:t xml:space="preserve"> קריספין נ" מ"י דינים עליון מ"ד 226). ניתן לומר בענייננו  כי הנאשם  נושא אתו קו  אופייני  של  התנהגות מינית  זהה כשהוא נמצא בתאי מעצר.  במצבים כאלה הוא נוטה לבצע פעולות מיניות  עם שותפיו לתא בעל כורחם. </w:t>
      </w:r>
    </w:p>
    <w:p w14:paraId="76B71240" w14:textId="77777777" w:rsidR="005F6337" w:rsidRDefault="005F6337">
      <w:pPr>
        <w:spacing w:line="240" w:lineRule="auto"/>
        <w:ind w:left="1440"/>
        <w:rPr>
          <w:rFonts w:hint="cs"/>
          <w:sz w:val="24"/>
          <w:rtl/>
        </w:rPr>
      </w:pPr>
      <w:r>
        <w:rPr>
          <w:rFonts w:hint="cs"/>
          <w:sz w:val="24"/>
          <w:rtl/>
        </w:rPr>
        <w:t xml:space="preserve">לפי ת/12 הורשע הנאשם, </w:t>
      </w:r>
      <w:r>
        <w:rPr>
          <w:rFonts w:hint="cs"/>
          <w:b/>
          <w:bCs/>
          <w:sz w:val="24"/>
          <w:rtl/>
        </w:rPr>
        <w:t>לפי הודאתו,</w:t>
      </w:r>
      <w:r>
        <w:rPr>
          <w:rFonts w:hint="cs"/>
          <w:sz w:val="24"/>
          <w:rtl/>
        </w:rPr>
        <w:t xml:space="preserve"> במעשה מגונה שביצע  בשותפו לתא מעצר. גם בעניין ההוא נטפל  הנאשם לעציר  מסוים וביצע בו מעשים מיניים ללא הסכמתו. באותו עניין נגבתה מהנאשם אמרה  ת/11  ובה הוא  מעיד על עצמו: "אני הומו".  עדות גלוית לב זו משליכה על הבנת  התנהגותו גם בענייננו. ככל הנראה, יצרו תוכף עליו כשהוא נתון בתא המעצר, וכך קרה גם בעניין זה, והוא בצע את המעשים המיוחסים לו בכתב האישום. אמנם הנאשם טוען כי  לא אמר אמת  כאשר  העיד על עצמו כעל  הומו, אלא שאני  דוחה</w:t>
      </w:r>
      <w:r>
        <w:rPr>
          <w:rFonts w:hint="cs"/>
          <w:b/>
          <w:bCs/>
          <w:sz w:val="24"/>
          <w:rtl/>
        </w:rPr>
        <w:t xml:space="preserve"> </w:t>
      </w:r>
      <w:r>
        <w:rPr>
          <w:rFonts w:hint="cs"/>
          <w:sz w:val="24"/>
          <w:rtl/>
        </w:rPr>
        <w:t>את הכחשתו. המעשים  שביצע, לפי הודאתו,  לפי ת/12  והמעשים שבצע בענייננו משתלבים לתמונה בהירה  של  התנהגות  הומוסכסואלית.</w:t>
      </w:r>
      <w:r>
        <w:rPr>
          <w:rFonts w:hint="cs"/>
          <w:b/>
          <w:bCs/>
          <w:sz w:val="24"/>
          <w:rtl/>
        </w:rPr>
        <w:t xml:space="preserve"> </w:t>
      </w:r>
      <w:r>
        <w:rPr>
          <w:rFonts w:hint="cs"/>
          <w:sz w:val="24"/>
          <w:rtl/>
        </w:rPr>
        <w:t xml:space="preserve">ובלשון אחרת:  המעשה הקודם,  שקיבל ביטוי בשני המוצגים  האמורים,  מהווה ראיית חיזוק  לעדותו של  המתלונן  הכלולה באמרה ת/1. ובכך נתמלאה "חובת החיזוק" הגלומה </w:t>
      </w:r>
      <w:hyperlink r:id="rId33" w:history="1">
        <w:r w:rsidR="00D93D12" w:rsidRPr="00D93D12">
          <w:rPr>
            <w:rStyle w:val="Hyperlink"/>
            <w:rFonts w:hint="eastAsia"/>
            <w:sz w:val="24"/>
            <w:rtl/>
          </w:rPr>
          <w:t>בסעיף</w:t>
        </w:r>
        <w:r w:rsidR="00D93D12" w:rsidRPr="00D93D12">
          <w:rPr>
            <w:rStyle w:val="Hyperlink"/>
            <w:sz w:val="24"/>
            <w:rtl/>
          </w:rPr>
          <w:t xml:space="preserve"> 10א (ד)</w:t>
        </w:r>
      </w:hyperlink>
      <w:r>
        <w:rPr>
          <w:rFonts w:hint="cs"/>
          <w:sz w:val="24"/>
          <w:rtl/>
        </w:rPr>
        <w:t xml:space="preserve"> ל</w:t>
      </w:r>
      <w:hyperlink r:id="rId34" w:history="1">
        <w:r w:rsidR="00E74DE2" w:rsidRPr="00E74DE2">
          <w:rPr>
            <w:rStyle w:val="Hyperlink"/>
            <w:rFonts w:hint="eastAsia"/>
            <w:sz w:val="24"/>
            <w:rtl/>
          </w:rPr>
          <w:t>פקודת</w:t>
        </w:r>
        <w:r w:rsidR="00E74DE2" w:rsidRPr="00E74DE2">
          <w:rPr>
            <w:rStyle w:val="Hyperlink"/>
            <w:sz w:val="24"/>
            <w:rtl/>
          </w:rPr>
          <w:t xml:space="preserve"> הראיות</w:t>
        </w:r>
      </w:hyperlink>
      <w:r>
        <w:rPr>
          <w:rFonts w:hint="cs"/>
          <w:sz w:val="24"/>
          <w:rtl/>
        </w:rPr>
        <w:t xml:space="preserve"> [נוסח חדש].    </w:t>
      </w:r>
    </w:p>
    <w:p w14:paraId="68442B44" w14:textId="77777777" w:rsidR="005F6337" w:rsidRDefault="00E74DE2">
      <w:pPr>
        <w:spacing w:line="240" w:lineRule="auto"/>
        <w:ind w:left="1440"/>
        <w:rPr>
          <w:rFonts w:hint="cs"/>
          <w:sz w:val="24"/>
          <w:rtl/>
        </w:rPr>
      </w:pPr>
      <w:r>
        <w:rPr>
          <w:rFonts w:hint="cs"/>
          <w:sz w:val="24"/>
          <w:rtl/>
        </w:rPr>
        <w:t xml:space="preserve"> </w:t>
      </w:r>
    </w:p>
    <w:p w14:paraId="1A3CC006" w14:textId="77777777" w:rsidR="005F6337" w:rsidRDefault="005F6337">
      <w:pPr>
        <w:spacing w:line="240" w:lineRule="auto"/>
        <w:rPr>
          <w:rFonts w:hint="cs"/>
          <w:sz w:val="24"/>
          <w:rtl/>
        </w:rPr>
      </w:pPr>
      <w:r>
        <w:rPr>
          <w:rFonts w:hint="cs"/>
          <w:b/>
          <w:bCs/>
          <w:sz w:val="24"/>
          <w:u w:val="single"/>
          <w:rtl/>
        </w:rPr>
        <w:t>עדות הנאשם  בבית המשפט</w:t>
      </w:r>
      <w:r>
        <w:rPr>
          <w:rFonts w:hint="cs"/>
          <w:sz w:val="24"/>
          <w:rtl/>
        </w:rPr>
        <w:t xml:space="preserve"> </w:t>
      </w:r>
    </w:p>
    <w:p w14:paraId="279F645F" w14:textId="77777777" w:rsidR="005F6337" w:rsidRDefault="00E74DE2">
      <w:pPr>
        <w:spacing w:line="240" w:lineRule="auto"/>
        <w:rPr>
          <w:rFonts w:hint="cs"/>
          <w:sz w:val="24"/>
          <w:rtl/>
        </w:rPr>
      </w:pPr>
      <w:r>
        <w:rPr>
          <w:rFonts w:hint="cs"/>
          <w:sz w:val="24"/>
          <w:rtl/>
        </w:rPr>
        <w:t xml:space="preserve"> </w:t>
      </w:r>
    </w:p>
    <w:p w14:paraId="28DA6136" w14:textId="77777777" w:rsidR="005F6337" w:rsidRDefault="005F6337">
      <w:pPr>
        <w:spacing w:line="240" w:lineRule="auto"/>
        <w:ind w:left="720" w:hanging="720"/>
        <w:rPr>
          <w:rFonts w:hint="cs"/>
          <w:sz w:val="24"/>
          <w:rtl/>
        </w:rPr>
      </w:pPr>
      <w:r>
        <w:rPr>
          <w:rFonts w:hint="cs"/>
          <w:sz w:val="24"/>
          <w:rtl/>
        </w:rPr>
        <w:t>20.</w:t>
      </w:r>
      <w:r>
        <w:rPr>
          <w:rFonts w:hint="cs"/>
          <w:sz w:val="24"/>
          <w:rtl/>
        </w:rPr>
        <w:tab/>
        <w:t xml:space="preserve">הנאשם  מכחיש בתוקף את מה  שמייחס לו המתלונן  באמרותיו, ובעיקר באמרה ת/1  (עמ' 81 ש' 18). הנאשם טוען שבתא המעצר שהו 8 עצירים,  ואיש מהם לא ראה אותו כשהוא עושה את המעשים המיוחסים לו.  הנאשם מתאר אירועים תמימים של "שיחות נפש" בינו לבין המתלונן. בשיחות אלה סיפר לו המתלונן על בעיותיו האישיות ועל אביו הנרקומן. הנאשם טוען כי אלה היו שיחות "מתוך רחמים" ולא היו  שם מעשה סדום או אלימות. בידי הנאשם לא היה דוקרן או סכין גילוח, והם רק ישבו ושוחחו (עמ' 83 ש' 14 ואילך).      </w:t>
      </w:r>
    </w:p>
    <w:p w14:paraId="5CD02025" w14:textId="77777777" w:rsidR="005F6337" w:rsidRDefault="00E74DE2">
      <w:pPr>
        <w:spacing w:line="240" w:lineRule="auto"/>
        <w:ind w:left="720" w:hanging="720"/>
        <w:rPr>
          <w:rFonts w:hint="cs"/>
          <w:sz w:val="24"/>
          <w:rtl/>
        </w:rPr>
      </w:pPr>
      <w:r>
        <w:rPr>
          <w:rFonts w:hint="cs"/>
          <w:sz w:val="24"/>
          <w:rtl/>
        </w:rPr>
        <w:t xml:space="preserve"> </w:t>
      </w:r>
    </w:p>
    <w:p w14:paraId="376E08E1" w14:textId="77777777" w:rsidR="005F6337" w:rsidRDefault="005F6337">
      <w:pPr>
        <w:spacing w:line="240" w:lineRule="auto"/>
        <w:ind w:left="720" w:hanging="720"/>
        <w:rPr>
          <w:rFonts w:hint="cs"/>
          <w:sz w:val="24"/>
          <w:rtl/>
        </w:rPr>
      </w:pPr>
      <w:r>
        <w:rPr>
          <w:rFonts w:hint="cs"/>
          <w:sz w:val="24"/>
          <w:rtl/>
        </w:rPr>
        <w:t>21.</w:t>
      </w:r>
      <w:r>
        <w:rPr>
          <w:rFonts w:hint="cs"/>
          <w:sz w:val="24"/>
          <w:rtl/>
        </w:rPr>
        <w:tab/>
        <w:t>במהלך עדותו של הנאשם עלתה שאלה מובנת מאליה, והיא מתייחסת למניעיו של המתלונן לטפול אשמת שווא על הנאשם. טוען הנאשם כי המתלונן מבקש לנקום בו מכיוון שהנאשם היכה אותו מחוץ לכותלי הכלא. וכל כך למה? מכיוון שהמתלונן  הכניס את אחיו של הנאשם לסמים (עמ' 90  ש’ 12). בהמשך הדברים מוסיף הנאשם (עמ’ 90  ש’ 15)  כי המתלונן כעס עליו מכיוון שחשד  שנתפסו אצלו סמים בגלל  הנאשם.  הנאשם  מביא סיבה נוספת למניעי נקם מצד המתלונן. לטענתו ביקש ממנו המתלונן להכניס לכלא תפילין עם סמים, והנאשם סרב לכך (עמ’ 90 ש' 22).אדגיש כאן כי עניין התפילין, כסיבה לסכסוך בינו למתלונן,  הועלה אך ורק בעדותו בבית המשפט  ולא בהודעתו במשטרה</w:t>
      </w:r>
      <w:r>
        <w:rPr>
          <w:rFonts w:hint="cs"/>
          <w:sz w:val="24"/>
        </w:rPr>
        <w:t xml:space="preserve"> </w:t>
      </w:r>
      <w:r>
        <w:rPr>
          <w:rFonts w:hint="cs"/>
          <w:sz w:val="24"/>
          <w:rtl/>
        </w:rPr>
        <w:t>(ת/7).</w:t>
      </w:r>
    </w:p>
    <w:p w14:paraId="135766A0" w14:textId="77777777" w:rsidR="005F6337" w:rsidRDefault="00E74DE2">
      <w:pPr>
        <w:spacing w:line="240" w:lineRule="auto"/>
        <w:ind w:left="720" w:hanging="720"/>
        <w:rPr>
          <w:rFonts w:hint="cs"/>
          <w:sz w:val="24"/>
          <w:rtl/>
        </w:rPr>
      </w:pPr>
      <w:r>
        <w:rPr>
          <w:rFonts w:hint="cs"/>
          <w:sz w:val="24"/>
          <w:rtl/>
        </w:rPr>
        <w:t xml:space="preserve"> </w:t>
      </w:r>
    </w:p>
    <w:p w14:paraId="1B08B529" w14:textId="77777777" w:rsidR="005F6337" w:rsidRDefault="005F6337">
      <w:pPr>
        <w:pStyle w:val="Heading4"/>
        <w:overflowPunct/>
        <w:autoSpaceDE w:val="0"/>
        <w:adjustRightInd/>
        <w:spacing w:line="240" w:lineRule="auto"/>
        <w:jc w:val="left"/>
        <w:rPr>
          <w:rFonts w:cs="David" w:hint="cs"/>
          <w:sz w:val="24"/>
          <w:szCs w:val="24"/>
          <w:rtl/>
        </w:rPr>
      </w:pPr>
      <w:r>
        <w:rPr>
          <w:rFonts w:cs="David" w:hint="cs"/>
          <w:sz w:val="24"/>
          <w:szCs w:val="24"/>
          <w:rtl/>
        </w:rPr>
        <w:t>הערכת עדותו של הנאשם</w:t>
      </w:r>
    </w:p>
    <w:p w14:paraId="381A9FBD" w14:textId="77777777" w:rsidR="005F6337" w:rsidRDefault="00E74DE2">
      <w:pPr>
        <w:spacing w:line="240" w:lineRule="auto"/>
        <w:rPr>
          <w:rFonts w:hint="cs"/>
          <w:sz w:val="24"/>
          <w:rtl/>
        </w:rPr>
      </w:pPr>
      <w:r>
        <w:rPr>
          <w:rFonts w:hint="cs"/>
          <w:sz w:val="24"/>
          <w:rtl/>
        </w:rPr>
        <w:t xml:space="preserve"> </w:t>
      </w:r>
    </w:p>
    <w:p w14:paraId="706EF830" w14:textId="77777777" w:rsidR="005F6337" w:rsidRDefault="005F6337">
      <w:pPr>
        <w:spacing w:line="240" w:lineRule="auto"/>
        <w:ind w:left="720" w:hanging="720"/>
        <w:rPr>
          <w:rFonts w:hint="cs"/>
          <w:sz w:val="24"/>
          <w:rtl/>
        </w:rPr>
      </w:pPr>
      <w:r>
        <w:rPr>
          <w:rFonts w:hint="cs"/>
          <w:sz w:val="24"/>
          <w:rtl/>
        </w:rPr>
        <w:t>22.</w:t>
      </w:r>
      <w:r>
        <w:rPr>
          <w:rFonts w:hint="cs"/>
          <w:sz w:val="24"/>
          <w:rtl/>
        </w:rPr>
        <w:tab/>
        <w:t xml:space="preserve">העיון בעדותו של הנאשם, מורה על כך  שאין  בה  כל  התפתחות המובילה לקריסת  התשתית  הראייתית של  התביעה. הנאשם טוען כי המתלונן העליל עליו עלילה, אלא שאין נקודות אחיזה לטענה גורפת זו, בייחוד כאשר  עדויות החיזוק מחזקות את  עדותו של  המתלונן  בעניינים  מהותיים. קביעתי היא שהנאשם איננו עד מהימן, ומשום כך לא ניתן לתת אמון בעדותו ולקבוע על פיה  ממצאים לטובתו.   </w:t>
      </w:r>
    </w:p>
    <w:p w14:paraId="6C34442B" w14:textId="77777777" w:rsidR="005F6337" w:rsidRDefault="00E74DE2">
      <w:pPr>
        <w:spacing w:line="240" w:lineRule="auto"/>
        <w:ind w:left="720" w:hanging="720"/>
        <w:rPr>
          <w:rFonts w:hint="cs"/>
          <w:sz w:val="24"/>
          <w:rtl/>
        </w:rPr>
      </w:pPr>
      <w:r>
        <w:rPr>
          <w:rFonts w:hint="cs"/>
          <w:sz w:val="24"/>
          <w:rtl/>
        </w:rPr>
        <w:t xml:space="preserve"> </w:t>
      </w:r>
    </w:p>
    <w:p w14:paraId="2C2813D8" w14:textId="77777777" w:rsidR="005F6337" w:rsidRDefault="005F6337">
      <w:pPr>
        <w:spacing w:line="240" w:lineRule="auto"/>
        <w:rPr>
          <w:rFonts w:hint="cs"/>
          <w:sz w:val="24"/>
          <w:rtl/>
        </w:rPr>
      </w:pPr>
      <w:r>
        <w:rPr>
          <w:rFonts w:hint="cs"/>
          <w:b/>
          <w:bCs/>
          <w:sz w:val="24"/>
          <w:u w:val="single"/>
          <w:rtl/>
        </w:rPr>
        <w:t>עדותו של מאג'יד עבדאללה (אחיו של הנאשם</w:t>
      </w:r>
      <w:r>
        <w:rPr>
          <w:rFonts w:hint="cs"/>
          <w:sz w:val="24"/>
          <w:rtl/>
        </w:rPr>
        <w:t xml:space="preserve">) </w:t>
      </w:r>
    </w:p>
    <w:p w14:paraId="188E0071" w14:textId="77777777" w:rsidR="005F6337" w:rsidRDefault="00E74DE2">
      <w:pPr>
        <w:spacing w:line="240" w:lineRule="auto"/>
        <w:rPr>
          <w:rFonts w:hint="cs"/>
          <w:sz w:val="24"/>
          <w:rtl/>
        </w:rPr>
      </w:pPr>
      <w:r>
        <w:rPr>
          <w:rFonts w:hint="cs"/>
          <w:sz w:val="24"/>
          <w:rtl/>
        </w:rPr>
        <w:t xml:space="preserve"> </w:t>
      </w:r>
    </w:p>
    <w:p w14:paraId="1AB3A0A8" w14:textId="77777777" w:rsidR="005F6337" w:rsidRDefault="005F6337">
      <w:pPr>
        <w:spacing w:line="240" w:lineRule="auto"/>
        <w:ind w:left="720" w:hanging="720"/>
        <w:rPr>
          <w:rFonts w:hint="cs"/>
          <w:sz w:val="24"/>
          <w:rtl/>
        </w:rPr>
      </w:pPr>
      <w:r>
        <w:rPr>
          <w:rFonts w:hint="cs"/>
          <w:sz w:val="24"/>
          <w:rtl/>
        </w:rPr>
        <w:t>23.</w:t>
      </w:r>
      <w:r>
        <w:rPr>
          <w:rFonts w:hint="cs"/>
          <w:sz w:val="24"/>
          <w:rtl/>
        </w:rPr>
        <w:tab/>
        <w:t xml:space="preserve">גם אחיו של הנאשם  היה  עצור באותו  תא בליל האירוע. לפי גרסתו שלו, הוא לא יכול לדעת  כל  מה שהתרחש בין הנאשם למתלונן מכיוון שישן  משעה 6:30 בערב ועד לשעה 4 לפנות בוקר  (עמ’ 43 ש’ 6 - 8). העד איננו תורם כל  נתון משמעתי, שיש בו כדי לערער  את עמדת  התביעה. ולא רק זה אלא שהוא סותר את דבריו שלו בהמשך עדותו: הוא מעיד כי כאשר ספרו לו שהנאשם  דרש מהמתלונן שיבצע פעולה מינית  מסוימת, ענה העד: "אני הייתי ער כל הלילה ולא שמעתי דבר כזה" (עמ' 43 ש' 21). הדעת נותנת שהעד זה יעזור לאחיו, גם אם יהיה  עליו לסטות  ממידת האמת.  כאשר נוח לעד  הוא  מרחיק את עצמו מזירת האירוע וטוען שישן בשעות הרלוונטיות; וכאשר נראה  לו שעליו לסייע  לאחיו, הוא טוען שלא ראה דבר שיש בו כדי להפליל את הנאשם. עיקר הדברים: אני דוחה את עדותו של מאג'יד  כבלתי אמינה לחלוטין, ואינני מוכן לבנות על פיה ממצא כלשהו לטובת הנאשם, אף לא כדי הטלת ספק בגרסת התביעה.         </w:t>
      </w:r>
    </w:p>
    <w:p w14:paraId="782709F2" w14:textId="77777777" w:rsidR="005F6337" w:rsidRDefault="00E74DE2">
      <w:pPr>
        <w:spacing w:line="240" w:lineRule="auto"/>
        <w:ind w:left="720" w:hanging="720"/>
        <w:rPr>
          <w:rFonts w:hint="cs"/>
          <w:sz w:val="24"/>
          <w:rtl/>
        </w:rPr>
      </w:pPr>
      <w:r>
        <w:rPr>
          <w:rFonts w:hint="cs"/>
          <w:sz w:val="24"/>
          <w:rtl/>
        </w:rPr>
        <w:t xml:space="preserve"> </w:t>
      </w:r>
    </w:p>
    <w:p w14:paraId="0CB57C9B" w14:textId="77777777" w:rsidR="005F6337" w:rsidRDefault="005F6337">
      <w:pPr>
        <w:pStyle w:val="Heading3"/>
        <w:spacing w:line="240" w:lineRule="auto"/>
        <w:jc w:val="left"/>
        <w:rPr>
          <w:rFonts w:hint="cs"/>
          <w:sz w:val="24"/>
          <w:u w:val="single"/>
          <w:rtl/>
        </w:rPr>
      </w:pPr>
      <w:r>
        <w:rPr>
          <w:rFonts w:hint="cs"/>
          <w:sz w:val="24"/>
          <w:u w:val="single"/>
          <w:rtl/>
        </w:rPr>
        <w:t>האמרות של עונאדי גבריאלוב (נ/2) ושל של רועי מספן (נ/3)</w:t>
      </w:r>
    </w:p>
    <w:p w14:paraId="297A0B2B" w14:textId="77777777" w:rsidR="005F6337" w:rsidRDefault="00E74DE2">
      <w:pPr>
        <w:spacing w:line="240" w:lineRule="auto"/>
        <w:rPr>
          <w:rFonts w:hint="cs"/>
          <w:sz w:val="24"/>
          <w:rtl/>
        </w:rPr>
      </w:pPr>
      <w:r>
        <w:rPr>
          <w:rFonts w:hint="cs"/>
          <w:sz w:val="24"/>
          <w:rtl/>
        </w:rPr>
        <w:t xml:space="preserve"> </w:t>
      </w:r>
    </w:p>
    <w:p w14:paraId="4A0B47B0" w14:textId="77777777" w:rsidR="005F6337" w:rsidRDefault="005F6337">
      <w:pPr>
        <w:spacing w:line="240" w:lineRule="auto"/>
        <w:ind w:left="720" w:hanging="720"/>
        <w:rPr>
          <w:rFonts w:hint="cs"/>
          <w:sz w:val="24"/>
          <w:rtl/>
        </w:rPr>
      </w:pPr>
      <w:r>
        <w:rPr>
          <w:rFonts w:hint="cs"/>
          <w:sz w:val="24"/>
          <w:rtl/>
        </w:rPr>
        <w:t>24.</w:t>
      </w:r>
      <w:r>
        <w:rPr>
          <w:rFonts w:hint="cs"/>
          <w:sz w:val="24"/>
          <w:rtl/>
        </w:rPr>
        <w:tab/>
        <w:t xml:space="preserve">מבין שמונה העצירים אשר שהו בתא המעצר, יחד עם הנאשם והמתלונן,  הוגשו  בהסכמה האמרות של  גבריאלוב (נ/2) ושל מספן (נ/3). אמרות אלה אינן תורמות דבר  לסתירת  התשתית הראייתית של  התביעה. גבריאלוב  היה עצור בתא יחד עם הנאשם והמתלונן. הוא מספר בהודעתו כי בלילה הרלוונטי לענייננו ישבו כל העצורים וצפו בטלויזיה מהערב  ועד חצות. הוא עצמו לא התעורר במשך הלילה (ש’ 17-14 לאמרה). כיוצא בזה, גבריאלוב  לא שמע על ריב בין הנאשם למתלונן ואף הדגיש כי "סלאמה כל הזמן התנהג בתא בסדר גמור עם עדנאן. היו לפעמים בעיות אבל פתרנו אותן במילים" (ש’ 26-24). </w:t>
      </w:r>
    </w:p>
    <w:p w14:paraId="2DCA0753" w14:textId="77777777" w:rsidR="005F6337" w:rsidRDefault="00E74DE2">
      <w:pPr>
        <w:spacing w:line="240" w:lineRule="auto"/>
        <w:ind w:left="720" w:hanging="720"/>
        <w:rPr>
          <w:rFonts w:hint="cs"/>
          <w:sz w:val="24"/>
          <w:rtl/>
        </w:rPr>
      </w:pPr>
      <w:r>
        <w:rPr>
          <w:rFonts w:hint="cs"/>
          <w:sz w:val="24"/>
          <w:rtl/>
        </w:rPr>
        <w:t xml:space="preserve"> </w:t>
      </w:r>
    </w:p>
    <w:p w14:paraId="3A87D392" w14:textId="77777777" w:rsidR="005F6337" w:rsidRDefault="005F6337">
      <w:pPr>
        <w:spacing w:line="240" w:lineRule="auto"/>
        <w:ind w:left="720" w:hanging="720"/>
        <w:rPr>
          <w:rFonts w:hint="cs"/>
          <w:sz w:val="24"/>
          <w:rtl/>
        </w:rPr>
      </w:pPr>
      <w:r>
        <w:rPr>
          <w:rFonts w:hint="cs"/>
          <w:sz w:val="24"/>
          <w:rtl/>
        </w:rPr>
        <w:t>25.</w:t>
      </w:r>
      <w:r>
        <w:rPr>
          <w:rFonts w:hint="cs"/>
          <w:sz w:val="24"/>
          <w:rtl/>
        </w:rPr>
        <w:tab/>
        <w:t xml:space="preserve">רועי מספן  נתן אמרה נ/3, וגם הוא שהה בתא המעצר עם המתלונן והנאשם. ביום  24/9/98 (בבוקר  שלאחר האירוע) שמע  רועי קולות מריבה של הנאשם מחוץ לתא. כאשר  נשאל  הנאשם על מה הריב, הוא ענה שהמתלונן  סיפר  כי הוא  (הנאשם מתעלל בו (ש’ 7-2 להודעה). מספן איננו זוכר היכן ישן המתלונן בליל האירוע,  והוא חושב שהמתלונן  ישן על  רצפת התא (ש’ 12-11). הוא לא שמע דבר בליל האירוע, ולא ראה את הנאשם והמתלונן רבים. הוא עצמו הלך לישון בארבע לפנות בוקר.  הוא  לא ראה שום דבר חריג, ואם היה רואה היה "מעיף את עדנן, כי איננו פוחד ממנו (ש’ 18-17). דעתי היא שגם אמרה זו  איננה תורמת דבר לערעור עמדתה  של  התביעה  ומסכת ראיותיה – גם לא כדי הטלת ספק בתשתית הראייתית. מהדברים שאמר ניתן ללמוד  שלא ראה או לא שמע מעשים שנעשו  או דברים שנאמרו, ולא יותר מכך.   </w:t>
      </w:r>
    </w:p>
    <w:p w14:paraId="07CC4868" w14:textId="77777777" w:rsidR="005F6337" w:rsidRDefault="00E74DE2">
      <w:pPr>
        <w:spacing w:line="240" w:lineRule="auto"/>
        <w:ind w:left="720" w:hanging="720"/>
        <w:rPr>
          <w:rFonts w:hint="cs"/>
          <w:sz w:val="24"/>
          <w:rtl/>
        </w:rPr>
      </w:pPr>
      <w:r>
        <w:rPr>
          <w:rFonts w:hint="cs"/>
          <w:sz w:val="24"/>
          <w:rtl/>
        </w:rPr>
        <w:t xml:space="preserve"> </w:t>
      </w:r>
    </w:p>
    <w:p w14:paraId="43027262" w14:textId="77777777" w:rsidR="005F6337" w:rsidRDefault="005F6337">
      <w:pPr>
        <w:pStyle w:val="Heading5"/>
        <w:spacing w:line="240" w:lineRule="auto"/>
        <w:ind w:left="0"/>
        <w:rPr>
          <w:rFonts w:cs="David" w:hint="cs"/>
          <w:sz w:val="24"/>
          <w:szCs w:val="24"/>
          <w:rtl/>
        </w:rPr>
      </w:pPr>
      <w:r>
        <w:rPr>
          <w:rFonts w:cs="David" w:hint="cs"/>
          <w:sz w:val="24"/>
          <w:szCs w:val="24"/>
          <w:rtl/>
        </w:rPr>
        <w:t xml:space="preserve">היבטים  משפטיים במישור הראייתי </w:t>
      </w:r>
    </w:p>
    <w:p w14:paraId="4FEAE0B5" w14:textId="77777777" w:rsidR="005F6337" w:rsidRDefault="00E74DE2">
      <w:pPr>
        <w:spacing w:line="240" w:lineRule="auto"/>
        <w:rPr>
          <w:rFonts w:hint="cs"/>
          <w:sz w:val="24"/>
          <w:rtl/>
        </w:rPr>
      </w:pPr>
      <w:r>
        <w:rPr>
          <w:rFonts w:hint="cs"/>
          <w:sz w:val="24"/>
          <w:rtl/>
        </w:rPr>
        <w:t xml:space="preserve"> </w:t>
      </w:r>
    </w:p>
    <w:p w14:paraId="00BB680F" w14:textId="77777777" w:rsidR="005F6337" w:rsidRDefault="005F6337">
      <w:pPr>
        <w:spacing w:line="240" w:lineRule="auto"/>
        <w:ind w:left="720" w:hanging="720"/>
        <w:rPr>
          <w:rFonts w:hint="cs"/>
          <w:sz w:val="24"/>
          <w:rtl/>
        </w:rPr>
      </w:pPr>
      <w:r>
        <w:rPr>
          <w:rFonts w:hint="cs"/>
          <w:sz w:val="24"/>
          <w:rtl/>
        </w:rPr>
        <w:t>26.</w:t>
      </w:r>
      <w:r>
        <w:rPr>
          <w:rFonts w:hint="cs"/>
          <w:sz w:val="24"/>
          <w:rtl/>
        </w:rPr>
        <w:tab/>
        <w:t xml:space="preserve">בדיון המשפטי שלפנינו, התקבלה  אמרתו  של  הנאשם  כאמרת חוץ קבילה לפי </w:t>
      </w:r>
      <w:hyperlink r:id="rId35" w:history="1">
        <w:r w:rsidR="00D93D12" w:rsidRPr="00D93D12">
          <w:rPr>
            <w:color w:val="0000FF"/>
            <w:sz w:val="24"/>
            <w:u w:val="single"/>
            <w:rtl/>
          </w:rPr>
          <w:t>סעיף 10 א (א)</w:t>
        </w:r>
      </w:hyperlink>
      <w:r>
        <w:rPr>
          <w:rFonts w:hint="cs"/>
          <w:sz w:val="24"/>
          <w:rtl/>
        </w:rPr>
        <w:t xml:space="preserve"> ל</w:t>
      </w:r>
      <w:hyperlink r:id="rId36" w:history="1">
        <w:r w:rsidR="00E74DE2" w:rsidRPr="00E74DE2">
          <w:rPr>
            <w:rStyle w:val="Hyperlink"/>
            <w:rFonts w:hint="eastAsia"/>
            <w:sz w:val="24"/>
            <w:rtl/>
          </w:rPr>
          <w:t>פקודת</w:t>
        </w:r>
        <w:r w:rsidR="00E74DE2" w:rsidRPr="00E74DE2">
          <w:rPr>
            <w:rStyle w:val="Hyperlink"/>
            <w:sz w:val="24"/>
            <w:rtl/>
          </w:rPr>
          <w:t xml:space="preserve"> הראיות</w:t>
        </w:r>
      </w:hyperlink>
      <w:r>
        <w:rPr>
          <w:rFonts w:hint="cs"/>
          <w:sz w:val="24"/>
          <w:rtl/>
        </w:rPr>
        <w:t xml:space="preserve"> [נוסח חדש]. בנסיבות כאלה, וכדי לבסס  הרשעה על יסוד אמרת חוץ, עלינו לתור אחר ראיות  חיזוק לפי </w:t>
      </w:r>
      <w:hyperlink r:id="rId37" w:history="1">
        <w:r w:rsidR="00D93D12" w:rsidRPr="00D93D12">
          <w:rPr>
            <w:color w:val="0000FF"/>
            <w:sz w:val="24"/>
            <w:u w:val="single"/>
            <w:rtl/>
          </w:rPr>
          <w:t>סעיף 10 א (ד)</w:t>
        </w:r>
      </w:hyperlink>
      <w:r>
        <w:rPr>
          <w:rFonts w:hint="cs"/>
          <w:sz w:val="24"/>
          <w:rtl/>
        </w:rPr>
        <w:t xml:space="preserve"> ל</w:t>
      </w:r>
      <w:hyperlink r:id="rId38" w:history="1">
        <w:r w:rsidR="00E74DE2" w:rsidRPr="00E74DE2">
          <w:rPr>
            <w:rStyle w:val="Hyperlink"/>
            <w:rFonts w:hint="eastAsia"/>
            <w:sz w:val="24"/>
            <w:rtl/>
          </w:rPr>
          <w:t>פקודת</w:t>
        </w:r>
        <w:r w:rsidR="00E74DE2" w:rsidRPr="00E74DE2">
          <w:rPr>
            <w:rStyle w:val="Hyperlink"/>
            <w:sz w:val="24"/>
            <w:rtl/>
          </w:rPr>
          <w:t xml:space="preserve"> הראיות</w:t>
        </w:r>
      </w:hyperlink>
      <w:r>
        <w:rPr>
          <w:rFonts w:hint="cs"/>
          <w:sz w:val="24"/>
          <w:rtl/>
        </w:rPr>
        <w:t xml:space="preserve">. אשוב ואומר כי הדברים שנאמרו על ידי המתלונן במשטרה הם התשתית העובדתית המהווה בסיס להרשעתו של הנאשם באישומים המופנים נגדו בכתב האישום.  לפני שחפשתי ראיות לחיזוק, שוכנעתי כי המתלונן  אמר דברי אמת  באמרתו   ת/1  וכן בתשאול  שנערך לו (ת/2/ב).  החוליות העובדתיות משתלבות זו בזו בסדר הגיוני  ושוטף, וכפי שאמרתי  אין בפנינו כל נקודת  אחיזה  לטיעון כלשהו לפיו מדובר בעלילת שווא. אכן שוכנעתי מעבר לספק סביר כי  אותה  אמרה, שהורתה ולידתה מחוץ לכותלי בית המשפט,  היא  ראייה מהימנה המכילה דברי אמת.  אחרי קביעה  זו  עברתי אל  המעגל  החיצוני - ראייתי וחפשתי אחר  ראיות חיזוק שנמצאו כאמור, והן נותנות חיזוק של ממש לראיית התשתית (ת/1). </w:t>
      </w:r>
    </w:p>
    <w:p w14:paraId="3093B4EF" w14:textId="77777777" w:rsidR="005F6337" w:rsidRDefault="00E74DE2">
      <w:pPr>
        <w:spacing w:line="240" w:lineRule="auto"/>
        <w:ind w:left="720" w:hanging="720"/>
        <w:rPr>
          <w:rFonts w:hint="cs"/>
          <w:sz w:val="24"/>
          <w:rtl/>
        </w:rPr>
      </w:pPr>
      <w:r>
        <w:rPr>
          <w:rFonts w:hint="cs"/>
          <w:sz w:val="24"/>
          <w:rtl/>
        </w:rPr>
        <w:t xml:space="preserve"> </w:t>
      </w:r>
    </w:p>
    <w:p w14:paraId="2D90F21E" w14:textId="77777777" w:rsidR="005F6337" w:rsidRDefault="005F6337">
      <w:pPr>
        <w:spacing w:line="240" w:lineRule="auto"/>
        <w:rPr>
          <w:rFonts w:hint="cs"/>
          <w:sz w:val="24"/>
          <w:rtl/>
        </w:rPr>
      </w:pPr>
      <w:r>
        <w:rPr>
          <w:rFonts w:hint="cs"/>
          <w:b/>
          <w:bCs/>
          <w:sz w:val="24"/>
          <w:u w:val="single"/>
          <w:rtl/>
        </w:rPr>
        <w:t>הבטים משפטיים מהותיים  - סחיטה  באיומים (</w:t>
      </w:r>
      <w:hyperlink r:id="rId39" w:history="1">
        <w:r w:rsidR="00D93D12" w:rsidRPr="00D93D12">
          <w:rPr>
            <w:b/>
            <w:bCs/>
            <w:color w:val="0000FF"/>
            <w:sz w:val="24"/>
            <w:u w:val="single"/>
            <w:rtl/>
          </w:rPr>
          <w:t>סעיף 428</w:t>
        </w:r>
      </w:hyperlink>
      <w:r>
        <w:rPr>
          <w:rFonts w:hint="cs"/>
          <w:b/>
          <w:bCs/>
          <w:sz w:val="24"/>
          <w:u w:val="single"/>
          <w:rtl/>
        </w:rPr>
        <w:t xml:space="preserve"> סיפא ל</w:t>
      </w:r>
      <w:hyperlink r:id="rId40" w:history="1">
        <w:r w:rsidR="00E74DE2" w:rsidRPr="00E74DE2">
          <w:rPr>
            <w:rStyle w:val="Hyperlink"/>
            <w:rFonts w:hint="eastAsia"/>
            <w:b/>
            <w:bCs/>
            <w:sz w:val="24"/>
            <w:rtl/>
          </w:rPr>
          <w:t>חוק</w:t>
        </w:r>
        <w:r w:rsidR="00E74DE2" w:rsidRPr="00E74DE2">
          <w:rPr>
            <w:rStyle w:val="Hyperlink"/>
            <w:b/>
            <w:bCs/>
            <w:sz w:val="24"/>
            <w:rtl/>
          </w:rPr>
          <w:t xml:space="preserve"> העונשין</w:t>
        </w:r>
      </w:hyperlink>
      <w:r>
        <w:rPr>
          <w:rFonts w:hint="cs"/>
          <w:b/>
          <w:bCs/>
          <w:sz w:val="24"/>
          <w:u w:val="single"/>
          <w:rtl/>
        </w:rPr>
        <w:t>)</w:t>
      </w:r>
      <w:r>
        <w:rPr>
          <w:rFonts w:hint="cs"/>
          <w:sz w:val="24"/>
          <w:rtl/>
        </w:rPr>
        <w:t xml:space="preserve">   </w:t>
      </w:r>
    </w:p>
    <w:p w14:paraId="2CA53E35" w14:textId="77777777" w:rsidR="005F6337" w:rsidRDefault="00E74DE2">
      <w:pPr>
        <w:spacing w:line="240" w:lineRule="auto"/>
        <w:rPr>
          <w:rFonts w:hint="cs"/>
          <w:sz w:val="24"/>
          <w:rtl/>
        </w:rPr>
      </w:pPr>
      <w:r>
        <w:rPr>
          <w:rFonts w:hint="cs"/>
          <w:sz w:val="24"/>
          <w:rtl/>
        </w:rPr>
        <w:t xml:space="preserve"> </w:t>
      </w:r>
    </w:p>
    <w:p w14:paraId="5A503628" w14:textId="77777777" w:rsidR="005F6337" w:rsidRDefault="005F6337">
      <w:pPr>
        <w:spacing w:line="240" w:lineRule="auto"/>
        <w:ind w:left="720" w:hanging="720"/>
        <w:rPr>
          <w:rFonts w:hint="cs"/>
          <w:sz w:val="24"/>
          <w:rtl/>
        </w:rPr>
      </w:pPr>
      <w:r>
        <w:rPr>
          <w:rFonts w:hint="cs"/>
          <w:sz w:val="24"/>
          <w:rtl/>
        </w:rPr>
        <w:t>27.</w:t>
      </w:r>
      <w:r>
        <w:rPr>
          <w:rFonts w:hint="cs"/>
          <w:sz w:val="24"/>
          <w:rtl/>
        </w:rPr>
        <w:tab/>
        <w:t xml:space="preserve">התביעה ייחסה לנאשם שתי עבירות. כעת נבחן את העבירה של סחיטה באיומים. </w:t>
      </w:r>
    </w:p>
    <w:p w14:paraId="523A75E2" w14:textId="77777777" w:rsidR="005F6337" w:rsidRDefault="00E74DE2">
      <w:pPr>
        <w:spacing w:line="240" w:lineRule="auto"/>
        <w:ind w:left="720" w:hanging="720"/>
        <w:rPr>
          <w:rFonts w:hint="cs"/>
          <w:sz w:val="24"/>
          <w:rtl/>
        </w:rPr>
      </w:pPr>
      <w:r>
        <w:rPr>
          <w:rFonts w:hint="cs"/>
          <w:sz w:val="24"/>
          <w:rtl/>
        </w:rPr>
        <w:t xml:space="preserve"> </w:t>
      </w:r>
    </w:p>
    <w:p w14:paraId="27C93D10" w14:textId="77777777" w:rsidR="005F6337" w:rsidRDefault="005F6337">
      <w:pPr>
        <w:spacing w:line="240" w:lineRule="auto"/>
        <w:ind w:left="1440" w:hanging="720"/>
        <w:rPr>
          <w:rFonts w:hint="cs"/>
          <w:sz w:val="24"/>
          <w:rtl/>
        </w:rPr>
      </w:pPr>
      <w:r>
        <w:rPr>
          <w:rFonts w:hint="cs"/>
          <w:sz w:val="24"/>
          <w:rtl/>
        </w:rPr>
        <w:t>א.</w:t>
      </w:r>
      <w:r>
        <w:rPr>
          <w:rFonts w:hint="cs"/>
          <w:sz w:val="24"/>
          <w:rtl/>
        </w:rPr>
        <w:tab/>
      </w:r>
      <w:r>
        <w:rPr>
          <w:rFonts w:hint="cs"/>
          <w:b/>
          <w:bCs/>
          <w:sz w:val="24"/>
          <w:rtl/>
        </w:rPr>
        <w:t>היסוד הפיזי:</w:t>
      </w:r>
      <w:r>
        <w:rPr>
          <w:rFonts w:hint="cs"/>
          <w:sz w:val="24"/>
          <w:rtl/>
        </w:rPr>
        <w:t xml:space="preserve"> האיום יכול שיהיה בכתב, בעל פה או בהתנהגות, והוא מתייחס  לפגיעה שלא כדין בגופו של אדם (קרי: המתלונן)  או במעשים אחרים שאינם מענייננו. די בהוכחת "נוכחות מאיימת" או ביצירת "תמונה מאיימת", כמו בענייננו,  כדי לבטא את האיום. האיום יכול שיהיה מפורש ויכול שיהיה משתמע (קדמי, על  הדין בפלילים חלק ראשון, עמ' 473). ניתן להוכיח איום בראיות ישירות, וראיות נסיבתיות. </w:t>
      </w:r>
    </w:p>
    <w:p w14:paraId="6E38601B" w14:textId="77777777" w:rsidR="005F6337" w:rsidRDefault="005F6337">
      <w:pPr>
        <w:spacing w:line="240" w:lineRule="auto"/>
        <w:ind w:left="1440"/>
        <w:rPr>
          <w:rFonts w:hint="cs"/>
          <w:sz w:val="24"/>
          <w:rtl/>
        </w:rPr>
      </w:pPr>
      <w:r>
        <w:rPr>
          <w:rFonts w:hint="cs"/>
          <w:sz w:val="24"/>
          <w:rtl/>
        </w:rPr>
        <w:t xml:space="preserve">בענייננו הוכח  קיומו של היסוד הפיזי בעבירה זו, קרי:  שהאיום שאיים  הנאשם עורר אצל הקורבן  (המתלונן) מורא מפני תגובתו של הנאשם אם יסרב לתביעותיו המיניות, ואז עלול הנאשם לעשות שימוש בכלי המשחית שהחזיק בידיו. המתלונן, באמרתו במשטרה, העיד כי הנאשם איים עליו כי אם לא ישמע בקולו ויצעק לעזרה, יחתוך  הנאשם את גרונו בסכין  גילוח (ת/1 עמ' 1 ,ש' 13) .האיום בעל פה, בתוספת  החזקת סכין הגילוח  או הדוקרן, ממלא את  קיומו של  היסוד הפיזי של  הסעיף: יצירת תמונה מאיימת או נוכחות מאיימת כלפי המתלונן בתא המעצר. אין צורך להרבות מילים על כך שהאיום בדוקרן או בסכין גילוח על המתלונן,  מהווה איום לפגוע בגופו. </w:t>
      </w:r>
    </w:p>
    <w:p w14:paraId="03CBEF16" w14:textId="77777777" w:rsidR="005F6337" w:rsidRDefault="00E74DE2">
      <w:pPr>
        <w:spacing w:line="240" w:lineRule="auto"/>
        <w:ind w:left="1440"/>
        <w:rPr>
          <w:rFonts w:hint="cs"/>
          <w:sz w:val="24"/>
          <w:rtl/>
        </w:rPr>
      </w:pPr>
      <w:r>
        <w:rPr>
          <w:rFonts w:hint="cs"/>
          <w:sz w:val="24"/>
          <w:rtl/>
        </w:rPr>
        <w:t xml:space="preserve"> </w:t>
      </w:r>
    </w:p>
    <w:p w14:paraId="419FDB76" w14:textId="77777777" w:rsidR="005F6337" w:rsidRDefault="005F6337">
      <w:pPr>
        <w:spacing w:line="240" w:lineRule="auto"/>
        <w:ind w:left="1440" w:hanging="720"/>
        <w:rPr>
          <w:rFonts w:hint="cs"/>
          <w:sz w:val="24"/>
          <w:rtl/>
        </w:rPr>
      </w:pPr>
      <w:r>
        <w:rPr>
          <w:rFonts w:hint="cs"/>
          <w:sz w:val="24"/>
          <w:rtl/>
        </w:rPr>
        <w:t>ב.</w:t>
      </w:r>
      <w:r>
        <w:rPr>
          <w:rFonts w:hint="cs"/>
          <w:sz w:val="24"/>
          <w:rtl/>
        </w:rPr>
        <w:tab/>
      </w:r>
      <w:r>
        <w:rPr>
          <w:rFonts w:hint="cs"/>
          <w:b/>
          <w:bCs/>
          <w:sz w:val="24"/>
          <w:rtl/>
        </w:rPr>
        <w:t>היסוד הנפשי:</w:t>
      </w:r>
      <w:r>
        <w:rPr>
          <w:rFonts w:hint="cs"/>
          <w:sz w:val="24"/>
          <w:rtl/>
        </w:rPr>
        <w:t xml:space="preserve"> על  התביעה להוכיח קיומה של "כוונה מיוחדת" להניע אדם, בכוח  האיום, לעשות  מעשה פוזיטיבי כלשהו, או להימנע מעשיית מעשה שהוא רשאי לעשות.  כוונה זו הוכחה בעליל  שכן בעקבות האיומים ובהטלת מורא על המתלונן (תוך שימוש בסכין גילוח  ובדוקרן) ביצע  הנאשם מעשים מיניים במתלונן. היסוד הנפשי מתחזק בענייננו לנוכח  מעשיו הדומים  של הנאשם בעבר, והגשת כתב אישום נגדו בנסיבות  זהות לאלה שבענייננו. מצב דברים זה מורה על כך  שהתנהגותו חוזרת על עצמה ולכן איננה מקרית  ואף לא תולדה של שגגה או רשלנות בלבד. וניתן  לראות בה, בשל עצם הישנותה, התנהגות "מכוונת". בענייננו נראה כי לנאשם היה רצון  ממשי בתוצאה הפלילית המתבטאת בביצוע  פעילות מינית עם  המתלונן. הנאשם מימש רצון זה  והגיע לתוצאה הרצויה לו באמצעות איומים מילוליים ו"חפציים" (איום בדוקרן ובסכין גילוח).  </w:t>
      </w:r>
    </w:p>
    <w:p w14:paraId="2CB307BF" w14:textId="77777777" w:rsidR="005F6337" w:rsidRDefault="005F6337">
      <w:pPr>
        <w:spacing w:line="240" w:lineRule="auto"/>
        <w:rPr>
          <w:rFonts w:hint="cs"/>
          <w:b/>
          <w:bCs/>
          <w:sz w:val="24"/>
          <w:u w:val="single"/>
          <w:rtl/>
        </w:rPr>
      </w:pPr>
      <w:r>
        <w:rPr>
          <w:rFonts w:hint="cs"/>
          <w:b/>
          <w:bCs/>
          <w:sz w:val="24"/>
          <w:u w:val="single"/>
          <w:rtl/>
        </w:rPr>
        <w:t xml:space="preserve">הבטים משפטיים מהותיים (מעשה מגונה בנסיבות מחמירות לפי </w:t>
      </w:r>
      <w:hyperlink r:id="rId41" w:history="1">
        <w:r w:rsidR="00D93D12" w:rsidRPr="00D93D12">
          <w:rPr>
            <w:b/>
            <w:bCs/>
            <w:color w:val="0000FF"/>
            <w:sz w:val="24"/>
            <w:u w:val="single"/>
            <w:rtl/>
          </w:rPr>
          <w:t>סעיף 348(ב)</w:t>
        </w:r>
      </w:hyperlink>
      <w:r>
        <w:rPr>
          <w:rFonts w:hint="cs"/>
          <w:b/>
          <w:bCs/>
          <w:sz w:val="24"/>
          <w:u w:val="single"/>
          <w:rtl/>
        </w:rPr>
        <w:t xml:space="preserve"> ל</w:t>
      </w:r>
      <w:hyperlink r:id="rId42" w:history="1">
        <w:r w:rsidR="00E74DE2" w:rsidRPr="00E74DE2">
          <w:rPr>
            <w:rStyle w:val="Hyperlink"/>
            <w:rFonts w:hint="eastAsia"/>
            <w:b/>
            <w:bCs/>
            <w:sz w:val="24"/>
            <w:rtl/>
          </w:rPr>
          <w:t>חוק</w:t>
        </w:r>
        <w:r w:rsidR="00E74DE2" w:rsidRPr="00E74DE2">
          <w:rPr>
            <w:rStyle w:val="Hyperlink"/>
            <w:b/>
            <w:bCs/>
            <w:sz w:val="24"/>
            <w:rtl/>
          </w:rPr>
          <w:t xml:space="preserve"> העונשין</w:t>
        </w:r>
      </w:hyperlink>
      <w:r>
        <w:rPr>
          <w:rFonts w:hint="cs"/>
          <w:b/>
          <w:bCs/>
          <w:sz w:val="24"/>
          <w:u w:val="single"/>
          <w:rtl/>
        </w:rPr>
        <w:t xml:space="preserve"> בנסיבות </w:t>
      </w:r>
      <w:hyperlink r:id="rId43" w:history="1">
        <w:r w:rsidR="00D93D12" w:rsidRPr="00D93D12">
          <w:rPr>
            <w:b/>
            <w:bCs/>
            <w:color w:val="0000FF"/>
            <w:sz w:val="24"/>
            <w:u w:val="single"/>
            <w:rtl/>
          </w:rPr>
          <w:t>סעיף 345 (ב)(2)</w:t>
        </w:r>
      </w:hyperlink>
      <w:r>
        <w:rPr>
          <w:rFonts w:hint="cs"/>
          <w:b/>
          <w:bCs/>
          <w:sz w:val="24"/>
          <w:u w:val="single"/>
          <w:rtl/>
        </w:rPr>
        <w:t xml:space="preserve"> לחוק </w:t>
      </w:r>
    </w:p>
    <w:p w14:paraId="6B3D07F8" w14:textId="77777777" w:rsidR="005F6337" w:rsidRDefault="00E74DE2">
      <w:pPr>
        <w:spacing w:line="240" w:lineRule="auto"/>
        <w:rPr>
          <w:rFonts w:hint="cs"/>
          <w:b/>
          <w:bCs/>
          <w:sz w:val="24"/>
          <w:u w:val="single"/>
          <w:rtl/>
        </w:rPr>
      </w:pPr>
      <w:r>
        <w:rPr>
          <w:rFonts w:hint="cs"/>
          <w:b/>
          <w:bCs/>
          <w:sz w:val="24"/>
          <w:u w:val="single"/>
          <w:rtl/>
        </w:rPr>
        <w:t xml:space="preserve"> </w:t>
      </w:r>
    </w:p>
    <w:p w14:paraId="1F67B047" w14:textId="77777777" w:rsidR="005F6337" w:rsidRDefault="005F6337">
      <w:pPr>
        <w:spacing w:line="240" w:lineRule="auto"/>
        <w:ind w:left="720" w:hanging="720"/>
        <w:rPr>
          <w:rFonts w:hint="cs"/>
          <w:sz w:val="24"/>
          <w:rtl/>
        </w:rPr>
      </w:pPr>
      <w:r>
        <w:rPr>
          <w:rFonts w:hint="cs"/>
          <w:sz w:val="24"/>
          <w:rtl/>
        </w:rPr>
        <w:t>28.</w:t>
      </w:r>
      <w:r>
        <w:rPr>
          <w:rFonts w:hint="cs"/>
          <w:sz w:val="24"/>
          <w:rtl/>
        </w:rPr>
        <w:tab/>
      </w:r>
      <w:r>
        <w:rPr>
          <w:rFonts w:hint="cs"/>
          <w:b/>
          <w:bCs/>
          <w:sz w:val="24"/>
          <w:rtl/>
        </w:rPr>
        <w:t xml:space="preserve">היסוד הפיזי: </w:t>
      </w:r>
      <w:r>
        <w:rPr>
          <w:rFonts w:hint="cs"/>
          <w:sz w:val="24"/>
          <w:rtl/>
        </w:rPr>
        <w:t xml:space="preserve">ההגדרה הקבועה </w:t>
      </w:r>
      <w:hyperlink r:id="rId44" w:history="1">
        <w:r w:rsidR="00D93D12" w:rsidRPr="00D93D12">
          <w:rPr>
            <w:color w:val="0000FF"/>
            <w:sz w:val="24"/>
            <w:u w:val="single"/>
            <w:rtl/>
          </w:rPr>
          <w:t>בסעיף 348 (ו)</w:t>
        </w:r>
      </w:hyperlink>
      <w:r>
        <w:rPr>
          <w:rFonts w:hint="cs"/>
          <w:sz w:val="24"/>
          <w:rtl/>
        </w:rPr>
        <w:t xml:space="preserve"> מורה לנו  כי מעשה מגונה הוא:  "מעשה לשם גירוי, סיפוק, או ביזוי מיני". העבירה  נשוא דיוננו נסמכת על  מספר  רכיבים שנכללו  בשני הסעיפים האמורים: </w:t>
      </w:r>
      <w:hyperlink r:id="rId45" w:history="1">
        <w:r w:rsidR="00D93D12" w:rsidRPr="00D93D12">
          <w:rPr>
            <w:rStyle w:val="Hyperlink"/>
            <w:sz w:val="24"/>
            <w:rtl/>
          </w:rPr>
          <w:t xml:space="preserve">348 (ב) ו -  345 (ב). </w:t>
        </w:r>
      </w:hyperlink>
      <w:r>
        <w:rPr>
          <w:rFonts w:hint="cs"/>
          <w:sz w:val="24"/>
          <w:rtl/>
        </w:rPr>
        <w:t xml:space="preserve">  </w:t>
      </w:r>
      <w:hyperlink r:id="rId46" w:history="1">
        <w:r w:rsidR="00D93D12" w:rsidRPr="00D93D12">
          <w:rPr>
            <w:rStyle w:val="Hyperlink"/>
            <w:rFonts w:hint="eastAsia"/>
            <w:sz w:val="24"/>
            <w:rtl/>
          </w:rPr>
          <w:t>בסעיף</w:t>
        </w:r>
        <w:r w:rsidR="00D93D12" w:rsidRPr="00D93D12">
          <w:rPr>
            <w:rStyle w:val="Hyperlink"/>
            <w:sz w:val="24"/>
            <w:rtl/>
          </w:rPr>
          <w:t xml:space="preserve"> 348 (ב)</w:t>
        </w:r>
      </w:hyperlink>
      <w:r>
        <w:rPr>
          <w:rFonts w:hint="cs"/>
          <w:sz w:val="24"/>
          <w:rtl/>
        </w:rPr>
        <w:t xml:space="preserve"> נאמר  כי  "העושה מעשה מגונה באדם באחת  הנסיבות המנויות </w:t>
      </w:r>
      <w:r w:rsidR="00D93D12" w:rsidRPr="00D93D12">
        <w:rPr>
          <w:rFonts w:hint="eastAsia"/>
          <w:sz w:val="24"/>
          <w:rtl/>
        </w:rPr>
        <w:t>בסעיף</w:t>
      </w:r>
      <w:r w:rsidR="00D93D12" w:rsidRPr="00D93D12">
        <w:rPr>
          <w:sz w:val="24"/>
          <w:rtl/>
        </w:rPr>
        <w:t xml:space="preserve"> 345 (ב) (1)  עד (5),</w:t>
      </w:r>
      <w:r>
        <w:rPr>
          <w:rFonts w:hint="cs"/>
          <w:sz w:val="24"/>
          <w:rtl/>
        </w:rPr>
        <w:t xml:space="preserve"> בשינויים המחוייבים, דינו - מאסר עשר שנים".  כלומר:  </w:t>
      </w:r>
      <w:hyperlink r:id="rId47" w:history="1">
        <w:r w:rsidR="00D93D12" w:rsidRPr="00D93D12">
          <w:rPr>
            <w:rStyle w:val="Hyperlink"/>
            <w:rFonts w:hint="eastAsia"/>
            <w:sz w:val="24"/>
            <w:rtl/>
          </w:rPr>
          <w:t>סעיף</w:t>
        </w:r>
        <w:r w:rsidR="00D93D12" w:rsidRPr="00D93D12">
          <w:rPr>
            <w:rStyle w:val="Hyperlink"/>
            <w:sz w:val="24"/>
            <w:rtl/>
          </w:rPr>
          <w:t xml:space="preserve"> 348 (ב)</w:t>
        </w:r>
      </w:hyperlink>
      <w:r>
        <w:rPr>
          <w:rFonts w:hint="cs"/>
          <w:sz w:val="24"/>
          <w:rtl/>
        </w:rPr>
        <w:t xml:space="preserve"> מוליך אותנו אל כל אחד מהרכיבים העובדתיים  </w:t>
      </w:r>
      <w:hyperlink r:id="rId48" w:history="1">
        <w:r w:rsidR="00D93D12" w:rsidRPr="00D93D12">
          <w:rPr>
            <w:color w:val="0000FF"/>
            <w:sz w:val="24"/>
            <w:u w:val="single"/>
            <w:rtl/>
          </w:rPr>
          <w:t>שבסעיף 345 (ב)</w:t>
        </w:r>
      </w:hyperlink>
      <w:r>
        <w:rPr>
          <w:rFonts w:hint="cs"/>
          <w:sz w:val="24"/>
          <w:rtl/>
        </w:rPr>
        <w:t xml:space="preserve"> וביניהם הרכיב של ביצוע אינוס בנשק חם או קר, הוא הרכיב הישים לענייננו.  בעבירה זו קיים שילוב של יסודות  עובדתיים המרכיבים בצוותא חדא עבירת אינוס  ומעשה מגונה שנעשה באדם (גבר או אשה). הרכיבים של עבירת האינוס הם אלה שמוסיפים את המימד של נסיבות מחמירות לעבירה שלמעשה מגונה.        </w:t>
      </w:r>
    </w:p>
    <w:p w14:paraId="67E25EF2" w14:textId="77777777" w:rsidR="005F6337" w:rsidRDefault="00E74DE2">
      <w:pPr>
        <w:spacing w:line="240" w:lineRule="auto"/>
        <w:ind w:left="720" w:hanging="720"/>
        <w:rPr>
          <w:rFonts w:hint="cs"/>
          <w:sz w:val="24"/>
          <w:rtl/>
        </w:rPr>
      </w:pPr>
      <w:r>
        <w:rPr>
          <w:rFonts w:hint="cs"/>
          <w:sz w:val="24"/>
          <w:rtl/>
        </w:rPr>
        <w:t xml:space="preserve"> </w:t>
      </w:r>
    </w:p>
    <w:p w14:paraId="72614ADE" w14:textId="77777777" w:rsidR="005F6337" w:rsidRDefault="005F6337">
      <w:pPr>
        <w:spacing w:line="240" w:lineRule="auto"/>
        <w:ind w:left="720" w:hanging="720"/>
        <w:rPr>
          <w:rFonts w:hint="cs"/>
          <w:sz w:val="24"/>
          <w:rtl/>
        </w:rPr>
      </w:pPr>
      <w:r>
        <w:rPr>
          <w:rFonts w:hint="cs"/>
          <w:sz w:val="24"/>
          <w:rtl/>
        </w:rPr>
        <w:t>29.</w:t>
      </w:r>
      <w:r>
        <w:rPr>
          <w:rFonts w:hint="cs"/>
          <w:sz w:val="24"/>
          <w:rtl/>
        </w:rPr>
        <w:tab/>
        <w:t>אמור מעתה: הוכח בענייננו כי הנאשם בצע מעשה מגונה במתלונן, באמצעות כל אחד  מהמעשים הבאים, וכשהוא מאיים על המתלונן בדוקרן או בסכין גילוח  או בשניהם, והכל לצורך סיפוקו המיני של הנאשם: (א) החדרת אצבעותיו של הנאשם לפי הטבעת  של המתלונן; (ב) שפשוף אבר המין של המתלונן על ידי הנאשם; (ג) מציצת אבר המין של המתלונן על ידי הנאשם; (ד)  המתלונן שפשף את אבר המין של עצמו באיומיו של  הנאשם.</w:t>
      </w:r>
    </w:p>
    <w:p w14:paraId="19822880" w14:textId="77777777" w:rsidR="005F6337" w:rsidRDefault="00E74DE2">
      <w:pPr>
        <w:spacing w:line="240" w:lineRule="auto"/>
        <w:ind w:left="720" w:hanging="720"/>
        <w:rPr>
          <w:rFonts w:hint="cs"/>
          <w:sz w:val="24"/>
          <w:rtl/>
        </w:rPr>
      </w:pPr>
      <w:r>
        <w:rPr>
          <w:rFonts w:hint="cs"/>
          <w:sz w:val="24"/>
          <w:rtl/>
        </w:rPr>
        <w:t xml:space="preserve"> </w:t>
      </w:r>
    </w:p>
    <w:p w14:paraId="31588819" w14:textId="77777777" w:rsidR="005F6337" w:rsidRDefault="005F6337">
      <w:pPr>
        <w:spacing w:line="240" w:lineRule="auto"/>
        <w:ind w:left="720" w:hanging="720"/>
        <w:rPr>
          <w:rFonts w:hint="cs"/>
          <w:sz w:val="24"/>
          <w:rtl/>
        </w:rPr>
      </w:pPr>
      <w:r>
        <w:rPr>
          <w:rFonts w:hint="cs"/>
          <w:sz w:val="24"/>
          <w:rtl/>
        </w:rPr>
        <w:t>30.</w:t>
      </w:r>
      <w:r>
        <w:rPr>
          <w:rFonts w:hint="cs"/>
          <w:sz w:val="24"/>
          <w:rtl/>
        </w:rPr>
        <w:tab/>
      </w:r>
      <w:r>
        <w:rPr>
          <w:rFonts w:hint="cs"/>
          <w:b/>
          <w:bCs/>
          <w:sz w:val="24"/>
          <w:rtl/>
        </w:rPr>
        <w:t>היסוד הנפשי</w:t>
      </w:r>
      <w:r>
        <w:rPr>
          <w:rFonts w:hint="cs"/>
          <w:sz w:val="24"/>
          <w:rtl/>
        </w:rPr>
        <w:t xml:space="preserve">:  </w:t>
      </w:r>
      <w:bookmarkStart w:id="5" w:name="Status"/>
      <w:bookmarkEnd w:id="5"/>
      <w:r>
        <w:rPr>
          <w:rFonts w:hint="cs"/>
          <w:sz w:val="24"/>
          <w:rtl/>
        </w:rPr>
        <w:t>קיים צורך בכוונה מיוחדת  להשגת התכלית  של  גירוי, סיפוק או ביזוי מיני.  כלומר: על התביעה להוכיח כי  הנאשם התכוון להשיג אותה תכלית באמצעות המעשה המגונה (קדמי, על הדין בפלילים, חלק שני, עמ'  781). לא רק המעשים הוכחו כאן אלא גם כוונתו הברורה של הנאשם לבזות  את המתלונן על ידי ביצוע המעשים שתוארו בהכרעת הדין,  ולהשיג סיפוק מיני לעצמו על ידי  מסכת האיומים באמצעות נשק קר שהיה ברשותו.  מתוך הנסיבות שהוכחו ברור כי  הנאשם היה מודע לכך שהמתלונן לא היה מעוניין לשתף עמו פעולה בקיום המגעים האלה, ולכן השתמש הנאשם בנשק קר כדי להשיג את מבוקשו.</w:t>
      </w:r>
    </w:p>
    <w:p w14:paraId="2C69F981" w14:textId="77777777" w:rsidR="005F6337" w:rsidRDefault="005F6337">
      <w:pPr>
        <w:spacing w:line="240" w:lineRule="auto"/>
        <w:rPr>
          <w:rFonts w:hint="cs"/>
          <w:sz w:val="24"/>
          <w:rtl/>
        </w:rPr>
      </w:pPr>
    </w:p>
    <w:p w14:paraId="78959C35" w14:textId="77777777" w:rsidR="005F6337" w:rsidRDefault="005F6337">
      <w:pPr>
        <w:spacing w:line="240" w:lineRule="auto"/>
        <w:ind w:left="720" w:hanging="720"/>
        <w:rPr>
          <w:rFonts w:hint="cs"/>
          <w:sz w:val="24"/>
          <w:rtl/>
        </w:rPr>
      </w:pPr>
      <w:r>
        <w:rPr>
          <w:rFonts w:hint="cs"/>
          <w:sz w:val="24"/>
          <w:rtl/>
        </w:rPr>
        <w:t>31.</w:t>
      </w:r>
      <w:r>
        <w:rPr>
          <w:rFonts w:hint="cs"/>
          <w:sz w:val="24"/>
          <w:rtl/>
        </w:rPr>
        <w:tab/>
        <w:t>סיכומו של דבר: אני מציע לחברותי הנכבדות להרשיע את הנאשם בעבירות המיוחסות לו בכתב האישום, כמפורט בסעיף 1 להכרעת הדין.</w:t>
      </w:r>
    </w:p>
    <w:p w14:paraId="1E968EFF" w14:textId="77777777" w:rsidR="005F6337" w:rsidRDefault="00E74DE2">
      <w:pPr>
        <w:spacing w:line="240" w:lineRule="auto"/>
        <w:ind w:left="720" w:hanging="720"/>
        <w:rPr>
          <w:rFonts w:hint="cs"/>
          <w:sz w:val="24"/>
          <w:rtl/>
        </w:rPr>
      </w:pPr>
      <w:r>
        <w:rPr>
          <w:rFonts w:hint="cs"/>
          <w:sz w:val="24"/>
          <w:rtl/>
        </w:rPr>
        <w:t xml:space="preserve"> </w:t>
      </w: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93"/>
      </w:tblGrid>
      <w:tr w:rsidR="005F6337" w14:paraId="2C907995" w14:textId="77777777">
        <w:tc>
          <w:tcPr>
            <w:tcW w:w="2693" w:type="dxa"/>
            <w:tcBorders>
              <w:top w:val="single" w:sz="4" w:space="0" w:color="auto"/>
              <w:left w:val="nil"/>
              <w:bottom w:val="nil"/>
              <w:right w:val="nil"/>
            </w:tcBorders>
          </w:tcPr>
          <w:p w14:paraId="10F89C4A" w14:textId="77777777" w:rsidR="005F6337" w:rsidRDefault="005F6337">
            <w:pPr>
              <w:spacing w:line="240" w:lineRule="auto"/>
              <w:jc w:val="center"/>
              <w:rPr>
                <w:b/>
                <w:bCs/>
                <w:sz w:val="24"/>
              </w:rPr>
            </w:pPr>
            <w:r>
              <w:rPr>
                <w:rFonts w:hint="cs"/>
                <w:b/>
                <w:bCs/>
                <w:sz w:val="24"/>
                <w:rtl/>
              </w:rPr>
              <w:t>דוד בר-אופיר, סג"נ  אב"ד</w:t>
            </w:r>
          </w:p>
        </w:tc>
      </w:tr>
    </w:tbl>
    <w:p w14:paraId="3D951388" w14:textId="77777777" w:rsidR="005F6337" w:rsidRDefault="00E74DE2">
      <w:pPr>
        <w:spacing w:line="240" w:lineRule="auto"/>
        <w:rPr>
          <w:rFonts w:hint="cs"/>
          <w:sz w:val="24"/>
          <w:rtl/>
        </w:rPr>
      </w:pPr>
      <w:r>
        <w:rPr>
          <w:sz w:val="24"/>
          <w:rtl/>
        </w:rPr>
        <w:t xml:space="preserve"> </w:t>
      </w:r>
    </w:p>
    <w:p w14:paraId="1B1B3069" w14:textId="77777777" w:rsidR="005F6337" w:rsidRDefault="005F6337">
      <w:pPr>
        <w:spacing w:line="240" w:lineRule="auto"/>
        <w:ind w:left="720" w:hanging="720"/>
        <w:rPr>
          <w:sz w:val="24"/>
          <w:rtl/>
        </w:rPr>
      </w:pPr>
      <w:r>
        <w:rPr>
          <w:rFonts w:hint="cs"/>
          <w:b/>
          <w:bCs/>
          <w:sz w:val="24"/>
          <w:u w:val="single"/>
          <w:rtl/>
        </w:rPr>
        <w:t>השופטת הדסה אחיטוב-הרטמן</w:t>
      </w:r>
      <w:r>
        <w:rPr>
          <w:rFonts w:hint="cs"/>
          <w:sz w:val="24"/>
          <w:rtl/>
        </w:rPr>
        <w:t>:</w:t>
      </w:r>
    </w:p>
    <w:p w14:paraId="7D1CE41D" w14:textId="77777777" w:rsidR="005F6337" w:rsidRDefault="005F6337">
      <w:pPr>
        <w:spacing w:line="240" w:lineRule="auto"/>
        <w:rPr>
          <w:rFonts w:hint="cs"/>
          <w:sz w:val="24"/>
          <w:rtl/>
        </w:rPr>
      </w:pPr>
      <w:r>
        <w:rPr>
          <w:rFonts w:hint="cs"/>
          <w:sz w:val="24"/>
          <w:rtl/>
        </w:rPr>
        <w:t xml:space="preserve">אני מסכימה. </w:t>
      </w: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93"/>
      </w:tblGrid>
      <w:tr w:rsidR="005F6337" w14:paraId="2DBA554E" w14:textId="77777777">
        <w:tc>
          <w:tcPr>
            <w:tcW w:w="2693" w:type="dxa"/>
            <w:tcBorders>
              <w:top w:val="single" w:sz="4" w:space="0" w:color="auto"/>
              <w:left w:val="nil"/>
              <w:bottom w:val="nil"/>
              <w:right w:val="nil"/>
            </w:tcBorders>
          </w:tcPr>
          <w:p w14:paraId="586820AC" w14:textId="77777777" w:rsidR="005F6337" w:rsidRDefault="005F6337">
            <w:pPr>
              <w:spacing w:line="240" w:lineRule="auto"/>
              <w:jc w:val="center"/>
              <w:rPr>
                <w:b/>
                <w:bCs/>
                <w:sz w:val="24"/>
              </w:rPr>
            </w:pPr>
            <w:r>
              <w:rPr>
                <w:rFonts w:hint="cs"/>
                <w:b/>
                <w:bCs/>
                <w:sz w:val="24"/>
                <w:rtl/>
              </w:rPr>
              <w:t>הדסה אחיטוב-הרטמן, שופטת</w:t>
            </w:r>
          </w:p>
        </w:tc>
      </w:tr>
    </w:tbl>
    <w:p w14:paraId="60675D9C" w14:textId="77777777" w:rsidR="005F6337" w:rsidRDefault="005F6337">
      <w:pPr>
        <w:spacing w:line="240" w:lineRule="auto"/>
        <w:rPr>
          <w:rFonts w:hint="cs"/>
          <w:sz w:val="24"/>
          <w:rtl/>
        </w:rPr>
      </w:pPr>
      <w:r>
        <w:rPr>
          <w:rFonts w:hint="cs"/>
          <w:b/>
          <w:bCs/>
          <w:sz w:val="24"/>
          <w:u w:val="single"/>
          <w:rtl/>
        </w:rPr>
        <w:t>השופטת נירה לידסקי</w:t>
      </w:r>
      <w:r>
        <w:rPr>
          <w:rFonts w:hint="cs"/>
          <w:sz w:val="24"/>
          <w:rtl/>
        </w:rPr>
        <w:t>:</w:t>
      </w:r>
    </w:p>
    <w:p w14:paraId="787F266D" w14:textId="77777777" w:rsidR="005F6337" w:rsidRDefault="005F6337">
      <w:pPr>
        <w:spacing w:line="240" w:lineRule="auto"/>
        <w:rPr>
          <w:rFonts w:hint="cs"/>
          <w:sz w:val="24"/>
          <w:rtl/>
        </w:rPr>
      </w:pPr>
      <w:r>
        <w:rPr>
          <w:rFonts w:hint="cs"/>
          <w:sz w:val="24"/>
          <w:rtl/>
        </w:rPr>
        <w:t>אני מסכימה.</w:t>
      </w: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93"/>
      </w:tblGrid>
      <w:tr w:rsidR="005F6337" w14:paraId="210FC6C8" w14:textId="77777777">
        <w:tc>
          <w:tcPr>
            <w:tcW w:w="2693" w:type="dxa"/>
            <w:tcBorders>
              <w:top w:val="single" w:sz="4" w:space="0" w:color="auto"/>
              <w:left w:val="nil"/>
              <w:bottom w:val="nil"/>
              <w:right w:val="nil"/>
            </w:tcBorders>
          </w:tcPr>
          <w:p w14:paraId="40F20DFF" w14:textId="77777777" w:rsidR="005F6337" w:rsidRDefault="005F6337">
            <w:pPr>
              <w:spacing w:line="240" w:lineRule="auto"/>
              <w:jc w:val="center"/>
              <w:rPr>
                <w:b/>
                <w:bCs/>
                <w:sz w:val="24"/>
              </w:rPr>
            </w:pPr>
            <w:r>
              <w:rPr>
                <w:rFonts w:hint="cs"/>
                <w:b/>
                <w:bCs/>
                <w:sz w:val="24"/>
                <w:rtl/>
              </w:rPr>
              <w:t>נירה לידסקי, שופטת</w:t>
            </w:r>
          </w:p>
        </w:tc>
      </w:tr>
    </w:tbl>
    <w:p w14:paraId="7549A3A5" w14:textId="77777777" w:rsidR="005F6337" w:rsidRDefault="005F6337">
      <w:pPr>
        <w:spacing w:line="240" w:lineRule="auto"/>
        <w:rPr>
          <w:rFonts w:hint="cs"/>
          <w:sz w:val="24"/>
          <w:rtl/>
        </w:rPr>
      </w:pPr>
      <w:r>
        <w:rPr>
          <w:rFonts w:hint="cs"/>
          <w:b/>
          <w:bCs/>
          <w:sz w:val="24"/>
          <w:u w:val="single"/>
          <w:rtl/>
        </w:rPr>
        <w:t>סיכום הדברים</w:t>
      </w:r>
      <w:r>
        <w:rPr>
          <w:rFonts w:hint="cs"/>
          <w:sz w:val="24"/>
          <w:rtl/>
        </w:rPr>
        <w:t>:</w:t>
      </w:r>
    </w:p>
    <w:p w14:paraId="2517EB9A" w14:textId="77777777" w:rsidR="005F6337" w:rsidRDefault="00E74DE2">
      <w:pPr>
        <w:spacing w:line="240" w:lineRule="auto"/>
        <w:rPr>
          <w:rFonts w:hint="cs"/>
          <w:sz w:val="24"/>
          <w:rtl/>
        </w:rPr>
      </w:pPr>
      <w:r>
        <w:rPr>
          <w:rFonts w:hint="cs"/>
          <w:sz w:val="24"/>
          <w:rtl/>
        </w:rPr>
        <w:t xml:space="preserve"> </w:t>
      </w:r>
    </w:p>
    <w:p w14:paraId="21B633C3" w14:textId="77777777" w:rsidR="005F6337" w:rsidRDefault="005F6337">
      <w:pPr>
        <w:spacing w:line="240" w:lineRule="auto"/>
        <w:rPr>
          <w:rFonts w:hint="cs"/>
          <w:sz w:val="24"/>
          <w:rtl/>
        </w:rPr>
      </w:pPr>
      <w:r>
        <w:rPr>
          <w:rFonts w:hint="cs"/>
          <w:sz w:val="24"/>
          <w:rtl/>
        </w:rPr>
        <w:t>אנו מרשיעים את הנאשם עדנאן עבדאללה בעבירות המיוחסות לו בכתב האישום:</w:t>
      </w:r>
    </w:p>
    <w:p w14:paraId="65EC77E2" w14:textId="77777777" w:rsidR="005F6337" w:rsidRDefault="00E74DE2">
      <w:pPr>
        <w:spacing w:line="240" w:lineRule="auto"/>
        <w:rPr>
          <w:rFonts w:hint="cs"/>
          <w:sz w:val="24"/>
          <w:rtl/>
        </w:rPr>
      </w:pPr>
      <w:r>
        <w:rPr>
          <w:rFonts w:hint="cs"/>
          <w:sz w:val="24"/>
          <w:rtl/>
        </w:rPr>
        <w:t xml:space="preserve"> </w:t>
      </w:r>
    </w:p>
    <w:p w14:paraId="3BC01436" w14:textId="77777777" w:rsidR="005F6337" w:rsidRDefault="005F6337">
      <w:pPr>
        <w:spacing w:line="240" w:lineRule="auto"/>
        <w:ind w:left="720" w:hanging="720"/>
        <w:rPr>
          <w:rFonts w:hint="cs"/>
          <w:sz w:val="24"/>
          <w:rtl/>
        </w:rPr>
      </w:pPr>
      <w:r>
        <w:rPr>
          <w:rFonts w:hint="cs"/>
          <w:sz w:val="24"/>
          <w:rtl/>
        </w:rPr>
        <w:t>א.</w:t>
      </w:r>
      <w:r>
        <w:rPr>
          <w:rFonts w:hint="cs"/>
          <w:sz w:val="24"/>
          <w:rtl/>
        </w:rPr>
        <w:tab/>
        <w:t xml:space="preserve">סחיטה באיומים - עבירה לפי </w:t>
      </w:r>
      <w:hyperlink r:id="rId49" w:history="1">
        <w:r w:rsidR="00D93D12" w:rsidRPr="00D93D12">
          <w:rPr>
            <w:color w:val="0000FF"/>
            <w:sz w:val="24"/>
            <w:u w:val="single"/>
            <w:rtl/>
          </w:rPr>
          <w:t>סעיף 428</w:t>
        </w:r>
      </w:hyperlink>
      <w:r>
        <w:rPr>
          <w:rFonts w:hint="cs"/>
          <w:sz w:val="24"/>
          <w:rtl/>
        </w:rPr>
        <w:t xml:space="preserve"> סיפא ל</w:t>
      </w:r>
      <w:hyperlink r:id="rId50" w:history="1">
        <w:r w:rsidR="00E74DE2" w:rsidRPr="00E74DE2">
          <w:rPr>
            <w:rStyle w:val="Hyperlink"/>
            <w:rFonts w:hint="eastAsia"/>
            <w:sz w:val="24"/>
            <w:rtl/>
          </w:rPr>
          <w:t>חוק</w:t>
        </w:r>
        <w:r w:rsidR="00E74DE2" w:rsidRPr="00E74DE2">
          <w:rPr>
            <w:rStyle w:val="Hyperlink"/>
            <w:sz w:val="24"/>
            <w:rtl/>
          </w:rPr>
          <w:t xml:space="preserve"> העונשין</w:t>
        </w:r>
      </w:hyperlink>
      <w:r>
        <w:rPr>
          <w:rFonts w:hint="cs"/>
          <w:sz w:val="24"/>
          <w:rtl/>
        </w:rPr>
        <w:t>,  התשל"ז – 1977;</w:t>
      </w:r>
    </w:p>
    <w:p w14:paraId="52D41FCD" w14:textId="77777777" w:rsidR="005F6337" w:rsidRDefault="00E74DE2">
      <w:pPr>
        <w:spacing w:line="240" w:lineRule="auto"/>
        <w:ind w:left="720" w:hanging="720"/>
        <w:rPr>
          <w:rFonts w:hint="cs"/>
          <w:sz w:val="24"/>
          <w:rtl/>
        </w:rPr>
      </w:pPr>
      <w:r>
        <w:rPr>
          <w:rFonts w:hint="cs"/>
          <w:sz w:val="24"/>
          <w:rtl/>
        </w:rPr>
        <w:t xml:space="preserve"> </w:t>
      </w:r>
    </w:p>
    <w:p w14:paraId="2ED4E08D" w14:textId="77777777" w:rsidR="005F6337" w:rsidRDefault="005F6337">
      <w:pPr>
        <w:spacing w:line="240" w:lineRule="auto"/>
        <w:ind w:left="720" w:hanging="720"/>
        <w:rPr>
          <w:rFonts w:hint="cs"/>
          <w:sz w:val="24"/>
          <w:rtl/>
        </w:rPr>
      </w:pPr>
      <w:r>
        <w:rPr>
          <w:rFonts w:hint="cs"/>
          <w:sz w:val="24"/>
          <w:rtl/>
        </w:rPr>
        <w:t>ב.</w:t>
      </w:r>
      <w:r>
        <w:rPr>
          <w:rFonts w:hint="cs"/>
          <w:sz w:val="24"/>
          <w:rtl/>
        </w:rPr>
        <w:tab/>
        <w:t xml:space="preserve">מעשה מגונה - עבירה לפי </w:t>
      </w:r>
      <w:hyperlink r:id="rId51" w:history="1">
        <w:r w:rsidR="00D93D12" w:rsidRPr="00D93D12">
          <w:rPr>
            <w:color w:val="0000FF"/>
            <w:sz w:val="24"/>
            <w:u w:val="single"/>
            <w:rtl/>
          </w:rPr>
          <w:t>סעיף 348 (ב)</w:t>
        </w:r>
      </w:hyperlink>
      <w:r>
        <w:rPr>
          <w:rFonts w:hint="cs"/>
          <w:sz w:val="24"/>
          <w:rtl/>
        </w:rPr>
        <w:t xml:space="preserve"> בנסיבות </w:t>
      </w:r>
      <w:hyperlink r:id="rId52" w:history="1">
        <w:r w:rsidR="00D93D12" w:rsidRPr="00D93D12">
          <w:rPr>
            <w:color w:val="0000FF"/>
            <w:sz w:val="24"/>
            <w:u w:val="single"/>
            <w:rtl/>
          </w:rPr>
          <w:t>סעיף 345(ב)(2)</w:t>
        </w:r>
      </w:hyperlink>
      <w:r>
        <w:rPr>
          <w:rFonts w:hint="cs"/>
          <w:sz w:val="24"/>
          <w:rtl/>
        </w:rPr>
        <w:t xml:space="preserve"> ל</w:t>
      </w:r>
      <w:hyperlink r:id="rId53" w:history="1">
        <w:r w:rsidR="00E74DE2" w:rsidRPr="00E74DE2">
          <w:rPr>
            <w:rStyle w:val="Hyperlink"/>
            <w:rFonts w:hint="eastAsia"/>
            <w:sz w:val="24"/>
            <w:rtl/>
          </w:rPr>
          <w:t>חוק</w:t>
        </w:r>
        <w:r w:rsidR="00E74DE2" w:rsidRPr="00E74DE2">
          <w:rPr>
            <w:rStyle w:val="Hyperlink"/>
            <w:sz w:val="24"/>
            <w:rtl/>
          </w:rPr>
          <w:t xml:space="preserve"> העונשין</w:t>
        </w:r>
      </w:hyperlink>
      <w:r>
        <w:rPr>
          <w:rFonts w:hint="cs"/>
          <w:sz w:val="24"/>
          <w:rtl/>
        </w:rPr>
        <w:t xml:space="preserve">.  </w:t>
      </w:r>
    </w:p>
    <w:p w14:paraId="37B75C56" w14:textId="77777777" w:rsidR="005F6337" w:rsidRDefault="00E74DE2">
      <w:pPr>
        <w:spacing w:line="240" w:lineRule="auto"/>
        <w:ind w:left="720" w:hanging="720"/>
        <w:rPr>
          <w:rFonts w:hint="cs"/>
          <w:sz w:val="24"/>
          <w:rtl/>
        </w:rPr>
      </w:pPr>
      <w:r>
        <w:rPr>
          <w:rFonts w:hint="cs"/>
          <w:sz w:val="24"/>
          <w:rtl/>
        </w:rPr>
        <w:t xml:space="preserve"> </w:t>
      </w:r>
    </w:p>
    <w:p w14:paraId="105E244A" w14:textId="77777777" w:rsidR="005F6337" w:rsidRDefault="005F6337">
      <w:pPr>
        <w:pStyle w:val="BodyText"/>
        <w:spacing w:line="240" w:lineRule="auto"/>
        <w:rPr>
          <w:rFonts w:hint="cs"/>
          <w:sz w:val="24"/>
          <w:szCs w:val="24"/>
          <w:rtl/>
        </w:rPr>
      </w:pPr>
      <w:r>
        <w:rPr>
          <w:rFonts w:hint="cs"/>
          <w:sz w:val="24"/>
          <w:szCs w:val="24"/>
          <w:rtl/>
        </w:rPr>
        <w:t xml:space="preserve">ניתנה היום, 14/4/02 במעמד ב"כ התביעה עו"ד ___________ הנאשם ובא-כוחו עו"ד ____________. </w:t>
      </w:r>
    </w:p>
    <w:p w14:paraId="06A2E495" w14:textId="77777777" w:rsidR="005F6337" w:rsidRDefault="00E74DE2">
      <w:pPr>
        <w:pStyle w:val="BodyText"/>
        <w:spacing w:line="240" w:lineRule="auto"/>
        <w:rPr>
          <w:rFonts w:hint="cs"/>
          <w:sz w:val="24"/>
          <w:szCs w:val="24"/>
          <w:rtl/>
        </w:rPr>
      </w:pPr>
      <w:r>
        <w:rPr>
          <w:rFonts w:hint="cs"/>
          <w:sz w:val="24"/>
          <w:szCs w:val="24"/>
          <w:rtl/>
        </w:rPr>
        <w:t xml:space="preserve"> </w:t>
      </w:r>
    </w:p>
    <w:p w14:paraId="3227D65C" w14:textId="77777777" w:rsidR="005F6337" w:rsidRDefault="00E74DE2">
      <w:pPr>
        <w:spacing w:line="240" w:lineRule="auto"/>
        <w:rPr>
          <w:rFonts w:hint="cs"/>
          <w:b/>
          <w:bCs/>
          <w:sz w:val="24"/>
          <w:rtl/>
        </w:rPr>
      </w:pPr>
      <w:r>
        <w:rPr>
          <w:rFonts w:hint="cs"/>
          <w:b/>
          <w:bCs/>
          <w:sz w:val="24"/>
          <w:rtl/>
        </w:rPr>
        <w:t xml:space="preserve"> </w:t>
      </w:r>
    </w:p>
    <w:tbl>
      <w:tblPr>
        <w:tblW w:w="0" w:type="auto"/>
        <w:tblLook w:val="0000" w:firstRow="0" w:lastRow="0" w:firstColumn="0" w:lastColumn="0" w:noHBand="0" w:noVBand="0"/>
      </w:tblPr>
      <w:tblGrid>
        <w:gridCol w:w="2093"/>
        <w:gridCol w:w="709"/>
        <w:gridCol w:w="2693"/>
        <w:gridCol w:w="709"/>
        <w:gridCol w:w="2325"/>
      </w:tblGrid>
      <w:tr w:rsidR="005F6337" w14:paraId="5E30BD80" w14:textId="77777777">
        <w:tc>
          <w:tcPr>
            <w:tcW w:w="2093" w:type="dxa"/>
            <w:tcBorders>
              <w:top w:val="single" w:sz="4" w:space="0" w:color="auto"/>
              <w:left w:val="nil"/>
              <w:bottom w:val="nil"/>
              <w:right w:val="nil"/>
            </w:tcBorders>
          </w:tcPr>
          <w:p w14:paraId="3D576409" w14:textId="77777777" w:rsidR="005F6337" w:rsidRDefault="005F6337">
            <w:pPr>
              <w:spacing w:line="240" w:lineRule="auto"/>
              <w:jc w:val="center"/>
              <w:rPr>
                <w:rFonts w:hint="cs"/>
                <w:b/>
                <w:bCs/>
                <w:color w:val="FFFFFF"/>
                <w:sz w:val="4"/>
                <w:szCs w:val="4"/>
                <w:rtl/>
              </w:rPr>
            </w:pPr>
          </w:p>
          <w:p w14:paraId="5CA5743A" w14:textId="77777777" w:rsidR="005F6337" w:rsidRDefault="005F6337">
            <w:pPr>
              <w:spacing w:line="240" w:lineRule="auto"/>
              <w:jc w:val="center"/>
              <w:rPr>
                <w:b/>
                <w:bCs/>
                <w:sz w:val="24"/>
              </w:rPr>
            </w:pPr>
            <w:r>
              <w:rPr>
                <w:b/>
                <w:bCs/>
                <w:color w:val="FFFFFF"/>
                <w:sz w:val="4"/>
                <w:szCs w:val="4"/>
                <w:rtl/>
              </w:rPr>
              <w:t>5129371</w:t>
            </w:r>
            <w:r>
              <w:rPr>
                <w:rFonts w:hint="cs"/>
                <w:b/>
                <w:bCs/>
                <w:sz w:val="24"/>
                <w:rtl/>
              </w:rPr>
              <w:t>נירה לידסקי, שופטת</w:t>
            </w:r>
          </w:p>
        </w:tc>
        <w:tc>
          <w:tcPr>
            <w:tcW w:w="709" w:type="dxa"/>
          </w:tcPr>
          <w:p w14:paraId="5268AF6F" w14:textId="77777777" w:rsidR="005F6337" w:rsidRDefault="00E74DE2">
            <w:pPr>
              <w:spacing w:line="240" w:lineRule="auto"/>
              <w:jc w:val="center"/>
              <w:rPr>
                <w:sz w:val="24"/>
              </w:rPr>
            </w:pPr>
            <w:r>
              <w:rPr>
                <w:sz w:val="24"/>
                <w:rtl/>
              </w:rPr>
              <w:t xml:space="preserve"> </w:t>
            </w:r>
          </w:p>
        </w:tc>
        <w:tc>
          <w:tcPr>
            <w:tcW w:w="2693" w:type="dxa"/>
            <w:tcBorders>
              <w:top w:val="single" w:sz="4" w:space="0" w:color="auto"/>
              <w:left w:val="nil"/>
              <w:bottom w:val="nil"/>
              <w:right w:val="nil"/>
            </w:tcBorders>
          </w:tcPr>
          <w:p w14:paraId="151F116A" w14:textId="77777777" w:rsidR="005F6337" w:rsidRDefault="005F6337">
            <w:pPr>
              <w:spacing w:line="240" w:lineRule="auto"/>
              <w:jc w:val="center"/>
              <w:rPr>
                <w:b/>
                <w:bCs/>
                <w:sz w:val="24"/>
              </w:rPr>
            </w:pPr>
            <w:r>
              <w:rPr>
                <w:rFonts w:hint="cs"/>
                <w:b/>
                <w:bCs/>
                <w:sz w:val="24"/>
                <w:rtl/>
              </w:rPr>
              <w:t>הדסה אחיטוב-הרטמן, שופטת</w:t>
            </w:r>
          </w:p>
        </w:tc>
        <w:tc>
          <w:tcPr>
            <w:tcW w:w="709" w:type="dxa"/>
          </w:tcPr>
          <w:p w14:paraId="63EBCC0C" w14:textId="77777777" w:rsidR="005F6337" w:rsidRDefault="00E74DE2">
            <w:pPr>
              <w:spacing w:line="240" w:lineRule="auto"/>
              <w:rPr>
                <w:sz w:val="24"/>
              </w:rPr>
            </w:pPr>
            <w:r>
              <w:rPr>
                <w:sz w:val="24"/>
                <w:rtl/>
              </w:rPr>
              <w:t xml:space="preserve"> </w:t>
            </w:r>
          </w:p>
        </w:tc>
        <w:tc>
          <w:tcPr>
            <w:tcW w:w="2325" w:type="dxa"/>
            <w:tcBorders>
              <w:top w:val="single" w:sz="4" w:space="0" w:color="auto"/>
              <w:left w:val="nil"/>
              <w:bottom w:val="nil"/>
              <w:right w:val="nil"/>
            </w:tcBorders>
          </w:tcPr>
          <w:p w14:paraId="67FFDF91" w14:textId="77777777" w:rsidR="005F6337" w:rsidRDefault="005F6337">
            <w:pPr>
              <w:spacing w:line="240" w:lineRule="auto"/>
              <w:jc w:val="center"/>
              <w:rPr>
                <w:b/>
                <w:bCs/>
                <w:sz w:val="24"/>
              </w:rPr>
            </w:pPr>
            <w:r>
              <w:rPr>
                <w:rFonts w:hint="cs"/>
                <w:b/>
                <w:bCs/>
                <w:sz w:val="24"/>
                <w:rtl/>
              </w:rPr>
              <w:t>דוד בר-אופיר, סג"נ אב"ד</w:t>
            </w:r>
          </w:p>
        </w:tc>
      </w:tr>
    </w:tbl>
    <w:p w14:paraId="0EE2D30F" w14:textId="77777777" w:rsidR="005F6337" w:rsidRDefault="00E74DE2">
      <w:pPr>
        <w:spacing w:line="240" w:lineRule="auto"/>
        <w:rPr>
          <w:rFonts w:hint="cs"/>
          <w:sz w:val="24"/>
          <w:rtl/>
        </w:rPr>
      </w:pPr>
      <w:r>
        <w:rPr>
          <w:rFonts w:hint="cs"/>
          <w:sz w:val="24"/>
          <w:rtl/>
        </w:rPr>
        <w:t xml:space="preserve"> </w:t>
      </w:r>
    </w:p>
    <w:p w14:paraId="2EC7AE15" w14:textId="77777777" w:rsidR="005F6337" w:rsidRDefault="005F6337">
      <w:pPr>
        <w:spacing w:line="240" w:lineRule="auto"/>
        <w:rPr>
          <w:rFonts w:hint="cs"/>
          <w:sz w:val="24"/>
          <w:rtl/>
        </w:rPr>
      </w:pPr>
    </w:p>
    <w:p w14:paraId="3D6E27FB" w14:textId="77777777" w:rsidR="005F6337" w:rsidRDefault="005F6337">
      <w:pPr>
        <w:spacing w:line="240" w:lineRule="auto"/>
        <w:rPr>
          <w:rFonts w:hint="cs"/>
          <w:sz w:val="24"/>
          <w:rtl/>
        </w:rPr>
      </w:pPr>
      <w:r>
        <w:rPr>
          <w:sz w:val="24"/>
          <w:rtl/>
        </w:rPr>
        <w:t>נוסח זה כפוף לשינויי עריכה וניסוח</w:t>
      </w:r>
    </w:p>
    <w:sectPr w:rsidR="005F6337">
      <w:headerReference w:type="even" r:id="rId54"/>
      <w:headerReference w:type="default" r:id="rId55"/>
      <w:footerReference w:type="even" r:id="rId56"/>
      <w:footerReference w:type="default" r:id="rId57"/>
      <w:endnotePr>
        <w:numFmt w:val="lowerLetter"/>
      </w:endnotePr>
      <w:pgSz w:w="11907" w:h="16839"/>
      <w:pgMar w:top="1440" w:right="1797" w:bottom="1440" w:left="1797" w:header="709" w:footer="709" w:gutter="0"/>
      <w:pgNumType w:start="1"/>
      <w:cols w:space="720"/>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89F1" w14:textId="77777777" w:rsidR="00B734BB" w:rsidRDefault="00B734BB">
      <w:r>
        <w:separator/>
      </w:r>
    </w:p>
  </w:endnote>
  <w:endnote w:type="continuationSeparator" w:id="0">
    <w:p w14:paraId="13750218" w14:textId="77777777" w:rsidR="00B734BB" w:rsidRDefault="00B73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1773" w14:textId="77777777" w:rsidR="00471B91" w:rsidRDefault="00471B91">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588359FD" w14:textId="77777777" w:rsidR="00471B91" w:rsidRDefault="00471B91">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201620" w14:textId="77777777" w:rsidR="00471B91" w:rsidRDefault="00471B9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E:\Workruti\nevo\InAsc\M995169.DOC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4174" w14:textId="77777777" w:rsidR="00471B91" w:rsidRDefault="00471B91">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6F3B80">
      <w:rPr>
        <w:rFonts w:hAnsi="David"/>
        <w:noProof/>
        <w:sz w:val="24"/>
        <w:rtl/>
      </w:rPr>
      <w:t>1</w:t>
    </w:r>
    <w:r>
      <w:rPr>
        <w:rFonts w:hAnsi="David"/>
        <w:sz w:val="24"/>
        <w:rtl/>
      </w:rPr>
      <w:fldChar w:fldCharType="end"/>
    </w:r>
  </w:p>
  <w:p w14:paraId="26F4C041" w14:textId="77777777" w:rsidR="00471B91" w:rsidRDefault="00471B91">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805189" w14:textId="77777777" w:rsidR="00471B91" w:rsidRDefault="00471B9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E:\Workruti\nevo\InAsc\M995169.DOC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0A58B" w14:textId="77777777" w:rsidR="00B734BB" w:rsidRDefault="00B734BB">
      <w:r>
        <w:separator/>
      </w:r>
    </w:p>
  </w:footnote>
  <w:footnote w:type="continuationSeparator" w:id="0">
    <w:p w14:paraId="0359A273" w14:textId="77777777" w:rsidR="00B734BB" w:rsidRDefault="00B73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EAB3" w14:textId="77777777" w:rsidR="00471B91" w:rsidRDefault="00471B91">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(ת"א)   5169/99</w:t>
    </w:r>
    <w:r>
      <w:rPr>
        <w:rFonts w:hAnsi="David"/>
        <w:color w:val="000000"/>
        <w:sz w:val="22"/>
        <w:szCs w:val="22"/>
        <w:rtl/>
      </w:rPr>
      <w:tab/>
      <w:t xml:space="preserve"> מדינת ישראל נ' עבדאללה עדנן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C896" w14:textId="77777777" w:rsidR="00471B91" w:rsidRDefault="00471B91">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(ת"א)   5169/99</w:t>
    </w:r>
    <w:r>
      <w:rPr>
        <w:rFonts w:hAnsi="David"/>
        <w:color w:val="000000"/>
        <w:sz w:val="22"/>
        <w:szCs w:val="22"/>
        <w:rtl/>
      </w:rPr>
      <w:tab/>
      <w:t xml:space="preserve"> מדינת ישראל נ' עבדאללה עדנן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5F6337"/>
    <w:rsid w:val="00471B91"/>
    <w:rsid w:val="004A031B"/>
    <w:rsid w:val="005F6337"/>
    <w:rsid w:val="006F3B80"/>
    <w:rsid w:val="00B734BB"/>
    <w:rsid w:val="00CB6D26"/>
    <w:rsid w:val="00D93D12"/>
    <w:rsid w:val="00E74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F28EA41"/>
  <w15:chartTrackingRefBased/>
  <w15:docId w15:val="{A5783056-BB23-425C-8361-AC706E69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verflowPunct w:val="0"/>
      <w:adjustRightInd w:val="0"/>
      <w:outlineLvl w:val="3"/>
    </w:pPr>
    <w:rPr>
      <w:rFonts w:cs="Times New Roman"/>
      <w:b/>
      <w:bCs/>
      <w:sz w:val="28"/>
      <w:szCs w:val="28"/>
      <w:u w:val="single"/>
    </w:rPr>
  </w:style>
  <w:style w:type="paragraph" w:styleId="Heading5">
    <w:name w:val="heading 5"/>
    <w:basedOn w:val="Normal"/>
    <w:next w:val="Normal"/>
    <w:qFormat/>
    <w:pPr>
      <w:ind w:left="-1767"/>
      <w:jc w:val="left"/>
      <w:outlineLvl w:val="4"/>
    </w:pPr>
    <w:rPr>
      <w:rFonts w:ascii="Arial" w:hAnsi="Arial" w:cs="Arial"/>
      <w:b/>
      <w:bCs/>
      <w:sz w:val="28"/>
      <w:szCs w:val="28"/>
      <w:u w:val="single"/>
    </w:rPr>
  </w:style>
  <w:style w:type="paragraph" w:styleId="Heading6">
    <w:name w:val="heading 6"/>
    <w:basedOn w:val="Normal"/>
    <w:next w:val="Normal"/>
    <w:qFormat/>
    <w:pPr>
      <w:keepNext/>
      <w:outlineLvl w:val="5"/>
    </w:pPr>
    <w:rPr>
      <w:b/>
      <w:b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b/>
      <w:bCs/>
      <w:sz w:val="28"/>
      <w:szCs w:val="28"/>
    </w:rPr>
  </w:style>
  <w:style w:type="paragraph" w:styleId="BodyTextIndent">
    <w:name w:val="Body Text Indent"/>
    <w:basedOn w:val="Normal"/>
    <w:pPr>
      <w:ind w:left="720" w:hanging="720"/>
    </w:pPr>
    <w:rPr>
      <w:sz w:val="28"/>
      <w:szCs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E74DE2"/>
    <w:rPr>
      <w:color w:val="0000FF"/>
      <w:u w:val="single"/>
    </w:rPr>
  </w:style>
  <w:style w:type="character" w:customStyle="1" w:styleId="a2">
    <w:name w:val="אזכור לא מזוהה"/>
    <w:uiPriority w:val="99"/>
    <w:semiHidden/>
    <w:unhideWhenUsed/>
    <w:rsid w:val="00D93D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10a.a" TargetMode="External"/><Relationship Id="rId18" Type="http://schemas.openxmlformats.org/officeDocument/2006/relationships/hyperlink" Target="http://www.nevo.co.il/law/70301/345.b.2" TargetMode="External"/><Relationship Id="rId26" Type="http://schemas.openxmlformats.org/officeDocument/2006/relationships/hyperlink" Target="http://www.nevo.co.il/law/98569/10a.a" TargetMode="External"/><Relationship Id="rId39" Type="http://schemas.openxmlformats.org/officeDocument/2006/relationships/hyperlink" Target="http://www.nevo.co.il/law/70301/428" TargetMode="External"/><Relationship Id="rId21" Type="http://schemas.openxmlformats.org/officeDocument/2006/relationships/hyperlink" Target="http://www.nevo.co.il/law/98569" TargetMode="External"/><Relationship Id="rId34" Type="http://schemas.openxmlformats.org/officeDocument/2006/relationships/hyperlink" Target="http://www.nevo.co.il/law/98569"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348.b" TargetMode="External"/><Relationship Id="rId50" Type="http://schemas.openxmlformats.org/officeDocument/2006/relationships/hyperlink" Target="http://www.nevo.co.il/law/70301" TargetMode="External"/><Relationship Id="rId55" Type="http://schemas.openxmlformats.org/officeDocument/2006/relationships/header" Target="header2.xml"/><Relationship Id="rId7" Type="http://schemas.openxmlformats.org/officeDocument/2006/relationships/hyperlink" Target="http://www.nevo.co.il/law/70301/345.b"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17920174" TargetMode="External"/><Relationship Id="rId11" Type="http://schemas.openxmlformats.org/officeDocument/2006/relationships/hyperlink" Target="http://www.nevo.co.il/law/70301/428" TargetMode="External"/><Relationship Id="rId24" Type="http://schemas.openxmlformats.org/officeDocument/2006/relationships/hyperlink" Target="http://www.nevo.co.il/case/17915480" TargetMode="External"/><Relationship Id="rId32" Type="http://schemas.openxmlformats.org/officeDocument/2006/relationships/hyperlink" Target="http://www.nevo.co.il/case/17928383" TargetMode="External"/><Relationship Id="rId37" Type="http://schemas.openxmlformats.org/officeDocument/2006/relationships/hyperlink" Target="http://www.nevo.co.il/law/98569/10a.d"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48.b.;345.b" TargetMode="External"/><Relationship Id="rId53" Type="http://schemas.openxmlformats.org/officeDocument/2006/relationships/hyperlink" Target="http://www.nevo.co.il/law/70301"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b" TargetMode="External"/><Relationship Id="rId14" Type="http://schemas.openxmlformats.org/officeDocument/2006/relationships/hyperlink" Target="http://www.nevo.co.il/law/98569/10a.d" TargetMode="External"/><Relationship Id="rId22" Type="http://schemas.openxmlformats.org/officeDocument/2006/relationships/hyperlink" Target="http://www.nevo.co.il/case/17911834" TargetMode="External"/><Relationship Id="rId27" Type="http://schemas.openxmlformats.org/officeDocument/2006/relationships/hyperlink" Target="http://www.nevo.co.il/law/98569" TargetMode="External"/><Relationship Id="rId30" Type="http://schemas.openxmlformats.org/officeDocument/2006/relationships/hyperlink" Target="http://www.nevo.co.il/law/98569/10a.a" TargetMode="External"/><Relationship Id="rId35" Type="http://schemas.openxmlformats.org/officeDocument/2006/relationships/hyperlink" Target="http://www.nevo.co.il/law/98569/10a.a" TargetMode="External"/><Relationship Id="rId43" Type="http://schemas.openxmlformats.org/officeDocument/2006/relationships/hyperlink" Target="http://www.nevo.co.il/law/70301/345.b.2" TargetMode="External"/><Relationship Id="rId48" Type="http://schemas.openxmlformats.org/officeDocument/2006/relationships/hyperlink" Target="http://www.nevo.co.il/law/70301/345.b" TargetMode="External"/><Relationship Id="rId56" Type="http://schemas.openxmlformats.org/officeDocument/2006/relationships/footer" Target="footer1.xml"/><Relationship Id="rId8" Type="http://schemas.openxmlformats.org/officeDocument/2006/relationships/hyperlink" Target="http://www.nevo.co.il/law/70301/345.b.2" TargetMode="External"/><Relationship Id="rId51" Type="http://schemas.openxmlformats.org/officeDocument/2006/relationships/hyperlink" Target="http://www.nevo.co.il/law/70301/348.b" TargetMode="External"/><Relationship Id="rId3" Type="http://schemas.openxmlformats.org/officeDocument/2006/relationships/webSettings" Target="webSettings.xml"/><Relationship Id="rId12" Type="http://schemas.openxmlformats.org/officeDocument/2006/relationships/hyperlink" Target="http://www.nevo.co.il/law/98569"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case/17944376" TargetMode="External"/><Relationship Id="rId33" Type="http://schemas.openxmlformats.org/officeDocument/2006/relationships/hyperlink" Target="http://www.nevo.co.il/law/98569/10a.d" TargetMode="External"/><Relationship Id="rId38" Type="http://schemas.openxmlformats.org/officeDocument/2006/relationships/hyperlink" Target="http://www.nevo.co.il/law/98569" TargetMode="External"/><Relationship Id="rId46" Type="http://schemas.openxmlformats.org/officeDocument/2006/relationships/hyperlink" Target="http://www.nevo.co.il/law/70301/348.b" TargetMode="External"/><Relationship Id="rId59" Type="http://schemas.openxmlformats.org/officeDocument/2006/relationships/theme" Target="theme/theme1.xml"/><Relationship Id="rId20" Type="http://schemas.openxmlformats.org/officeDocument/2006/relationships/hyperlink" Target="http://www.nevo.co.il/law/98569/10a.a" TargetMode="External"/><Relationship Id="rId41" Type="http://schemas.openxmlformats.org/officeDocument/2006/relationships/hyperlink" Target="http://www.nevo.co.il/law/70301/348.b"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28" TargetMode="External"/><Relationship Id="rId23" Type="http://schemas.openxmlformats.org/officeDocument/2006/relationships/hyperlink" Target="http://www.nevo.co.il/case/17923105" TargetMode="External"/><Relationship Id="rId28" Type="http://schemas.openxmlformats.org/officeDocument/2006/relationships/hyperlink" Target="http://www.nevo.co.il/case/17930702" TargetMode="External"/><Relationship Id="rId36" Type="http://schemas.openxmlformats.org/officeDocument/2006/relationships/hyperlink" Target="http://www.nevo.co.il/law/98569" TargetMode="External"/><Relationship Id="rId49" Type="http://schemas.openxmlformats.org/officeDocument/2006/relationships/hyperlink" Target="http://www.nevo.co.il/law/70301/428" TargetMode="External"/><Relationship Id="rId57" Type="http://schemas.openxmlformats.org/officeDocument/2006/relationships/footer" Target="footer2.xml"/><Relationship Id="rId10" Type="http://schemas.openxmlformats.org/officeDocument/2006/relationships/hyperlink" Target="http://www.nevo.co.il/law/70301/348.f" TargetMode="External"/><Relationship Id="rId31" Type="http://schemas.openxmlformats.org/officeDocument/2006/relationships/hyperlink" Target="http://www.nevo.co.il/law/98569" TargetMode="External"/><Relationship Id="rId44" Type="http://schemas.openxmlformats.org/officeDocument/2006/relationships/hyperlink" Target="http://www.nevo.co.il/law/70301/348.f" TargetMode="External"/><Relationship Id="rId52" Type="http://schemas.openxmlformats.org/officeDocument/2006/relationships/hyperlink" Target="http://www.nevo.co.il/law/70301/345.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4149</Words>
  <Characters>23655</Characters>
  <Application>Microsoft Office Word</Application>
  <DocSecurity>0</DocSecurity>
  <Lines>197</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27749</CharactersWithSpaces>
  <SharedDoc>false</SharedDoc>
  <HLinks>
    <vt:vector size="288" baseType="variant">
      <vt:variant>
        <vt:i4>7995492</vt:i4>
      </vt:variant>
      <vt:variant>
        <vt:i4>141</vt:i4>
      </vt:variant>
      <vt:variant>
        <vt:i4>0</vt:i4>
      </vt:variant>
      <vt:variant>
        <vt:i4>5</vt:i4>
      </vt:variant>
      <vt:variant>
        <vt:lpwstr>http://www.nevo.co.il/law/70301</vt:lpwstr>
      </vt:variant>
      <vt:variant>
        <vt:lpwstr/>
      </vt:variant>
      <vt:variant>
        <vt:i4>6357041</vt:i4>
      </vt:variant>
      <vt:variant>
        <vt:i4>138</vt:i4>
      </vt:variant>
      <vt:variant>
        <vt:i4>0</vt:i4>
      </vt:variant>
      <vt:variant>
        <vt:i4>5</vt:i4>
      </vt:variant>
      <vt:variant>
        <vt:lpwstr>http://www.nevo.co.il/law/70301/345.b.2</vt:lpwstr>
      </vt:variant>
      <vt:variant>
        <vt:lpwstr/>
      </vt:variant>
      <vt:variant>
        <vt:i4>5177438</vt:i4>
      </vt:variant>
      <vt:variant>
        <vt:i4>135</vt:i4>
      </vt:variant>
      <vt:variant>
        <vt:i4>0</vt:i4>
      </vt:variant>
      <vt:variant>
        <vt:i4>5</vt:i4>
      </vt:variant>
      <vt:variant>
        <vt:lpwstr>http://www.nevo.co.il/law/70301/348.b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6750305</vt:i4>
      </vt:variant>
      <vt:variant>
        <vt:i4>129</vt:i4>
      </vt:variant>
      <vt:variant>
        <vt:i4>0</vt:i4>
      </vt:variant>
      <vt:variant>
        <vt:i4>5</vt:i4>
      </vt:variant>
      <vt:variant>
        <vt:lpwstr>http://www.nevo.co.il/law/70301/428</vt:lpwstr>
      </vt:variant>
      <vt:variant>
        <vt:lpwstr/>
      </vt:variant>
      <vt:variant>
        <vt:i4>5177427</vt:i4>
      </vt:variant>
      <vt:variant>
        <vt:i4>126</vt:i4>
      </vt:variant>
      <vt:variant>
        <vt:i4>0</vt:i4>
      </vt:variant>
      <vt:variant>
        <vt:i4>5</vt:i4>
      </vt:variant>
      <vt:variant>
        <vt:lpwstr>http://www.nevo.co.il/law/70301/345.b</vt:lpwstr>
      </vt:variant>
      <vt:variant>
        <vt:lpwstr/>
      </vt:variant>
      <vt:variant>
        <vt:i4>5177438</vt:i4>
      </vt:variant>
      <vt:variant>
        <vt:i4>123</vt:i4>
      </vt:variant>
      <vt:variant>
        <vt:i4>0</vt:i4>
      </vt:variant>
      <vt:variant>
        <vt:i4>5</vt:i4>
      </vt:variant>
      <vt:variant>
        <vt:lpwstr>http://www.nevo.co.il/law/70301/348.b</vt:lpwstr>
      </vt:variant>
      <vt:variant>
        <vt:lpwstr/>
      </vt:variant>
      <vt:variant>
        <vt:i4>5177438</vt:i4>
      </vt:variant>
      <vt:variant>
        <vt:i4>120</vt:i4>
      </vt:variant>
      <vt:variant>
        <vt:i4>0</vt:i4>
      </vt:variant>
      <vt:variant>
        <vt:i4>5</vt:i4>
      </vt:variant>
      <vt:variant>
        <vt:lpwstr>http://www.nevo.co.il/law/70301/348.b</vt:lpwstr>
      </vt:variant>
      <vt:variant>
        <vt:lpwstr/>
      </vt:variant>
      <vt:variant>
        <vt:i4>327709</vt:i4>
      </vt:variant>
      <vt:variant>
        <vt:i4>117</vt:i4>
      </vt:variant>
      <vt:variant>
        <vt:i4>0</vt:i4>
      </vt:variant>
      <vt:variant>
        <vt:i4>5</vt:i4>
      </vt:variant>
      <vt:variant>
        <vt:lpwstr>http://www.nevo.co.il/law/70301/348.b.;345.b</vt:lpwstr>
      </vt:variant>
      <vt:variant>
        <vt:lpwstr/>
      </vt:variant>
      <vt:variant>
        <vt:i4>5177438</vt:i4>
      </vt:variant>
      <vt:variant>
        <vt:i4>114</vt:i4>
      </vt:variant>
      <vt:variant>
        <vt:i4>0</vt:i4>
      </vt:variant>
      <vt:variant>
        <vt:i4>5</vt:i4>
      </vt:variant>
      <vt:variant>
        <vt:lpwstr>http://www.nevo.co.il/law/70301/348.f</vt:lpwstr>
      </vt:variant>
      <vt:variant>
        <vt:lpwstr/>
      </vt:variant>
      <vt:variant>
        <vt:i4>6357041</vt:i4>
      </vt:variant>
      <vt:variant>
        <vt:i4>111</vt:i4>
      </vt:variant>
      <vt:variant>
        <vt:i4>0</vt:i4>
      </vt:variant>
      <vt:variant>
        <vt:i4>5</vt:i4>
      </vt:variant>
      <vt:variant>
        <vt:lpwstr>http://www.nevo.co.il/law/70301/345.b.2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5177438</vt:i4>
      </vt:variant>
      <vt:variant>
        <vt:i4>105</vt:i4>
      </vt:variant>
      <vt:variant>
        <vt:i4>0</vt:i4>
      </vt:variant>
      <vt:variant>
        <vt:i4>5</vt:i4>
      </vt:variant>
      <vt:variant>
        <vt:lpwstr>http://www.nevo.co.il/law/70301/348.b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6750305</vt:i4>
      </vt:variant>
      <vt:variant>
        <vt:i4>99</vt:i4>
      </vt:variant>
      <vt:variant>
        <vt:i4>0</vt:i4>
      </vt:variant>
      <vt:variant>
        <vt:i4>5</vt:i4>
      </vt:variant>
      <vt:variant>
        <vt:lpwstr>http://www.nevo.co.il/law/70301/428</vt:lpwstr>
      </vt:variant>
      <vt:variant>
        <vt:lpwstr/>
      </vt:variant>
      <vt:variant>
        <vt:i4>7602284</vt:i4>
      </vt:variant>
      <vt:variant>
        <vt:i4>96</vt:i4>
      </vt:variant>
      <vt:variant>
        <vt:i4>0</vt:i4>
      </vt:variant>
      <vt:variant>
        <vt:i4>5</vt:i4>
      </vt:variant>
      <vt:variant>
        <vt:lpwstr>http://www.nevo.co.il/law/98569</vt:lpwstr>
      </vt:variant>
      <vt:variant>
        <vt:lpwstr/>
      </vt:variant>
      <vt:variant>
        <vt:i4>4521989</vt:i4>
      </vt:variant>
      <vt:variant>
        <vt:i4>93</vt:i4>
      </vt:variant>
      <vt:variant>
        <vt:i4>0</vt:i4>
      </vt:variant>
      <vt:variant>
        <vt:i4>5</vt:i4>
      </vt:variant>
      <vt:variant>
        <vt:lpwstr>http://www.nevo.co.il/law/98569/10a.d</vt:lpwstr>
      </vt:variant>
      <vt:variant>
        <vt:lpwstr/>
      </vt:variant>
      <vt:variant>
        <vt:i4>7602284</vt:i4>
      </vt:variant>
      <vt:variant>
        <vt:i4>90</vt:i4>
      </vt:variant>
      <vt:variant>
        <vt:i4>0</vt:i4>
      </vt:variant>
      <vt:variant>
        <vt:i4>5</vt:i4>
      </vt:variant>
      <vt:variant>
        <vt:lpwstr>http://www.nevo.co.il/law/98569</vt:lpwstr>
      </vt:variant>
      <vt:variant>
        <vt:lpwstr/>
      </vt:variant>
      <vt:variant>
        <vt:i4>4521989</vt:i4>
      </vt:variant>
      <vt:variant>
        <vt:i4>87</vt:i4>
      </vt:variant>
      <vt:variant>
        <vt:i4>0</vt:i4>
      </vt:variant>
      <vt:variant>
        <vt:i4>5</vt:i4>
      </vt:variant>
      <vt:variant>
        <vt:lpwstr>http://www.nevo.co.il/law/98569/10a.a</vt:lpwstr>
      </vt:variant>
      <vt:variant>
        <vt:lpwstr/>
      </vt:variant>
      <vt:variant>
        <vt:i4>7602284</vt:i4>
      </vt:variant>
      <vt:variant>
        <vt:i4>84</vt:i4>
      </vt:variant>
      <vt:variant>
        <vt:i4>0</vt:i4>
      </vt:variant>
      <vt:variant>
        <vt:i4>5</vt:i4>
      </vt:variant>
      <vt:variant>
        <vt:lpwstr>http://www.nevo.co.il/law/98569</vt:lpwstr>
      </vt:variant>
      <vt:variant>
        <vt:lpwstr/>
      </vt:variant>
      <vt:variant>
        <vt:i4>4521989</vt:i4>
      </vt:variant>
      <vt:variant>
        <vt:i4>81</vt:i4>
      </vt:variant>
      <vt:variant>
        <vt:i4>0</vt:i4>
      </vt:variant>
      <vt:variant>
        <vt:i4>5</vt:i4>
      </vt:variant>
      <vt:variant>
        <vt:lpwstr>http://www.nevo.co.il/law/98569/10a.d</vt:lpwstr>
      </vt:variant>
      <vt:variant>
        <vt:lpwstr/>
      </vt:variant>
      <vt:variant>
        <vt:i4>3670130</vt:i4>
      </vt:variant>
      <vt:variant>
        <vt:i4>78</vt:i4>
      </vt:variant>
      <vt:variant>
        <vt:i4>0</vt:i4>
      </vt:variant>
      <vt:variant>
        <vt:i4>5</vt:i4>
      </vt:variant>
      <vt:variant>
        <vt:lpwstr>http://www.nevo.co.il/case/17928383</vt:lpwstr>
      </vt:variant>
      <vt:variant>
        <vt:lpwstr/>
      </vt:variant>
      <vt:variant>
        <vt:i4>7602284</vt:i4>
      </vt:variant>
      <vt:variant>
        <vt:i4>75</vt:i4>
      </vt:variant>
      <vt:variant>
        <vt:i4>0</vt:i4>
      </vt:variant>
      <vt:variant>
        <vt:i4>5</vt:i4>
      </vt:variant>
      <vt:variant>
        <vt:lpwstr>http://www.nevo.co.il/law/98569</vt:lpwstr>
      </vt:variant>
      <vt:variant>
        <vt:lpwstr/>
      </vt:variant>
      <vt:variant>
        <vt:i4>4521989</vt:i4>
      </vt:variant>
      <vt:variant>
        <vt:i4>72</vt:i4>
      </vt:variant>
      <vt:variant>
        <vt:i4>0</vt:i4>
      </vt:variant>
      <vt:variant>
        <vt:i4>5</vt:i4>
      </vt:variant>
      <vt:variant>
        <vt:lpwstr>http://www.nevo.co.il/law/98569/10a.a</vt:lpwstr>
      </vt:variant>
      <vt:variant>
        <vt:lpwstr/>
      </vt:variant>
      <vt:variant>
        <vt:i4>4128880</vt:i4>
      </vt:variant>
      <vt:variant>
        <vt:i4>69</vt:i4>
      </vt:variant>
      <vt:variant>
        <vt:i4>0</vt:i4>
      </vt:variant>
      <vt:variant>
        <vt:i4>5</vt:i4>
      </vt:variant>
      <vt:variant>
        <vt:lpwstr>http://www.nevo.co.il/case/17920174</vt:lpwstr>
      </vt:variant>
      <vt:variant>
        <vt:lpwstr/>
      </vt:variant>
      <vt:variant>
        <vt:i4>3670135</vt:i4>
      </vt:variant>
      <vt:variant>
        <vt:i4>66</vt:i4>
      </vt:variant>
      <vt:variant>
        <vt:i4>0</vt:i4>
      </vt:variant>
      <vt:variant>
        <vt:i4>5</vt:i4>
      </vt:variant>
      <vt:variant>
        <vt:lpwstr>http://www.nevo.co.il/case/17930702</vt:lpwstr>
      </vt:variant>
      <vt:variant>
        <vt:lpwstr/>
      </vt:variant>
      <vt:variant>
        <vt:i4>7602284</vt:i4>
      </vt:variant>
      <vt:variant>
        <vt:i4>63</vt:i4>
      </vt:variant>
      <vt:variant>
        <vt:i4>0</vt:i4>
      </vt:variant>
      <vt:variant>
        <vt:i4>5</vt:i4>
      </vt:variant>
      <vt:variant>
        <vt:lpwstr>http://www.nevo.co.il/law/98569</vt:lpwstr>
      </vt:variant>
      <vt:variant>
        <vt:lpwstr/>
      </vt:variant>
      <vt:variant>
        <vt:i4>4521989</vt:i4>
      </vt:variant>
      <vt:variant>
        <vt:i4>60</vt:i4>
      </vt:variant>
      <vt:variant>
        <vt:i4>0</vt:i4>
      </vt:variant>
      <vt:variant>
        <vt:i4>5</vt:i4>
      </vt:variant>
      <vt:variant>
        <vt:lpwstr>http://www.nevo.co.il/law/98569/10a.a</vt:lpwstr>
      </vt:variant>
      <vt:variant>
        <vt:lpwstr/>
      </vt:variant>
      <vt:variant>
        <vt:i4>3866740</vt:i4>
      </vt:variant>
      <vt:variant>
        <vt:i4>57</vt:i4>
      </vt:variant>
      <vt:variant>
        <vt:i4>0</vt:i4>
      </vt:variant>
      <vt:variant>
        <vt:i4>5</vt:i4>
      </vt:variant>
      <vt:variant>
        <vt:lpwstr>http://www.nevo.co.il/case/17944376</vt:lpwstr>
      </vt:variant>
      <vt:variant>
        <vt:lpwstr/>
      </vt:variant>
      <vt:variant>
        <vt:i4>3473526</vt:i4>
      </vt:variant>
      <vt:variant>
        <vt:i4>54</vt:i4>
      </vt:variant>
      <vt:variant>
        <vt:i4>0</vt:i4>
      </vt:variant>
      <vt:variant>
        <vt:i4>5</vt:i4>
      </vt:variant>
      <vt:variant>
        <vt:lpwstr>http://www.nevo.co.il/case/17915480</vt:lpwstr>
      </vt:variant>
      <vt:variant>
        <vt:lpwstr/>
      </vt:variant>
      <vt:variant>
        <vt:i4>3866736</vt:i4>
      </vt:variant>
      <vt:variant>
        <vt:i4>51</vt:i4>
      </vt:variant>
      <vt:variant>
        <vt:i4>0</vt:i4>
      </vt:variant>
      <vt:variant>
        <vt:i4>5</vt:i4>
      </vt:variant>
      <vt:variant>
        <vt:lpwstr>http://www.nevo.co.il/case/17923105</vt:lpwstr>
      </vt:variant>
      <vt:variant>
        <vt:lpwstr/>
      </vt:variant>
      <vt:variant>
        <vt:i4>3801210</vt:i4>
      </vt:variant>
      <vt:variant>
        <vt:i4>48</vt:i4>
      </vt:variant>
      <vt:variant>
        <vt:i4>0</vt:i4>
      </vt:variant>
      <vt:variant>
        <vt:i4>5</vt:i4>
      </vt:variant>
      <vt:variant>
        <vt:lpwstr>http://www.nevo.co.il/case/17911834</vt:lpwstr>
      </vt:variant>
      <vt:variant>
        <vt:lpwstr/>
      </vt:variant>
      <vt:variant>
        <vt:i4>7602284</vt:i4>
      </vt:variant>
      <vt:variant>
        <vt:i4>45</vt:i4>
      </vt:variant>
      <vt:variant>
        <vt:i4>0</vt:i4>
      </vt:variant>
      <vt:variant>
        <vt:i4>5</vt:i4>
      </vt:variant>
      <vt:variant>
        <vt:lpwstr>http://www.nevo.co.il/law/98569</vt:lpwstr>
      </vt:variant>
      <vt:variant>
        <vt:lpwstr/>
      </vt:variant>
      <vt:variant>
        <vt:i4>4521989</vt:i4>
      </vt:variant>
      <vt:variant>
        <vt:i4>42</vt:i4>
      </vt:variant>
      <vt:variant>
        <vt:i4>0</vt:i4>
      </vt:variant>
      <vt:variant>
        <vt:i4>5</vt:i4>
      </vt:variant>
      <vt:variant>
        <vt:lpwstr>http://www.nevo.co.il/law/98569/10a.a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6357041</vt:i4>
      </vt:variant>
      <vt:variant>
        <vt:i4>36</vt:i4>
      </vt:variant>
      <vt:variant>
        <vt:i4>0</vt:i4>
      </vt:variant>
      <vt:variant>
        <vt:i4>5</vt:i4>
      </vt:variant>
      <vt:variant>
        <vt:lpwstr>http://www.nevo.co.il/law/70301/345.b.2</vt:lpwstr>
      </vt:variant>
      <vt:variant>
        <vt:lpwstr/>
      </vt:variant>
      <vt:variant>
        <vt:i4>5177438</vt:i4>
      </vt:variant>
      <vt:variant>
        <vt:i4>33</vt:i4>
      </vt:variant>
      <vt:variant>
        <vt:i4>0</vt:i4>
      </vt:variant>
      <vt:variant>
        <vt:i4>5</vt:i4>
      </vt:variant>
      <vt:variant>
        <vt:lpwstr>http://www.nevo.co.il/law/70301/348.b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6750305</vt:i4>
      </vt:variant>
      <vt:variant>
        <vt:i4>27</vt:i4>
      </vt:variant>
      <vt:variant>
        <vt:i4>0</vt:i4>
      </vt:variant>
      <vt:variant>
        <vt:i4>5</vt:i4>
      </vt:variant>
      <vt:variant>
        <vt:lpwstr>http://www.nevo.co.il/law/70301/428</vt:lpwstr>
      </vt:variant>
      <vt:variant>
        <vt:lpwstr/>
      </vt:variant>
      <vt:variant>
        <vt:i4>4521989</vt:i4>
      </vt:variant>
      <vt:variant>
        <vt:i4>24</vt:i4>
      </vt:variant>
      <vt:variant>
        <vt:i4>0</vt:i4>
      </vt:variant>
      <vt:variant>
        <vt:i4>5</vt:i4>
      </vt:variant>
      <vt:variant>
        <vt:lpwstr>http://www.nevo.co.il/law/98569/10a.d</vt:lpwstr>
      </vt:variant>
      <vt:variant>
        <vt:lpwstr/>
      </vt:variant>
      <vt:variant>
        <vt:i4>4521989</vt:i4>
      </vt:variant>
      <vt:variant>
        <vt:i4>21</vt:i4>
      </vt:variant>
      <vt:variant>
        <vt:i4>0</vt:i4>
      </vt:variant>
      <vt:variant>
        <vt:i4>5</vt:i4>
      </vt:variant>
      <vt:variant>
        <vt:lpwstr>http://www.nevo.co.il/law/98569/10a.a</vt:lpwstr>
      </vt:variant>
      <vt:variant>
        <vt:lpwstr/>
      </vt:variant>
      <vt:variant>
        <vt:i4>7602284</vt:i4>
      </vt:variant>
      <vt:variant>
        <vt:i4>18</vt:i4>
      </vt:variant>
      <vt:variant>
        <vt:i4>0</vt:i4>
      </vt:variant>
      <vt:variant>
        <vt:i4>5</vt:i4>
      </vt:variant>
      <vt:variant>
        <vt:lpwstr>http://www.nevo.co.il/law/98569</vt:lpwstr>
      </vt:variant>
      <vt:variant>
        <vt:lpwstr/>
      </vt:variant>
      <vt:variant>
        <vt:i4>6750305</vt:i4>
      </vt:variant>
      <vt:variant>
        <vt:i4>15</vt:i4>
      </vt:variant>
      <vt:variant>
        <vt:i4>0</vt:i4>
      </vt:variant>
      <vt:variant>
        <vt:i4>5</vt:i4>
      </vt:variant>
      <vt:variant>
        <vt:lpwstr>http://www.nevo.co.il/law/70301/428</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http://www.nevo.co.il/law/70301/345.b.2</vt:lpwstr>
      </vt:variant>
      <vt:variant>
        <vt:lpwstr/>
      </vt:variant>
      <vt:variant>
        <vt:i4>5177427</vt:i4>
      </vt:variant>
      <vt:variant>
        <vt:i4>3</vt:i4>
      </vt:variant>
      <vt:variant>
        <vt:i4>0</vt:i4>
      </vt:variant>
      <vt:variant>
        <vt:i4>5</vt:i4>
      </vt:variant>
      <vt:variant>
        <vt:lpwstr>http://www.nevo.co.il/law/70301/345.b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2002-04-04T06:49:00Z</cp:lastPrinted>
  <dcterms:created xsi:type="dcterms:W3CDTF">2022-05-24T09:41:00Z</dcterms:created>
  <dcterms:modified xsi:type="dcterms:W3CDTF">2022-05-24T09:41:00Z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CN=TLV-Mehozi-01/OU=TelAviv/OU=Server/O=Courts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פ  005169/99</vt:lpwstr>
  </property>
  <property fmtid="{D5CDD505-2E9C-101B-9397-08002B2CF9AE}" pid="6" name="NotesDocStatus">
    <vt:lpwstr>1</vt:lpwstr>
  </property>
  <property fmtid="{D5CDD505-2E9C-101B-9397-08002B2CF9AE}" pid="7" name="NotesDocForm">
    <vt:lpwstr>frmDocument</vt:lpwstr>
  </property>
  <property fmtid="{D5CDD505-2E9C-101B-9397-08002B2CF9AE}" pid="8" name="TYPE">
    <vt:lpwstr>2</vt:lpwstr>
  </property>
  <property fmtid="{D5CDD505-2E9C-101B-9397-08002B2CF9AE}" pid="9" name="PROCESS">
    <vt:lpwstr>תפ</vt:lpwstr>
  </property>
  <property fmtid="{D5CDD505-2E9C-101B-9397-08002B2CF9AE}" pid="10" name="PROCNUM">
    <vt:lpwstr>5169</vt:lpwstr>
  </property>
  <property fmtid="{D5CDD505-2E9C-101B-9397-08002B2CF9AE}" pid="11" name="PROCYEAR">
    <vt:lpwstr>99</vt:lpwstr>
  </property>
  <property fmtid="{D5CDD505-2E9C-101B-9397-08002B2CF9AE}" pid="12" name="DATE">
    <vt:lpwstr>20020414</vt:lpwstr>
  </property>
  <property fmtid="{D5CDD505-2E9C-101B-9397-08002B2CF9AE}" pid="13" name="APPELLEE">
    <vt:lpwstr>עבדאללה עדנן</vt:lpwstr>
  </property>
  <property fmtid="{D5CDD505-2E9C-101B-9397-08002B2CF9AE}" pid="14" name="APPELLANT">
    <vt:lpwstr>מדינת ישראל</vt:lpwstr>
  </property>
  <property fmtid="{D5CDD505-2E9C-101B-9397-08002B2CF9AE}" pid="15" name="JUDGE">
    <vt:lpwstr>דוד בר-אופיר;הדסה אחיטוב-הרטמן;נירה לידסקי</vt:lpwstr>
  </property>
  <property fmtid="{D5CDD505-2E9C-101B-9397-08002B2CF9AE}" pid="16" name="LAWYER">
    <vt:lpwstr/>
  </property>
  <property fmtid="{D5CDD505-2E9C-101B-9397-08002B2CF9AE}" pid="17" name="CITY">
    <vt:lpwstr>ת"א</vt:lpwstr>
  </property>
  <property fmtid="{D5CDD505-2E9C-101B-9397-08002B2CF9AE}" pid="18" name="ISABSTRACT">
    <vt:lpwstr>Y</vt:lpwstr>
  </property>
  <property fmtid="{D5CDD505-2E9C-101B-9397-08002B2CF9AE}" pid="19" name="PSAKDIN">
    <vt:lpwstr>הכרעת-דין</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WORDNUMPAGES">
    <vt:lpwstr>8</vt:lpwstr>
  </property>
  <property fmtid="{D5CDD505-2E9C-101B-9397-08002B2CF9AE}" pid="24" name="CASESLISTTMP1">
    <vt:lpwstr>17911834;17923105;17915480;17944376;17930702;17920174;17928383</vt:lpwstr>
  </property>
  <property fmtid="{D5CDD505-2E9C-101B-9397-08002B2CF9AE}" pid="25" name="LAWLISTTMP1">
    <vt:lpwstr>70301/428:3;348.b:6;345.b.2:3;348.f;345.b:2</vt:lpwstr>
  </property>
  <property fmtid="{D5CDD505-2E9C-101B-9397-08002B2CF9AE}" pid="26" name="LAWLISTTMP2">
    <vt:lpwstr>98569/010a.a:4;010a.d:2</vt:lpwstr>
  </property>
</Properties>
</file>