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561F5" w:rsidRPr="00C561F5" w14:paraId="4CB61855" w14:textId="77777777" w:rsidTr="00C561F5">
        <w:trPr>
          <w:trHeight w:hRule="exact" w:val="630"/>
          <w:jc w:val="center"/>
        </w:trPr>
        <w:tc>
          <w:tcPr>
            <w:tcW w:w="8721" w:type="dxa"/>
            <w:gridSpan w:val="2"/>
          </w:tcPr>
          <w:p w14:paraId="7EE5B0A1" w14:textId="77777777" w:rsidR="00C561F5" w:rsidRPr="007603A9" w:rsidRDefault="00C561F5" w:rsidP="00C561F5">
            <w:pPr>
              <w:pStyle w:val="Header"/>
              <w:jc w:val="center"/>
              <w:rPr>
                <w:rFonts w:ascii="Tahoma" w:hAnsi="Tahoma" w:cs="Tahoma" w:hint="cs"/>
                <w:b/>
                <w:bCs/>
                <w:noProof w:val="0"/>
                <w:color w:val="000080"/>
                <w:rtl/>
              </w:rPr>
            </w:pPr>
            <w:bookmarkStart w:id="0" w:name="LastJudge"/>
            <w:r w:rsidRPr="007603A9">
              <w:rPr>
                <w:rFonts w:ascii="Tahoma" w:hAnsi="Tahoma" w:cs="Tahoma" w:hint="cs"/>
                <w:b/>
                <w:bCs/>
                <w:noProof w:val="0"/>
                <w:color w:val="000080"/>
                <w:rtl/>
              </w:rPr>
              <w:t>בית המשפט המחוזי בחיפה</w:t>
            </w:r>
          </w:p>
        </w:tc>
      </w:tr>
      <w:tr w:rsidR="00C561F5" w:rsidRPr="00C561F5" w14:paraId="2FB15182" w14:textId="77777777" w:rsidTr="00C561F5">
        <w:trPr>
          <w:trHeight w:val="337"/>
          <w:jc w:val="center"/>
        </w:trPr>
        <w:tc>
          <w:tcPr>
            <w:tcW w:w="5047" w:type="dxa"/>
          </w:tcPr>
          <w:p w14:paraId="00D05ADC" w14:textId="77777777" w:rsidR="00C561F5" w:rsidRPr="00C561F5" w:rsidRDefault="00C561F5" w:rsidP="00C561F5">
            <w:pPr>
              <w:rPr>
                <w:b/>
                <w:bCs/>
                <w:noProof w:val="0"/>
                <w:sz w:val="26"/>
                <w:szCs w:val="26"/>
                <w:rtl/>
              </w:rPr>
            </w:pPr>
          </w:p>
        </w:tc>
        <w:tc>
          <w:tcPr>
            <w:tcW w:w="3674" w:type="dxa"/>
          </w:tcPr>
          <w:p w14:paraId="543A6590" w14:textId="77777777" w:rsidR="00C561F5" w:rsidRPr="00C561F5" w:rsidRDefault="00C561F5" w:rsidP="00C561F5">
            <w:pPr>
              <w:pStyle w:val="Header"/>
              <w:jc w:val="right"/>
              <w:rPr>
                <w:rFonts w:hint="cs"/>
                <w:b/>
                <w:bCs/>
                <w:noProof w:val="0"/>
                <w:sz w:val="26"/>
                <w:szCs w:val="26"/>
                <w:rtl/>
              </w:rPr>
            </w:pPr>
            <w:r w:rsidRPr="00C561F5">
              <w:rPr>
                <w:rFonts w:hint="cs"/>
                <w:b/>
                <w:bCs/>
                <w:noProof w:val="0"/>
                <w:sz w:val="26"/>
                <w:szCs w:val="26"/>
                <w:rtl/>
              </w:rPr>
              <w:t>29 נובמבר 2000</w:t>
            </w:r>
          </w:p>
          <w:p w14:paraId="5F5735A1" w14:textId="77777777" w:rsidR="00C561F5" w:rsidRPr="00C561F5" w:rsidRDefault="00C561F5" w:rsidP="00C561F5">
            <w:pPr>
              <w:pStyle w:val="Header"/>
              <w:jc w:val="right"/>
              <w:rPr>
                <w:rFonts w:hint="cs"/>
                <w:b/>
                <w:bCs/>
                <w:noProof w:val="0"/>
                <w:sz w:val="26"/>
                <w:szCs w:val="26"/>
                <w:rtl/>
              </w:rPr>
            </w:pPr>
          </w:p>
        </w:tc>
      </w:tr>
      <w:tr w:rsidR="00C561F5" w:rsidRPr="00C561F5" w14:paraId="6175C042" w14:textId="77777777" w:rsidTr="00C561F5">
        <w:trPr>
          <w:trHeight w:val="337"/>
          <w:jc w:val="center"/>
        </w:trPr>
        <w:tc>
          <w:tcPr>
            <w:tcW w:w="8721" w:type="dxa"/>
            <w:gridSpan w:val="2"/>
          </w:tcPr>
          <w:p w14:paraId="4090B0E8" w14:textId="77777777" w:rsidR="00C561F5" w:rsidRPr="00C561F5" w:rsidRDefault="00C561F5" w:rsidP="00C561F5">
            <w:pPr>
              <w:rPr>
                <w:rFonts w:hint="cs"/>
                <w:b/>
                <w:bCs/>
                <w:noProof w:val="0"/>
                <w:sz w:val="26"/>
                <w:szCs w:val="26"/>
                <w:rtl/>
              </w:rPr>
            </w:pPr>
            <w:r w:rsidRPr="00C561F5">
              <w:rPr>
                <w:rFonts w:hint="cs"/>
                <w:b/>
                <w:bCs/>
                <w:noProof w:val="0"/>
                <w:sz w:val="26"/>
                <w:szCs w:val="26"/>
                <w:rtl/>
              </w:rPr>
              <w:t>ת"פ 121/00</w:t>
            </w:r>
          </w:p>
          <w:p w14:paraId="09DF9578" w14:textId="77777777" w:rsidR="00C561F5" w:rsidRPr="00C561F5" w:rsidRDefault="00C561F5" w:rsidP="00C561F5">
            <w:pPr>
              <w:rPr>
                <w:rFonts w:hint="cs"/>
                <w:rtl/>
              </w:rPr>
            </w:pPr>
          </w:p>
        </w:tc>
      </w:tr>
    </w:tbl>
    <w:p w14:paraId="7D5D8F7F" w14:textId="77777777" w:rsidR="006D196E" w:rsidRPr="00C561F5" w:rsidRDefault="00B11E65">
      <w:pPr>
        <w:pStyle w:val="Header"/>
        <w:rPr>
          <w:noProof w:val="0"/>
          <w:rtl/>
        </w:rPr>
      </w:pPr>
      <w:r w:rsidRPr="00C561F5">
        <w:rPr>
          <w:noProof w:val="0"/>
          <w:rtl/>
        </w:rPr>
        <w:t xml:space="preserve"> </w:t>
      </w:r>
    </w:p>
    <w:p w14:paraId="0956EE15" w14:textId="77777777" w:rsidR="00C561F5" w:rsidRPr="00C561F5" w:rsidRDefault="00C561F5">
      <w:pPr>
        <w:rPr>
          <w:rFonts w:hint="cs"/>
          <w:bCs/>
          <w:rtl/>
        </w:rPr>
      </w:pPr>
    </w:p>
    <w:tbl>
      <w:tblPr>
        <w:bidiVisual/>
        <w:tblW w:w="8870" w:type="dxa"/>
        <w:jc w:val="center"/>
        <w:tblLook w:val="01E0" w:firstRow="1" w:lastRow="1" w:firstColumn="1" w:lastColumn="1" w:noHBand="0" w:noVBand="0"/>
      </w:tblPr>
      <w:tblGrid>
        <w:gridCol w:w="743"/>
        <w:gridCol w:w="2545"/>
        <w:gridCol w:w="5582"/>
      </w:tblGrid>
      <w:tr w:rsidR="00C561F5" w:rsidRPr="00C561F5" w14:paraId="212EEE4B" w14:textId="77777777" w:rsidTr="00C561F5">
        <w:trPr>
          <w:jc w:val="center"/>
        </w:trPr>
        <w:tc>
          <w:tcPr>
            <w:tcW w:w="743" w:type="dxa"/>
          </w:tcPr>
          <w:p w14:paraId="66F84151" w14:textId="77777777" w:rsidR="00C561F5" w:rsidRPr="00C561F5" w:rsidRDefault="00C561F5" w:rsidP="00C561F5">
            <w:pPr>
              <w:rPr>
                <w:rFonts w:ascii="Arial" w:hAnsi="Arial"/>
                <w:b/>
                <w:bCs/>
                <w:sz w:val="26"/>
                <w:szCs w:val="26"/>
              </w:rPr>
            </w:pPr>
            <w:r w:rsidRPr="00C561F5">
              <w:rPr>
                <w:rFonts w:ascii="Arial" w:hAnsi="Arial" w:hint="cs"/>
                <w:b/>
                <w:bCs/>
                <w:sz w:val="26"/>
                <w:szCs w:val="26"/>
                <w:rtl/>
              </w:rPr>
              <w:t xml:space="preserve">לפני </w:t>
            </w:r>
          </w:p>
        </w:tc>
        <w:tc>
          <w:tcPr>
            <w:tcW w:w="8127" w:type="dxa"/>
            <w:gridSpan w:val="2"/>
          </w:tcPr>
          <w:p w14:paraId="5CEEA846" w14:textId="77777777" w:rsidR="00C561F5" w:rsidRPr="00C561F5" w:rsidRDefault="00C561F5" w:rsidP="00C561F5">
            <w:pPr>
              <w:rPr>
                <w:rFonts w:ascii="Arial" w:hAnsi="Arial" w:hint="cs"/>
                <w:b/>
                <w:bCs/>
                <w:sz w:val="26"/>
                <w:szCs w:val="26"/>
                <w:rtl/>
              </w:rPr>
            </w:pPr>
            <w:r w:rsidRPr="00C561F5">
              <w:rPr>
                <w:rFonts w:ascii="Arial" w:hAnsi="Arial" w:hint="cs"/>
                <w:b/>
                <w:bCs/>
                <w:sz w:val="26"/>
                <w:szCs w:val="26"/>
                <w:rtl/>
              </w:rPr>
              <w:t>כבוד השופט גדעון גינת</w:t>
            </w:r>
          </w:p>
          <w:p w14:paraId="4ABA7C31" w14:textId="77777777" w:rsidR="00C561F5" w:rsidRPr="00C561F5" w:rsidRDefault="00C561F5" w:rsidP="00C561F5">
            <w:pPr>
              <w:rPr>
                <w:rFonts w:ascii="Arial" w:hAnsi="Arial" w:hint="cs"/>
                <w:b/>
                <w:bCs/>
                <w:sz w:val="26"/>
                <w:szCs w:val="26"/>
                <w:rtl/>
              </w:rPr>
            </w:pPr>
            <w:r w:rsidRPr="00C561F5">
              <w:rPr>
                <w:rFonts w:ascii="Arial" w:hAnsi="Arial" w:hint="cs"/>
                <w:b/>
                <w:bCs/>
                <w:sz w:val="26"/>
                <w:szCs w:val="26"/>
                <w:rtl/>
              </w:rPr>
              <w:t>כבוד השופט סלים ג'ובראן</w:t>
            </w:r>
          </w:p>
          <w:p w14:paraId="6F3B39D1" w14:textId="77777777" w:rsidR="00C561F5" w:rsidRPr="00C561F5" w:rsidRDefault="00C561F5" w:rsidP="00C561F5">
            <w:pPr>
              <w:rPr>
                <w:rFonts w:ascii="Arial" w:hAnsi="Arial" w:hint="cs"/>
                <w:b/>
                <w:bCs/>
                <w:sz w:val="26"/>
                <w:szCs w:val="26"/>
                <w:rtl/>
              </w:rPr>
            </w:pPr>
            <w:r w:rsidRPr="00C561F5">
              <w:rPr>
                <w:rFonts w:ascii="Arial" w:hAnsi="Arial" w:hint="cs"/>
                <w:b/>
                <w:bCs/>
                <w:sz w:val="26"/>
                <w:szCs w:val="26"/>
                <w:rtl/>
              </w:rPr>
              <w:t>כבוד השופטת ניצה שרון</w:t>
            </w:r>
          </w:p>
          <w:p w14:paraId="4E25F4D8" w14:textId="77777777" w:rsidR="00C561F5" w:rsidRPr="00C561F5" w:rsidRDefault="00C561F5" w:rsidP="00C561F5">
            <w:pPr>
              <w:rPr>
                <w:rFonts w:ascii="Arial" w:hAnsi="Arial"/>
                <w:b/>
                <w:bCs/>
                <w:sz w:val="26"/>
                <w:szCs w:val="26"/>
              </w:rPr>
            </w:pPr>
          </w:p>
        </w:tc>
      </w:tr>
      <w:tr w:rsidR="00C561F5" w:rsidRPr="00C561F5" w14:paraId="243D2853" w14:textId="77777777" w:rsidTr="00C561F5">
        <w:trPr>
          <w:jc w:val="center"/>
        </w:trPr>
        <w:tc>
          <w:tcPr>
            <w:tcW w:w="3288" w:type="dxa"/>
            <w:gridSpan w:val="2"/>
          </w:tcPr>
          <w:p w14:paraId="20787556" w14:textId="77777777" w:rsidR="00C561F5" w:rsidRPr="00C561F5" w:rsidRDefault="00C561F5" w:rsidP="00C561F5">
            <w:pPr>
              <w:rPr>
                <w:rFonts w:ascii="Arial" w:hAnsi="Arial"/>
                <w:b/>
                <w:bCs/>
                <w:noProof w:val="0"/>
                <w:sz w:val="26"/>
                <w:szCs w:val="26"/>
                <w:rtl/>
              </w:rPr>
            </w:pPr>
            <w:bookmarkStart w:id="1" w:name="FirstAppellant"/>
            <w:bookmarkStart w:id="2" w:name="FirstLawyer"/>
          </w:p>
          <w:p w14:paraId="483A1FA9" w14:textId="77777777" w:rsidR="00C561F5" w:rsidRPr="00C561F5" w:rsidRDefault="00C561F5" w:rsidP="00C561F5">
            <w:pPr>
              <w:rPr>
                <w:rFonts w:ascii="Arial" w:hAnsi="Arial"/>
                <w:b/>
                <w:bCs/>
                <w:noProof w:val="0"/>
                <w:sz w:val="26"/>
                <w:szCs w:val="26"/>
              </w:rPr>
            </w:pPr>
            <w:r w:rsidRPr="00C561F5">
              <w:rPr>
                <w:rFonts w:ascii="Arial" w:hAnsi="Arial" w:hint="cs"/>
                <w:b/>
                <w:bCs/>
                <w:noProof w:val="0"/>
                <w:sz w:val="26"/>
                <w:szCs w:val="26"/>
                <w:rtl/>
              </w:rPr>
              <w:t>המאשימה</w:t>
            </w:r>
          </w:p>
        </w:tc>
        <w:tc>
          <w:tcPr>
            <w:tcW w:w="5582" w:type="dxa"/>
          </w:tcPr>
          <w:p w14:paraId="78DD71CE" w14:textId="77777777" w:rsidR="00C561F5" w:rsidRPr="00C561F5" w:rsidRDefault="00C561F5" w:rsidP="00C561F5">
            <w:pPr>
              <w:rPr>
                <w:rFonts w:ascii="Arial" w:hAnsi="Arial" w:hint="cs"/>
                <w:b/>
                <w:bCs/>
                <w:noProof w:val="0"/>
                <w:sz w:val="26"/>
                <w:szCs w:val="26"/>
                <w:rtl/>
              </w:rPr>
            </w:pPr>
          </w:p>
          <w:p w14:paraId="6263DCC0" w14:textId="77777777" w:rsidR="00C561F5" w:rsidRPr="00C561F5" w:rsidRDefault="00C561F5" w:rsidP="00C561F5">
            <w:pPr>
              <w:rPr>
                <w:rFonts w:ascii="Arial" w:hAnsi="Arial" w:hint="cs"/>
                <w:b/>
                <w:bCs/>
                <w:noProof w:val="0"/>
                <w:sz w:val="26"/>
                <w:szCs w:val="26"/>
                <w:rtl/>
              </w:rPr>
            </w:pPr>
            <w:r w:rsidRPr="00C561F5">
              <w:rPr>
                <w:rFonts w:ascii="Arial" w:hAnsi="Arial" w:hint="cs"/>
                <w:b/>
                <w:bCs/>
                <w:noProof w:val="0"/>
                <w:sz w:val="26"/>
                <w:szCs w:val="26"/>
                <w:rtl/>
              </w:rPr>
              <w:t>מדינת ישראל</w:t>
            </w:r>
          </w:p>
          <w:p w14:paraId="2C18A7C3" w14:textId="77777777" w:rsidR="00C561F5" w:rsidRPr="00C561F5" w:rsidRDefault="00C561F5" w:rsidP="00C561F5">
            <w:pPr>
              <w:rPr>
                <w:rFonts w:ascii="Arial" w:hAnsi="Arial" w:hint="cs"/>
                <w:b/>
                <w:bCs/>
                <w:noProof w:val="0"/>
                <w:sz w:val="26"/>
                <w:szCs w:val="26"/>
                <w:rtl/>
              </w:rPr>
            </w:pPr>
            <w:r w:rsidRPr="00C561F5">
              <w:rPr>
                <w:rFonts w:ascii="Arial" w:hAnsi="Arial" w:hint="cs"/>
                <w:b/>
                <w:bCs/>
                <w:noProof w:val="0"/>
                <w:sz w:val="26"/>
                <w:szCs w:val="26"/>
                <w:rtl/>
              </w:rPr>
              <w:t>ע"י ב"כ עו"ד ע' בן לוי</w:t>
            </w:r>
          </w:p>
          <w:p w14:paraId="48E8C0E7" w14:textId="77777777" w:rsidR="00C561F5" w:rsidRPr="00C561F5" w:rsidRDefault="00C561F5" w:rsidP="00C561F5">
            <w:pPr>
              <w:rPr>
                <w:rFonts w:hint="cs"/>
                <w:b/>
                <w:bCs/>
                <w:noProof w:val="0"/>
                <w:color w:val="FF0000"/>
                <w:sz w:val="26"/>
                <w:szCs w:val="26"/>
              </w:rPr>
            </w:pPr>
          </w:p>
        </w:tc>
      </w:tr>
      <w:bookmarkEnd w:id="1"/>
      <w:bookmarkEnd w:id="2"/>
      <w:tr w:rsidR="00C561F5" w:rsidRPr="00C561F5" w14:paraId="0B909412" w14:textId="77777777" w:rsidTr="00C561F5">
        <w:trPr>
          <w:jc w:val="center"/>
        </w:trPr>
        <w:tc>
          <w:tcPr>
            <w:tcW w:w="8870" w:type="dxa"/>
            <w:gridSpan w:val="3"/>
          </w:tcPr>
          <w:p w14:paraId="5940B9CA" w14:textId="77777777" w:rsidR="00C561F5" w:rsidRPr="00C561F5" w:rsidRDefault="00C561F5" w:rsidP="00C561F5">
            <w:pPr>
              <w:rPr>
                <w:rFonts w:ascii="Arial" w:hAnsi="Arial"/>
                <w:b/>
                <w:bCs/>
                <w:noProof w:val="0"/>
                <w:sz w:val="26"/>
                <w:szCs w:val="26"/>
                <w:rtl/>
              </w:rPr>
            </w:pPr>
          </w:p>
          <w:p w14:paraId="232458B8" w14:textId="77777777" w:rsidR="00C561F5" w:rsidRPr="00C561F5" w:rsidRDefault="00C561F5" w:rsidP="00C561F5">
            <w:pPr>
              <w:jc w:val="center"/>
              <w:rPr>
                <w:rFonts w:ascii="Arial" w:hAnsi="Arial" w:hint="cs"/>
                <w:b/>
                <w:bCs/>
                <w:noProof w:val="0"/>
                <w:sz w:val="26"/>
                <w:szCs w:val="26"/>
                <w:rtl/>
              </w:rPr>
            </w:pPr>
            <w:r w:rsidRPr="00C561F5">
              <w:rPr>
                <w:rFonts w:ascii="Arial" w:hAnsi="Arial" w:hint="cs"/>
                <w:b/>
                <w:bCs/>
                <w:noProof w:val="0"/>
                <w:sz w:val="26"/>
                <w:szCs w:val="26"/>
                <w:rtl/>
              </w:rPr>
              <w:t>נגד</w:t>
            </w:r>
          </w:p>
          <w:p w14:paraId="446C589F" w14:textId="77777777" w:rsidR="00C561F5" w:rsidRPr="00C561F5" w:rsidRDefault="00C561F5" w:rsidP="00C561F5">
            <w:pPr>
              <w:jc w:val="center"/>
              <w:rPr>
                <w:rFonts w:ascii="Arial" w:hAnsi="Arial"/>
                <w:b/>
                <w:bCs/>
                <w:noProof w:val="0"/>
                <w:sz w:val="26"/>
                <w:szCs w:val="26"/>
              </w:rPr>
            </w:pPr>
          </w:p>
        </w:tc>
      </w:tr>
      <w:tr w:rsidR="00C561F5" w:rsidRPr="00C561F5" w14:paraId="512CD970" w14:textId="77777777" w:rsidTr="00C561F5">
        <w:trPr>
          <w:jc w:val="center"/>
        </w:trPr>
        <w:tc>
          <w:tcPr>
            <w:tcW w:w="3288" w:type="dxa"/>
            <w:gridSpan w:val="2"/>
          </w:tcPr>
          <w:p w14:paraId="448D34E1" w14:textId="77777777" w:rsidR="00C561F5" w:rsidRPr="00C561F5" w:rsidRDefault="00C561F5" w:rsidP="00C561F5">
            <w:pPr>
              <w:rPr>
                <w:rFonts w:ascii="Arial" w:hAnsi="Arial"/>
                <w:b/>
                <w:bCs/>
                <w:noProof w:val="0"/>
                <w:sz w:val="26"/>
                <w:szCs w:val="26"/>
                <w:rtl/>
              </w:rPr>
            </w:pPr>
          </w:p>
          <w:p w14:paraId="78327A5F" w14:textId="77777777" w:rsidR="00C561F5" w:rsidRPr="00C561F5" w:rsidRDefault="00C561F5" w:rsidP="00C561F5">
            <w:pPr>
              <w:rPr>
                <w:rFonts w:ascii="Arial" w:hAnsi="Arial"/>
                <w:b/>
                <w:bCs/>
                <w:noProof w:val="0"/>
                <w:sz w:val="26"/>
                <w:szCs w:val="26"/>
                <w:rtl/>
              </w:rPr>
            </w:pPr>
            <w:r w:rsidRPr="00C561F5">
              <w:rPr>
                <w:rFonts w:ascii="Arial" w:hAnsi="Arial" w:hint="cs"/>
                <w:b/>
                <w:bCs/>
                <w:noProof w:val="0"/>
                <w:sz w:val="26"/>
                <w:szCs w:val="26"/>
                <w:rtl/>
              </w:rPr>
              <w:t>הנאשם</w:t>
            </w:r>
          </w:p>
          <w:p w14:paraId="438D7829" w14:textId="77777777" w:rsidR="00C561F5" w:rsidRPr="00C561F5" w:rsidRDefault="00C561F5" w:rsidP="00C561F5">
            <w:pPr>
              <w:rPr>
                <w:rFonts w:ascii="Arial" w:hAnsi="Arial"/>
                <w:b/>
                <w:bCs/>
                <w:noProof w:val="0"/>
                <w:sz w:val="26"/>
                <w:szCs w:val="26"/>
              </w:rPr>
            </w:pPr>
          </w:p>
        </w:tc>
        <w:tc>
          <w:tcPr>
            <w:tcW w:w="5582" w:type="dxa"/>
          </w:tcPr>
          <w:p w14:paraId="25479B3B" w14:textId="77777777" w:rsidR="00C561F5" w:rsidRPr="00C561F5" w:rsidRDefault="00C561F5" w:rsidP="00C561F5">
            <w:pPr>
              <w:tabs>
                <w:tab w:val="left" w:pos="1095"/>
              </w:tabs>
              <w:rPr>
                <w:rFonts w:ascii="Arial" w:hAnsi="Arial" w:hint="cs"/>
                <w:b/>
                <w:bCs/>
                <w:noProof w:val="0"/>
                <w:sz w:val="26"/>
                <w:szCs w:val="26"/>
                <w:rtl/>
              </w:rPr>
            </w:pPr>
            <w:r w:rsidRPr="00C561F5">
              <w:rPr>
                <w:rFonts w:ascii="Arial" w:hAnsi="Arial"/>
                <w:b/>
                <w:bCs/>
                <w:noProof w:val="0"/>
                <w:sz w:val="26"/>
                <w:szCs w:val="26"/>
                <w:rtl/>
              </w:rPr>
              <w:tab/>
            </w:r>
          </w:p>
          <w:p w14:paraId="471AF436" w14:textId="77777777" w:rsidR="00C561F5" w:rsidRPr="00C561F5" w:rsidRDefault="007603A9" w:rsidP="00C561F5">
            <w:pPr>
              <w:rPr>
                <w:rFonts w:ascii="Arial" w:hAnsi="Arial" w:hint="cs"/>
                <w:b/>
                <w:bCs/>
                <w:noProof w:val="0"/>
                <w:sz w:val="26"/>
                <w:szCs w:val="26"/>
                <w:rtl/>
              </w:rPr>
            </w:pPr>
            <w:r>
              <w:rPr>
                <w:rFonts w:ascii="Arial" w:hAnsi="Arial" w:hint="cs"/>
                <w:b/>
                <w:bCs/>
                <w:noProof w:val="0"/>
                <w:sz w:val="26"/>
                <w:szCs w:val="26"/>
                <w:rtl/>
              </w:rPr>
              <w:t>פלוני</w:t>
            </w:r>
          </w:p>
          <w:p w14:paraId="701783EC" w14:textId="77777777" w:rsidR="00C561F5" w:rsidRPr="00C561F5" w:rsidRDefault="00C561F5" w:rsidP="00C561F5">
            <w:pPr>
              <w:rPr>
                <w:rFonts w:ascii="Arial" w:hAnsi="Arial" w:hint="cs"/>
                <w:b/>
                <w:bCs/>
                <w:noProof w:val="0"/>
                <w:sz w:val="26"/>
                <w:szCs w:val="26"/>
              </w:rPr>
            </w:pPr>
            <w:r w:rsidRPr="00C561F5">
              <w:rPr>
                <w:rFonts w:ascii="Arial" w:hAnsi="Arial" w:hint="cs"/>
                <w:b/>
                <w:bCs/>
                <w:noProof w:val="0"/>
                <w:sz w:val="26"/>
                <w:szCs w:val="26"/>
                <w:rtl/>
              </w:rPr>
              <w:t>ע"י ב"כ עו"ד תמי אולמן</w:t>
            </w:r>
          </w:p>
        </w:tc>
      </w:tr>
    </w:tbl>
    <w:p w14:paraId="409E7C52" w14:textId="77777777" w:rsidR="007603A9" w:rsidRDefault="007603A9">
      <w:pPr>
        <w:rPr>
          <w:rtl/>
        </w:rPr>
      </w:pPr>
      <w:bookmarkStart w:id="3" w:name="LawTable"/>
      <w:bookmarkEnd w:id="3"/>
    </w:p>
    <w:p w14:paraId="1B143F71" w14:textId="77777777" w:rsidR="007603A9" w:rsidRPr="007603A9" w:rsidRDefault="007603A9" w:rsidP="007603A9">
      <w:pPr>
        <w:spacing w:after="120" w:line="240" w:lineRule="exact"/>
        <w:ind w:left="283" w:hanging="283"/>
        <w:jc w:val="both"/>
        <w:rPr>
          <w:rFonts w:ascii="FrankRuehl" w:hAnsi="FrankRuehl" w:cs="FrankRuehl"/>
          <w:rtl/>
        </w:rPr>
      </w:pPr>
    </w:p>
    <w:p w14:paraId="72D289DF" w14:textId="77777777" w:rsidR="007603A9" w:rsidRPr="007603A9" w:rsidRDefault="007603A9" w:rsidP="007603A9">
      <w:pPr>
        <w:spacing w:after="120" w:line="240" w:lineRule="exact"/>
        <w:ind w:left="283" w:hanging="283"/>
        <w:jc w:val="both"/>
        <w:rPr>
          <w:rFonts w:ascii="FrankRuehl" w:hAnsi="FrankRuehl" w:cs="FrankRuehl"/>
          <w:rtl/>
        </w:rPr>
      </w:pPr>
      <w:r w:rsidRPr="007603A9">
        <w:rPr>
          <w:rFonts w:ascii="FrankRuehl" w:hAnsi="FrankRuehl" w:cs="FrankRuehl"/>
          <w:rtl/>
        </w:rPr>
        <w:t xml:space="preserve">חקיקה שאוזכרה: </w:t>
      </w:r>
    </w:p>
    <w:p w14:paraId="12001638" w14:textId="77777777" w:rsidR="007603A9" w:rsidRPr="007603A9" w:rsidRDefault="007603A9" w:rsidP="007603A9">
      <w:pPr>
        <w:spacing w:after="120" w:line="240" w:lineRule="exact"/>
        <w:ind w:left="283" w:hanging="283"/>
        <w:jc w:val="both"/>
        <w:rPr>
          <w:rFonts w:ascii="FrankRuehl" w:hAnsi="FrankRuehl" w:cs="FrankRuehl"/>
          <w:rtl/>
        </w:rPr>
      </w:pPr>
      <w:hyperlink r:id="rId7" w:history="1">
        <w:r w:rsidRPr="007603A9">
          <w:rPr>
            <w:rFonts w:ascii="FrankRuehl" w:hAnsi="FrankRuehl" w:cs="FrankRuehl"/>
            <w:color w:val="0000FF"/>
            <w:u w:val="single"/>
            <w:rtl/>
          </w:rPr>
          <w:t>חוק העונשין, תשל"ז-1977</w:t>
        </w:r>
      </w:hyperlink>
      <w:r w:rsidRPr="007603A9">
        <w:rPr>
          <w:rFonts w:ascii="FrankRuehl" w:hAnsi="FrankRuehl" w:cs="FrankRuehl"/>
          <w:rtl/>
        </w:rPr>
        <w:t xml:space="preserve">: סע'  </w:t>
      </w:r>
      <w:hyperlink r:id="rId8" w:history="1">
        <w:r w:rsidRPr="007603A9">
          <w:rPr>
            <w:rFonts w:ascii="FrankRuehl" w:hAnsi="FrankRuehl" w:cs="FrankRuehl"/>
            <w:color w:val="0000FF"/>
            <w:u w:val="single"/>
            <w:rtl/>
          </w:rPr>
          <w:t>345(א)(3)</w:t>
        </w:r>
      </w:hyperlink>
      <w:r w:rsidRPr="007603A9">
        <w:rPr>
          <w:rFonts w:ascii="FrankRuehl" w:hAnsi="FrankRuehl" w:cs="FrankRuehl"/>
          <w:rtl/>
        </w:rPr>
        <w:t xml:space="preserve">, </w:t>
      </w:r>
      <w:hyperlink r:id="rId9" w:history="1">
        <w:r w:rsidRPr="007603A9">
          <w:rPr>
            <w:rFonts w:ascii="FrankRuehl" w:hAnsi="FrankRuehl" w:cs="FrankRuehl"/>
            <w:color w:val="0000FF"/>
            <w:u w:val="single"/>
            <w:rtl/>
          </w:rPr>
          <w:t>348(א)</w:t>
        </w:r>
      </w:hyperlink>
      <w:r w:rsidRPr="007603A9">
        <w:rPr>
          <w:rFonts w:ascii="FrankRuehl" w:hAnsi="FrankRuehl" w:cs="FrankRuehl"/>
          <w:rtl/>
        </w:rPr>
        <w:t xml:space="preserve">, </w:t>
      </w:r>
      <w:hyperlink r:id="rId10" w:history="1">
        <w:r w:rsidRPr="007603A9">
          <w:rPr>
            <w:rFonts w:ascii="FrankRuehl" w:hAnsi="FrankRuehl" w:cs="FrankRuehl"/>
            <w:color w:val="0000FF"/>
            <w:u w:val="single"/>
            <w:rtl/>
          </w:rPr>
          <w:t>351(ג)(1)</w:t>
        </w:r>
      </w:hyperlink>
    </w:p>
    <w:p w14:paraId="28610C88" w14:textId="77777777" w:rsidR="007603A9" w:rsidRPr="007603A9" w:rsidRDefault="007603A9" w:rsidP="007603A9">
      <w:pPr>
        <w:spacing w:after="120" w:line="240" w:lineRule="exact"/>
        <w:ind w:left="283" w:hanging="283"/>
        <w:jc w:val="both"/>
        <w:rPr>
          <w:rFonts w:ascii="FrankRuehl" w:hAnsi="FrankRuehl" w:cs="FrankRuehl"/>
          <w:rtl/>
        </w:rPr>
      </w:pPr>
    </w:p>
    <w:p w14:paraId="2E2A7B00" w14:textId="77777777" w:rsidR="00FA0131" w:rsidRPr="00C561F5" w:rsidRDefault="00FA0131">
      <w:pPr>
        <w:rPr>
          <w:bCs/>
          <w:rtl/>
        </w:rPr>
      </w:pPr>
      <w:bookmarkStart w:id="4" w:name="LawTable_End"/>
      <w:bookmarkEnd w:id="4"/>
    </w:p>
    <w:tbl>
      <w:tblPr>
        <w:bidiVisual/>
        <w:tblW w:w="8820" w:type="dxa"/>
        <w:jc w:val="center"/>
        <w:tblLook w:val="01E0" w:firstRow="1" w:lastRow="1" w:firstColumn="1" w:lastColumn="1" w:noHBand="0" w:noVBand="0"/>
      </w:tblPr>
      <w:tblGrid>
        <w:gridCol w:w="8820"/>
      </w:tblGrid>
      <w:tr w:rsidR="006D196E" w14:paraId="343DDF8F" w14:textId="77777777" w:rsidTr="00CA2806">
        <w:trPr>
          <w:trHeight w:val="1107"/>
          <w:jc w:val="center"/>
        </w:trPr>
        <w:tc>
          <w:tcPr>
            <w:tcW w:w="8820" w:type="dxa"/>
          </w:tcPr>
          <w:p w14:paraId="2EBD6E51" w14:textId="77777777" w:rsidR="00CA2806" w:rsidRPr="007603A9" w:rsidRDefault="00C561F5" w:rsidP="007603A9">
            <w:pPr>
              <w:jc w:val="center"/>
              <w:rPr>
                <w:rFonts w:ascii="Arial" w:hAnsi="Arial" w:hint="cs"/>
                <w:b/>
                <w:bCs/>
                <w:noProof w:val="0"/>
                <w:sz w:val="28"/>
                <w:szCs w:val="28"/>
                <w:u w:val="single"/>
              </w:rPr>
            </w:pPr>
            <w:bookmarkStart w:id="5" w:name="PsakDin" w:colFirst="0" w:colLast="0"/>
            <w:bookmarkEnd w:id="0"/>
            <w:r w:rsidRPr="00C561F5">
              <w:rPr>
                <w:rFonts w:ascii="Arial" w:hAnsi="Arial"/>
                <w:b/>
                <w:bCs/>
                <w:noProof w:val="0"/>
                <w:sz w:val="28"/>
                <w:szCs w:val="28"/>
                <w:u w:val="single"/>
                <w:rtl/>
              </w:rPr>
              <w:t>הכרעת דין</w:t>
            </w:r>
          </w:p>
        </w:tc>
      </w:tr>
    </w:tbl>
    <w:bookmarkEnd w:id="5"/>
    <w:p w14:paraId="44B64B63" w14:textId="77777777" w:rsidR="00CA2806" w:rsidRDefault="00CA2806" w:rsidP="00CA2806">
      <w:pPr>
        <w:spacing w:line="360" w:lineRule="auto"/>
        <w:jc w:val="both"/>
        <w:rPr>
          <w:rFonts w:hint="cs"/>
          <w:b/>
          <w:bCs/>
          <w:noProof w:val="0"/>
          <w:rtl/>
        </w:rPr>
      </w:pPr>
      <w:r>
        <w:rPr>
          <w:rFonts w:hint="cs"/>
          <w:b/>
          <w:bCs/>
          <w:noProof w:val="0"/>
          <w:rtl/>
        </w:rPr>
        <w:t>השופט גדעון גינת</w:t>
      </w:r>
    </w:p>
    <w:p w14:paraId="2076F806" w14:textId="77777777" w:rsidR="00CA2806" w:rsidRPr="00CA2806" w:rsidRDefault="00CA2806" w:rsidP="00CA2806">
      <w:pPr>
        <w:spacing w:line="360" w:lineRule="auto"/>
        <w:jc w:val="both"/>
        <w:rPr>
          <w:b/>
          <w:bCs/>
          <w:noProof w:val="0"/>
        </w:rPr>
      </w:pPr>
    </w:p>
    <w:p w14:paraId="0F15B69B" w14:textId="77777777" w:rsidR="00346666" w:rsidRDefault="00346666" w:rsidP="00346666">
      <w:pPr>
        <w:numPr>
          <w:ilvl w:val="0"/>
          <w:numId w:val="11"/>
        </w:numPr>
        <w:spacing w:line="360" w:lineRule="auto"/>
        <w:ind w:left="405"/>
        <w:jc w:val="both"/>
        <w:rPr>
          <w:noProof w:val="0"/>
        </w:rPr>
      </w:pPr>
      <w:bookmarkStart w:id="6" w:name="ABSTRACT_START"/>
      <w:bookmarkEnd w:id="6"/>
      <w:r>
        <w:rPr>
          <w:rFonts w:hint="cs"/>
          <w:noProof w:val="0"/>
          <w:rtl/>
        </w:rPr>
        <w:t>הנאשם מואשם בשני אישומים נפרדים בעבירה של מעשה מגונה בנסיבות אינוס</w:t>
      </w:r>
      <w:bookmarkStart w:id="7" w:name="ABSTRACT_END"/>
      <w:bookmarkEnd w:id="7"/>
      <w:r>
        <w:rPr>
          <w:rFonts w:hint="cs"/>
          <w:noProof w:val="0"/>
          <w:rtl/>
        </w:rPr>
        <w:t>.</w:t>
      </w:r>
      <w:r>
        <w:rPr>
          <w:noProof w:val="0"/>
          <w:rtl/>
        </w:rPr>
        <w:tab/>
      </w:r>
      <w:r>
        <w:rPr>
          <w:noProof w:val="0"/>
          <w:rtl/>
        </w:rPr>
        <w:br/>
      </w:r>
      <w:r>
        <w:rPr>
          <w:noProof w:val="0"/>
          <w:rtl/>
        </w:rPr>
        <w:br/>
      </w:r>
      <w:r>
        <w:rPr>
          <w:rFonts w:hint="cs"/>
          <w:noProof w:val="0"/>
          <w:rtl/>
        </w:rPr>
        <w:t xml:space="preserve">באישום הראשון מדובר במעשה מגונה בנסיבות אינוס במשפחה, עבירה לפי </w:t>
      </w:r>
      <w:hyperlink r:id="rId11" w:history="1">
        <w:r w:rsidR="007603A9" w:rsidRPr="007603A9">
          <w:rPr>
            <w:noProof w:val="0"/>
            <w:color w:val="0000FF"/>
            <w:u w:val="single"/>
            <w:rtl/>
          </w:rPr>
          <w:t>סעיפים 351(ג)(1)</w:t>
        </w:r>
      </w:hyperlink>
      <w:r>
        <w:rPr>
          <w:rFonts w:hint="cs"/>
          <w:noProof w:val="0"/>
          <w:rtl/>
        </w:rPr>
        <w:t xml:space="preserve">, </w:t>
      </w:r>
      <w:hyperlink r:id="rId12" w:history="1">
        <w:r w:rsidR="007603A9" w:rsidRPr="007603A9">
          <w:rPr>
            <w:rStyle w:val="Hyperlink"/>
            <w:noProof w:val="0"/>
            <w:rtl/>
          </w:rPr>
          <w:t>348(א)</w:t>
        </w:r>
      </w:hyperlink>
      <w:r>
        <w:rPr>
          <w:rFonts w:hint="cs"/>
          <w:noProof w:val="0"/>
          <w:rtl/>
        </w:rPr>
        <w:t xml:space="preserve"> בנסיבות המנויות </w:t>
      </w:r>
      <w:hyperlink r:id="rId13" w:history="1">
        <w:r w:rsidR="007603A9" w:rsidRPr="007603A9">
          <w:rPr>
            <w:rStyle w:val="Hyperlink"/>
            <w:rFonts w:hint="eastAsia"/>
            <w:noProof w:val="0"/>
            <w:rtl/>
          </w:rPr>
          <w:t>בסעיף</w:t>
        </w:r>
        <w:r w:rsidR="007603A9" w:rsidRPr="007603A9">
          <w:rPr>
            <w:rStyle w:val="Hyperlink"/>
            <w:noProof w:val="0"/>
            <w:rtl/>
          </w:rPr>
          <w:t xml:space="preserve"> 345(א)(3)</w:t>
        </w:r>
      </w:hyperlink>
      <w:r>
        <w:rPr>
          <w:rFonts w:hint="cs"/>
          <w:noProof w:val="0"/>
          <w:rtl/>
        </w:rPr>
        <w:t xml:space="preserve"> ל</w:t>
      </w:r>
      <w:hyperlink r:id="rId14" w:history="1">
        <w:r w:rsidR="00C561F5" w:rsidRPr="00C561F5">
          <w:rPr>
            <w:noProof w:val="0"/>
            <w:color w:val="0000FF"/>
            <w:u w:val="single"/>
            <w:rtl/>
          </w:rPr>
          <w:t>חוק העונשין</w:t>
        </w:r>
      </w:hyperlink>
      <w:r>
        <w:rPr>
          <w:rFonts w:hint="cs"/>
          <w:noProof w:val="0"/>
          <w:u w:val="single"/>
          <w:rtl/>
        </w:rPr>
        <w:t>, התשל"ז-1977</w:t>
      </w:r>
      <w:r>
        <w:rPr>
          <w:rFonts w:hint="cs"/>
          <w:noProof w:val="0"/>
          <w:rtl/>
        </w:rPr>
        <w:t xml:space="preserve">. באישום השני העבירה הנטענת היא לגבי </w:t>
      </w:r>
      <w:hyperlink r:id="rId15" w:history="1">
        <w:r w:rsidR="007603A9" w:rsidRPr="007603A9">
          <w:rPr>
            <w:rStyle w:val="Hyperlink"/>
            <w:rFonts w:hint="eastAsia"/>
            <w:noProof w:val="0"/>
            <w:rtl/>
          </w:rPr>
          <w:t>סעיפים</w:t>
        </w:r>
        <w:r w:rsidR="007603A9" w:rsidRPr="007603A9">
          <w:rPr>
            <w:rStyle w:val="Hyperlink"/>
            <w:noProof w:val="0"/>
            <w:rtl/>
          </w:rPr>
          <w:t xml:space="preserve"> 348(א)</w:t>
        </w:r>
      </w:hyperlink>
      <w:r>
        <w:rPr>
          <w:rFonts w:hint="cs"/>
          <w:noProof w:val="0"/>
          <w:rtl/>
        </w:rPr>
        <w:t xml:space="preserve"> בנסיבות המנויות </w:t>
      </w:r>
      <w:hyperlink r:id="rId16" w:history="1">
        <w:r w:rsidR="007603A9" w:rsidRPr="007603A9">
          <w:rPr>
            <w:rStyle w:val="Hyperlink"/>
            <w:rFonts w:hint="eastAsia"/>
            <w:noProof w:val="0"/>
            <w:rtl/>
          </w:rPr>
          <w:t>בסעיף</w:t>
        </w:r>
        <w:r w:rsidR="007603A9" w:rsidRPr="007603A9">
          <w:rPr>
            <w:rStyle w:val="Hyperlink"/>
            <w:noProof w:val="0"/>
            <w:rtl/>
          </w:rPr>
          <w:t xml:space="preserve"> 345(א)(3)</w:t>
        </w:r>
      </w:hyperlink>
      <w:r>
        <w:rPr>
          <w:rFonts w:hint="cs"/>
          <w:noProof w:val="0"/>
          <w:rtl/>
        </w:rPr>
        <w:t xml:space="preserve"> ל</w:t>
      </w:r>
      <w:hyperlink r:id="rId17" w:history="1">
        <w:r w:rsidR="00C561F5" w:rsidRPr="00C561F5">
          <w:rPr>
            <w:noProof w:val="0"/>
            <w:color w:val="0000FF"/>
            <w:u w:val="single"/>
            <w:rtl/>
          </w:rPr>
          <w:t>חוק העונשין</w:t>
        </w:r>
      </w:hyperlink>
      <w:r>
        <w:rPr>
          <w:rFonts w:hint="cs"/>
          <w:noProof w:val="0"/>
          <w:rtl/>
        </w:rPr>
        <w:t xml:space="preserve"> הנ"ל.</w:t>
      </w:r>
    </w:p>
    <w:p w14:paraId="4F0B032B" w14:textId="77777777" w:rsidR="00346666" w:rsidRDefault="00346666" w:rsidP="00346666">
      <w:pPr>
        <w:spacing w:line="360" w:lineRule="auto"/>
        <w:ind w:left="405"/>
        <w:jc w:val="both"/>
        <w:rPr>
          <w:noProof w:val="0"/>
        </w:rPr>
      </w:pPr>
    </w:p>
    <w:p w14:paraId="74855E90" w14:textId="77777777" w:rsidR="00346666" w:rsidRDefault="00346666" w:rsidP="00346666">
      <w:pPr>
        <w:numPr>
          <w:ilvl w:val="0"/>
          <w:numId w:val="11"/>
        </w:numPr>
        <w:spacing w:line="360" w:lineRule="auto"/>
        <w:ind w:left="405"/>
        <w:jc w:val="both"/>
        <w:rPr>
          <w:rFonts w:hint="cs"/>
          <w:noProof w:val="0"/>
        </w:rPr>
      </w:pPr>
      <w:r>
        <w:rPr>
          <w:rFonts w:hint="cs"/>
          <w:noProof w:val="0"/>
          <w:rtl/>
        </w:rPr>
        <w:t>בשני המקרים מבוססים האישומים על דברי המתלוננות. אין סמיכות זמנים לגבי המעשים הנטענים בכל אחד מהאישומים.</w:t>
      </w:r>
    </w:p>
    <w:p w14:paraId="3B89A144" w14:textId="77777777" w:rsidR="00346666" w:rsidRDefault="00346666" w:rsidP="00346666">
      <w:pPr>
        <w:pStyle w:val="ListParagraph"/>
        <w:rPr>
          <w:rFonts w:hint="cs"/>
          <w:noProof w:val="0"/>
          <w:rtl/>
        </w:rPr>
      </w:pPr>
    </w:p>
    <w:p w14:paraId="29FC775C" w14:textId="77777777" w:rsidR="00346666" w:rsidRDefault="00346666" w:rsidP="00346666">
      <w:pPr>
        <w:numPr>
          <w:ilvl w:val="0"/>
          <w:numId w:val="11"/>
        </w:numPr>
        <w:spacing w:line="360" w:lineRule="auto"/>
        <w:ind w:left="405"/>
        <w:jc w:val="both"/>
        <w:rPr>
          <w:noProof w:val="0"/>
        </w:rPr>
      </w:pPr>
      <w:r>
        <w:rPr>
          <w:rFonts w:hint="cs"/>
          <w:noProof w:val="0"/>
          <w:rtl/>
        </w:rPr>
        <w:lastRenderedPageBreak/>
        <w:t>הנאשם עבד משך תקופה מסויימת כשרת בבית הספר המקיף</w:t>
      </w:r>
      <w:r w:rsidR="006C20CE">
        <w:rPr>
          <w:rFonts w:hint="cs"/>
          <w:noProof w:val="0"/>
          <w:rtl/>
        </w:rPr>
        <w:t xml:space="preserve"> בעיר נשר. בשני האישומים מדובר על מעשים מיניים שביצע בתלמידות במקום. הנאשם מכחיש את הנטען כלפיו.</w:t>
      </w:r>
    </w:p>
    <w:p w14:paraId="557BCD1A" w14:textId="77777777" w:rsidR="00312BD5" w:rsidRDefault="00312BD5" w:rsidP="00312BD5">
      <w:pPr>
        <w:spacing w:line="360" w:lineRule="auto"/>
        <w:jc w:val="both"/>
        <w:rPr>
          <w:rFonts w:hint="cs"/>
          <w:noProof w:val="0"/>
          <w:rtl/>
        </w:rPr>
      </w:pPr>
    </w:p>
    <w:p w14:paraId="09783FA2" w14:textId="77777777" w:rsidR="00312BD5" w:rsidRPr="00312BD5" w:rsidRDefault="00312BD5" w:rsidP="00312BD5">
      <w:pPr>
        <w:spacing w:line="360" w:lineRule="auto"/>
        <w:jc w:val="both"/>
        <w:rPr>
          <w:noProof w:val="0"/>
        </w:rPr>
      </w:pPr>
      <w:r>
        <w:rPr>
          <w:rFonts w:hint="cs"/>
          <w:b/>
          <w:bCs/>
          <w:noProof w:val="0"/>
          <w:rtl/>
        </w:rPr>
        <w:t>אישום ראשון</w:t>
      </w:r>
    </w:p>
    <w:p w14:paraId="652DCD84" w14:textId="77777777" w:rsidR="00346666" w:rsidRDefault="00346666" w:rsidP="00346666">
      <w:pPr>
        <w:pStyle w:val="ListParagraph"/>
        <w:rPr>
          <w:rFonts w:hint="cs"/>
          <w:noProof w:val="0"/>
          <w:rtl/>
        </w:rPr>
      </w:pPr>
    </w:p>
    <w:p w14:paraId="29322C7A" w14:textId="77777777" w:rsidR="001A43E3" w:rsidRDefault="00346666" w:rsidP="00346666">
      <w:pPr>
        <w:numPr>
          <w:ilvl w:val="0"/>
          <w:numId w:val="11"/>
        </w:numPr>
        <w:spacing w:line="360" w:lineRule="auto"/>
        <w:ind w:left="405"/>
        <w:jc w:val="both"/>
        <w:rPr>
          <w:noProof w:val="0"/>
        </w:rPr>
      </w:pPr>
      <w:r>
        <w:rPr>
          <w:rFonts w:hint="cs"/>
          <w:noProof w:val="0"/>
          <w:rtl/>
        </w:rPr>
        <w:t xml:space="preserve"> </w:t>
      </w:r>
      <w:r w:rsidR="00312BD5">
        <w:rPr>
          <w:rFonts w:hint="cs"/>
          <w:noProof w:val="0"/>
          <w:rtl/>
        </w:rPr>
        <w:t>המתלוננת, ילידת שנת 80', סיימה את לימודיה בבית הספר האמור בשנת 1998. היום היא משרתת כחיילת בשירות סדיר בצה"ל. אשתו (השנייה) של הנאשם... לדבריה, בעת חופשת הקיץ בשנת 1993, כאשר עמדה להתחיל בלימודיה בחטיבת הביניים בבית הספר הנ"ל, ערך לה הנאשם, ביוזמתו, סיור במבנה בית הספר ולאחר מכן הכניס אותה לחדר העבודה שלו שם. בשלב זה שוחח עמה, לדבריה, בעניינים מיניים, אמר לה להוריד את מכנסיה ולאחר מכן (פרוטוקול, עמ' 5 שורה 8):</w:t>
      </w:r>
    </w:p>
    <w:p w14:paraId="04E110E7" w14:textId="77777777" w:rsidR="00312BD5" w:rsidRDefault="00312BD5" w:rsidP="00312BD5">
      <w:pPr>
        <w:spacing w:line="360" w:lineRule="auto"/>
        <w:ind w:left="405"/>
        <w:jc w:val="both"/>
        <w:rPr>
          <w:noProof w:val="0"/>
          <w:rtl/>
        </w:rPr>
      </w:pPr>
    </w:p>
    <w:p w14:paraId="49521375" w14:textId="77777777" w:rsidR="00312BD5" w:rsidRDefault="00312BD5" w:rsidP="00312BD5">
      <w:pPr>
        <w:spacing w:line="360" w:lineRule="auto"/>
        <w:ind w:left="1485" w:right="1350"/>
        <w:jc w:val="both"/>
        <w:rPr>
          <w:b/>
          <w:bCs/>
          <w:noProof w:val="0"/>
          <w:rtl/>
        </w:rPr>
      </w:pPr>
      <w:r>
        <w:rPr>
          <w:rFonts w:hint="cs"/>
          <w:b/>
          <w:bCs/>
          <w:noProof w:val="0"/>
          <w:rtl/>
        </w:rPr>
        <w:t>"ואז הוא עם האצבע שלו העביר את היד שלו על התחתונים שלי מבחוץ."</w:t>
      </w:r>
    </w:p>
    <w:p w14:paraId="6CC1496A" w14:textId="77777777" w:rsidR="00312BD5" w:rsidRDefault="00312BD5" w:rsidP="00312BD5">
      <w:pPr>
        <w:spacing w:line="360" w:lineRule="auto"/>
        <w:ind w:left="1485" w:right="1350"/>
        <w:jc w:val="both"/>
        <w:rPr>
          <w:b/>
          <w:bCs/>
          <w:noProof w:val="0"/>
          <w:rtl/>
        </w:rPr>
      </w:pPr>
    </w:p>
    <w:p w14:paraId="4E2A6683" w14:textId="77777777" w:rsidR="00312BD5" w:rsidRDefault="00312BD5" w:rsidP="00312BD5">
      <w:pPr>
        <w:spacing w:line="360" w:lineRule="auto"/>
        <w:ind w:left="405"/>
        <w:jc w:val="both"/>
        <w:rPr>
          <w:noProof w:val="0"/>
          <w:rtl/>
        </w:rPr>
      </w:pPr>
      <w:r>
        <w:rPr>
          <w:rFonts w:hint="cs"/>
          <w:noProof w:val="0"/>
          <w:rtl/>
        </w:rPr>
        <w:t>ובהמשך (שם, שורות 10-12):</w:t>
      </w:r>
    </w:p>
    <w:p w14:paraId="4BAB84EF" w14:textId="77777777" w:rsidR="00312BD5" w:rsidRDefault="00312BD5" w:rsidP="00312BD5">
      <w:pPr>
        <w:spacing w:line="360" w:lineRule="auto"/>
        <w:ind w:left="405"/>
        <w:jc w:val="both"/>
        <w:rPr>
          <w:noProof w:val="0"/>
          <w:rtl/>
        </w:rPr>
      </w:pPr>
    </w:p>
    <w:p w14:paraId="0E179A65" w14:textId="77777777" w:rsidR="00312BD5" w:rsidRDefault="00312BD5" w:rsidP="00312BD5">
      <w:pPr>
        <w:spacing w:line="360" w:lineRule="auto"/>
        <w:ind w:left="1485" w:right="1350"/>
        <w:jc w:val="both"/>
        <w:rPr>
          <w:b/>
          <w:bCs/>
          <w:noProof w:val="0"/>
          <w:rtl/>
        </w:rPr>
      </w:pPr>
      <w:r>
        <w:rPr>
          <w:rFonts w:hint="cs"/>
          <w:b/>
          <w:bCs/>
          <w:noProof w:val="0"/>
          <w:rtl/>
        </w:rPr>
        <w:t>"אחר כך הורדתי את התחתונים. הוא העביר את היד. אחרי זה אני התלבשתי. הוא העביר את האצבע שלו מעל איבר המין שלי. הוא לא הכניס את האצבע פנימה."</w:t>
      </w:r>
    </w:p>
    <w:p w14:paraId="3A8AD8CD" w14:textId="77777777" w:rsidR="00312BD5" w:rsidRDefault="00312BD5" w:rsidP="00312BD5">
      <w:pPr>
        <w:spacing w:line="360" w:lineRule="auto"/>
        <w:ind w:left="1485" w:right="1350"/>
        <w:jc w:val="both"/>
        <w:rPr>
          <w:b/>
          <w:bCs/>
          <w:noProof w:val="0"/>
          <w:rtl/>
        </w:rPr>
      </w:pPr>
    </w:p>
    <w:p w14:paraId="7BAC0E94" w14:textId="77777777" w:rsidR="00312BD5" w:rsidRDefault="00312BD5" w:rsidP="00346666">
      <w:pPr>
        <w:numPr>
          <w:ilvl w:val="0"/>
          <w:numId w:val="11"/>
        </w:numPr>
        <w:spacing w:line="360" w:lineRule="auto"/>
        <w:ind w:left="405"/>
        <w:jc w:val="both"/>
        <w:rPr>
          <w:noProof w:val="0"/>
        </w:rPr>
      </w:pPr>
      <w:r>
        <w:rPr>
          <w:rFonts w:hint="cs"/>
          <w:noProof w:val="0"/>
          <w:rtl/>
        </w:rPr>
        <w:t>המתלוננת ציינה, כי לא סיפרה על האירוע לאיש. כאשר הייתה בכיתה י"א, בשנת 1997, דהיינו כ-4 שנים לאחר האירוע, אמרה לה המתלוננת באישום השני, גם היא תלמידה באותו בית ספר, כי היא מצטערת על כך שהגישה תלונה על ...</w:t>
      </w:r>
      <w:r>
        <w:rPr>
          <w:rFonts w:hint="cs"/>
          <w:noProof w:val="0"/>
          <w:rtl/>
        </w:rPr>
        <w:tab/>
        <w:t>של המתלוננת הראשונה וכי כאשר עשתה כן, לא ידעה על .... תגובתה של המתלוננת הראשונה הייתה שהיא מבינה אותה. בעקבות זאת זומנה לשיחה עם יועצת השכבה באותו בית ספר ואז היא סיפרה לאותה יועצת, רונית, את מה שסיפרה לבית המשפט.</w:t>
      </w:r>
    </w:p>
    <w:p w14:paraId="12B8495E" w14:textId="77777777" w:rsidR="00312BD5" w:rsidRDefault="00312BD5" w:rsidP="00312BD5">
      <w:pPr>
        <w:spacing w:line="360" w:lineRule="auto"/>
        <w:ind w:left="405"/>
        <w:jc w:val="both"/>
        <w:rPr>
          <w:noProof w:val="0"/>
        </w:rPr>
      </w:pPr>
    </w:p>
    <w:p w14:paraId="42E34987" w14:textId="77777777" w:rsidR="00312BD5" w:rsidRDefault="00312BD5" w:rsidP="00346666">
      <w:pPr>
        <w:numPr>
          <w:ilvl w:val="0"/>
          <w:numId w:val="11"/>
        </w:numPr>
        <w:spacing w:line="360" w:lineRule="auto"/>
        <w:ind w:left="405"/>
        <w:jc w:val="both"/>
        <w:rPr>
          <w:rFonts w:hint="cs"/>
          <w:noProof w:val="0"/>
        </w:rPr>
      </w:pPr>
      <w:r>
        <w:rPr>
          <w:rFonts w:hint="cs"/>
          <w:noProof w:val="0"/>
          <w:rtl/>
        </w:rPr>
        <w:t>אין ספק שעדותה ש</w:t>
      </w:r>
      <w:r w:rsidR="001040A1">
        <w:rPr>
          <w:rFonts w:hint="cs"/>
          <w:noProof w:val="0"/>
          <w:rtl/>
        </w:rPr>
        <w:t>ל המתלוננת הראשונה היא עדות כבוש</w:t>
      </w:r>
      <w:r>
        <w:rPr>
          <w:rFonts w:hint="cs"/>
          <w:noProof w:val="0"/>
          <w:rtl/>
        </w:rPr>
        <w:t>ה ש"ערכה ומשקלה מועטים ביותר, משום ש'הכובש עדותו' חשוד, מטבע הדברים, על אמיתותה" (י' קדמי, "על הראיות", חלק ראשון מהדורה משולבת ומעודכנת, ת"א 1999, עמ' 373 ופסקי הדין המובאים בה"ש 110). המתלוננת הראשונה אישרה שדבר האירוע הקשור במתלוננת השנייה בא לידיעתה, כתלמידה בבית הספר, עוד בשנת 1994, כאשר הייתה בכיתה ח'. חרף זאת לא עשתה דבר. התלונה במשטרה הוגשה רק ביום 23/11/97. השיחה עם היועצת רונית, התקיימה רק בשנת 1997. הפרקליטה המלומדת לא חלקה על מועדים אלה (סיכומיה בע"פ, עמ' 37 למעלה).</w:t>
      </w:r>
      <w:r>
        <w:rPr>
          <w:rFonts w:hint="cs"/>
          <w:noProof w:val="0"/>
          <w:rtl/>
        </w:rPr>
        <w:tab/>
      </w:r>
      <w:r>
        <w:rPr>
          <w:noProof w:val="0"/>
          <w:rtl/>
        </w:rPr>
        <w:br/>
      </w:r>
      <w:r>
        <w:rPr>
          <w:noProof w:val="0"/>
          <w:rtl/>
        </w:rPr>
        <w:br/>
      </w:r>
      <w:r>
        <w:rPr>
          <w:rFonts w:hint="cs"/>
          <w:noProof w:val="0"/>
          <w:rtl/>
        </w:rPr>
        <w:t>האם יש בפנינו הסבר מתקבל על הדעת הן לעניין כבישתה של העדות והן לעניין ההחלטה לגלותה? לאחר עיון, אנו משיבים על שתי שאלות אלה בשלילה.</w:t>
      </w:r>
      <w:r>
        <w:rPr>
          <w:rFonts w:hint="cs"/>
          <w:noProof w:val="0"/>
          <w:rtl/>
        </w:rPr>
        <w:tab/>
      </w:r>
      <w:r>
        <w:rPr>
          <w:noProof w:val="0"/>
          <w:rtl/>
        </w:rPr>
        <w:br/>
      </w:r>
      <w:r>
        <w:rPr>
          <w:noProof w:val="0"/>
          <w:rtl/>
        </w:rPr>
        <w:lastRenderedPageBreak/>
        <w:br/>
      </w:r>
      <w:r>
        <w:rPr>
          <w:rFonts w:hint="cs"/>
          <w:noProof w:val="0"/>
          <w:rtl/>
        </w:rPr>
        <w:t>המתלוננת הרא</w:t>
      </w:r>
      <w:r w:rsidR="00C25E54">
        <w:rPr>
          <w:rFonts w:hint="cs"/>
          <w:noProof w:val="0"/>
          <w:rtl/>
        </w:rPr>
        <w:t>שונה נהגה לשוחח עם יועצת בחטיבה "פעם בשבוע או פעם בשבועיים" (פרוטוקול, עמ' 6, שורה 19). היא שוחחה איתה על מגוון רחב של בעיות אך לא דיברה איתה "על המקרה שהיה לי עם הנאשם" (שם, שורה 24; עדות היועצת צ. ויסבך בחקירה ראשית, פרוטוקול 22/11/00 עמ' 16 למעלה, עמ' 18, שורה 9). היא לא סיפרה על המקרה להוריה. היא סיפרה לראשונה לאימה, באותו יום בו שוחחה עם היועצת רונית (ביוזמתה של האחרונה), ואז האם היא שהתלוננה במשטרה.</w:t>
      </w:r>
    </w:p>
    <w:p w14:paraId="2488AA98" w14:textId="77777777" w:rsidR="00C25E54" w:rsidRDefault="00C25E54" w:rsidP="00C25E54">
      <w:pPr>
        <w:pStyle w:val="ListParagraph"/>
        <w:rPr>
          <w:rFonts w:hint="cs"/>
          <w:noProof w:val="0"/>
          <w:rtl/>
        </w:rPr>
      </w:pPr>
    </w:p>
    <w:p w14:paraId="2A0547EF" w14:textId="77777777" w:rsidR="00C25E54" w:rsidRDefault="00C25E54" w:rsidP="00346666">
      <w:pPr>
        <w:numPr>
          <w:ilvl w:val="0"/>
          <w:numId w:val="11"/>
        </w:numPr>
        <w:spacing w:line="360" w:lineRule="auto"/>
        <w:ind w:left="405"/>
        <w:jc w:val="both"/>
        <w:rPr>
          <w:noProof w:val="0"/>
        </w:rPr>
      </w:pPr>
      <w:r>
        <w:rPr>
          <w:rFonts w:hint="cs"/>
          <w:noProof w:val="0"/>
          <w:rtl/>
        </w:rPr>
        <w:t>המתלוננת הראשונה גם הזכירה יחסים עכורים בין אביה לבין הנאשם, על רקע העובדה שאביה של המתלוננת תפס את מקום עבודתו של הנאשם כשרת בבית הספר, כאשר הנאשם הועבר מתפקיד זה. ראו גם דבריו של הנאשם בהקשר זה בחקירתו שכנגד בעמ' 31 למטה:</w:t>
      </w:r>
    </w:p>
    <w:p w14:paraId="27A576F0" w14:textId="77777777" w:rsidR="00C25E54" w:rsidRDefault="00C25E54" w:rsidP="00C25E54">
      <w:pPr>
        <w:pStyle w:val="ListParagraph"/>
        <w:rPr>
          <w:rFonts w:hint="cs"/>
          <w:noProof w:val="0"/>
          <w:rtl/>
        </w:rPr>
      </w:pPr>
    </w:p>
    <w:p w14:paraId="11D0AA3C" w14:textId="77777777" w:rsidR="00C25E54" w:rsidRDefault="00C25E54" w:rsidP="00C25E54">
      <w:pPr>
        <w:spacing w:line="360" w:lineRule="auto"/>
        <w:ind w:left="1485" w:right="1350"/>
        <w:jc w:val="both"/>
        <w:rPr>
          <w:b/>
          <w:bCs/>
          <w:noProof w:val="0"/>
          <w:rtl/>
        </w:rPr>
      </w:pPr>
      <w:r>
        <w:rPr>
          <w:rFonts w:hint="cs"/>
          <w:b/>
          <w:bCs/>
          <w:noProof w:val="0"/>
          <w:rtl/>
        </w:rPr>
        <w:t>"היתה לנו בעיה בגלל סכסוך משפחתי."</w:t>
      </w:r>
    </w:p>
    <w:p w14:paraId="0D1F797F" w14:textId="77777777" w:rsidR="00C25E54" w:rsidRPr="00C25E54" w:rsidRDefault="00C25E54" w:rsidP="00C25E54">
      <w:pPr>
        <w:spacing w:line="360" w:lineRule="auto"/>
        <w:ind w:left="1485" w:right="1350"/>
        <w:jc w:val="both"/>
        <w:rPr>
          <w:b/>
          <w:bCs/>
          <w:noProof w:val="0"/>
        </w:rPr>
      </w:pPr>
    </w:p>
    <w:p w14:paraId="0B84AB5F" w14:textId="77777777" w:rsidR="00C25E54" w:rsidRDefault="00C25E54" w:rsidP="00C25E54">
      <w:pPr>
        <w:spacing w:line="360" w:lineRule="auto"/>
        <w:ind w:left="405"/>
        <w:jc w:val="both"/>
        <w:rPr>
          <w:rFonts w:hint="cs"/>
          <w:noProof w:val="0"/>
          <w:rtl/>
        </w:rPr>
      </w:pPr>
      <w:r>
        <w:rPr>
          <w:rFonts w:hint="cs"/>
          <w:noProof w:val="0"/>
          <w:rtl/>
        </w:rPr>
        <w:t>בעדותו בפנינו ניסה הנאשם לטעון, כי המתלוננת הראשונה ביקשה להפליל אותו על רקע ניסיונו של אביה לתפוס את מקומו כשרת בית הספר (פרוטוקול, עמ' 33, בסיום החקירה שכנגד). עיון במועדים הרלבנטיים מראה, שאין בסיס לטענה זו של הנאשם ויפה עשתה ב"כ המלומדת כאשר לא חזרה על הדברים בסיכומיה בע"פ. אין, עם זאת, בכך שטענה זו של הנאשם כלפי המתלוננת הראשונה, לא היתה מוצדקת, כדי לחזק בצורה כלשהי את דבריה.</w:t>
      </w:r>
    </w:p>
    <w:p w14:paraId="7BAF11C2" w14:textId="77777777" w:rsidR="00C25E54" w:rsidRDefault="00C25E54" w:rsidP="00C25E54">
      <w:pPr>
        <w:spacing w:line="360" w:lineRule="auto"/>
        <w:ind w:left="405"/>
        <w:jc w:val="both"/>
        <w:rPr>
          <w:rFonts w:hint="cs"/>
          <w:noProof w:val="0"/>
          <w:rtl/>
        </w:rPr>
      </w:pPr>
    </w:p>
    <w:p w14:paraId="06492CCD" w14:textId="77777777" w:rsidR="00C25E54" w:rsidRDefault="00C25E54" w:rsidP="00346666">
      <w:pPr>
        <w:numPr>
          <w:ilvl w:val="0"/>
          <w:numId w:val="11"/>
        </w:numPr>
        <w:spacing w:line="360" w:lineRule="auto"/>
        <w:ind w:left="405"/>
        <w:jc w:val="both"/>
        <w:rPr>
          <w:noProof w:val="0"/>
        </w:rPr>
      </w:pPr>
      <w:r>
        <w:rPr>
          <w:rFonts w:hint="cs"/>
          <w:noProof w:val="0"/>
          <w:rtl/>
        </w:rPr>
        <w:t>בפנינו, איפוא, מתלוננת, שאף לפי גירסתה היא כבשה את עדותה במשך שנים.</w:t>
      </w:r>
      <w:r>
        <w:rPr>
          <w:rFonts w:hint="cs"/>
          <w:noProof w:val="0"/>
          <w:rtl/>
        </w:rPr>
        <w:tab/>
      </w:r>
      <w:r>
        <w:rPr>
          <w:noProof w:val="0"/>
          <w:rtl/>
        </w:rPr>
        <w:br/>
      </w:r>
      <w:r>
        <w:rPr>
          <w:noProof w:val="0"/>
          <w:rtl/>
        </w:rPr>
        <w:br/>
      </w:r>
      <w:r>
        <w:rPr>
          <w:rFonts w:hint="cs"/>
          <w:noProof w:val="0"/>
          <w:rtl/>
        </w:rPr>
        <w:t>אפשר ועשתה כן מכיוון שהעניין לא נראה לה חמור בזמנו ואפשר שיש הסבר אחר לכבישת העדות. איננו מתעלמים מכך שמדובר במתלוננת שהיתה רק בת 13 בעת האירוע הנטען. עם זאת, לא השתכנענו שיש בפנינו הסבר מתקבל על הדעת לאיחור הרב בהגשת התלונה. איננו יכולים להתעלם מהרציונל העומד מאחורי הכלל המזהיר בפני "עדות כבושה". ברור, שנאשם המבקש להתגונן כנגד עדות כזאת עומד בפני משימה כמעט בלתי אפשרית. הנאשם נחקר במשטרה בהקשר לאישום הראשון רק ביום 16/12/97 (ת/2). כיצד אמור נחקר כזה למסור פרטים מלאים על מה שאירע, לפי הנטען כלפיו, ארבע שנים קודם לכן?</w:t>
      </w:r>
    </w:p>
    <w:p w14:paraId="4048688C" w14:textId="77777777" w:rsidR="00C25E54" w:rsidRDefault="00C25E54" w:rsidP="00C25E54">
      <w:pPr>
        <w:spacing w:line="360" w:lineRule="auto"/>
        <w:ind w:left="405"/>
        <w:jc w:val="both"/>
        <w:rPr>
          <w:noProof w:val="0"/>
        </w:rPr>
      </w:pPr>
    </w:p>
    <w:p w14:paraId="34DFA5EA" w14:textId="77777777" w:rsidR="00C25E54" w:rsidRDefault="00C25E54" w:rsidP="00346666">
      <w:pPr>
        <w:numPr>
          <w:ilvl w:val="0"/>
          <w:numId w:val="11"/>
        </w:numPr>
        <w:spacing w:line="360" w:lineRule="auto"/>
        <w:ind w:left="405"/>
        <w:jc w:val="both"/>
        <w:rPr>
          <w:rFonts w:hint="cs"/>
          <w:noProof w:val="0"/>
        </w:rPr>
      </w:pPr>
      <w:r>
        <w:rPr>
          <w:rFonts w:hint="cs"/>
          <w:noProof w:val="0"/>
          <w:rtl/>
        </w:rPr>
        <w:t>לא שמענו את עדותה של היועצת רונית, שלפי הנאמר יזמה את השיחה הראשונה עם המתלוננת הנ"ל בקשר לאירוע של 1993. אין בפנינו כל ראיה התומכת בגירסה המפלילה את הנאשם.</w:t>
      </w:r>
      <w:r w:rsidR="00271ABE">
        <w:rPr>
          <w:rFonts w:hint="cs"/>
          <w:noProof w:val="0"/>
          <w:rtl/>
        </w:rPr>
        <w:t xml:space="preserve"> בנסיבות אלה, כאשר מדובר בעדות יחידה בע"פ, שנמסרה שנים לאחר האירוע, הרי, לאחר שראינו את המתלוננת ושמענו אותה, איננו מוכנים לסמוך על עדות יחידה זו לצורך הרשעת הנאשם.</w:t>
      </w:r>
    </w:p>
    <w:p w14:paraId="02ECE0CC" w14:textId="77777777" w:rsidR="00271ABE" w:rsidRDefault="00271ABE" w:rsidP="00271ABE">
      <w:pPr>
        <w:pStyle w:val="ListParagraph"/>
        <w:rPr>
          <w:rFonts w:hint="cs"/>
          <w:noProof w:val="0"/>
          <w:rtl/>
        </w:rPr>
      </w:pPr>
    </w:p>
    <w:p w14:paraId="54789CF8" w14:textId="77777777" w:rsidR="00271ABE" w:rsidRPr="00271ABE" w:rsidRDefault="00271ABE" w:rsidP="00271ABE">
      <w:pPr>
        <w:spacing w:line="360" w:lineRule="auto"/>
        <w:jc w:val="both"/>
        <w:rPr>
          <w:noProof w:val="0"/>
        </w:rPr>
      </w:pPr>
      <w:r>
        <w:rPr>
          <w:rFonts w:hint="cs"/>
          <w:b/>
          <w:bCs/>
          <w:noProof w:val="0"/>
          <w:rtl/>
        </w:rPr>
        <w:t>אישום שני</w:t>
      </w:r>
    </w:p>
    <w:p w14:paraId="322AAC0A" w14:textId="77777777" w:rsidR="00C25E54" w:rsidRDefault="00C25E54" w:rsidP="00C25E54">
      <w:pPr>
        <w:pStyle w:val="ListParagraph"/>
        <w:rPr>
          <w:rFonts w:hint="cs"/>
          <w:noProof w:val="0"/>
          <w:rtl/>
        </w:rPr>
      </w:pPr>
    </w:p>
    <w:p w14:paraId="2A16D33A" w14:textId="77777777" w:rsidR="00C25E54" w:rsidRDefault="00271ABE" w:rsidP="00346666">
      <w:pPr>
        <w:numPr>
          <w:ilvl w:val="0"/>
          <w:numId w:val="11"/>
        </w:numPr>
        <w:spacing w:line="360" w:lineRule="auto"/>
        <w:ind w:left="405"/>
        <w:jc w:val="both"/>
        <w:rPr>
          <w:noProof w:val="0"/>
        </w:rPr>
      </w:pPr>
      <w:r>
        <w:rPr>
          <w:rFonts w:hint="cs"/>
          <w:noProof w:val="0"/>
          <w:rtl/>
        </w:rPr>
        <w:lastRenderedPageBreak/>
        <w:t>המתלוננת השנייה למדה באותו בית ספר בנשר הן בחטיבת הביניים והן בבית הספר התיכון, והיא סיימה שם את לימודיה ב-1/7/99 בהצלחה. היא הכירה את הנאשם כשרת בבית הספר. לדבריה, כאשר היתה בכיתה ח', במהלך חודש מאי 1995, נכנסה לחדרו של הנאשם ואז (פרוטוקול, עמ' 8, שורות 17-23):</w:t>
      </w:r>
    </w:p>
    <w:p w14:paraId="48B21882" w14:textId="77777777" w:rsidR="00271ABE" w:rsidRDefault="00271ABE" w:rsidP="00271ABE">
      <w:pPr>
        <w:spacing w:line="360" w:lineRule="auto"/>
        <w:ind w:left="405"/>
        <w:jc w:val="both"/>
        <w:rPr>
          <w:noProof w:val="0"/>
          <w:rtl/>
        </w:rPr>
      </w:pPr>
    </w:p>
    <w:p w14:paraId="73631528" w14:textId="77777777" w:rsidR="00271ABE" w:rsidRDefault="00271ABE" w:rsidP="00271ABE">
      <w:pPr>
        <w:spacing w:line="360" w:lineRule="auto"/>
        <w:ind w:left="1485" w:right="1350"/>
        <w:jc w:val="both"/>
        <w:rPr>
          <w:b/>
          <w:bCs/>
          <w:noProof w:val="0"/>
          <w:rtl/>
        </w:rPr>
      </w:pPr>
      <w:r>
        <w:rPr>
          <w:rFonts w:hint="cs"/>
          <w:b/>
          <w:bCs/>
          <w:noProof w:val="0"/>
          <w:rtl/>
        </w:rPr>
        <w:t>"הנ' נגע בי. הוא ליטף את החזה ואת הישבן בזמן שהייתי לבושה. זה היה בהפסקה בין שיעורים, היתה עוד בחורה אחת באותו החדר בזמן המעשה, אך היא היתה עסוקה בדברים אחרים. אני לא זוכרת אם הנ' אמר לי משהו בעת שהוא עשה מה שתיארתי. נכנסתי קצת ללחץ ורציתי לצאת מהחדר. היה קטע כזה שהוא כמו חיבק אותי והושיב אותי על הברך שלו. אז הוא הפעיל לחץ על כתפיי על מנת שאני אשב ממש. זה לקח כמה דקות ואח"כ היה צלצול ואז יצאתי בחזרה לכיתה."</w:t>
      </w:r>
    </w:p>
    <w:p w14:paraId="3B2F88E2" w14:textId="77777777" w:rsidR="00271ABE" w:rsidRDefault="00271ABE" w:rsidP="00271ABE">
      <w:pPr>
        <w:spacing w:line="360" w:lineRule="auto"/>
        <w:ind w:left="1485" w:right="1350"/>
        <w:jc w:val="both"/>
        <w:rPr>
          <w:b/>
          <w:bCs/>
          <w:noProof w:val="0"/>
          <w:rtl/>
        </w:rPr>
      </w:pPr>
    </w:p>
    <w:p w14:paraId="29A30891" w14:textId="77777777" w:rsidR="00271ABE" w:rsidRPr="00271ABE" w:rsidRDefault="00271ABE" w:rsidP="00271ABE">
      <w:pPr>
        <w:spacing w:line="360" w:lineRule="auto"/>
        <w:ind w:left="405"/>
        <w:jc w:val="both"/>
        <w:rPr>
          <w:noProof w:val="0"/>
        </w:rPr>
      </w:pPr>
      <w:r>
        <w:rPr>
          <w:rFonts w:hint="cs"/>
          <w:noProof w:val="0"/>
          <w:rtl/>
        </w:rPr>
        <w:t>המתלוננת השנייה סיפרה על האירוע כשבוע ימים לאחר המקרה ליועצת ציפי ויסבך. הודעה למשטרה נמסרה ב-3/7/95. הנאשם נחקר לגבי אירוע זה לראשונה ביום 30/8/95 (ת/1).</w:t>
      </w:r>
    </w:p>
    <w:p w14:paraId="6E8C5A92" w14:textId="77777777" w:rsidR="00C25E54" w:rsidRDefault="00C25E54" w:rsidP="00C25E54">
      <w:pPr>
        <w:pStyle w:val="ListParagraph"/>
        <w:rPr>
          <w:rFonts w:hint="cs"/>
          <w:noProof w:val="0"/>
          <w:rtl/>
        </w:rPr>
      </w:pPr>
    </w:p>
    <w:p w14:paraId="197B8036" w14:textId="77777777" w:rsidR="00C25E54" w:rsidRDefault="00271ABE" w:rsidP="00346666">
      <w:pPr>
        <w:numPr>
          <w:ilvl w:val="0"/>
          <w:numId w:val="11"/>
        </w:numPr>
        <w:spacing w:line="360" w:lineRule="auto"/>
        <w:ind w:left="405"/>
        <w:jc w:val="both"/>
        <w:rPr>
          <w:noProof w:val="0"/>
        </w:rPr>
      </w:pPr>
      <w:r>
        <w:rPr>
          <w:rFonts w:hint="cs"/>
          <w:noProof w:val="0"/>
          <w:rtl/>
        </w:rPr>
        <w:t>המתלוננת השנייה כתבה על האירוע למנהל בית הספר (נ/2), במועד של</w:t>
      </w:r>
      <w:r w:rsidR="00F506F2">
        <w:rPr>
          <w:rFonts w:hint="cs"/>
          <w:noProof w:val="0"/>
          <w:rtl/>
        </w:rPr>
        <w:t>א</w:t>
      </w:r>
      <w:r>
        <w:rPr>
          <w:rFonts w:hint="cs"/>
          <w:noProof w:val="0"/>
          <w:rtl/>
        </w:rPr>
        <w:t xml:space="preserve"> הוכח בפנינו. אותו מכתב גם כולל טענות של הכותבת לגבי מעשים דומים של הנאשם בתלמידות אחרות. היא כתבה שמעשים אלה קורים הן בחדרו של הנאשם והן במקומות אחרים בבית הספר.</w:t>
      </w:r>
    </w:p>
    <w:p w14:paraId="31F2641F" w14:textId="77777777" w:rsidR="00271ABE" w:rsidRDefault="00271ABE" w:rsidP="00271ABE">
      <w:pPr>
        <w:spacing w:line="360" w:lineRule="auto"/>
        <w:ind w:left="405"/>
        <w:jc w:val="both"/>
        <w:rPr>
          <w:rFonts w:hint="cs"/>
          <w:noProof w:val="0"/>
        </w:rPr>
      </w:pPr>
    </w:p>
    <w:p w14:paraId="3AF7BE32" w14:textId="77777777" w:rsidR="00271ABE" w:rsidRDefault="00D528BC" w:rsidP="00346666">
      <w:pPr>
        <w:numPr>
          <w:ilvl w:val="0"/>
          <w:numId w:val="11"/>
        </w:numPr>
        <w:spacing w:line="360" w:lineRule="auto"/>
        <w:ind w:left="405"/>
        <w:jc w:val="both"/>
        <w:rPr>
          <w:noProof w:val="0"/>
        </w:rPr>
      </w:pPr>
      <w:r>
        <w:rPr>
          <w:rFonts w:hint="cs"/>
          <w:noProof w:val="0"/>
          <w:rtl/>
        </w:rPr>
        <w:t>גם באישום השני</w:t>
      </w:r>
      <w:r w:rsidR="00271ABE">
        <w:rPr>
          <w:rFonts w:hint="cs"/>
          <w:noProof w:val="0"/>
          <w:rtl/>
        </w:rPr>
        <w:t xml:space="preserve"> מדובר בעדות יחידה של מתלוננת. תמוה בעינינו מדוע לא הובאו ראיות נוספות שיכלו לאמת (או לסתור) את הגירסה של מתלוננת זו. העדה אמרה, כי חדרו של הנאשם היה למעשה כוך קטן (פרוטוקול, עמ' 10, שורה 9). עוד ציינה, שתלמידים נהגו לצלם מסמכים בחדר זה ובעת האירוע היתה תלמידה נוספת במקום, הילה, שצילמה שם מסמכים "היא התעסקה עם הדפים שלה" (שם, עמ' 12-13). הנאשם, הן בהודעתו במשטרה והן בחקירתו בפנינו, הכחיש את העובדה שתלמידים נהגו לצלם מסמכים בחדרו (פרוטוקול, עמ' 26 למעלה). </w:t>
      </w:r>
      <w:r w:rsidR="001A7EAC">
        <w:rPr>
          <w:rFonts w:hint="cs"/>
          <w:noProof w:val="0"/>
          <w:rtl/>
        </w:rPr>
        <w:t>סביר היה, איפוא, בנסיבות אלה, לחקור את התלמידה הילה, ולו רק כדי לאשר, שאמנם היא צילה מסמכים ב"כוך" של הנאשם, וכן שהמתלוננת השנייה היתה במועד הנטען על ידיה בחדרו של הנאשם. עדות כזאת מצד הילה, ולמצער ניסיו</w:t>
      </w:r>
      <w:r w:rsidR="001A7EAC">
        <w:rPr>
          <w:rFonts w:hint="eastAsia"/>
          <w:noProof w:val="0"/>
          <w:rtl/>
        </w:rPr>
        <w:t>ן</w:t>
      </w:r>
      <w:r w:rsidR="001A7EAC">
        <w:rPr>
          <w:rFonts w:hint="cs"/>
          <w:noProof w:val="0"/>
          <w:rtl/>
        </w:rPr>
        <w:t xml:space="preserve"> לחקור תלמידה זו, יכלו לשפוך אור על גירסת המתלוננת השנייה ולאשש אותה בשתי הנקודות החשובות האמורות. עדות כזאת יכולה היתה גם להתייחס להכחשת הנאשם בדבר נוהגם של התלמידים לצלם מסמכים בחדרו. היועצת, ששוחחה עם המתלוננת בסמוך לאירוע, לא ערכה כל רישום ואינה זוכרת ששוחחה עם הילה (פרוטוקול, עמ' 19). חוקר המשטרה, רס"ר ממן, לא ידע להסביר מדוע לא נחקרה הילה (שם, עמ' 21 למטה).</w:t>
      </w:r>
      <w:r w:rsidR="001A7EAC">
        <w:rPr>
          <w:rFonts w:hint="cs"/>
          <w:noProof w:val="0"/>
          <w:rtl/>
        </w:rPr>
        <w:tab/>
      </w:r>
      <w:r w:rsidR="001A7EAC">
        <w:rPr>
          <w:noProof w:val="0"/>
          <w:rtl/>
        </w:rPr>
        <w:br/>
      </w:r>
      <w:r w:rsidR="001A7EAC">
        <w:rPr>
          <w:noProof w:val="0"/>
          <w:rtl/>
        </w:rPr>
        <w:br/>
      </w:r>
      <w:r w:rsidR="001A7EAC">
        <w:rPr>
          <w:rFonts w:hint="cs"/>
          <w:noProof w:val="0"/>
          <w:rtl/>
        </w:rPr>
        <w:t>זאת ועוד: המתלוננת השנייה טענה, כי התנהגותו של הנאשם כלפיה לא היתה חריגה. גם דברים אלה הוכחשו נמרצות על ידי הנאשם (במשטרה ואצלנו). אם אמנם אלה היו פני הדברים, היכן התלמידות הרבות הנוספות כלפיהן התנהג הנאשם כנטען? בפנינו הן לא הופיעו. באת-כוח המאשימה הצהירה בפנינו כי למעט הודעות המתלוננות לא היו הודעות המפלילות את הנאשם בתיק המשטרה (פרוטוקול 22/11/00, עמ' 22 למטה, וראו גם סיכומיה בעמ' 36 למעלה).</w:t>
      </w:r>
    </w:p>
    <w:p w14:paraId="4D486233" w14:textId="77777777" w:rsidR="001A7EAC" w:rsidRDefault="001A7EAC" w:rsidP="001A7EAC">
      <w:pPr>
        <w:spacing w:line="360" w:lineRule="auto"/>
        <w:ind w:left="405"/>
        <w:jc w:val="both"/>
        <w:rPr>
          <w:rFonts w:hint="cs"/>
          <w:noProof w:val="0"/>
        </w:rPr>
      </w:pPr>
    </w:p>
    <w:p w14:paraId="6CEC16CA" w14:textId="77777777" w:rsidR="001A7EAC" w:rsidRDefault="001A7EAC" w:rsidP="00346666">
      <w:pPr>
        <w:numPr>
          <w:ilvl w:val="0"/>
          <w:numId w:val="11"/>
        </w:numPr>
        <w:spacing w:line="360" w:lineRule="auto"/>
        <w:ind w:left="405"/>
        <w:jc w:val="both"/>
        <w:rPr>
          <w:rFonts w:hint="cs"/>
          <w:noProof w:val="0"/>
        </w:rPr>
      </w:pPr>
      <w:r>
        <w:rPr>
          <w:rFonts w:hint="cs"/>
          <w:noProof w:val="0"/>
          <w:rtl/>
        </w:rPr>
        <w:t>באת-כוחה המלומדת של המאשימה ביקשה מאיתנו לראות בעדויות של שתי המתלוננות בשני האישומים כמחזקות זו את זו. היתה בפנינו, אם כן, מעין טענה על שיטה מצד הנאשם. גם בנקודה זו אין דעתנו כדעת התובעת. בכל אחד מהאישומים חומר הראיות שהובא בפנינו אינו בטוח מספיק כדי להשתית עליו מסקנה לחובת הנאשם. בנסיבות אלה איננו מוכנים, בסופו של יום, להעזר באישום שלפי הנטען אירע ב-1995, לצורך הרשעה באישום שמועדו 1993.</w:t>
      </w:r>
    </w:p>
    <w:p w14:paraId="38334289" w14:textId="77777777" w:rsidR="001A7EAC" w:rsidRDefault="001A7EAC" w:rsidP="001A7EAC">
      <w:pPr>
        <w:pStyle w:val="ListParagraph"/>
        <w:rPr>
          <w:rFonts w:hint="cs"/>
          <w:noProof w:val="0"/>
          <w:rtl/>
        </w:rPr>
      </w:pPr>
    </w:p>
    <w:p w14:paraId="218C650D" w14:textId="77777777" w:rsidR="001A7EAC" w:rsidRDefault="001A7EAC" w:rsidP="00346666">
      <w:pPr>
        <w:numPr>
          <w:ilvl w:val="0"/>
          <w:numId w:val="11"/>
        </w:numPr>
        <w:spacing w:line="360" w:lineRule="auto"/>
        <w:ind w:left="405"/>
        <w:jc w:val="both"/>
        <w:rPr>
          <w:rFonts w:hint="cs"/>
          <w:noProof w:val="0"/>
        </w:rPr>
      </w:pPr>
      <w:r>
        <w:rPr>
          <w:rFonts w:hint="cs"/>
          <w:noProof w:val="0"/>
          <w:rtl/>
        </w:rPr>
        <w:t>אנו ערים, כמובן, לכך שלאירועים מהסוג הנטען קשה למצוא ראיות עצמאיות התומכות בגירסת המתלוננת. דווקא משום כך, מן הראוי, שיעשה מאמץ למצוא ראיות כאלה במידת האפשר, בענייננו עדותה של נערה נוספת, שהיתה לגירסת המתלוננת נוכחת באירוע השני, וכן עדות של תלמידות על התנהגותו של הנאשם כלפיהן בדרך כלל, כפי שנטען על ידי אותה מתלוננת. ראו הערתנו בכיוון זה בעת סיכומי התובעת בעמ' 36 למעלה. מן הנמנע, במקרים מעין אלה, להפוך את ההלכות המתייחסות לעדות כבושה לאות מתה.</w:t>
      </w:r>
    </w:p>
    <w:p w14:paraId="220D710D" w14:textId="77777777" w:rsidR="001A7EAC" w:rsidRDefault="001A7EAC" w:rsidP="001A7EAC">
      <w:pPr>
        <w:pStyle w:val="ListParagraph"/>
        <w:rPr>
          <w:rFonts w:hint="cs"/>
          <w:noProof w:val="0"/>
          <w:rtl/>
        </w:rPr>
      </w:pPr>
    </w:p>
    <w:p w14:paraId="78B6C494" w14:textId="77777777" w:rsidR="001A7EAC" w:rsidRDefault="001A7EAC" w:rsidP="001A7EAC">
      <w:pPr>
        <w:spacing w:line="360" w:lineRule="auto"/>
        <w:jc w:val="both"/>
        <w:rPr>
          <w:noProof w:val="0"/>
          <w:rtl/>
        </w:rPr>
      </w:pPr>
      <w:r>
        <w:rPr>
          <w:rFonts w:hint="cs"/>
          <w:b/>
          <w:bCs/>
          <w:noProof w:val="0"/>
          <w:rtl/>
        </w:rPr>
        <w:t>מסקנה</w:t>
      </w:r>
    </w:p>
    <w:p w14:paraId="16A05F33" w14:textId="77777777" w:rsidR="001A7EAC" w:rsidRDefault="001A7EAC" w:rsidP="001A7EAC">
      <w:pPr>
        <w:spacing w:line="360" w:lineRule="auto"/>
        <w:jc w:val="both"/>
        <w:rPr>
          <w:noProof w:val="0"/>
          <w:rtl/>
        </w:rPr>
      </w:pPr>
    </w:p>
    <w:p w14:paraId="2170DDB4" w14:textId="77777777" w:rsidR="001A7EAC" w:rsidRDefault="001A7EAC" w:rsidP="001A7EAC">
      <w:pPr>
        <w:numPr>
          <w:ilvl w:val="0"/>
          <w:numId w:val="11"/>
        </w:numPr>
        <w:spacing w:line="360" w:lineRule="auto"/>
        <w:ind w:left="405"/>
        <w:jc w:val="both"/>
        <w:rPr>
          <w:noProof w:val="0"/>
        </w:rPr>
      </w:pPr>
      <w:r>
        <w:rPr>
          <w:rFonts w:hint="cs"/>
          <w:noProof w:val="0"/>
          <w:rtl/>
        </w:rPr>
        <w:t>מסקנתנו היא, שאין בפנינו, לגבי כל אחד משני האישומים, די ראיות בטוחות שניתן לבסס עליהן הרשעה. אנו מזכים את הנאשם.</w:t>
      </w:r>
    </w:p>
    <w:p w14:paraId="01F60262" w14:textId="77777777" w:rsidR="001A7EAC" w:rsidRDefault="001A7EAC" w:rsidP="001A7EAC">
      <w:pPr>
        <w:spacing w:line="360" w:lineRule="auto"/>
        <w:ind w:left="405"/>
        <w:jc w:val="both"/>
        <w:rPr>
          <w:rFonts w:hint="cs"/>
          <w:noProof w:val="0"/>
        </w:rPr>
      </w:pPr>
    </w:p>
    <w:p w14:paraId="55C621B9" w14:textId="77777777" w:rsidR="001A7EAC" w:rsidRPr="001A7EAC" w:rsidRDefault="001A7EAC" w:rsidP="001A7EAC">
      <w:pPr>
        <w:numPr>
          <w:ilvl w:val="0"/>
          <w:numId w:val="11"/>
        </w:numPr>
        <w:spacing w:line="360" w:lineRule="auto"/>
        <w:ind w:left="405"/>
        <w:jc w:val="both"/>
        <w:rPr>
          <w:rFonts w:hint="cs"/>
          <w:noProof w:val="0"/>
        </w:rPr>
      </w:pPr>
      <w:r>
        <w:rPr>
          <w:rFonts w:hint="cs"/>
          <w:noProof w:val="0"/>
          <w:rtl/>
        </w:rPr>
        <w:t>אנו אוסרים פרסום שמן של המתלוננות (מס' 2 ו-5 ברשימת עדי התביעה שבפרק ג' לכתב האישום), וכל פרט מזהה לגביהן. בנתון לכך אין מניעה לפרסום הכרעת דין זו.</w:t>
      </w:r>
    </w:p>
    <w:p w14:paraId="2D0891EC" w14:textId="77777777" w:rsidR="00961218" w:rsidRDefault="00961218" w:rsidP="00961218">
      <w:pPr>
        <w:spacing w:line="360" w:lineRule="auto"/>
        <w:ind w:left="405"/>
        <w:jc w:val="both"/>
        <w:rPr>
          <w:rFonts w:hint="cs"/>
          <w:noProof w:val="0"/>
        </w:rPr>
      </w:pPr>
    </w:p>
    <w:p w14:paraId="3CD2E1CD" w14:textId="77777777" w:rsidR="00B414F5" w:rsidRDefault="00B414F5" w:rsidP="00CA2806">
      <w:pPr>
        <w:tabs>
          <w:tab w:val="right" w:pos="2115"/>
        </w:tabs>
        <w:spacing w:line="360" w:lineRule="auto"/>
        <w:ind w:right="1350"/>
        <w:jc w:val="both"/>
        <w:rPr>
          <w:rFonts w:hint="cs"/>
          <w:b/>
          <w:bCs/>
          <w:noProof w:val="0"/>
          <w:rtl/>
        </w:rPr>
      </w:pPr>
    </w:p>
    <w:p w14:paraId="012D51DD" w14:textId="77777777" w:rsidR="00894F60" w:rsidRPr="00CB0128" w:rsidRDefault="00FA70D0" w:rsidP="00CA2806">
      <w:pPr>
        <w:tabs>
          <w:tab w:val="right" w:pos="2115"/>
          <w:tab w:val="right" w:pos="8505"/>
        </w:tabs>
        <w:spacing w:line="360" w:lineRule="auto"/>
        <w:jc w:val="both"/>
        <w:rPr>
          <w:rFonts w:hint="cs"/>
          <w:b/>
          <w:bCs/>
          <w:noProof w:val="0"/>
          <w:rtl/>
        </w:rPr>
      </w:pPr>
      <w:r>
        <w:rPr>
          <w:rFonts w:hint="cs"/>
          <w:b/>
          <w:bCs/>
          <w:noProof w:val="0"/>
          <w:rtl/>
        </w:rPr>
        <w:t xml:space="preserve">ניתן </w:t>
      </w:r>
      <w:r w:rsidR="00CA2806">
        <w:rPr>
          <w:rFonts w:hint="cs"/>
          <w:b/>
          <w:bCs/>
          <w:noProof w:val="0"/>
          <w:rtl/>
        </w:rPr>
        <w:t>והודע בפומבי ביום ב' בכסלו תשס"א, 29 בנובמבר 2000, בנוכחות עו"ד עירין אייזינגר בשם המאשימה, עו"ד תמי אולמן בשם הנאשם והנאשם בעצמו (כל אחד מהנוכחים קיבל העתק של הכרעת הדין במעמד השימוע).</w:t>
      </w:r>
    </w:p>
    <w:p w14:paraId="42AA3D56" w14:textId="77777777" w:rsidR="00DF69B4" w:rsidRDefault="00DF69B4" w:rsidP="00DF69B4">
      <w:pPr>
        <w:pStyle w:val="ListParagraph"/>
        <w:rPr>
          <w:noProof w:val="0"/>
          <w:rtl/>
        </w:rPr>
      </w:pPr>
    </w:p>
    <w:p w14:paraId="17FFF2F9" w14:textId="77777777" w:rsidR="00CA2806" w:rsidRPr="00C561F5" w:rsidRDefault="00C561F5" w:rsidP="00DF69B4">
      <w:pPr>
        <w:pStyle w:val="ListParagraph"/>
        <w:rPr>
          <w:noProof w:val="0"/>
          <w:color w:val="FFFFFF"/>
          <w:sz w:val="2"/>
          <w:szCs w:val="2"/>
          <w:rtl/>
        </w:rPr>
      </w:pPr>
      <w:r w:rsidRPr="00C561F5">
        <w:rPr>
          <w:noProof w:val="0"/>
          <w:color w:val="FFFFFF"/>
          <w:sz w:val="2"/>
          <w:szCs w:val="2"/>
          <w:rtl/>
        </w:rPr>
        <w:t>5129371</w:t>
      </w:r>
    </w:p>
    <w:p w14:paraId="5118FA85" w14:textId="77777777" w:rsidR="00CA2806" w:rsidRPr="00C561F5" w:rsidRDefault="00C561F5" w:rsidP="00DF69B4">
      <w:pPr>
        <w:pStyle w:val="ListParagraph"/>
        <w:rPr>
          <w:rFonts w:hint="cs"/>
          <w:noProof w:val="0"/>
          <w:color w:val="FFFFFF"/>
          <w:sz w:val="2"/>
          <w:szCs w:val="2"/>
          <w:rtl/>
        </w:rPr>
      </w:pPr>
      <w:r w:rsidRPr="00C561F5">
        <w:rPr>
          <w:noProof w:val="0"/>
          <w:color w:val="FFFFFF"/>
          <w:sz w:val="2"/>
          <w:szCs w:val="2"/>
          <w:rtl/>
        </w:rPr>
        <w:t>54678313</w:t>
      </w:r>
    </w:p>
    <w:p w14:paraId="464FA5C5" w14:textId="77777777" w:rsidR="00DF69B4" w:rsidRDefault="005B4BB2" w:rsidP="00CA2806">
      <w:pPr>
        <w:spacing w:line="360" w:lineRule="auto"/>
        <w:jc w:val="both"/>
        <w:rPr>
          <w:rFonts w:hint="cs"/>
          <w:noProof w:val="0"/>
          <w:rtl/>
        </w:rPr>
      </w:pPr>
      <w:r>
        <w:rPr>
          <w:rFonts w:hint="cs"/>
          <w:noProof w:val="0"/>
          <w:rtl/>
        </w:rPr>
        <w:t>________________</w:t>
      </w:r>
      <w:r w:rsidR="00CA2806">
        <w:rPr>
          <w:noProof w:val="0"/>
          <w:rtl/>
        </w:rPr>
        <w:tab/>
      </w:r>
      <w:r w:rsidR="00CA2806">
        <w:rPr>
          <w:noProof w:val="0"/>
          <w:rtl/>
        </w:rPr>
        <w:tab/>
      </w:r>
      <w:r w:rsidR="00CA2806">
        <w:rPr>
          <w:rFonts w:hint="cs"/>
          <w:noProof w:val="0"/>
          <w:rtl/>
        </w:rPr>
        <w:t>__________________</w:t>
      </w:r>
      <w:r w:rsidR="00CA2806">
        <w:rPr>
          <w:noProof w:val="0"/>
          <w:rtl/>
        </w:rPr>
        <w:tab/>
      </w:r>
      <w:r w:rsidR="00CA2806">
        <w:rPr>
          <w:rFonts w:hint="cs"/>
          <w:noProof w:val="0"/>
          <w:rtl/>
        </w:rPr>
        <w:t>___________________</w:t>
      </w:r>
    </w:p>
    <w:p w14:paraId="78974E28" w14:textId="77777777" w:rsidR="00CA2806" w:rsidRPr="00CA2806" w:rsidRDefault="00CA2806" w:rsidP="00CA2806">
      <w:pPr>
        <w:spacing w:line="360" w:lineRule="auto"/>
        <w:ind w:left="405"/>
        <w:jc w:val="both"/>
        <w:rPr>
          <w:rFonts w:hint="cs"/>
          <w:b/>
          <w:bCs/>
          <w:noProof w:val="0"/>
          <w:rtl/>
        </w:rPr>
      </w:pPr>
      <w:r w:rsidRPr="00CA2806">
        <w:rPr>
          <w:rFonts w:hint="cs"/>
          <w:b/>
          <w:bCs/>
          <w:noProof w:val="0"/>
          <w:rtl/>
        </w:rPr>
        <w:t>גדעון גינת</w:t>
      </w:r>
      <w:r w:rsidRPr="00CA2806">
        <w:rPr>
          <w:rFonts w:hint="cs"/>
          <w:b/>
          <w:bCs/>
          <w:noProof w:val="0"/>
          <w:rtl/>
        </w:rPr>
        <w:tab/>
      </w:r>
      <w:r w:rsidRPr="00CA2806">
        <w:rPr>
          <w:rFonts w:hint="cs"/>
          <w:b/>
          <w:bCs/>
          <w:noProof w:val="0"/>
          <w:rtl/>
        </w:rPr>
        <w:tab/>
      </w:r>
      <w:r w:rsidRPr="00CA2806">
        <w:rPr>
          <w:rFonts w:hint="cs"/>
          <w:b/>
          <w:bCs/>
          <w:noProof w:val="0"/>
          <w:rtl/>
        </w:rPr>
        <w:tab/>
        <w:t xml:space="preserve">      סלים ג'ובראן</w:t>
      </w:r>
      <w:r w:rsidR="00CB0128" w:rsidRPr="00CA2806">
        <w:rPr>
          <w:rFonts w:hint="cs"/>
          <w:b/>
          <w:bCs/>
          <w:noProof w:val="0"/>
          <w:rtl/>
        </w:rPr>
        <w:tab/>
      </w:r>
      <w:r w:rsidR="00CB0128" w:rsidRPr="00CA2806">
        <w:rPr>
          <w:rFonts w:hint="cs"/>
          <w:b/>
          <w:bCs/>
          <w:noProof w:val="0"/>
          <w:rtl/>
        </w:rPr>
        <w:tab/>
      </w:r>
      <w:r w:rsidRPr="00CA2806">
        <w:rPr>
          <w:b/>
          <w:bCs/>
          <w:noProof w:val="0"/>
          <w:rtl/>
        </w:rPr>
        <w:tab/>
      </w:r>
      <w:r w:rsidRPr="00CA2806">
        <w:rPr>
          <w:rFonts w:hint="cs"/>
          <w:b/>
          <w:bCs/>
          <w:noProof w:val="0"/>
          <w:rtl/>
        </w:rPr>
        <w:t>ניצה שרון</w:t>
      </w:r>
    </w:p>
    <w:p w14:paraId="5F9E3B55" w14:textId="77777777" w:rsidR="00CA2806" w:rsidRPr="008037F2" w:rsidRDefault="007603A9" w:rsidP="00CA2806">
      <w:pPr>
        <w:spacing w:line="360" w:lineRule="auto"/>
        <w:ind w:left="405"/>
        <w:jc w:val="both"/>
        <w:rPr>
          <w:b/>
          <w:bCs/>
          <w:noProof w:val="0"/>
        </w:rPr>
      </w:pPr>
      <w:r w:rsidRPr="007603A9">
        <w:rPr>
          <w:b/>
          <w:bCs/>
          <w:noProof w:val="0"/>
          <w:color w:val="FFFFFF"/>
          <w:sz w:val="2"/>
          <w:szCs w:val="2"/>
          <w:rtl/>
        </w:rPr>
        <w:t>5129371</w:t>
      </w:r>
      <w:r w:rsidR="00CA2806" w:rsidRPr="00CA2806">
        <w:rPr>
          <w:rFonts w:hint="cs"/>
          <w:b/>
          <w:bCs/>
          <w:noProof w:val="0"/>
          <w:rtl/>
        </w:rPr>
        <w:t>שופט</w:t>
      </w:r>
      <w:r w:rsidR="00CA2806" w:rsidRPr="00CA2806">
        <w:rPr>
          <w:rFonts w:hint="cs"/>
          <w:b/>
          <w:bCs/>
          <w:noProof w:val="0"/>
          <w:rtl/>
        </w:rPr>
        <w:tab/>
      </w:r>
      <w:r w:rsidR="00CA2806" w:rsidRPr="00CA2806">
        <w:rPr>
          <w:b/>
          <w:bCs/>
          <w:noProof w:val="0"/>
          <w:rtl/>
        </w:rPr>
        <w:tab/>
      </w:r>
      <w:r w:rsidR="00CA2806" w:rsidRPr="00CA2806">
        <w:rPr>
          <w:b/>
          <w:bCs/>
          <w:noProof w:val="0"/>
          <w:rtl/>
        </w:rPr>
        <w:tab/>
      </w:r>
      <w:r w:rsidR="00CA2806" w:rsidRPr="00CA2806">
        <w:rPr>
          <w:b/>
          <w:bCs/>
          <w:noProof w:val="0"/>
          <w:rtl/>
        </w:rPr>
        <w:tab/>
      </w:r>
      <w:r w:rsidR="00722812">
        <w:rPr>
          <w:rFonts w:hint="cs"/>
          <w:b/>
          <w:bCs/>
          <w:noProof w:val="0"/>
          <w:rtl/>
        </w:rPr>
        <w:t>שופט</w:t>
      </w:r>
      <w:r w:rsidR="00722812">
        <w:rPr>
          <w:rFonts w:hint="cs"/>
          <w:b/>
          <w:bCs/>
          <w:noProof w:val="0"/>
          <w:rtl/>
        </w:rPr>
        <w:tab/>
      </w:r>
      <w:r w:rsidR="00722812">
        <w:rPr>
          <w:rFonts w:hint="cs"/>
          <w:b/>
          <w:bCs/>
          <w:noProof w:val="0"/>
          <w:rtl/>
        </w:rPr>
        <w:tab/>
      </w:r>
      <w:r w:rsidR="00722812">
        <w:rPr>
          <w:rFonts w:hint="cs"/>
          <w:b/>
          <w:bCs/>
          <w:noProof w:val="0"/>
          <w:rtl/>
        </w:rPr>
        <w:tab/>
      </w:r>
      <w:r w:rsidR="00722812">
        <w:rPr>
          <w:rFonts w:hint="cs"/>
          <w:b/>
          <w:bCs/>
          <w:noProof w:val="0"/>
          <w:rtl/>
        </w:rPr>
        <w:tab/>
        <w:t xml:space="preserve">  שופטת</w:t>
      </w:r>
      <w:r w:rsidR="00CB0128" w:rsidRPr="00CA2806">
        <w:rPr>
          <w:rFonts w:hint="cs"/>
          <w:b/>
          <w:bCs/>
          <w:noProof w:val="0"/>
          <w:rtl/>
        </w:rPr>
        <w:tab/>
      </w:r>
      <w:r w:rsidR="00CB0128" w:rsidRPr="00CA2806">
        <w:rPr>
          <w:rFonts w:hint="cs"/>
          <w:b/>
          <w:bCs/>
          <w:noProof w:val="0"/>
          <w:rtl/>
        </w:rPr>
        <w:tab/>
      </w:r>
      <w:r w:rsidR="00CB0128">
        <w:rPr>
          <w:rFonts w:hint="cs"/>
          <w:noProof w:val="0"/>
          <w:rtl/>
        </w:rPr>
        <w:tab/>
      </w:r>
      <w:r w:rsidR="00CB0128">
        <w:rPr>
          <w:rFonts w:hint="cs"/>
          <w:noProof w:val="0"/>
          <w:rtl/>
        </w:rPr>
        <w:tab/>
      </w:r>
      <w:r w:rsidR="00CB0128">
        <w:rPr>
          <w:rFonts w:hint="cs"/>
          <w:noProof w:val="0"/>
          <w:rtl/>
        </w:rPr>
        <w:tab/>
      </w:r>
      <w:r w:rsidR="00CB0128">
        <w:rPr>
          <w:rFonts w:hint="cs"/>
          <w:noProof w:val="0"/>
          <w:rtl/>
        </w:rPr>
        <w:tab/>
      </w:r>
      <w:r w:rsidR="00CB0128">
        <w:rPr>
          <w:rFonts w:hint="cs"/>
          <w:noProof w:val="0"/>
          <w:rtl/>
        </w:rPr>
        <w:tab/>
      </w:r>
      <w:r w:rsidR="00CB0128" w:rsidRPr="00CB0128">
        <w:rPr>
          <w:rFonts w:hint="cs"/>
          <w:b/>
          <w:bCs/>
          <w:noProof w:val="0"/>
          <w:rtl/>
        </w:rPr>
        <w:t xml:space="preserve">    </w:t>
      </w:r>
    </w:p>
    <w:p w14:paraId="54570DCF" w14:textId="77777777" w:rsidR="00C561F5" w:rsidRPr="007603A9" w:rsidRDefault="007603A9" w:rsidP="00C561F5">
      <w:pPr>
        <w:keepNext/>
        <w:spacing w:line="360" w:lineRule="auto"/>
        <w:rPr>
          <w:rFonts w:ascii="David" w:hAnsi="David"/>
          <w:noProof w:val="0"/>
          <w:color w:val="FFFFFF"/>
          <w:sz w:val="2"/>
          <w:szCs w:val="2"/>
          <w:rtl/>
        </w:rPr>
      </w:pPr>
      <w:r w:rsidRPr="007603A9">
        <w:rPr>
          <w:rFonts w:ascii="David" w:hAnsi="David"/>
          <w:noProof w:val="0"/>
          <w:color w:val="FFFFFF"/>
          <w:sz w:val="2"/>
          <w:szCs w:val="2"/>
          <w:rtl/>
        </w:rPr>
        <w:t>54678313</w:t>
      </w:r>
    </w:p>
    <w:p w14:paraId="2AB9A78D" w14:textId="77777777" w:rsidR="00C561F5" w:rsidRDefault="00C561F5" w:rsidP="00C561F5">
      <w:pPr>
        <w:spacing w:line="360" w:lineRule="auto"/>
        <w:ind w:left="405"/>
        <w:rPr>
          <w:b/>
          <w:bCs/>
          <w:noProof w:val="0"/>
          <w:rtl/>
        </w:rPr>
      </w:pPr>
    </w:p>
    <w:p w14:paraId="2F5D8E89" w14:textId="77777777" w:rsidR="00C561F5" w:rsidRDefault="00C561F5" w:rsidP="00C561F5">
      <w:pPr>
        <w:spacing w:line="360" w:lineRule="auto"/>
        <w:ind w:left="405"/>
        <w:jc w:val="center"/>
        <w:rPr>
          <w:b/>
          <w:bCs/>
          <w:noProof w:val="0"/>
          <w:color w:val="0000FF"/>
          <w:u w:val="single"/>
        </w:rPr>
      </w:pPr>
      <w:hyperlink r:id="rId18" w:history="1">
        <w:r>
          <w:rPr>
            <w:b/>
            <w:bCs/>
            <w:noProof w:val="0"/>
            <w:color w:val="0000FF"/>
            <w:u w:val="single"/>
            <w:rtl/>
          </w:rPr>
          <w:t>בעניין עריכה ושינויים במסמכי פסיקה, חקיקה ועוד באתר נבו – הקש כאן</w:t>
        </w:r>
      </w:hyperlink>
    </w:p>
    <w:p w14:paraId="3331EE18" w14:textId="77777777" w:rsidR="007603A9" w:rsidRPr="007603A9" w:rsidRDefault="007603A9" w:rsidP="007603A9">
      <w:pPr>
        <w:keepNext/>
        <w:spacing w:line="360" w:lineRule="auto"/>
        <w:rPr>
          <w:rFonts w:ascii="David" w:hAnsi="David"/>
          <w:noProof w:val="0"/>
          <w:color w:val="000000"/>
          <w:sz w:val="22"/>
          <w:szCs w:val="22"/>
          <w:rtl/>
        </w:rPr>
      </w:pPr>
    </w:p>
    <w:p w14:paraId="1D87DDC5" w14:textId="77777777" w:rsidR="007603A9" w:rsidRPr="007603A9" w:rsidRDefault="007603A9" w:rsidP="007603A9">
      <w:pPr>
        <w:keepNext/>
        <w:spacing w:line="360" w:lineRule="auto"/>
        <w:rPr>
          <w:rFonts w:ascii="David" w:hAnsi="David"/>
          <w:noProof w:val="0"/>
          <w:color w:val="000000"/>
          <w:sz w:val="22"/>
          <w:szCs w:val="22"/>
          <w:rtl/>
        </w:rPr>
      </w:pPr>
      <w:r w:rsidRPr="007603A9">
        <w:rPr>
          <w:rFonts w:ascii="David" w:hAnsi="David"/>
          <w:noProof w:val="0"/>
          <w:color w:val="000000"/>
          <w:sz w:val="22"/>
          <w:szCs w:val="22"/>
          <w:rtl/>
        </w:rPr>
        <w:t>גדעון גינת 54678313-121/00</w:t>
      </w:r>
    </w:p>
    <w:p w14:paraId="00539A40" w14:textId="77777777" w:rsidR="005A0331" w:rsidRPr="00C561F5" w:rsidRDefault="007603A9" w:rsidP="007603A9">
      <w:pPr>
        <w:spacing w:line="360" w:lineRule="auto"/>
        <w:ind w:left="405"/>
        <w:rPr>
          <w:b/>
          <w:bCs/>
          <w:noProof w:val="0"/>
          <w:color w:val="0000FF"/>
          <w:u w:val="single"/>
        </w:rPr>
      </w:pPr>
      <w:r w:rsidRPr="007603A9">
        <w:rPr>
          <w:b/>
          <w:bCs/>
          <w:noProof w:val="0"/>
          <w:color w:val="000000"/>
          <w:u w:val="single"/>
          <w:rtl/>
        </w:rPr>
        <w:t>נוסח מסמך זה כפוף לשינויי ניסוח ועריכה</w:t>
      </w:r>
    </w:p>
    <w:sectPr w:rsidR="005A0331" w:rsidRPr="00C561F5" w:rsidSect="007603A9">
      <w:headerReference w:type="even" r:id="rId19"/>
      <w:headerReference w:type="default" r:id="rId20"/>
      <w:footerReference w:type="even" r:id="rId21"/>
      <w:footerReference w:type="default" r:id="rId2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4320" w14:textId="77777777" w:rsidR="00816F98" w:rsidRPr="00AC1F60" w:rsidRDefault="00816F98">
      <w:pPr>
        <w:rPr>
          <w:rFonts w:cs="Arial"/>
          <w:szCs w:val="20"/>
        </w:rPr>
      </w:pPr>
      <w:r>
        <w:separator/>
      </w:r>
    </w:p>
  </w:endnote>
  <w:endnote w:type="continuationSeparator" w:id="0">
    <w:p w14:paraId="7860C619" w14:textId="77777777" w:rsidR="00816F98" w:rsidRPr="00AC1F60" w:rsidRDefault="00816F9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7B8D" w14:textId="77777777" w:rsidR="007603A9" w:rsidRDefault="007603A9" w:rsidP="007603A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203D141" w14:textId="77777777" w:rsidR="00F72CC5" w:rsidRPr="007603A9" w:rsidRDefault="007603A9" w:rsidP="007603A9">
    <w:pPr>
      <w:pStyle w:val="Footer"/>
      <w:pBdr>
        <w:top w:val="single" w:sz="4" w:space="1" w:color="auto"/>
        <w:between w:val="single" w:sz="4" w:space="0" w:color="auto"/>
      </w:pBdr>
      <w:spacing w:after="60"/>
      <w:jc w:val="center"/>
      <w:rPr>
        <w:rFonts w:ascii="FrankRuehl" w:hAnsi="FrankRuehl" w:cs="FrankRuehl"/>
        <w:color w:val="000000"/>
      </w:rPr>
    </w:pPr>
    <w:r w:rsidRPr="007603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3841" w14:textId="77777777" w:rsidR="007603A9" w:rsidRDefault="007603A9" w:rsidP="007603A9">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A91080">
      <w:rPr>
        <w:rStyle w:val="PageNumber"/>
        <w:rFonts w:ascii="FrankRuehl" w:hAnsi="FrankRuehl" w:cs="FrankRuehl"/>
        <w:rtl/>
      </w:rPr>
      <w:t>1</w:t>
    </w:r>
    <w:r>
      <w:rPr>
        <w:rStyle w:val="PageNumber"/>
        <w:rFonts w:ascii="FrankRuehl" w:hAnsi="FrankRuehl" w:cs="FrankRuehl"/>
        <w:rtl/>
      </w:rPr>
      <w:fldChar w:fldCharType="end"/>
    </w:r>
  </w:p>
  <w:p w14:paraId="3533E7F6" w14:textId="77777777" w:rsidR="00F72CC5" w:rsidRPr="007603A9" w:rsidRDefault="007603A9" w:rsidP="007603A9">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7603A9">
      <w:rPr>
        <w:rStyle w:val="PageNumber"/>
        <w:rFonts w:ascii="FrankRuehl" w:hAnsi="FrankRuehl" w:cs="FrankRuehl" w:hint="cs"/>
        <w:color w:val="000000"/>
      </w:rPr>
      <w:pict w14:anchorId="76103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27E6" w14:textId="77777777" w:rsidR="00816F98" w:rsidRPr="00AC1F60" w:rsidRDefault="00816F98">
      <w:pPr>
        <w:rPr>
          <w:rFonts w:cs="Arial"/>
          <w:szCs w:val="20"/>
        </w:rPr>
      </w:pPr>
      <w:r>
        <w:separator/>
      </w:r>
    </w:p>
  </w:footnote>
  <w:footnote w:type="continuationSeparator" w:id="0">
    <w:p w14:paraId="71C19DB1" w14:textId="77777777" w:rsidR="00816F98" w:rsidRPr="00AC1F60" w:rsidRDefault="00816F9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2600" w14:textId="77777777" w:rsidR="00F72CC5" w:rsidRPr="007603A9" w:rsidRDefault="007603A9" w:rsidP="007603A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(חי') 121/00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CF2E9" w14:textId="77777777" w:rsidR="00C561F5" w:rsidRPr="007603A9" w:rsidRDefault="007603A9" w:rsidP="007603A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(חי') 121/00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979"/>
    <w:multiLevelType w:val="hybridMultilevel"/>
    <w:tmpl w:val="E81E76E2"/>
    <w:lvl w:ilvl="0" w:tplc="8A48596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33D35F4"/>
    <w:multiLevelType w:val="hybridMultilevel"/>
    <w:tmpl w:val="7D7E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920CD"/>
    <w:multiLevelType w:val="hybridMultilevel"/>
    <w:tmpl w:val="6E2E7530"/>
    <w:lvl w:ilvl="0" w:tplc="17AA533A">
      <w:start w:val="2"/>
      <w:numFmt w:val="hebrew1"/>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232F0821"/>
    <w:multiLevelType w:val="hybridMultilevel"/>
    <w:tmpl w:val="65A4ABE0"/>
    <w:lvl w:ilvl="0" w:tplc="52C4A834">
      <w:start w:val="2"/>
      <w:numFmt w:val="hebrew1"/>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2BC613FA"/>
    <w:multiLevelType w:val="hybridMultilevel"/>
    <w:tmpl w:val="88720AB8"/>
    <w:lvl w:ilvl="0" w:tplc="AE9AD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A0E0A"/>
    <w:multiLevelType w:val="hybridMultilevel"/>
    <w:tmpl w:val="EEAA8770"/>
    <w:lvl w:ilvl="0" w:tplc="896C98FE">
      <w:start w:val="1"/>
      <w:numFmt w:val="hebrew1"/>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F407B"/>
    <w:multiLevelType w:val="hybridMultilevel"/>
    <w:tmpl w:val="045477CC"/>
    <w:lvl w:ilvl="0" w:tplc="5C8028C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3DB041BC"/>
    <w:multiLevelType w:val="hybridMultilevel"/>
    <w:tmpl w:val="A7D8A890"/>
    <w:lvl w:ilvl="0" w:tplc="BA641262">
      <w:start w:val="1"/>
      <w:numFmt w:val="hebrew1"/>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42BE45F9"/>
    <w:multiLevelType w:val="hybridMultilevel"/>
    <w:tmpl w:val="B2E814E4"/>
    <w:lvl w:ilvl="0" w:tplc="397A5B7A">
      <w:start w:val="2"/>
      <w:numFmt w:val="hebrew1"/>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4EDE4EA0"/>
    <w:multiLevelType w:val="hybridMultilevel"/>
    <w:tmpl w:val="2A2E7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815A5"/>
    <w:multiLevelType w:val="hybridMultilevel"/>
    <w:tmpl w:val="3FFC1BA6"/>
    <w:lvl w:ilvl="0" w:tplc="75FA9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181609">
    <w:abstractNumId w:val="9"/>
  </w:num>
  <w:num w:numId="2" w16cid:durableId="1776091326">
    <w:abstractNumId w:val="6"/>
  </w:num>
  <w:num w:numId="3" w16cid:durableId="638849775">
    <w:abstractNumId w:val="3"/>
  </w:num>
  <w:num w:numId="4" w16cid:durableId="205337810">
    <w:abstractNumId w:val="2"/>
  </w:num>
  <w:num w:numId="5" w16cid:durableId="626929609">
    <w:abstractNumId w:val="8"/>
  </w:num>
  <w:num w:numId="6" w16cid:durableId="1879395506">
    <w:abstractNumId w:val="1"/>
  </w:num>
  <w:num w:numId="7" w16cid:durableId="2144929888">
    <w:abstractNumId w:val="7"/>
  </w:num>
  <w:num w:numId="8" w16cid:durableId="1785929454">
    <w:abstractNumId w:val="4"/>
  </w:num>
  <w:num w:numId="9" w16cid:durableId="1216700465">
    <w:abstractNumId w:val="10"/>
  </w:num>
  <w:num w:numId="10" w16cid:durableId="2043094202">
    <w:abstractNumId w:val="5"/>
  </w:num>
  <w:num w:numId="11" w16cid:durableId="6203849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196E"/>
    <w:rsid w:val="000068A3"/>
    <w:rsid w:val="0001054B"/>
    <w:rsid w:val="00011894"/>
    <w:rsid w:val="00012761"/>
    <w:rsid w:val="00012C31"/>
    <w:rsid w:val="00021844"/>
    <w:rsid w:val="00023393"/>
    <w:rsid w:val="00024C26"/>
    <w:rsid w:val="0003084C"/>
    <w:rsid w:val="00031CA3"/>
    <w:rsid w:val="00035896"/>
    <w:rsid w:val="0003628A"/>
    <w:rsid w:val="0003764F"/>
    <w:rsid w:val="00037C3B"/>
    <w:rsid w:val="00046505"/>
    <w:rsid w:val="0005205B"/>
    <w:rsid w:val="0005390B"/>
    <w:rsid w:val="00054744"/>
    <w:rsid w:val="00054D11"/>
    <w:rsid w:val="00055635"/>
    <w:rsid w:val="00055CAC"/>
    <w:rsid w:val="00055FE1"/>
    <w:rsid w:val="0006296D"/>
    <w:rsid w:val="00064A12"/>
    <w:rsid w:val="00064D1D"/>
    <w:rsid w:val="00066859"/>
    <w:rsid w:val="0007549F"/>
    <w:rsid w:val="00080E8B"/>
    <w:rsid w:val="0008205B"/>
    <w:rsid w:val="00085E16"/>
    <w:rsid w:val="00091FDE"/>
    <w:rsid w:val="00094231"/>
    <w:rsid w:val="00094402"/>
    <w:rsid w:val="000968B5"/>
    <w:rsid w:val="000A0C98"/>
    <w:rsid w:val="000A6C70"/>
    <w:rsid w:val="000A7FD4"/>
    <w:rsid w:val="000B4615"/>
    <w:rsid w:val="000B7564"/>
    <w:rsid w:val="000C0AFD"/>
    <w:rsid w:val="000D11D0"/>
    <w:rsid w:val="000D1CA9"/>
    <w:rsid w:val="000D5E9C"/>
    <w:rsid w:val="000E06E6"/>
    <w:rsid w:val="000E2AD2"/>
    <w:rsid w:val="000E5A3E"/>
    <w:rsid w:val="000E6119"/>
    <w:rsid w:val="000F2CFB"/>
    <w:rsid w:val="000F32CA"/>
    <w:rsid w:val="000F4711"/>
    <w:rsid w:val="000F7257"/>
    <w:rsid w:val="000F7C7D"/>
    <w:rsid w:val="00102114"/>
    <w:rsid w:val="001027E2"/>
    <w:rsid w:val="00102EA0"/>
    <w:rsid w:val="001040A1"/>
    <w:rsid w:val="001043A2"/>
    <w:rsid w:val="00111768"/>
    <w:rsid w:val="0011293F"/>
    <w:rsid w:val="001201A0"/>
    <w:rsid w:val="00125315"/>
    <w:rsid w:val="0012661B"/>
    <w:rsid w:val="00136495"/>
    <w:rsid w:val="00137F0A"/>
    <w:rsid w:val="00144034"/>
    <w:rsid w:val="00153081"/>
    <w:rsid w:val="0015423A"/>
    <w:rsid w:val="00161B16"/>
    <w:rsid w:val="00167F11"/>
    <w:rsid w:val="0017687A"/>
    <w:rsid w:val="00177543"/>
    <w:rsid w:val="00180E74"/>
    <w:rsid w:val="001818DD"/>
    <w:rsid w:val="001821B5"/>
    <w:rsid w:val="001838AE"/>
    <w:rsid w:val="001968B9"/>
    <w:rsid w:val="00197B4F"/>
    <w:rsid w:val="001A3B1C"/>
    <w:rsid w:val="001A43E3"/>
    <w:rsid w:val="001A7E5F"/>
    <w:rsid w:val="001A7EAC"/>
    <w:rsid w:val="001C005D"/>
    <w:rsid w:val="001C626D"/>
    <w:rsid w:val="001D0262"/>
    <w:rsid w:val="001D0F1B"/>
    <w:rsid w:val="001F171E"/>
    <w:rsid w:val="001F2104"/>
    <w:rsid w:val="001F2806"/>
    <w:rsid w:val="001F2A98"/>
    <w:rsid w:val="001F2D81"/>
    <w:rsid w:val="001F47E7"/>
    <w:rsid w:val="001F6447"/>
    <w:rsid w:val="00204F5E"/>
    <w:rsid w:val="00212835"/>
    <w:rsid w:val="0021505B"/>
    <w:rsid w:val="00216A3C"/>
    <w:rsid w:val="00221103"/>
    <w:rsid w:val="00222351"/>
    <w:rsid w:val="002258A3"/>
    <w:rsid w:val="00226707"/>
    <w:rsid w:val="00230F9C"/>
    <w:rsid w:val="00233E9F"/>
    <w:rsid w:val="00235EB5"/>
    <w:rsid w:val="002364EF"/>
    <w:rsid w:val="002500B8"/>
    <w:rsid w:val="0025030B"/>
    <w:rsid w:val="00271ABE"/>
    <w:rsid w:val="00273EAC"/>
    <w:rsid w:val="002742D8"/>
    <w:rsid w:val="00277055"/>
    <w:rsid w:val="002801DE"/>
    <w:rsid w:val="002831BE"/>
    <w:rsid w:val="002852B6"/>
    <w:rsid w:val="0029048B"/>
    <w:rsid w:val="00290FE0"/>
    <w:rsid w:val="002951DF"/>
    <w:rsid w:val="002A59AA"/>
    <w:rsid w:val="002A5C4D"/>
    <w:rsid w:val="002A607E"/>
    <w:rsid w:val="002B0499"/>
    <w:rsid w:val="002B1249"/>
    <w:rsid w:val="002C286D"/>
    <w:rsid w:val="002C2FE2"/>
    <w:rsid w:val="002C31A2"/>
    <w:rsid w:val="002C4DF4"/>
    <w:rsid w:val="002C4F8F"/>
    <w:rsid w:val="002C653A"/>
    <w:rsid w:val="002C74D2"/>
    <w:rsid w:val="002D0629"/>
    <w:rsid w:val="002D2EAD"/>
    <w:rsid w:val="002D3750"/>
    <w:rsid w:val="002E2942"/>
    <w:rsid w:val="002E4672"/>
    <w:rsid w:val="002F2B4A"/>
    <w:rsid w:val="003044DE"/>
    <w:rsid w:val="00307C98"/>
    <w:rsid w:val="00307E6C"/>
    <w:rsid w:val="0031039B"/>
    <w:rsid w:val="00311942"/>
    <w:rsid w:val="0031278E"/>
    <w:rsid w:val="00312BD5"/>
    <w:rsid w:val="00312D96"/>
    <w:rsid w:val="0032227C"/>
    <w:rsid w:val="00330A38"/>
    <w:rsid w:val="0033254C"/>
    <w:rsid w:val="00344291"/>
    <w:rsid w:val="00346666"/>
    <w:rsid w:val="0035006D"/>
    <w:rsid w:val="00351768"/>
    <w:rsid w:val="00351CDB"/>
    <w:rsid w:val="00355384"/>
    <w:rsid w:val="003565CF"/>
    <w:rsid w:val="00362B0D"/>
    <w:rsid w:val="003630A0"/>
    <w:rsid w:val="0036365C"/>
    <w:rsid w:val="00376AB6"/>
    <w:rsid w:val="00380471"/>
    <w:rsid w:val="00380A53"/>
    <w:rsid w:val="00383ACD"/>
    <w:rsid w:val="00384848"/>
    <w:rsid w:val="00386F3F"/>
    <w:rsid w:val="00391BF3"/>
    <w:rsid w:val="00392BA0"/>
    <w:rsid w:val="003A132C"/>
    <w:rsid w:val="003A3AAA"/>
    <w:rsid w:val="003B106A"/>
    <w:rsid w:val="003B6576"/>
    <w:rsid w:val="003C1B55"/>
    <w:rsid w:val="003C4DBF"/>
    <w:rsid w:val="003D1330"/>
    <w:rsid w:val="003D490C"/>
    <w:rsid w:val="003E1C3F"/>
    <w:rsid w:val="003E6A4B"/>
    <w:rsid w:val="003E76F0"/>
    <w:rsid w:val="003F2631"/>
    <w:rsid w:val="003F5151"/>
    <w:rsid w:val="00400E70"/>
    <w:rsid w:val="004018D4"/>
    <w:rsid w:val="004062E2"/>
    <w:rsid w:val="00406DF4"/>
    <w:rsid w:val="00407DFB"/>
    <w:rsid w:val="0041049B"/>
    <w:rsid w:val="00410CB3"/>
    <w:rsid w:val="00413343"/>
    <w:rsid w:val="00414AFB"/>
    <w:rsid w:val="00417D9A"/>
    <w:rsid w:val="0042184C"/>
    <w:rsid w:val="004220B3"/>
    <w:rsid w:val="00422888"/>
    <w:rsid w:val="0042328D"/>
    <w:rsid w:val="00424899"/>
    <w:rsid w:val="00430EB0"/>
    <w:rsid w:val="00437418"/>
    <w:rsid w:val="00437695"/>
    <w:rsid w:val="004455D8"/>
    <w:rsid w:val="00446164"/>
    <w:rsid w:val="00452182"/>
    <w:rsid w:val="004579F6"/>
    <w:rsid w:val="00462E0F"/>
    <w:rsid w:val="004727CD"/>
    <w:rsid w:val="00481982"/>
    <w:rsid w:val="004839ED"/>
    <w:rsid w:val="00484910"/>
    <w:rsid w:val="00485BFA"/>
    <w:rsid w:val="00493339"/>
    <w:rsid w:val="00494802"/>
    <w:rsid w:val="00495E21"/>
    <w:rsid w:val="004A7883"/>
    <w:rsid w:val="004B743C"/>
    <w:rsid w:val="004C0E02"/>
    <w:rsid w:val="004C38C4"/>
    <w:rsid w:val="004C4BB8"/>
    <w:rsid w:val="004C571A"/>
    <w:rsid w:val="004C603D"/>
    <w:rsid w:val="004C7C9E"/>
    <w:rsid w:val="004D1DCE"/>
    <w:rsid w:val="004D49EF"/>
    <w:rsid w:val="004E5A01"/>
    <w:rsid w:val="004E6493"/>
    <w:rsid w:val="004E64A0"/>
    <w:rsid w:val="004E7266"/>
    <w:rsid w:val="004F3376"/>
    <w:rsid w:val="00500331"/>
    <w:rsid w:val="00506A7B"/>
    <w:rsid w:val="005107B5"/>
    <w:rsid w:val="00522DF6"/>
    <w:rsid w:val="00522E01"/>
    <w:rsid w:val="00523FC6"/>
    <w:rsid w:val="00525119"/>
    <w:rsid w:val="00526F3C"/>
    <w:rsid w:val="0053138B"/>
    <w:rsid w:val="00532A19"/>
    <w:rsid w:val="00533F2F"/>
    <w:rsid w:val="00534ADB"/>
    <w:rsid w:val="00536AC5"/>
    <w:rsid w:val="00536E22"/>
    <w:rsid w:val="00537252"/>
    <w:rsid w:val="00540E64"/>
    <w:rsid w:val="00542652"/>
    <w:rsid w:val="005466EA"/>
    <w:rsid w:val="00550084"/>
    <w:rsid w:val="0055538E"/>
    <w:rsid w:val="00561C92"/>
    <w:rsid w:val="0057169E"/>
    <w:rsid w:val="00572B1F"/>
    <w:rsid w:val="00574FB2"/>
    <w:rsid w:val="00584770"/>
    <w:rsid w:val="005849DF"/>
    <w:rsid w:val="00585A43"/>
    <w:rsid w:val="005861EA"/>
    <w:rsid w:val="00587A1D"/>
    <w:rsid w:val="00590683"/>
    <w:rsid w:val="00592B75"/>
    <w:rsid w:val="005939E8"/>
    <w:rsid w:val="00594511"/>
    <w:rsid w:val="005A0331"/>
    <w:rsid w:val="005A599A"/>
    <w:rsid w:val="005A6E1C"/>
    <w:rsid w:val="005B0E39"/>
    <w:rsid w:val="005B2B88"/>
    <w:rsid w:val="005B4518"/>
    <w:rsid w:val="005B4BB2"/>
    <w:rsid w:val="005B558C"/>
    <w:rsid w:val="005B7538"/>
    <w:rsid w:val="005C3B14"/>
    <w:rsid w:val="005C4DEF"/>
    <w:rsid w:val="005C7348"/>
    <w:rsid w:val="005D0D50"/>
    <w:rsid w:val="005D3000"/>
    <w:rsid w:val="005E0745"/>
    <w:rsid w:val="005F3241"/>
    <w:rsid w:val="005F4BBF"/>
    <w:rsid w:val="00602981"/>
    <w:rsid w:val="00603762"/>
    <w:rsid w:val="00604F90"/>
    <w:rsid w:val="00606584"/>
    <w:rsid w:val="006068FB"/>
    <w:rsid w:val="00607486"/>
    <w:rsid w:val="006163EC"/>
    <w:rsid w:val="006228B2"/>
    <w:rsid w:val="00622A5F"/>
    <w:rsid w:val="00636E41"/>
    <w:rsid w:val="006571A2"/>
    <w:rsid w:val="006575FB"/>
    <w:rsid w:val="0067628A"/>
    <w:rsid w:val="00683BFF"/>
    <w:rsid w:val="00683E42"/>
    <w:rsid w:val="00686FB6"/>
    <w:rsid w:val="00691A70"/>
    <w:rsid w:val="006A3B66"/>
    <w:rsid w:val="006A4362"/>
    <w:rsid w:val="006A71A8"/>
    <w:rsid w:val="006B02A6"/>
    <w:rsid w:val="006B0925"/>
    <w:rsid w:val="006B14CE"/>
    <w:rsid w:val="006B2D5A"/>
    <w:rsid w:val="006B7EFD"/>
    <w:rsid w:val="006C20CE"/>
    <w:rsid w:val="006D04C3"/>
    <w:rsid w:val="006D156E"/>
    <w:rsid w:val="006D196E"/>
    <w:rsid w:val="006D6FDD"/>
    <w:rsid w:val="006D70EC"/>
    <w:rsid w:val="006E26C4"/>
    <w:rsid w:val="006E32A7"/>
    <w:rsid w:val="006F6609"/>
    <w:rsid w:val="006F6F28"/>
    <w:rsid w:val="00706059"/>
    <w:rsid w:val="00706F20"/>
    <w:rsid w:val="00713362"/>
    <w:rsid w:val="0071592B"/>
    <w:rsid w:val="00715E39"/>
    <w:rsid w:val="00716193"/>
    <w:rsid w:val="00721E18"/>
    <w:rsid w:val="007221F3"/>
    <w:rsid w:val="00722812"/>
    <w:rsid w:val="00727CCE"/>
    <w:rsid w:val="00731313"/>
    <w:rsid w:val="00731AEC"/>
    <w:rsid w:val="00735F4D"/>
    <w:rsid w:val="0074483E"/>
    <w:rsid w:val="00744D2C"/>
    <w:rsid w:val="0074786F"/>
    <w:rsid w:val="0075100E"/>
    <w:rsid w:val="00753DE5"/>
    <w:rsid w:val="00754A65"/>
    <w:rsid w:val="0075635C"/>
    <w:rsid w:val="00757597"/>
    <w:rsid w:val="00757E0F"/>
    <w:rsid w:val="007600AB"/>
    <w:rsid w:val="007603A9"/>
    <w:rsid w:val="00784C5F"/>
    <w:rsid w:val="00785E7F"/>
    <w:rsid w:val="00790831"/>
    <w:rsid w:val="00791AC2"/>
    <w:rsid w:val="00793231"/>
    <w:rsid w:val="00793C4A"/>
    <w:rsid w:val="0079452D"/>
    <w:rsid w:val="00797EE5"/>
    <w:rsid w:val="007B3F16"/>
    <w:rsid w:val="007B3FF1"/>
    <w:rsid w:val="007B56D7"/>
    <w:rsid w:val="007B56D8"/>
    <w:rsid w:val="007B5EA1"/>
    <w:rsid w:val="007C36B9"/>
    <w:rsid w:val="007D082A"/>
    <w:rsid w:val="007D745A"/>
    <w:rsid w:val="007E0755"/>
    <w:rsid w:val="007E07D9"/>
    <w:rsid w:val="007E2B6C"/>
    <w:rsid w:val="0080014F"/>
    <w:rsid w:val="00802DE5"/>
    <w:rsid w:val="008037F2"/>
    <w:rsid w:val="00816F98"/>
    <w:rsid w:val="00817BDE"/>
    <w:rsid w:val="008234CB"/>
    <w:rsid w:val="00831953"/>
    <w:rsid w:val="00831A57"/>
    <w:rsid w:val="008363AD"/>
    <w:rsid w:val="00841368"/>
    <w:rsid w:val="0084580E"/>
    <w:rsid w:val="00847093"/>
    <w:rsid w:val="0085121B"/>
    <w:rsid w:val="008524CF"/>
    <w:rsid w:val="00853540"/>
    <w:rsid w:val="00860DC0"/>
    <w:rsid w:val="00864889"/>
    <w:rsid w:val="00866024"/>
    <w:rsid w:val="008672B7"/>
    <w:rsid w:val="008719C4"/>
    <w:rsid w:val="00875577"/>
    <w:rsid w:val="008763FA"/>
    <w:rsid w:val="00876AF2"/>
    <w:rsid w:val="00876FD9"/>
    <w:rsid w:val="00877F8D"/>
    <w:rsid w:val="00883E3B"/>
    <w:rsid w:val="00887C75"/>
    <w:rsid w:val="008904B6"/>
    <w:rsid w:val="00892988"/>
    <w:rsid w:val="00894F60"/>
    <w:rsid w:val="008B200F"/>
    <w:rsid w:val="008B35A3"/>
    <w:rsid w:val="008B668C"/>
    <w:rsid w:val="008C0829"/>
    <w:rsid w:val="008C4BA2"/>
    <w:rsid w:val="008C70DE"/>
    <w:rsid w:val="008D188A"/>
    <w:rsid w:val="008D2788"/>
    <w:rsid w:val="008D4099"/>
    <w:rsid w:val="008D74CC"/>
    <w:rsid w:val="008E3054"/>
    <w:rsid w:val="008E3394"/>
    <w:rsid w:val="008E3C03"/>
    <w:rsid w:val="008E4FFC"/>
    <w:rsid w:val="008F085A"/>
    <w:rsid w:val="008F1BC5"/>
    <w:rsid w:val="008F6167"/>
    <w:rsid w:val="008F620A"/>
    <w:rsid w:val="008F713D"/>
    <w:rsid w:val="00900075"/>
    <w:rsid w:val="009001FD"/>
    <w:rsid w:val="00901E3C"/>
    <w:rsid w:val="00907BC9"/>
    <w:rsid w:val="00914D3A"/>
    <w:rsid w:val="00916E57"/>
    <w:rsid w:val="009210F7"/>
    <w:rsid w:val="00925AAA"/>
    <w:rsid w:val="0093271C"/>
    <w:rsid w:val="0093352B"/>
    <w:rsid w:val="00935C2B"/>
    <w:rsid w:val="00941211"/>
    <w:rsid w:val="00944D6E"/>
    <w:rsid w:val="00950CF7"/>
    <w:rsid w:val="009519C7"/>
    <w:rsid w:val="009606FB"/>
    <w:rsid w:val="00961218"/>
    <w:rsid w:val="0096197E"/>
    <w:rsid w:val="009657E2"/>
    <w:rsid w:val="009659D8"/>
    <w:rsid w:val="00966AB5"/>
    <w:rsid w:val="00967EB0"/>
    <w:rsid w:val="00972127"/>
    <w:rsid w:val="00972B1D"/>
    <w:rsid w:val="0097508E"/>
    <w:rsid w:val="00977C24"/>
    <w:rsid w:val="00980560"/>
    <w:rsid w:val="009826C1"/>
    <w:rsid w:val="0099138B"/>
    <w:rsid w:val="009934F6"/>
    <w:rsid w:val="00996431"/>
    <w:rsid w:val="00997180"/>
    <w:rsid w:val="009B071C"/>
    <w:rsid w:val="009B6E39"/>
    <w:rsid w:val="009B7A47"/>
    <w:rsid w:val="009C082D"/>
    <w:rsid w:val="009C1765"/>
    <w:rsid w:val="009C1CC6"/>
    <w:rsid w:val="009C29CD"/>
    <w:rsid w:val="009D5FD2"/>
    <w:rsid w:val="009E0710"/>
    <w:rsid w:val="009E30EA"/>
    <w:rsid w:val="009E3AA9"/>
    <w:rsid w:val="009E61B8"/>
    <w:rsid w:val="009E726A"/>
    <w:rsid w:val="009F21AD"/>
    <w:rsid w:val="009F293A"/>
    <w:rsid w:val="009F4F78"/>
    <w:rsid w:val="00A05E21"/>
    <w:rsid w:val="00A07092"/>
    <w:rsid w:val="00A12D9B"/>
    <w:rsid w:val="00A13961"/>
    <w:rsid w:val="00A13B81"/>
    <w:rsid w:val="00A17C23"/>
    <w:rsid w:val="00A2066A"/>
    <w:rsid w:val="00A20F27"/>
    <w:rsid w:val="00A26DE3"/>
    <w:rsid w:val="00A27155"/>
    <w:rsid w:val="00A30D91"/>
    <w:rsid w:val="00A37A82"/>
    <w:rsid w:val="00A44554"/>
    <w:rsid w:val="00A53DC7"/>
    <w:rsid w:val="00A56B16"/>
    <w:rsid w:val="00A57BDB"/>
    <w:rsid w:val="00A66005"/>
    <w:rsid w:val="00A67461"/>
    <w:rsid w:val="00A676F7"/>
    <w:rsid w:val="00A72D9E"/>
    <w:rsid w:val="00A7316E"/>
    <w:rsid w:val="00A7409A"/>
    <w:rsid w:val="00A7538C"/>
    <w:rsid w:val="00A76573"/>
    <w:rsid w:val="00A768A9"/>
    <w:rsid w:val="00A91080"/>
    <w:rsid w:val="00A9447D"/>
    <w:rsid w:val="00A94F49"/>
    <w:rsid w:val="00AA6FCD"/>
    <w:rsid w:val="00AA71E7"/>
    <w:rsid w:val="00AB4470"/>
    <w:rsid w:val="00AC2CB9"/>
    <w:rsid w:val="00AC34D3"/>
    <w:rsid w:val="00AC5FC7"/>
    <w:rsid w:val="00AD2116"/>
    <w:rsid w:val="00AD2903"/>
    <w:rsid w:val="00AD3541"/>
    <w:rsid w:val="00AD7ACE"/>
    <w:rsid w:val="00AE0353"/>
    <w:rsid w:val="00AE2051"/>
    <w:rsid w:val="00AF0BC2"/>
    <w:rsid w:val="00AF63C6"/>
    <w:rsid w:val="00AF753F"/>
    <w:rsid w:val="00B031F1"/>
    <w:rsid w:val="00B1186D"/>
    <w:rsid w:val="00B11E65"/>
    <w:rsid w:val="00B13FA1"/>
    <w:rsid w:val="00B15427"/>
    <w:rsid w:val="00B15830"/>
    <w:rsid w:val="00B16F7E"/>
    <w:rsid w:val="00B235DB"/>
    <w:rsid w:val="00B246A9"/>
    <w:rsid w:val="00B25D9E"/>
    <w:rsid w:val="00B276F6"/>
    <w:rsid w:val="00B33656"/>
    <w:rsid w:val="00B3462A"/>
    <w:rsid w:val="00B37BC8"/>
    <w:rsid w:val="00B409F7"/>
    <w:rsid w:val="00B414F5"/>
    <w:rsid w:val="00B41FEF"/>
    <w:rsid w:val="00B43006"/>
    <w:rsid w:val="00B537C5"/>
    <w:rsid w:val="00B53814"/>
    <w:rsid w:val="00B56083"/>
    <w:rsid w:val="00B5679B"/>
    <w:rsid w:val="00B56B3E"/>
    <w:rsid w:val="00B57BBF"/>
    <w:rsid w:val="00B60AF9"/>
    <w:rsid w:val="00B67151"/>
    <w:rsid w:val="00B733C8"/>
    <w:rsid w:val="00B81081"/>
    <w:rsid w:val="00B82FB3"/>
    <w:rsid w:val="00B915C5"/>
    <w:rsid w:val="00B93516"/>
    <w:rsid w:val="00B93FCC"/>
    <w:rsid w:val="00B96190"/>
    <w:rsid w:val="00BA0867"/>
    <w:rsid w:val="00BA148B"/>
    <w:rsid w:val="00BA2515"/>
    <w:rsid w:val="00BA448C"/>
    <w:rsid w:val="00BA7E63"/>
    <w:rsid w:val="00BB1E50"/>
    <w:rsid w:val="00BB5BC6"/>
    <w:rsid w:val="00BB71E7"/>
    <w:rsid w:val="00BB7322"/>
    <w:rsid w:val="00BC21B4"/>
    <w:rsid w:val="00BD58CE"/>
    <w:rsid w:val="00BD7202"/>
    <w:rsid w:val="00BD7BF4"/>
    <w:rsid w:val="00BE077B"/>
    <w:rsid w:val="00BE783A"/>
    <w:rsid w:val="00BF506C"/>
    <w:rsid w:val="00BF5CCA"/>
    <w:rsid w:val="00BF7C72"/>
    <w:rsid w:val="00C003BC"/>
    <w:rsid w:val="00C04DFD"/>
    <w:rsid w:val="00C054D9"/>
    <w:rsid w:val="00C067A9"/>
    <w:rsid w:val="00C06FB0"/>
    <w:rsid w:val="00C10448"/>
    <w:rsid w:val="00C111F0"/>
    <w:rsid w:val="00C13B46"/>
    <w:rsid w:val="00C14225"/>
    <w:rsid w:val="00C25E54"/>
    <w:rsid w:val="00C30D5A"/>
    <w:rsid w:val="00C35191"/>
    <w:rsid w:val="00C40DCD"/>
    <w:rsid w:val="00C42FC7"/>
    <w:rsid w:val="00C464B8"/>
    <w:rsid w:val="00C46916"/>
    <w:rsid w:val="00C561F5"/>
    <w:rsid w:val="00C620EC"/>
    <w:rsid w:val="00C669AA"/>
    <w:rsid w:val="00C713ED"/>
    <w:rsid w:val="00C736E4"/>
    <w:rsid w:val="00C73849"/>
    <w:rsid w:val="00C7534B"/>
    <w:rsid w:val="00C757C9"/>
    <w:rsid w:val="00C8258D"/>
    <w:rsid w:val="00C926CC"/>
    <w:rsid w:val="00C951E8"/>
    <w:rsid w:val="00C96826"/>
    <w:rsid w:val="00C96AA9"/>
    <w:rsid w:val="00C97E0D"/>
    <w:rsid w:val="00C97F2D"/>
    <w:rsid w:val="00CA0771"/>
    <w:rsid w:val="00CA2806"/>
    <w:rsid w:val="00CA2A7B"/>
    <w:rsid w:val="00CA6128"/>
    <w:rsid w:val="00CA638D"/>
    <w:rsid w:val="00CB0128"/>
    <w:rsid w:val="00CB4F49"/>
    <w:rsid w:val="00CC7F7E"/>
    <w:rsid w:val="00CD3899"/>
    <w:rsid w:val="00CE0221"/>
    <w:rsid w:val="00CE11F6"/>
    <w:rsid w:val="00CE4528"/>
    <w:rsid w:val="00CE4C8E"/>
    <w:rsid w:val="00CF1996"/>
    <w:rsid w:val="00CF1C1E"/>
    <w:rsid w:val="00CF39EE"/>
    <w:rsid w:val="00CF542E"/>
    <w:rsid w:val="00CF57EB"/>
    <w:rsid w:val="00CF6854"/>
    <w:rsid w:val="00CF7B4D"/>
    <w:rsid w:val="00D07DF8"/>
    <w:rsid w:val="00D11EE0"/>
    <w:rsid w:val="00D33342"/>
    <w:rsid w:val="00D40F25"/>
    <w:rsid w:val="00D42ADC"/>
    <w:rsid w:val="00D50D2F"/>
    <w:rsid w:val="00D528BC"/>
    <w:rsid w:val="00D5503F"/>
    <w:rsid w:val="00D62DBE"/>
    <w:rsid w:val="00D709DE"/>
    <w:rsid w:val="00D711B4"/>
    <w:rsid w:val="00D71395"/>
    <w:rsid w:val="00D727C4"/>
    <w:rsid w:val="00D72FAF"/>
    <w:rsid w:val="00D74DAD"/>
    <w:rsid w:val="00D82169"/>
    <w:rsid w:val="00D919B1"/>
    <w:rsid w:val="00D93050"/>
    <w:rsid w:val="00D933A2"/>
    <w:rsid w:val="00D93919"/>
    <w:rsid w:val="00DA11DC"/>
    <w:rsid w:val="00DA1AF5"/>
    <w:rsid w:val="00DA1F05"/>
    <w:rsid w:val="00DA480C"/>
    <w:rsid w:val="00DA4BAF"/>
    <w:rsid w:val="00DA4D92"/>
    <w:rsid w:val="00DA67F6"/>
    <w:rsid w:val="00DB0218"/>
    <w:rsid w:val="00DB0C3F"/>
    <w:rsid w:val="00DB2EF4"/>
    <w:rsid w:val="00DB46A6"/>
    <w:rsid w:val="00DD0C86"/>
    <w:rsid w:val="00DD2AC3"/>
    <w:rsid w:val="00DD43F8"/>
    <w:rsid w:val="00DE0703"/>
    <w:rsid w:val="00DF09AE"/>
    <w:rsid w:val="00DF69B4"/>
    <w:rsid w:val="00E019C3"/>
    <w:rsid w:val="00E01EB1"/>
    <w:rsid w:val="00E146BC"/>
    <w:rsid w:val="00E16CEB"/>
    <w:rsid w:val="00E1744F"/>
    <w:rsid w:val="00E218BE"/>
    <w:rsid w:val="00E23577"/>
    <w:rsid w:val="00E303D7"/>
    <w:rsid w:val="00E305DB"/>
    <w:rsid w:val="00E337D0"/>
    <w:rsid w:val="00E37EFC"/>
    <w:rsid w:val="00E40911"/>
    <w:rsid w:val="00E428E4"/>
    <w:rsid w:val="00E472DD"/>
    <w:rsid w:val="00E47967"/>
    <w:rsid w:val="00E51975"/>
    <w:rsid w:val="00E530E0"/>
    <w:rsid w:val="00E60B53"/>
    <w:rsid w:val="00E67046"/>
    <w:rsid w:val="00E70AA2"/>
    <w:rsid w:val="00E779F5"/>
    <w:rsid w:val="00E80E20"/>
    <w:rsid w:val="00E8159D"/>
    <w:rsid w:val="00E84021"/>
    <w:rsid w:val="00E86DCC"/>
    <w:rsid w:val="00E94165"/>
    <w:rsid w:val="00E965C3"/>
    <w:rsid w:val="00EA4EA5"/>
    <w:rsid w:val="00EA539E"/>
    <w:rsid w:val="00EB40BE"/>
    <w:rsid w:val="00EB543D"/>
    <w:rsid w:val="00EB5E52"/>
    <w:rsid w:val="00EB6479"/>
    <w:rsid w:val="00EB6D60"/>
    <w:rsid w:val="00EC094F"/>
    <w:rsid w:val="00EC494F"/>
    <w:rsid w:val="00EC6F3E"/>
    <w:rsid w:val="00EE01D1"/>
    <w:rsid w:val="00EE3593"/>
    <w:rsid w:val="00EE5628"/>
    <w:rsid w:val="00EE7FF1"/>
    <w:rsid w:val="00EF1075"/>
    <w:rsid w:val="00F01387"/>
    <w:rsid w:val="00F22DCB"/>
    <w:rsid w:val="00F25A66"/>
    <w:rsid w:val="00F312B8"/>
    <w:rsid w:val="00F35EA2"/>
    <w:rsid w:val="00F37137"/>
    <w:rsid w:val="00F37B28"/>
    <w:rsid w:val="00F41039"/>
    <w:rsid w:val="00F42D6C"/>
    <w:rsid w:val="00F459F2"/>
    <w:rsid w:val="00F506F2"/>
    <w:rsid w:val="00F50F31"/>
    <w:rsid w:val="00F52101"/>
    <w:rsid w:val="00F5228E"/>
    <w:rsid w:val="00F55ED1"/>
    <w:rsid w:val="00F64A53"/>
    <w:rsid w:val="00F66A41"/>
    <w:rsid w:val="00F70897"/>
    <w:rsid w:val="00F72CC5"/>
    <w:rsid w:val="00F730D4"/>
    <w:rsid w:val="00F75A4C"/>
    <w:rsid w:val="00F76A30"/>
    <w:rsid w:val="00F76A5F"/>
    <w:rsid w:val="00F76F7E"/>
    <w:rsid w:val="00F81802"/>
    <w:rsid w:val="00F82064"/>
    <w:rsid w:val="00F83E43"/>
    <w:rsid w:val="00F84E50"/>
    <w:rsid w:val="00F87EF5"/>
    <w:rsid w:val="00F90E21"/>
    <w:rsid w:val="00F91633"/>
    <w:rsid w:val="00F943C7"/>
    <w:rsid w:val="00FA0131"/>
    <w:rsid w:val="00FA4C1A"/>
    <w:rsid w:val="00FA70D0"/>
    <w:rsid w:val="00FB09C5"/>
    <w:rsid w:val="00FB4FB8"/>
    <w:rsid w:val="00FC16A8"/>
    <w:rsid w:val="00FC432E"/>
    <w:rsid w:val="00FD2A1B"/>
    <w:rsid w:val="00FE079D"/>
    <w:rsid w:val="00FE1A03"/>
    <w:rsid w:val="00FE25C7"/>
    <w:rsid w:val="00FE2F13"/>
    <w:rsid w:val="00FE436F"/>
    <w:rsid w:val="00FE6D00"/>
    <w:rsid w:val="00FF3EE4"/>
    <w:rsid w:val="00FF66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2FB0D4"/>
  <w15:chartTrackingRefBased/>
  <w15:docId w15:val="{1F60D22E-17C4-4C3E-9C05-855C16D4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96E"/>
    <w:pPr>
      <w:bidi/>
    </w:pPr>
    <w:rPr>
      <w:rFonts w:cs="David"/>
      <w:noProof/>
      <w:sz w:val="24"/>
      <w:szCs w:val="24"/>
    </w:rPr>
  </w:style>
  <w:style w:type="paragraph" w:styleId="Heading4">
    <w:name w:val="heading 4"/>
    <w:basedOn w:val="Normal"/>
    <w:next w:val="Normal"/>
    <w:qFormat/>
    <w:rsid w:val="006D196E"/>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D196E"/>
    <w:pPr>
      <w:tabs>
        <w:tab w:val="center" w:pos="4153"/>
        <w:tab w:val="right" w:pos="8306"/>
      </w:tabs>
    </w:pPr>
  </w:style>
  <w:style w:type="paragraph" w:styleId="Footer">
    <w:name w:val="footer"/>
    <w:basedOn w:val="Normal"/>
    <w:rsid w:val="006D196E"/>
    <w:pPr>
      <w:tabs>
        <w:tab w:val="center" w:pos="4153"/>
        <w:tab w:val="right" w:pos="8306"/>
      </w:tabs>
    </w:pPr>
  </w:style>
  <w:style w:type="paragraph" w:customStyle="1" w:styleId="a">
    <w:name w:val="סעיפים"/>
    <w:basedOn w:val="Normal"/>
    <w:rsid w:val="006D196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rsid w:val="006D196E"/>
    <w:rPr>
      <w:rFonts w:cs="Times New Roman"/>
      <w:noProof w:val="0"/>
    </w:rPr>
  </w:style>
  <w:style w:type="character" w:styleId="CommentReference">
    <w:name w:val="annotation reference"/>
    <w:rsid w:val="006D196E"/>
    <w:rPr>
      <w:sz w:val="16"/>
      <w:szCs w:val="16"/>
    </w:rPr>
  </w:style>
  <w:style w:type="paragraph" w:styleId="BalloonText">
    <w:name w:val="Balloon Text"/>
    <w:basedOn w:val="Normal"/>
    <w:rsid w:val="006D196E"/>
    <w:rPr>
      <w:rFonts w:ascii="Tahoma" w:hAnsi="Tahoma" w:cs="Tahoma"/>
      <w:sz w:val="16"/>
      <w:szCs w:val="16"/>
    </w:rPr>
  </w:style>
  <w:style w:type="table" w:styleId="TableGrid">
    <w:name w:val="Table Grid"/>
    <w:basedOn w:val="TableNormal"/>
    <w:rsid w:val="006D196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6D196E"/>
  </w:style>
  <w:style w:type="character" w:styleId="PageNumber">
    <w:name w:val="page number"/>
    <w:basedOn w:val="DefaultParagraphFont"/>
    <w:rsid w:val="006D196E"/>
  </w:style>
  <w:style w:type="table" w:customStyle="1" w:styleId="1">
    <w:name w:val="טבלת רשת1"/>
    <w:basedOn w:val="TableNormal"/>
    <w:next w:val="TableGrid"/>
    <w:rsid w:val="006D196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196E"/>
    <w:rPr>
      <w:color w:val="0000FF"/>
      <w:u w:val="single"/>
    </w:rPr>
  </w:style>
  <w:style w:type="paragraph" w:styleId="ListParagraph">
    <w:name w:val="List Paragraph"/>
    <w:basedOn w:val="Normal"/>
    <w:uiPriority w:val="34"/>
    <w:qFormat/>
    <w:rsid w:val="003F51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345.a.3"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5.a.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51.c.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8.a" TargetMode="External"/><Relationship Id="rId23" Type="http://schemas.openxmlformats.org/officeDocument/2006/relationships/fontTable" Target="fontTable.xml"/><Relationship Id="rId10" Type="http://schemas.openxmlformats.org/officeDocument/2006/relationships/hyperlink" Target="http://www.nevo.co.il/law/70301/351.c.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9404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http://www.nevo.co.il/law/70301/345.a.3</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6291508</vt:i4>
      </vt:variant>
      <vt:variant>
        <vt:i4>12</vt:i4>
      </vt:variant>
      <vt:variant>
        <vt:i4>0</vt:i4>
      </vt:variant>
      <vt:variant>
        <vt:i4>5</vt:i4>
      </vt:variant>
      <vt:variant>
        <vt:lpwstr>http://www.nevo.co.il/law/70301/351.c.1</vt:lpwstr>
      </vt:variant>
      <vt:variant>
        <vt:lpwstr/>
      </vt:variant>
      <vt:variant>
        <vt:i4>6291508</vt:i4>
      </vt:variant>
      <vt:variant>
        <vt:i4>9</vt:i4>
      </vt:variant>
      <vt:variant>
        <vt:i4>0</vt:i4>
      </vt:variant>
      <vt:variant>
        <vt:i4>5</vt:i4>
      </vt:variant>
      <vt:variant>
        <vt:lpwstr>http://www.nevo.co.il/law/70301/351.c.1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2022-05-24T09:41:00Z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EMATA">
    <vt:lpwstr/>
  </property>
  <property fmtid="{D5CDD505-2E9C-101B-9397-08002B2CF9AE}" pid="3" name="TYPE">
    <vt:lpwstr>2</vt:lpwstr>
  </property>
  <property fmtid="{D5CDD505-2E9C-101B-9397-08002B2CF9AE}" pid="4" name="PSAKDIN">
    <vt:lpwstr>הכרעת-דין</vt:lpwstr>
  </property>
  <property fmtid="{D5CDD505-2E9C-101B-9397-08002B2CF9AE}" pid="5" name="PROCESS">
    <vt:lpwstr>תפ</vt:lpwstr>
  </property>
  <property fmtid="{D5CDD505-2E9C-101B-9397-08002B2CF9AE}" pid="6" name="PROCNUM">
    <vt:lpwstr>121</vt:lpwstr>
  </property>
  <property fmtid="{D5CDD505-2E9C-101B-9397-08002B2CF9AE}" pid="7" name="PROCYEAR">
    <vt:lpwstr>00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ע' בן לוי;תמי אולמן</vt:lpwstr>
  </property>
  <property fmtid="{D5CDD505-2E9C-101B-9397-08002B2CF9AE}" pid="11" name="JUDGE">
    <vt:lpwstr>גדעון גינת;סלים ג'ובראן;ניצה שרון</vt:lpwstr>
  </property>
  <property fmtid="{D5CDD505-2E9C-101B-9397-08002B2CF9AE}" pid="12" name="CITY">
    <vt:lpwstr>חי'</vt:lpwstr>
  </property>
  <property fmtid="{D5CDD505-2E9C-101B-9397-08002B2CF9AE}" pid="13" name="DATE">
    <vt:lpwstr>20001129</vt:lpwstr>
  </property>
  <property fmtid="{D5CDD505-2E9C-101B-9397-08002B2CF9AE}" pid="14" name="TYPE_N_DATE">
    <vt:lpwstr>39020001129</vt:lpwstr>
  </property>
  <property fmtid="{D5CDD505-2E9C-101B-9397-08002B2CF9AE}" pid="15" name="CASENOTES1">
    <vt:lpwstr>ProcID=213&amp;PartA=10&amp;PartC=12</vt:lpwstr>
  </property>
  <property fmtid="{D5CDD505-2E9C-101B-9397-08002B2CF9AE}" pid="16" name="CASENOTES2">
    <vt:lpwstr>ProcID=213&amp;PartA=17&amp;PartC=23</vt:lpwstr>
  </property>
  <property fmtid="{D5CDD505-2E9C-101B-9397-08002B2CF9AE}" pid="17" name="WORDNUMPAGES">
    <vt:lpwstr>6</vt:lpwstr>
  </property>
  <property fmtid="{D5CDD505-2E9C-101B-9397-08002B2CF9AE}" pid="18" name="TYPE_ABS_DATE">
    <vt:lpwstr>390020001129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NEWPROC">
    <vt:lpwstr/>
  </property>
  <property fmtid="{D5CDD505-2E9C-101B-9397-08002B2CF9AE}" pid="33" name="NEWPARTA">
    <vt:lpwstr/>
  </property>
  <property fmtid="{D5CDD505-2E9C-101B-9397-08002B2CF9AE}" pid="34" name="NEWPARTB">
    <vt:lpwstr/>
  </property>
  <property fmtid="{D5CDD505-2E9C-101B-9397-08002B2CF9AE}" pid="35" name="NEWPARTC">
    <vt:lpwstr/>
  </property>
  <property fmtid="{D5CDD505-2E9C-101B-9397-08002B2CF9AE}" pid="36" name="ISABSTRACT">
    <vt:lpwstr>Y</vt:lpwstr>
  </property>
  <property fmtid="{D5CDD505-2E9C-101B-9397-08002B2CF9AE}" pid="37" name="LAWLISTTMP1">
    <vt:lpwstr>70301/351.c.1;348.a:2;345.a.3:2</vt:lpwstr>
  </property>
  <property fmtid="{D5CDD505-2E9C-101B-9397-08002B2CF9AE}" pid="38" name="METAKZER">
    <vt:lpwstr>אורלי</vt:lpwstr>
  </property>
</Properties>
</file>