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6145"/>
        <w:gridCol w:w="1753"/>
      </w:tblGrid>
      <w:tr w:rsidR="00B657D6" w:rsidRPr="00B657D6" w14:paraId="057C2AB7" w14:textId="77777777">
        <w:trPr>
          <w:trHeight w:hRule="exact" w:val="719"/>
          <w:jc w:val="center"/>
        </w:trPr>
        <w:tc>
          <w:tcPr>
            <w:tcW w:w="7898" w:type="dxa"/>
            <w:gridSpan w:val="2"/>
          </w:tcPr>
          <w:p w14:paraId="1B2EA0F7" w14:textId="77777777" w:rsidR="00B657D6" w:rsidRPr="00B657D6" w:rsidRDefault="00B657D6" w:rsidP="00B657D6">
            <w:pPr>
              <w:pStyle w:val="Header"/>
            </w:pPr>
          </w:p>
          <w:p w14:paraId="66E1F4E0" w14:textId="77777777" w:rsidR="00B657D6" w:rsidRPr="00B657D6" w:rsidRDefault="00B657D6" w:rsidP="00B657D6">
            <w:pPr>
              <w:pStyle w:val="Header"/>
              <w:jc w:val="center"/>
              <w:rPr>
                <w:rFonts w:ascii="Tahoma" w:hAnsi="Tahoma" w:cs="Tahoma"/>
                <w:color w:val="000080"/>
                <w:rtl/>
              </w:rPr>
            </w:pPr>
            <w:r w:rsidRPr="00B657D6">
              <w:rPr>
                <w:rFonts w:ascii="Tahoma" w:hAnsi="Tahoma" w:cs="Tahoma"/>
                <w:b/>
                <w:bCs/>
                <w:color w:val="000080"/>
                <w:rtl/>
              </w:rPr>
              <w:t>בית משפט השלום בראשון לציון</w:t>
            </w:r>
          </w:p>
        </w:tc>
      </w:tr>
      <w:tr w:rsidR="00B657D6" w:rsidRPr="00B657D6" w14:paraId="255E5997" w14:textId="77777777">
        <w:trPr>
          <w:trHeight w:val="337"/>
          <w:jc w:val="center"/>
        </w:trPr>
        <w:tc>
          <w:tcPr>
            <w:tcW w:w="6145" w:type="dxa"/>
          </w:tcPr>
          <w:p w14:paraId="077F7332" w14:textId="77777777" w:rsidR="00B657D6" w:rsidRPr="00B657D6" w:rsidRDefault="00B657D6" w:rsidP="00B657D6">
            <w:pPr>
              <w:rPr>
                <w:b/>
                <w:bCs/>
                <w:sz w:val="28"/>
                <w:szCs w:val="28"/>
                <w:rtl/>
              </w:rPr>
            </w:pPr>
            <w:r w:rsidRPr="00B657D6">
              <w:rPr>
                <w:b/>
                <w:bCs/>
                <w:sz w:val="28"/>
                <w:szCs w:val="28"/>
                <w:rtl/>
              </w:rPr>
              <w:t>ת"פ</w:t>
            </w:r>
            <w:r w:rsidRPr="00B657D6">
              <w:rPr>
                <w:rFonts w:hint="cs"/>
                <w:b/>
                <w:bCs/>
                <w:sz w:val="28"/>
                <w:szCs w:val="28"/>
                <w:rtl/>
              </w:rPr>
              <w:t xml:space="preserve"> </w:t>
            </w:r>
            <w:r w:rsidRPr="00B657D6">
              <w:rPr>
                <w:b/>
                <w:bCs/>
                <w:sz w:val="28"/>
                <w:szCs w:val="28"/>
                <w:rtl/>
              </w:rPr>
              <w:t>4824-07</w:t>
            </w:r>
            <w:r w:rsidRPr="00B657D6">
              <w:rPr>
                <w:rFonts w:hint="cs"/>
                <w:b/>
                <w:bCs/>
                <w:sz w:val="28"/>
                <w:szCs w:val="28"/>
                <w:rtl/>
              </w:rPr>
              <w:t xml:space="preserve"> </w:t>
            </w:r>
            <w:r w:rsidRPr="00B657D6">
              <w:rPr>
                <w:b/>
                <w:bCs/>
                <w:sz w:val="28"/>
                <w:szCs w:val="28"/>
                <w:rtl/>
              </w:rPr>
              <w:t>מ.י. תביעות ת"א שלוחת איילון נ' יעקובי</w:t>
            </w:r>
          </w:p>
          <w:p w14:paraId="3F72E7EE" w14:textId="77777777" w:rsidR="00B657D6" w:rsidRPr="00B657D6" w:rsidRDefault="00B657D6" w:rsidP="00B657D6">
            <w:pPr>
              <w:rPr>
                <w:b/>
                <w:bCs/>
                <w:sz w:val="28"/>
                <w:szCs w:val="28"/>
                <w:rtl/>
              </w:rPr>
            </w:pPr>
            <w:r w:rsidRPr="00B657D6">
              <w:rPr>
                <w:rFonts w:hint="cs"/>
                <w:b/>
                <w:bCs/>
                <w:sz w:val="28"/>
                <w:szCs w:val="28"/>
                <w:rtl/>
              </w:rPr>
              <w:t>בפני כב' השופט רפי ארניה</w:t>
            </w:r>
          </w:p>
          <w:p w14:paraId="36387A17" w14:textId="77777777" w:rsidR="00B657D6" w:rsidRPr="00B657D6" w:rsidRDefault="00B657D6" w:rsidP="00B657D6">
            <w:pPr>
              <w:pStyle w:val="Header"/>
              <w:rPr>
                <w:b/>
                <w:bCs/>
                <w:sz w:val="28"/>
                <w:szCs w:val="28"/>
                <w:rtl/>
              </w:rPr>
            </w:pPr>
          </w:p>
        </w:tc>
        <w:tc>
          <w:tcPr>
            <w:tcW w:w="1753" w:type="dxa"/>
          </w:tcPr>
          <w:p w14:paraId="2FB09C06" w14:textId="77777777" w:rsidR="00B657D6" w:rsidRPr="00B657D6" w:rsidRDefault="00B657D6" w:rsidP="00B657D6">
            <w:pPr>
              <w:pStyle w:val="Header"/>
              <w:jc w:val="right"/>
              <w:rPr>
                <w:b/>
                <w:bCs/>
                <w:sz w:val="28"/>
                <w:szCs w:val="28"/>
                <w:rtl/>
              </w:rPr>
            </w:pPr>
            <w:r w:rsidRPr="00B657D6">
              <w:rPr>
                <w:b/>
                <w:bCs/>
                <w:sz w:val="28"/>
                <w:szCs w:val="28"/>
                <w:rtl/>
              </w:rPr>
              <w:t>06 דצמבר 2010</w:t>
            </w:r>
          </w:p>
        </w:tc>
      </w:tr>
    </w:tbl>
    <w:p w14:paraId="2F9FAD4E" w14:textId="77777777" w:rsidR="00112E97" w:rsidRPr="00112E97" w:rsidRDefault="00112E97" w:rsidP="00112E97">
      <w:pPr>
        <w:rPr>
          <w:vanish/>
        </w:rPr>
      </w:pPr>
      <w:bookmarkStart w:id="0" w:name="LastJudge"/>
      <w:bookmarkEnd w:id="0"/>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353D0" w14:paraId="3C718D02" w14:textId="77777777">
        <w:trPr>
          <w:trHeight w:val="355"/>
          <w:jc w:val="center"/>
        </w:trPr>
        <w:tc>
          <w:tcPr>
            <w:tcW w:w="8820" w:type="dxa"/>
            <w:tcBorders>
              <w:top w:val="nil"/>
              <w:left w:val="nil"/>
              <w:bottom w:val="nil"/>
              <w:right w:val="nil"/>
            </w:tcBorders>
            <w:shd w:val="clear" w:color="auto" w:fill="auto"/>
          </w:tcPr>
          <w:p w14:paraId="1BC84CB3" w14:textId="77777777" w:rsidR="00B657D6" w:rsidRPr="00112E97" w:rsidRDefault="00B657D6" w:rsidP="00112E97">
            <w:pPr>
              <w:spacing w:after="120" w:line="360" w:lineRule="auto"/>
              <w:jc w:val="center"/>
              <w:rPr>
                <w:rFonts w:ascii="Arial" w:hAnsi="Arial"/>
                <w:b/>
                <w:bCs/>
                <w:u w:val="single"/>
                <w:rtl/>
              </w:rPr>
            </w:pPr>
            <w:r w:rsidRPr="00112E97">
              <w:rPr>
                <w:rFonts w:ascii="Arial" w:hAnsi="Arial"/>
                <w:b/>
                <w:bCs/>
                <w:u w:val="single"/>
                <w:rtl/>
              </w:rPr>
              <w:t>גזר דין</w:t>
            </w:r>
          </w:p>
          <w:p w14:paraId="6E332DD1" w14:textId="77777777" w:rsidR="000353D0" w:rsidRPr="00112E97" w:rsidRDefault="000353D0" w:rsidP="00112E97">
            <w:pPr>
              <w:spacing w:after="120" w:line="360" w:lineRule="auto"/>
              <w:jc w:val="center"/>
              <w:rPr>
                <w:rFonts w:ascii="Arial" w:hAnsi="Arial"/>
                <w:bCs/>
                <w:u w:val="single"/>
                <w:rtl/>
              </w:rPr>
            </w:pPr>
          </w:p>
        </w:tc>
      </w:tr>
    </w:tbl>
    <w:p w14:paraId="6B3B56B9" w14:textId="77777777" w:rsidR="00211FA7" w:rsidRDefault="00211FA7">
      <w:pPr>
        <w:spacing w:after="120" w:line="360" w:lineRule="auto"/>
        <w:rPr>
          <w:rFonts w:ascii="Arial" w:hAnsi="Arial"/>
          <w:rtl/>
        </w:rPr>
      </w:pPr>
      <w:bookmarkStart w:id="1" w:name="LawTable"/>
      <w:bookmarkEnd w:id="1"/>
    </w:p>
    <w:p w14:paraId="5E7ADE9B" w14:textId="77777777" w:rsidR="00211FA7" w:rsidRPr="00211FA7" w:rsidRDefault="00211FA7" w:rsidP="00211FA7">
      <w:pPr>
        <w:spacing w:after="120" w:line="240" w:lineRule="exact"/>
        <w:ind w:left="283" w:hanging="283"/>
        <w:jc w:val="both"/>
        <w:rPr>
          <w:rFonts w:ascii="FrankRuehl" w:hAnsi="FrankRuehl" w:cs="FrankRuehl"/>
          <w:rtl/>
        </w:rPr>
      </w:pPr>
    </w:p>
    <w:p w14:paraId="2ABAD3A0" w14:textId="77777777" w:rsidR="00211FA7" w:rsidRPr="00211FA7" w:rsidRDefault="00211FA7" w:rsidP="00211FA7">
      <w:pPr>
        <w:spacing w:after="120" w:line="240" w:lineRule="exact"/>
        <w:ind w:left="283" w:hanging="283"/>
        <w:jc w:val="both"/>
        <w:rPr>
          <w:rFonts w:ascii="FrankRuehl" w:hAnsi="FrankRuehl" w:cs="FrankRuehl"/>
          <w:rtl/>
        </w:rPr>
      </w:pPr>
      <w:r w:rsidRPr="00211FA7">
        <w:rPr>
          <w:rFonts w:ascii="FrankRuehl" w:hAnsi="FrankRuehl" w:cs="FrankRuehl"/>
          <w:rtl/>
        </w:rPr>
        <w:t xml:space="preserve">חקיקה שאוזכרה: </w:t>
      </w:r>
    </w:p>
    <w:p w14:paraId="5C556981" w14:textId="77777777" w:rsidR="00211FA7" w:rsidRPr="00211FA7" w:rsidRDefault="00211FA7" w:rsidP="00211FA7">
      <w:pPr>
        <w:spacing w:after="120" w:line="240" w:lineRule="exact"/>
        <w:ind w:left="283" w:hanging="283"/>
        <w:jc w:val="both"/>
        <w:rPr>
          <w:rFonts w:ascii="FrankRuehl" w:hAnsi="FrankRuehl" w:cs="FrankRuehl"/>
          <w:rtl/>
        </w:rPr>
      </w:pPr>
      <w:hyperlink r:id="rId7" w:history="1">
        <w:r w:rsidRPr="00211FA7">
          <w:rPr>
            <w:rFonts w:ascii="FrankRuehl" w:hAnsi="FrankRuehl" w:cs="FrankRuehl"/>
            <w:color w:val="0000FF"/>
            <w:u w:val="single"/>
            <w:rtl/>
          </w:rPr>
          <w:t>חוק העונשין, תשל"ז-1977</w:t>
        </w:r>
      </w:hyperlink>
      <w:r w:rsidRPr="00211FA7">
        <w:rPr>
          <w:rFonts w:ascii="FrankRuehl" w:hAnsi="FrankRuehl" w:cs="FrankRuehl"/>
          <w:rtl/>
        </w:rPr>
        <w:t xml:space="preserve">: סע'  </w:t>
      </w:r>
      <w:hyperlink r:id="rId8" w:history="1">
        <w:r w:rsidRPr="00211FA7">
          <w:rPr>
            <w:rFonts w:ascii="FrankRuehl" w:hAnsi="FrankRuehl" w:cs="FrankRuehl"/>
            <w:color w:val="0000FF"/>
            <w:u w:val="single"/>
            <w:rtl/>
          </w:rPr>
          <w:t>345</w:t>
        </w:r>
      </w:hyperlink>
      <w:r w:rsidRPr="00211FA7">
        <w:rPr>
          <w:rFonts w:ascii="FrankRuehl" w:hAnsi="FrankRuehl" w:cs="FrankRuehl"/>
          <w:rtl/>
        </w:rPr>
        <w:t xml:space="preserve">, </w:t>
      </w:r>
      <w:hyperlink r:id="rId9" w:history="1">
        <w:r w:rsidRPr="00211FA7">
          <w:rPr>
            <w:rFonts w:ascii="FrankRuehl" w:hAnsi="FrankRuehl" w:cs="FrankRuehl"/>
            <w:color w:val="0000FF"/>
            <w:u w:val="single"/>
            <w:rtl/>
          </w:rPr>
          <w:t>348 (ג)</w:t>
        </w:r>
      </w:hyperlink>
      <w:r w:rsidRPr="00211FA7">
        <w:rPr>
          <w:rFonts w:ascii="FrankRuehl" w:hAnsi="FrankRuehl" w:cs="FrankRuehl"/>
          <w:rtl/>
        </w:rPr>
        <w:t xml:space="preserve">, </w:t>
      </w:r>
      <w:hyperlink r:id="rId10" w:history="1">
        <w:r w:rsidRPr="00211FA7">
          <w:rPr>
            <w:rFonts w:ascii="FrankRuehl" w:hAnsi="FrankRuehl" w:cs="FrankRuehl"/>
            <w:color w:val="0000FF"/>
            <w:u w:val="single"/>
            <w:rtl/>
          </w:rPr>
          <w:t>ה' לפרק י'</w:t>
        </w:r>
      </w:hyperlink>
    </w:p>
    <w:p w14:paraId="53BD6589" w14:textId="77777777" w:rsidR="00211FA7" w:rsidRPr="00211FA7" w:rsidRDefault="00211FA7" w:rsidP="00211FA7">
      <w:pPr>
        <w:spacing w:after="120" w:line="240" w:lineRule="exact"/>
        <w:ind w:left="283" w:hanging="283"/>
        <w:jc w:val="both"/>
        <w:rPr>
          <w:rFonts w:ascii="FrankRuehl" w:hAnsi="FrankRuehl" w:cs="FrankRuehl"/>
          <w:rtl/>
        </w:rPr>
      </w:pPr>
    </w:p>
    <w:p w14:paraId="23ED1349" w14:textId="77777777" w:rsidR="00211FA7" w:rsidRPr="00211FA7" w:rsidRDefault="00211FA7">
      <w:pPr>
        <w:spacing w:after="120" w:line="360" w:lineRule="auto"/>
        <w:rPr>
          <w:rFonts w:ascii="Arial" w:hAnsi="Arial"/>
          <w:rtl/>
        </w:rPr>
      </w:pPr>
      <w:bookmarkStart w:id="2" w:name="LawTable_End"/>
      <w:bookmarkEnd w:id="2"/>
    </w:p>
    <w:p w14:paraId="59099B2E" w14:textId="77777777" w:rsidR="00EE1D90" w:rsidRPr="00EE1D90" w:rsidRDefault="00EE1D90">
      <w:pPr>
        <w:spacing w:after="120" w:line="360" w:lineRule="auto"/>
        <w:rPr>
          <w:rFonts w:ascii="Arial" w:hAnsi="Arial"/>
          <w:rtl/>
        </w:rPr>
      </w:pPr>
    </w:p>
    <w:p w14:paraId="60930E5F" w14:textId="77777777" w:rsidR="00C60943" w:rsidRPr="00C60943" w:rsidRDefault="00C60943">
      <w:pPr>
        <w:spacing w:after="120" w:line="360" w:lineRule="auto"/>
        <w:rPr>
          <w:rFonts w:ascii="Arial" w:hAnsi="Arial"/>
          <w:rtl/>
        </w:rPr>
      </w:pPr>
    </w:p>
    <w:p w14:paraId="049B4A7A" w14:textId="77777777" w:rsidR="00C60943" w:rsidRPr="00C60943" w:rsidRDefault="00C60943">
      <w:pPr>
        <w:spacing w:after="120" w:line="360" w:lineRule="auto"/>
        <w:rPr>
          <w:rFonts w:ascii="Arial" w:hAnsi="Arial"/>
          <w:rtl/>
        </w:rPr>
      </w:pPr>
    </w:p>
    <w:p w14:paraId="5484D661" w14:textId="77777777" w:rsidR="000353D0" w:rsidRPr="00C60943" w:rsidRDefault="000353D0">
      <w:pPr>
        <w:spacing w:after="120" w:line="360" w:lineRule="auto"/>
        <w:rPr>
          <w:rFonts w:ascii="Arial" w:hAnsi="Arial"/>
          <w:rtl/>
        </w:rPr>
      </w:pPr>
    </w:p>
    <w:p w14:paraId="07211997" w14:textId="77777777" w:rsidR="000353D0" w:rsidRDefault="00B657D6">
      <w:pPr>
        <w:pStyle w:val="Heading1"/>
        <w:spacing w:after="120" w:line="360" w:lineRule="auto"/>
        <w:rPr>
          <w:rFonts w:cs="David"/>
          <w:sz w:val="24"/>
          <w:szCs w:val="24"/>
          <w:u w:val="single"/>
        </w:rPr>
      </w:pPr>
      <w:bookmarkStart w:id="3" w:name="PsakDin"/>
      <w:r>
        <w:rPr>
          <w:rFonts w:cs="David" w:hint="cs"/>
          <w:sz w:val="24"/>
          <w:szCs w:val="24"/>
          <w:u w:val="single"/>
          <w:rtl/>
        </w:rPr>
        <w:t>הכרעת הדין</w:t>
      </w:r>
    </w:p>
    <w:p w14:paraId="1BDF5ADF" w14:textId="77777777" w:rsidR="000353D0" w:rsidRDefault="00B657D6">
      <w:pPr>
        <w:spacing w:after="120" w:line="360" w:lineRule="auto"/>
        <w:jc w:val="both"/>
        <w:rPr>
          <w:rtl/>
        </w:rPr>
      </w:pPr>
      <w:bookmarkStart w:id="4" w:name="ABSTRACT_START"/>
      <w:bookmarkEnd w:id="3"/>
      <w:bookmarkEnd w:id="4"/>
      <w:r>
        <w:rPr>
          <w:rFonts w:hint="cs"/>
          <w:rtl/>
        </w:rPr>
        <w:t xml:space="preserve">הנאשם הורשע לאחר ניהול שמיעת ראיות בעבירה של מעשה מגונה באדם בנסיבות שלא בהתאם </w:t>
      </w:r>
      <w:hyperlink r:id="rId11" w:history="1">
        <w:r w:rsidR="00EE1D90" w:rsidRPr="00EE1D90">
          <w:rPr>
            <w:rStyle w:val="Hyperlink"/>
            <w:rFonts w:hint="eastAsia"/>
            <w:rtl/>
          </w:rPr>
          <w:t>לסעיף</w:t>
        </w:r>
        <w:r w:rsidR="00EE1D90" w:rsidRPr="00EE1D90">
          <w:rPr>
            <w:rStyle w:val="Hyperlink"/>
            <w:rtl/>
          </w:rPr>
          <w:t xml:space="preserve"> 345</w:t>
        </w:r>
      </w:hyperlink>
      <w:r>
        <w:rPr>
          <w:rFonts w:hint="cs"/>
          <w:rtl/>
        </w:rPr>
        <w:t xml:space="preserve"> ל</w:t>
      </w:r>
      <w:hyperlink r:id="rId12" w:history="1">
        <w:r w:rsidR="00C60943" w:rsidRPr="00C60943">
          <w:rPr>
            <w:rStyle w:val="Hyperlink"/>
            <w:rtl/>
          </w:rPr>
          <w:t>חוק העונשין</w:t>
        </w:r>
      </w:hyperlink>
      <w:r>
        <w:rPr>
          <w:rFonts w:hint="cs"/>
          <w:rtl/>
        </w:rPr>
        <w:t xml:space="preserve">- עבירה לפי </w:t>
      </w:r>
      <w:hyperlink r:id="rId13" w:history="1">
        <w:r w:rsidR="00EE1D90" w:rsidRPr="00EE1D90">
          <w:rPr>
            <w:color w:val="0000FF"/>
            <w:u w:val="single"/>
            <w:rtl/>
          </w:rPr>
          <w:t>סעיף 348 (ג)</w:t>
        </w:r>
      </w:hyperlink>
      <w:r>
        <w:rPr>
          <w:rFonts w:hint="cs"/>
          <w:rtl/>
        </w:rPr>
        <w:t xml:space="preserve"> לחוק העונשין התשל"ז -1977.</w:t>
      </w:r>
    </w:p>
    <w:p w14:paraId="62ADEC82" w14:textId="77777777" w:rsidR="000353D0" w:rsidRDefault="00B657D6">
      <w:pPr>
        <w:spacing w:after="120" w:line="360" w:lineRule="auto"/>
        <w:jc w:val="both"/>
        <w:rPr>
          <w:rtl/>
        </w:rPr>
      </w:pPr>
      <w:r>
        <w:rPr>
          <w:rFonts w:hint="cs"/>
          <w:rtl/>
        </w:rPr>
        <w:t>העובדות הרלוונטיות לגזר הדין פורטו בהרחבה בהכרעת הדין, ואחזור עליהם בקצרה.</w:t>
      </w:r>
    </w:p>
    <w:p w14:paraId="45572CB7" w14:textId="77777777" w:rsidR="000353D0" w:rsidRDefault="00B657D6">
      <w:pPr>
        <w:spacing w:after="120" w:line="360" w:lineRule="auto"/>
        <w:jc w:val="both"/>
        <w:rPr>
          <w:rtl/>
        </w:rPr>
      </w:pPr>
      <w:bookmarkStart w:id="5" w:name="ABSTRACT_END"/>
      <w:bookmarkEnd w:id="5"/>
      <w:r>
        <w:rPr>
          <w:rFonts w:hint="cs"/>
          <w:rtl/>
        </w:rPr>
        <w:t>ביום 17.7.07 הגיעה המתלוננת לראיון עבודה בחנות נעליים בחולון.</w:t>
      </w:r>
    </w:p>
    <w:p w14:paraId="3C5B3B20" w14:textId="77777777" w:rsidR="000353D0" w:rsidRDefault="00B657D6">
      <w:pPr>
        <w:spacing w:after="120" w:line="360" w:lineRule="auto"/>
        <w:jc w:val="both"/>
        <w:rPr>
          <w:rtl/>
        </w:rPr>
      </w:pPr>
      <w:r>
        <w:rPr>
          <w:rFonts w:hint="cs"/>
          <w:rtl/>
        </w:rPr>
        <w:t>הנאשם שהינו מנהל ברשת חנויות הנעליים אליה השתייכה החנות, הראה למתלוננת, אשר הגיעה לראיון עבודה, את החלק התחתון של החנות ואז ביקש להראות לה גם את המחסן הנמצא בחלק העליון של החנות, אשר העלייה אליו הינה מגרם מדרגות צר ופתלתל.</w:t>
      </w:r>
    </w:p>
    <w:p w14:paraId="12F821E1" w14:textId="77777777" w:rsidR="000353D0" w:rsidRDefault="00B657D6">
      <w:pPr>
        <w:spacing w:after="120" w:line="360" w:lineRule="auto"/>
        <w:jc w:val="both"/>
        <w:rPr>
          <w:rtl/>
        </w:rPr>
      </w:pPr>
      <w:r>
        <w:rPr>
          <w:rFonts w:hint="cs"/>
          <w:rtl/>
        </w:rPr>
        <w:t>המתלוננת והנאשם עלו בגרם המדרגות כאשר המתלוננת עולה ראשונה והנאשם מאחוריה.</w:t>
      </w:r>
    </w:p>
    <w:p w14:paraId="543873C1" w14:textId="77777777" w:rsidR="000353D0" w:rsidRDefault="00B657D6">
      <w:pPr>
        <w:spacing w:after="120" w:line="360" w:lineRule="auto"/>
        <w:jc w:val="both"/>
        <w:rPr>
          <w:rtl/>
        </w:rPr>
      </w:pPr>
      <w:r>
        <w:rPr>
          <w:rFonts w:hint="cs"/>
          <w:rtl/>
        </w:rPr>
        <w:t xml:space="preserve">במהלך העלייה במדרגות נגע הנאשם במתלוננת, באמצעות ידיו, ברגליה ליד הישבן מספר פעמים ובהמשך אף תפס הנאשם את המתלוננת במותניה ונישק אותה בלחי שמאל. </w:t>
      </w:r>
    </w:p>
    <w:p w14:paraId="14BD83BD" w14:textId="77777777" w:rsidR="000353D0" w:rsidRDefault="00B657D6">
      <w:pPr>
        <w:spacing w:after="120" w:line="360" w:lineRule="auto"/>
        <w:jc w:val="both"/>
        <w:rPr>
          <w:rtl/>
        </w:rPr>
      </w:pPr>
      <w:r>
        <w:rPr>
          <w:rFonts w:hint="cs"/>
          <w:rtl/>
        </w:rPr>
        <w:t>המעשים המתוארים נעשו ללא הסכמתה ולשם גירוי, סיפוק או ביזוי מיניים.</w:t>
      </w:r>
    </w:p>
    <w:p w14:paraId="4573AE38" w14:textId="77777777" w:rsidR="000353D0" w:rsidRDefault="00B657D6">
      <w:pPr>
        <w:spacing w:after="120" w:line="360" w:lineRule="auto"/>
        <w:jc w:val="both"/>
        <w:rPr>
          <w:u w:val="single"/>
          <w:rtl/>
        </w:rPr>
      </w:pPr>
      <w:r>
        <w:rPr>
          <w:rFonts w:hint="cs"/>
          <w:rtl/>
        </w:rPr>
        <w:t>עד כאן תיאור האירוע כפי שעולה מהכרעת הדין.</w:t>
      </w:r>
    </w:p>
    <w:p w14:paraId="01EF7BE8" w14:textId="77777777" w:rsidR="000353D0" w:rsidRDefault="00B657D6">
      <w:pPr>
        <w:pStyle w:val="Heading1"/>
        <w:spacing w:after="120" w:line="360" w:lineRule="auto"/>
        <w:rPr>
          <w:rFonts w:cs="David"/>
          <w:sz w:val="24"/>
          <w:szCs w:val="24"/>
          <w:u w:val="single"/>
          <w:rtl/>
        </w:rPr>
      </w:pPr>
      <w:r>
        <w:rPr>
          <w:rFonts w:cs="David" w:hint="cs"/>
          <w:sz w:val="24"/>
          <w:szCs w:val="24"/>
          <w:u w:val="single"/>
          <w:rtl/>
        </w:rPr>
        <w:lastRenderedPageBreak/>
        <w:t>נתונים אישיים</w:t>
      </w:r>
    </w:p>
    <w:p w14:paraId="5B71136D" w14:textId="77777777" w:rsidR="000353D0" w:rsidRDefault="00B657D6">
      <w:pPr>
        <w:spacing w:after="120" w:line="360" w:lineRule="auto"/>
        <w:jc w:val="both"/>
        <w:rPr>
          <w:rtl/>
        </w:rPr>
      </w:pPr>
      <w:r>
        <w:rPr>
          <w:rFonts w:hint="cs"/>
          <w:rtl/>
        </w:rPr>
        <w:t xml:space="preserve"> הנאשם הינו בן 49 וכאמור, הינו מנהל ברשת חנויות נעליים. אין לנאשם עבר פלילי רלוונטי, אך לחובתו 3 הרשעות קודמות בעבירות אלימות, מתוכן שתי הרשעות בגין תקיפת בת זוג מהשנים 1998 ו-1999 והרשעה נוספת משנת 2000  בגין תקיפה הגורמת חבלה של ממש.</w:t>
      </w:r>
    </w:p>
    <w:p w14:paraId="1C031385" w14:textId="77777777" w:rsidR="000353D0" w:rsidRDefault="00B657D6">
      <w:pPr>
        <w:pStyle w:val="Heading1"/>
        <w:spacing w:after="120" w:line="360" w:lineRule="auto"/>
        <w:rPr>
          <w:rFonts w:cs="David"/>
          <w:sz w:val="24"/>
          <w:szCs w:val="24"/>
          <w:u w:val="single"/>
          <w:rtl/>
        </w:rPr>
      </w:pPr>
      <w:r>
        <w:rPr>
          <w:rFonts w:cs="David" w:hint="cs"/>
          <w:sz w:val="24"/>
          <w:szCs w:val="24"/>
          <w:u w:val="single"/>
          <w:rtl/>
        </w:rPr>
        <w:t>טענות הצדדים</w:t>
      </w:r>
    </w:p>
    <w:p w14:paraId="3D109468" w14:textId="77777777" w:rsidR="000353D0" w:rsidRDefault="00B657D6">
      <w:pPr>
        <w:spacing w:after="120" w:line="360" w:lineRule="auto"/>
        <w:jc w:val="both"/>
        <w:rPr>
          <w:rtl/>
        </w:rPr>
      </w:pPr>
      <w:r>
        <w:rPr>
          <w:rFonts w:hint="cs"/>
          <w:rtl/>
        </w:rPr>
        <w:t>ב"כ המאשימה הדגיש את העובדה שמדובר בנאשם שכפר במעשה והורשע לאחר ניהול הוכחות ולא נטל אחריות על המעשה. כמו כן טען ב"כ המאשימה כי הנאשם בחר שלא רק לכפור במעשים אלא גם להתיש את המתלוננת בכך שהגיש נגדה תביעת דיבה (נ/2), בגין העזתה לומר כי הוא פגע בה.</w:t>
      </w:r>
    </w:p>
    <w:p w14:paraId="401A315F" w14:textId="77777777" w:rsidR="000353D0" w:rsidRDefault="00B657D6">
      <w:pPr>
        <w:spacing w:after="120" w:line="360" w:lineRule="auto"/>
        <w:jc w:val="both"/>
        <w:rPr>
          <w:rtl/>
        </w:rPr>
      </w:pPr>
      <w:r>
        <w:rPr>
          <w:rFonts w:hint="cs"/>
          <w:rtl/>
        </w:rPr>
        <w:t>בשל שיקול חלוף הזמן ביקשה המאשימה לעתור לעונש מאסר אשר ירוצה בעבודות שירות, מאסר צופה פני עתיד, קנס משמעותי ופיצוי למתלוננת על סך של 60,000 ₪, שהוא הסכום אותו תבע הנאשם מהמתלוננת בתובענה האזרחית שהגיש כנגדה.</w:t>
      </w:r>
    </w:p>
    <w:p w14:paraId="47E4F050" w14:textId="77777777" w:rsidR="000353D0" w:rsidRDefault="00B657D6">
      <w:pPr>
        <w:spacing w:after="120" w:line="360" w:lineRule="auto"/>
        <w:jc w:val="both"/>
        <w:rPr>
          <w:rtl/>
        </w:rPr>
      </w:pPr>
      <w:r>
        <w:rPr>
          <w:rFonts w:hint="cs"/>
          <w:rtl/>
        </w:rPr>
        <w:t>סנגורו של הנאשם ציין כי הפנייה לבית המשפט האזרחי מהווה זכות לגיטימית של כל אדם, אשר חש כי זכותו נפגעה. לדבריו התביעה הוגשה ללא שום קשר להכרעת הדין ולפני הכרעת הדין.</w:t>
      </w:r>
    </w:p>
    <w:p w14:paraId="34E40EFF" w14:textId="77777777" w:rsidR="000353D0" w:rsidRDefault="00B657D6">
      <w:pPr>
        <w:spacing w:after="120" w:line="360" w:lineRule="auto"/>
        <w:jc w:val="both"/>
        <w:rPr>
          <w:rtl/>
        </w:rPr>
      </w:pPr>
      <w:r>
        <w:rPr>
          <w:rFonts w:hint="cs"/>
          <w:rtl/>
        </w:rPr>
        <w:t>עוד הוא טען כי מדובר בעבירה מן הרף הנמוך, משום  שלא הייתה נגיעה מתחת לבגדים, לא היה מדובר באירוע עם אלמנט קיצוני וכל האירוע נמשך כ-3- 4 דקות.</w:t>
      </w:r>
    </w:p>
    <w:p w14:paraId="2C200FA0" w14:textId="77777777" w:rsidR="000353D0" w:rsidRDefault="00B657D6">
      <w:pPr>
        <w:spacing w:after="120" w:line="360" w:lineRule="auto"/>
        <w:jc w:val="both"/>
        <w:rPr>
          <w:rtl/>
        </w:rPr>
      </w:pPr>
      <w:r>
        <w:rPr>
          <w:rFonts w:hint="cs"/>
          <w:rtl/>
        </w:rPr>
        <w:t>הוא ציין כי מדובר באירוע שנעשה בתום לב ולא בליווי אלימות או אלמנטים אחרים. כמו כן לדבריו המעשה בוצע במדרגות מסוכנות ולפיכך לא יכול להתפתח למעשה קשה או חמור.</w:t>
      </w:r>
    </w:p>
    <w:p w14:paraId="65042F6F" w14:textId="77777777" w:rsidR="000353D0" w:rsidRDefault="00B657D6">
      <w:pPr>
        <w:spacing w:after="120" w:line="360" w:lineRule="auto"/>
        <w:jc w:val="both"/>
        <w:rPr>
          <w:rtl/>
        </w:rPr>
      </w:pPr>
      <w:r>
        <w:rPr>
          <w:rFonts w:hint="cs"/>
          <w:rtl/>
        </w:rPr>
        <w:t>לדבריו לא נגרם למתלוננת נזק קשה וראיה לכך היא אמירתה לאורך הדרך כי אם הנאשם היה מבקש סליחה היא הייתה עוברת על זה לסדר היום.</w:t>
      </w:r>
    </w:p>
    <w:p w14:paraId="6C9CAC02" w14:textId="77777777" w:rsidR="000353D0" w:rsidRDefault="00B657D6">
      <w:pPr>
        <w:spacing w:after="120" w:line="360" w:lineRule="auto"/>
        <w:jc w:val="both"/>
        <w:rPr>
          <w:rtl/>
        </w:rPr>
      </w:pPr>
      <w:r>
        <w:rPr>
          <w:rFonts w:hint="cs"/>
          <w:rtl/>
        </w:rPr>
        <w:t>הסנגור ביקש מבית המשפט להתחשב בכך שמדובר בנאשם שיש לו בת זוג וילד קטן, הוא מפרנס ובעל תפקיד בכיר, אשר האירוע פגע באפשרויות הקידום שלו והמדובר בעונש חמור בפני עצמו. לכן ביקש הסנגור להסתפק בעונש מאסר ואת עניין הפיצוי למתלוננת השאיר לשיקול דעת בית המשפט.</w:t>
      </w:r>
    </w:p>
    <w:p w14:paraId="517FBE23" w14:textId="77777777" w:rsidR="000353D0" w:rsidRDefault="00B657D6">
      <w:pPr>
        <w:spacing w:after="120" w:line="360" w:lineRule="auto"/>
        <w:jc w:val="both"/>
      </w:pPr>
      <w:r>
        <w:rPr>
          <w:rFonts w:hint="cs"/>
          <w:rtl/>
        </w:rPr>
        <w:t xml:space="preserve">הנאשם לא הביע חרטה והתנצלות בדברו האחרון. הוא סיפר כי כיום הוא מתגורר עם בת זוגו ועם בנו לו הוא צריך לעשות בר מצווה. לדבריו הוא עובד שנים בתחום הזה והוא מנהל חנות משנת 96 ומעולם לא הייתה תלונה עליו. </w:t>
      </w:r>
    </w:p>
    <w:p w14:paraId="2CAE36D5" w14:textId="77777777" w:rsidR="000353D0" w:rsidRDefault="00B657D6">
      <w:pPr>
        <w:pStyle w:val="Heading1"/>
        <w:spacing w:after="120" w:line="360" w:lineRule="auto"/>
        <w:rPr>
          <w:rFonts w:cs="David"/>
          <w:sz w:val="24"/>
          <w:szCs w:val="24"/>
          <w:u w:val="single"/>
          <w:rtl/>
        </w:rPr>
      </w:pPr>
      <w:r>
        <w:rPr>
          <w:rFonts w:cs="David" w:hint="cs"/>
          <w:sz w:val="24"/>
          <w:szCs w:val="24"/>
          <w:u w:val="single"/>
          <w:rtl/>
        </w:rPr>
        <w:t>שיקולים לחומרא ולקולא</w:t>
      </w:r>
    </w:p>
    <w:p w14:paraId="327A555B" w14:textId="77777777" w:rsidR="000353D0" w:rsidRDefault="00B657D6">
      <w:pPr>
        <w:spacing w:after="120" w:line="360" w:lineRule="auto"/>
        <w:jc w:val="both"/>
        <w:rPr>
          <w:rtl/>
        </w:rPr>
      </w:pPr>
      <w:r>
        <w:rPr>
          <w:rFonts w:hint="cs"/>
          <w:rtl/>
        </w:rPr>
        <w:t>כאמור, הנאשם הינו מנהל בחנות נעליים אליו הגיעה המתלוננת, אישה קשת יום, במסגרת חיפושיה אחר עבודה. בזו העת, תוך ניצול מעמדו וחולשת המתלוננת, אשר מטבע הדברים הייתה זקוקה למקום העבודה, ביצע בה הנאשם מעשה אשר אין לעבור עליו לסדר היום.</w:t>
      </w:r>
    </w:p>
    <w:p w14:paraId="1A2964F2" w14:textId="77777777" w:rsidR="000353D0" w:rsidRDefault="00B657D6">
      <w:pPr>
        <w:spacing w:after="120" w:line="360" w:lineRule="auto"/>
        <w:jc w:val="both"/>
        <w:rPr>
          <w:rtl/>
        </w:rPr>
      </w:pPr>
      <w:r>
        <w:rPr>
          <w:rFonts w:hint="cs"/>
          <w:rtl/>
        </w:rPr>
        <w:lastRenderedPageBreak/>
        <w:t xml:space="preserve"> הנאשם הורשע לאחר ניהול הוכחות ולא נטל אחריות, הביע חרטה או התנצל בשום שלב, ואף לא לאחר הרשעתו. </w:t>
      </w:r>
    </w:p>
    <w:p w14:paraId="41124612" w14:textId="77777777" w:rsidR="000353D0" w:rsidRDefault="00B657D6">
      <w:pPr>
        <w:spacing w:after="120" w:line="360" w:lineRule="auto"/>
        <w:jc w:val="both"/>
        <w:rPr>
          <w:rtl/>
        </w:rPr>
      </w:pPr>
      <w:r>
        <w:rPr>
          <w:rFonts w:hint="cs"/>
          <w:rtl/>
        </w:rPr>
        <w:t>לחובתו של הנאשם עבר פלילי  בגין עבירות אלימות.</w:t>
      </w:r>
    </w:p>
    <w:p w14:paraId="7516F62E" w14:textId="77777777" w:rsidR="000353D0" w:rsidRDefault="00B657D6">
      <w:pPr>
        <w:spacing w:after="120" w:line="360" w:lineRule="auto"/>
        <w:jc w:val="both"/>
        <w:rPr>
          <w:rtl/>
        </w:rPr>
      </w:pPr>
      <w:r>
        <w:rPr>
          <w:rFonts w:hint="cs"/>
          <w:rtl/>
        </w:rPr>
        <w:t xml:space="preserve">המדובר בעבירה חמורה ביותר בשים לב לקלות ביצועה אל מול הפגיעה באוטונומיה  ובתחושותיו של הנפגע. בית משפט זה מצווה להגן על האוטונומיה של הפרט של כל אדם ושל כל אישה, ולמנוע את חילול וביזוי כבודה.  </w:t>
      </w:r>
    </w:p>
    <w:p w14:paraId="0CEF3428" w14:textId="77777777" w:rsidR="000353D0" w:rsidRDefault="00B657D6">
      <w:pPr>
        <w:spacing w:after="120" w:line="360" w:lineRule="auto"/>
        <w:jc w:val="both"/>
        <w:rPr>
          <w:rtl/>
        </w:rPr>
      </w:pPr>
      <w:r>
        <w:rPr>
          <w:rFonts w:hint="cs"/>
          <w:rtl/>
        </w:rPr>
        <w:t>הדברים נכונים במיוחד נוכח העובדה כי המתלוננת משתייכת למגזר חלש וחדש יחסית בחברה הישראלית, וערכיה אינם מובנים לה מאליהם. ראוי הוא כי בית המשפט ישמש לה לקול, וישלח מסר חד וברור – כל מעשה מסוג זה ייענש בחומרה,  וללא כל היסוס או גמגום.</w:t>
      </w:r>
    </w:p>
    <w:p w14:paraId="4FB0964E" w14:textId="77777777" w:rsidR="000353D0" w:rsidRDefault="00B657D6">
      <w:pPr>
        <w:spacing w:after="120" w:line="360" w:lineRule="auto"/>
        <w:jc w:val="both"/>
        <w:rPr>
          <w:rtl/>
        </w:rPr>
      </w:pPr>
      <w:r>
        <w:rPr>
          <w:rFonts w:hint="cs"/>
          <w:rtl/>
        </w:rPr>
        <w:t xml:space="preserve">בית המשפט העליון קבע לא אחת כי מעשים מסוג זה הנעשים תוך ניצול מעמד, שררה או מרות ייענשו בחומרה. לעניין זה ר' </w:t>
      </w:r>
      <w:hyperlink r:id="rId14" w:history="1">
        <w:r w:rsidR="00195867" w:rsidRPr="00195867">
          <w:rPr>
            <w:rStyle w:val="Hyperlink"/>
            <w:rtl/>
          </w:rPr>
          <w:t>ע"פ 2695/93</w:t>
        </w:r>
      </w:hyperlink>
      <w:r>
        <w:rPr>
          <w:rFonts w:hint="cs"/>
          <w:rtl/>
        </w:rPr>
        <w:t xml:space="preserve"> </w:t>
      </w:r>
      <w:r>
        <w:rPr>
          <w:rFonts w:hint="cs"/>
          <w:b/>
          <w:bCs/>
          <w:rtl/>
        </w:rPr>
        <w:t xml:space="preserve">יוסי שירי נ' מ"י </w:t>
      </w:r>
      <w:r>
        <w:rPr>
          <w:rFonts w:hint="cs"/>
          <w:rtl/>
        </w:rPr>
        <w:t>שם נאמר:</w:t>
      </w:r>
    </w:p>
    <w:p w14:paraId="44831BE2" w14:textId="77777777" w:rsidR="000353D0" w:rsidRDefault="00B657D6">
      <w:pPr>
        <w:tabs>
          <w:tab w:val="left" w:pos="288"/>
          <w:tab w:val="left" w:pos="720"/>
        </w:tabs>
        <w:autoSpaceDE w:val="0"/>
        <w:autoSpaceDN w:val="0"/>
        <w:adjustRightInd w:val="0"/>
        <w:spacing w:after="120" w:line="360" w:lineRule="auto"/>
        <w:ind w:left="720" w:right="1440"/>
        <w:jc w:val="both"/>
      </w:pPr>
      <w:r>
        <w:rPr>
          <w:rFonts w:hint="cs"/>
          <w:rtl/>
        </w:rPr>
        <w:t>"אין לסבול את התופעה, שלמרבה הצער נפוצה היא, כי מעבידים ואנשים בעלי שררה יפעילו סמכותם על הנתונים למרותם כדי להפיק לעצמם טובת הנאה מינית</w:t>
      </w:r>
      <w:r>
        <w:t>.</w:t>
      </w:r>
    </w:p>
    <w:p w14:paraId="74D17601" w14:textId="77777777" w:rsidR="000353D0" w:rsidRDefault="00B657D6">
      <w:pPr>
        <w:tabs>
          <w:tab w:val="left" w:pos="288"/>
          <w:tab w:val="left" w:pos="720"/>
        </w:tabs>
        <w:autoSpaceDE w:val="0"/>
        <w:autoSpaceDN w:val="0"/>
        <w:adjustRightInd w:val="0"/>
        <w:spacing w:after="120" w:line="360" w:lineRule="auto"/>
        <w:ind w:left="720" w:right="1440"/>
        <w:jc w:val="both"/>
      </w:pPr>
      <w:r>
        <w:rPr>
          <w:rFonts w:hint="cs"/>
          <w:rtl/>
        </w:rPr>
        <w:t>הכפיפות של הנתונים למרותם של כאלה מעמידה אותם במצוקה אמיתית, ולא אחת ירכינו ראש ולמורת רוחם ישלימו עם התנהגות כזו, שלא זו בלבד שיש בה פסול וטעם לפגם, אלא שיש בה כדי להשפיל את האדם בו מבוצע המעשה ולפגוע פגיעה קשה בכבודו ובצנעת פרטיותו.</w:t>
      </w:r>
    </w:p>
    <w:p w14:paraId="22A8FA74" w14:textId="77777777" w:rsidR="000353D0" w:rsidRDefault="00B657D6">
      <w:pPr>
        <w:tabs>
          <w:tab w:val="left" w:pos="288"/>
          <w:tab w:val="left" w:pos="720"/>
        </w:tabs>
        <w:autoSpaceDE w:val="0"/>
        <w:autoSpaceDN w:val="0"/>
        <w:adjustRightInd w:val="0"/>
        <w:spacing w:after="120" w:line="360" w:lineRule="auto"/>
        <w:ind w:left="720" w:right="1440"/>
        <w:jc w:val="both"/>
        <w:rPr>
          <w:rtl/>
        </w:rPr>
      </w:pPr>
      <w:r>
        <w:rPr>
          <w:rFonts w:hint="cs"/>
          <w:rtl/>
        </w:rPr>
        <w:t>יש לטעת בלבם של אלה את התחושה ואת הבטחון שיש דין ויש דיין, ויש מי שאמון על הגנת זכויותיהם כאזרחים.</w:t>
      </w:r>
    </w:p>
    <w:p w14:paraId="479CF1CE" w14:textId="77777777" w:rsidR="000353D0" w:rsidRDefault="00B657D6">
      <w:pPr>
        <w:spacing w:after="120" w:line="360" w:lineRule="auto"/>
        <w:ind w:left="720" w:right="1440"/>
        <w:jc w:val="both"/>
        <w:rPr>
          <w:rtl/>
        </w:rPr>
      </w:pPr>
      <w:r>
        <w:rPr>
          <w:rFonts w:hint="cs"/>
          <w:rtl/>
        </w:rPr>
        <w:t>גישה "פטרונית" זו ראוי לה על כן שתיעלם עד מהרה מחברתנו. בית המשפט יכול, במסגרת סמכותו, לתרום למיגור התופעה, בקביעת מדיניות ענישה מרתיעה בחומרתה"</w:t>
      </w:r>
    </w:p>
    <w:p w14:paraId="6AF5587B" w14:textId="77777777" w:rsidR="000353D0" w:rsidRDefault="00B657D6">
      <w:pPr>
        <w:spacing w:after="120" w:line="360" w:lineRule="auto"/>
        <w:jc w:val="both"/>
        <w:rPr>
          <w:rtl/>
        </w:rPr>
      </w:pPr>
      <w:r>
        <w:rPr>
          <w:rFonts w:hint="cs"/>
          <w:rtl/>
        </w:rPr>
        <w:t xml:space="preserve">וכן ר'  דברי כב' השופטת רות לבהר שרון, </w:t>
      </w:r>
      <w:r w:rsidRPr="00EE1D90">
        <w:rPr>
          <w:color w:val="000000"/>
          <w:highlight w:val="yellow"/>
          <w:rtl/>
        </w:rPr>
        <w:t>ת"פ (שלום-נתניה) 1216/98</w:t>
      </w:r>
      <w:r w:rsidRPr="00EE1D90">
        <w:rPr>
          <w:rFonts w:hint="cs"/>
          <w:highlight w:val="yellow"/>
          <w:rtl/>
        </w:rPr>
        <w:t xml:space="preserve"> </w:t>
      </w:r>
      <w:r w:rsidRPr="00EE1D90">
        <w:rPr>
          <w:rFonts w:hint="cs"/>
          <w:b/>
          <w:bCs/>
          <w:highlight w:val="yellow"/>
          <w:rtl/>
        </w:rPr>
        <w:t>מדינת ישראל נ' פלוני</w:t>
      </w:r>
      <w:r>
        <w:rPr>
          <w:rFonts w:hint="cs"/>
          <w:b/>
          <w:bCs/>
          <w:rtl/>
        </w:rPr>
        <w:t xml:space="preserve"> </w:t>
      </w:r>
      <w:r>
        <w:rPr>
          <w:rFonts w:hint="cs"/>
          <w:rtl/>
        </w:rPr>
        <w:t>בה אמרה את הדברים הבאים:</w:t>
      </w:r>
    </w:p>
    <w:p w14:paraId="61504F0F" w14:textId="77777777" w:rsidR="000353D0" w:rsidRDefault="00B657D6">
      <w:pPr>
        <w:pStyle w:val="Ruller4"/>
        <w:widowControl w:val="0"/>
        <w:spacing w:after="120"/>
        <w:ind w:left="1440" w:right="1440"/>
        <w:rPr>
          <w:rFonts w:cs="David"/>
          <w:spacing w:val="0"/>
          <w:sz w:val="24"/>
          <w:szCs w:val="24"/>
          <w:rtl/>
        </w:rPr>
      </w:pPr>
      <w:r>
        <w:rPr>
          <w:rFonts w:cs="David" w:hint="cs"/>
          <w:b/>
          <w:bCs/>
          <w:spacing w:val="0"/>
          <w:sz w:val="24"/>
          <w:szCs w:val="24"/>
          <w:rtl/>
        </w:rPr>
        <w:t xml:space="preserve">"עבירות המין פוגעות בחירותה של האישה, ובכבודה כאדם חופשי. על בית המשפט לשים לנגד עיניו את חובתו להגן על נשים אלה ולהעדיף בכל מקרה את האינטרס הציבורי, ואת אלמנט ההרתעה על פני מניעיו האישיים של הנאשם... עבירות אלה הפכו לנפוצות ותכופות, אם בשל התרופפות המוסר ואם בשל התגברות האלימות. דבר זה גורם לחוסר ביטחון וחרדות אצל נשים, ונוטע בהן תחושות כבדות של חשד וחוסר אמון </w:t>
      </w:r>
      <w:r>
        <w:rPr>
          <w:rFonts w:cs="David" w:hint="cs"/>
          <w:b/>
          <w:bCs/>
          <w:spacing w:val="0"/>
          <w:sz w:val="24"/>
          <w:szCs w:val="24"/>
          <w:rtl/>
        </w:rPr>
        <w:lastRenderedPageBreak/>
        <w:t>בגברים. מחובתו של ביהמ"ש לעשות כל אשר לאל ידו על מנת לשרש תופעה זו"</w:t>
      </w:r>
      <w:r>
        <w:rPr>
          <w:rFonts w:cs="David" w:hint="cs"/>
          <w:spacing w:val="0"/>
          <w:sz w:val="24"/>
          <w:szCs w:val="24"/>
          <w:rtl/>
        </w:rPr>
        <w:t xml:space="preserve"> </w:t>
      </w:r>
    </w:p>
    <w:p w14:paraId="60F5CD56" w14:textId="77777777" w:rsidR="000353D0" w:rsidRDefault="00B657D6">
      <w:pPr>
        <w:spacing w:after="120" w:line="360" w:lineRule="auto"/>
        <w:rPr>
          <w:rtl/>
        </w:rPr>
      </w:pPr>
      <w:r>
        <w:rPr>
          <w:rFonts w:hint="cs"/>
          <w:rtl/>
        </w:rPr>
        <w:t>מאידך, מדובר בעבירה משנת 2007 ומאז לא נפתחו לנאשם תיקי מב"ד נוספים. כמו כן עברו הפלילי של הנאשם, אינו רלוונטי לסוג העבירה הנדונה, והרשעתו האחרונה היא משנת 2000.</w:t>
      </w:r>
    </w:p>
    <w:p w14:paraId="50D342BE" w14:textId="77777777" w:rsidR="000353D0" w:rsidRDefault="00B657D6">
      <w:pPr>
        <w:bidi w:val="0"/>
        <w:spacing w:after="120" w:line="360" w:lineRule="auto"/>
        <w:jc w:val="right"/>
        <w:rPr>
          <w:rtl/>
        </w:rPr>
      </w:pPr>
      <w:r>
        <w:rPr>
          <w:rFonts w:hint="cs"/>
          <w:rtl/>
        </w:rPr>
        <w:t>מבלי להקל ראש בחומרת העבירה, מדובר בעבירה מן הרף הנמוך, אשר בוצעה מעל הבגדים .</w:t>
      </w:r>
    </w:p>
    <w:p w14:paraId="53B45F72" w14:textId="77777777" w:rsidR="000353D0" w:rsidRDefault="00B657D6">
      <w:pPr>
        <w:pStyle w:val="BodyText"/>
      </w:pPr>
      <w:r>
        <w:rPr>
          <w:rFonts w:hint="cs"/>
          <w:rtl/>
        </w:rPr>
        <w:t>יחד עם זאת אין בשיקולים אלה כדי למנוע את מיצוי הדין עם הנאשם אשר ניצל את מעמדו ותפקידו וביצע מעשה בל ייעשה במתלוננת, אשר כל חפצה היה לפרנס את משפחתה.</w:t>
      </w:r>
    </w:p>
    <w:p w14:paraId="49BE6BE2" w14:textId="77777777" w:rsidR="000353D0" w:rsidRDefault="00B657D6">
      <w:pPr>
        <w:spacing w:after="120" w:line="360" w:lineRule="auto"/>
        <w:jc w:val="both"/>
        <w:rPr>
          <w:rtl/>
        </w:rPr>
      </w:pPr>
      <w:r>
        <w:rPr>
          <w:rFonts w:hint="cs"/>
          <w:rtl/>
        </w:rPr>
        <w:t>בעת מתן גזר הדין שיוויתי לנגד עיני את גזר דינו של בית המשפט המחוזי מרכז ב</w:t>
      </w:r>
      <w:hyperlink r:id="rId15" w:history="1">
        <w:r w:rsidR="004A42BF" w:rsidRPr="004A42BF">
          <w:rPr>
            <w:color w:val="0000FF"/>
            <w:u w:val="single"/>
            <w:rtl/>
          </w:rPr>
          <w:t xml:space="preserve">עפ"ג 18536-03-10 </w:t>
        </w:r>
      </w:hyperlink>
      <w:r>
        <w:rPr>
          <w:rFonts w:hint="cs"/>
          <w:rtl/>
        </w:rPr>
        <w:t xml:space="preserve"> </w:t>
      </w:r>
      <w:r>
        <w:rPr>
          <w:rFonts w:hint="cs"/>
          <w:b/>
          <w:bCs/>
          <w:rtl/>
        </w:rPr>
        <w:t xml:space="preserve">הגאי נ' מ"י, </w:t>
      </w:r>
      <w:r>
        <w:rPr>
          <w:rFonts w:hint="cs"/>
          <w:rtl/>
        </w:rPr>
        <w:t xml:space="preserve">שם נידון מקרה דומה ביותר לענייננו בו בעליו של חנות נעליים ביצע מעשה מגונה בעובדת בחנותו, בחורה צעירה, בכך שהצמיד את כל גופו לגופה וביקש לנשקה. כעבור שעה טפח על ישבנה וכל זאת ללא הסכמתה. </w:t>
      </w:r>
    </w:p>
    <w:p w14:paraId="293DA448" w14:textId="77777777" w:rsidR="000353D0" w:rsidRDefault="00B657D6">
      <w:pPr>
        <w:spacing w:after="120" w:line="360" w:lineRule="auto"/>
        <w:jc w:val="both"/>
        <w:rPr>
          <w:rtl/>
        </w:rPr>
      </w:pPr>
      <w:r>
        <w:rPr>
          <w:rFonts w:hint="cs"/>
          <w:rtl/>
        </w:rPr>
        <w:t>לנאשם לא היה כל עבר פלילי, הוא היה סב לילדים, חלף זמן מאז ביצוע העבירה ועד  מתן גזר הדין ונקבע כי רמת המסוכנות המינית שלו היא נמוכה.</w:t>
      </w:r>
    </w:p>
    <w:p w14:paraId="3CD41634" w14:textId="77777777" w:rsidR="000353D0" w:rsidRDefault="00B657D6">
      <w:pPr>
        <w:spacing w:after="120" w:line="360" w:lineRule="auto"/>
        <w:jc w:val="both"/>
        <w:rPr>
          <w:rtl/>
        </w:rPr>
      </w:pPr>
      <w:r>
        <w:rPr>
          <w:rFonts w:hint="cs"/>
          <w:rtl/>
        </w:rPr>
        <w:t xml:space="preserve"> על נאשם זה נגזרו 6 חודשי מאסר בעבודות שירות  ופיצוי למתלוננת בסך של 20,000 ₪.</w:t>
      </w:r>
    </w:p>
    <w:p w14:paraId="2F649DA3" w14:textId="77777777" w:rsidR="000353D0" w:rsidRDefault="00B657D6">
      <w:pPr>
        <w:pStyle w:val="BodyText"/>
        <w:rPr>
          <w:rtl/>
        </w:rPr>
      </w:pPr>
      <w:r>
        <w:rPr>
          <w:rFonts w:hint="cs"/>
          <w:rtl/>
        </w:rPr>
        <w:t xml:space="preserve">סבורני כי גזר דין זה משמש ככוכב צפון לעניין גזירת העונש במקרה שבפנינו, והכל בשינויים המחוייבים הנובעים מגילן השונה של המתלוננות (ומכאן עוצמת הפגיעה), והעובדה שבעניין שבפנינו המדובר במקרה אחד מתמשך, בעוד ששם היו שני מקרים.  </w:t>
      </w:r>
    </w:p>
    <w:p w14:paraId="42003A66" w14:textId="77777777" w:rsidR="000353D0" w:rsidRDefault="00B657D6">
      <w:pPr>
        <w:pStyle w:val="BodyText"/>
        <w:rPr>
          <w:b/>
          <w:bCs/>
          <w:rtl/>
        </w:rPr>
      </w:pPr>
      <w:r>
        <w:rPr>
          <w:b/>
          <w:bCs/>
          <w:rtl/>
        </w:rPr>
        <w:br w:type="page"/>
      </w:r>
      <w:r>
        <w:rPr>
          <w:rFonts w:hint="cs"/>
          <w:b/>
          <w:bCs/>
          <w:rtl/>
        </w:rPr>
        <w:t>לפיכך, לאחר ששקלתי את כלל שיקולי הענישה, לכאן ולכאן, אני גוזר על הנאשם את העונשים הבאים:</w:t>
      </w:r>
    </w:p>
    <w:p w14:paraId="1DCD4023" w14:textId="77777777" w:rsidR="000353D0" w:rsidRDefault="00B657D6">
      <w:pPr>
        <w:pStyle w:val="BodyText"/>
        <w:numPr>
          <w:ilvl w:val="0"/>
          <w:numId w:val="1"/>
        </w:numPr>
        <w:ind w:right="0"/>
        <w:rPr>
          <w:rtl/>
        </w:rPr>
      </w:pPr>
      <w:r>
        <w:rPr>
          <w:rFonts w:hint="cs"/>
          <w:rtl/>
        </w:rPr>
        <w:t>תקופת מאסר בת 4 חודשים אשר תרוצה בעבודות שירות, בהתאם לחוות דעת הממונה על עבודות שירות.</w:t>
      </w:r>
    </w:p>
    <w:p w14:paraId="66223376" w14:textId="77777777" w:rsidR="000353D0" w:rsidRDefault="00B657D6">
      <w:pPr>
        <w:pStyle w:val="BodyText"/>
        <w:numPr>
          <w:ilvl w:val="0"/>
          <w:numId w:val="1"/>
        </w:numPr>
        <w:ind w:right="0"/>
        <w:rPr>
          <w:rtl/>
        </w:rPr>
      </w:pPr>
      <w:r>
        <w:rPr>
          <w:rFonts w:hint="cs"/>
          <w:rtl/>
        </w:rPr>
        <w:t xml:space="preserve">מאסר על תנאי ל – 6 חודשים, והתנאי הוא שמשך 3 שנים מהיום הנאשם לא יעבור עבירה לפי </w:t>
      </w:r>
      <w:hyperlink r:id="rId16" w:history="1">
        <w:r w:rsidR="00EE1D90" w:rsidRPr="00EE1D90">
          <w:rPr>
            <w:color w:val="0000FF"/>
            <w:u w:val="single"/>
            <w:rtl/>
          </w:rPr>
          <w:t>סימן ה' לפרק י'</w:t>
        </w:r>
      </w:hyperlink>
      <w:r>
        <w:rPr>
          <w:rFonts w:hint="cs"/>
          <w:rtl/>
        </w:rPr>
        <w:t xml:space="preserve"> ל</w:t>
      </w:r>
      <w:hyperlink r:id="rId17" w:history="1">
        <w:r w:rsidR="00C60943" w:rsidRPr="00C60943">
          <w:rPr>
            <w:rStyle w:val="Hyperlink"/>
            <w:rtl/>
          </w:rPr>
          <w:t>חוק העונשין</w:t>
        </w:r>
      </w:hyperlink>
      <w:r>
        <w:rPr>
          <w:rFonts w:hint="cs"/>
          <w:rtl/>
        </w:rPr>
        <w:t>.</w:t>
      </w:r>
    </w:p>
    <w:p w14:paraId="491D3146" w14:textId="77777777" w:rsidR="000353D0" w:rsidRDefault="00B657D6">
      <w:pPr>
        <w:pStyle w:val="BodyText"/>
        <w:numPr>
          <w:ilvl w:val="0"/>
          <w:numId w:val="1"/>
        </w:numPr>
        <w:ind w:right="0"/>
        <w:rPr>
          <w:rtl/>
        </w:rPr>
      </w:pPr>
      <w:r>
        <w:rPr>
          <w:rFonts w:hint="cs"/>
          <w:rtl/>
        </w:rPr>
        <w:t>פיצוי למתלוננת בסך של 15,000 ₪.</w:t>
      </w:r>
    </w:p>
    <w:p w14:paraId="7FF82A7C" w14:textId="77777777" w:rsidR="000353D0" w:rsidRDefault="00B657D6">
      <w:pPr>
        <w:pStyle w:val="BodyText"/>
        <w:rPr>
          <w:rtl/>
        </w:rPr>
      </w:pPr>
      <w:r>
        <w:rPr>
          <w:rFonts w:hint="cs"/>
          <w:rtl/>
        </w:rPr>
        <w:t>הנאשם יתייצב לתחילת ריצוי עונשו ביום 29.12.2010 אצל הממונה על עבודה שירות.</w:t>
      </w:r>
    </w:p>
    <w:p w14:paraId="6E82D200" w14:textId="77777777" w:rsidR="00B657D6" w:rsidRPr="00B657D6" w:rsidRDefault="00B657D6">
      <w:pPr>
        <w:pStyle w:val="BodyText"/>
        <w:rPr>
          <w:rFonts w:hint="cs"/>
          <w:color w:val="FFFFFF"/>
          <w:sz w:val="2"/>
          <w:szCs w:val="2"/>
          <w:rtl/>
        </w:rPr>
      </w:pPr>
    </w:p>
    <w:p w14:paraId="2BBF4D0D" w14:textId="77777777" w:rsidR="00B657D6" w:rsidRPr="00B657D6" w:rsidRDefault="00B657D6">
      <w:pPr>
        <w:pStyle w:val="BodyText"/>
        <w:rPr>
          <w:rFonts w:hint="cs"/>
          <w:color w:val="FFFFFF"/>
          <w:sz w:val="2"/>
          <w:szCs w:val="2"/>
          <w:rtl/>
        </w:rPr>
      </w:pPr>
      <w:r w:rsidRPr="00B657D6">
        <w:rPr>
          <w:color w:val="FFFFFF"/>
          <w:sz w:val="2"/>
          <w:szCs w:val="2"/>
          <w:rtl/>
        </w:rPr>
        <w:t>5129371</w:t>
      </w:r>
    </w:p>
    <w:p w14:paraId="64FBB9B9" w14:textId="77777777" w:rsidR="000353D0" w:rsidRDefault="00B657D6">
      <w:pPr>
        <w:pStyle w:val="BodyText"/>
        <w:rPr>
          <w:rtl/>
        </w:rPr>
      </w:pPr>
      <w:r w:rsidRPr="00B657D6">
        <w:rPr>
          <w:color w:val="FFFFFF"/>
          <w:sz w:val="2"/>
          <w:szCs w:val="2"/>
          <w:rtl/>
        </w:rPr>
        <w:t>54678313</w:t>
      </w:r>
      <w:r>
        <w:rPr>
          <w:rFonts w:hint="cs"/>
          <w:rtl/>
        </w:rPr>
        <w:t>הנאשם מוזהר בזאת כי היה ולא יבצע את עבודות השירות כהלכתן, ניתן יהא להפקיען ותחתן יירצה הנאשם עונש מאסר ממשי.</w:t>
      </w:r>
    </w:p>
    <w:p w14:paraId="2810CB6B" w14:textId="77777777" w:rsidR="000353D0" w:rsidRDefault="00B657D6">
      <w:pPr>
        <w:pStyle w:val="BodyText"/>
        <w:rPr>
          <w:rtl/>
        </w:rPr>
      </w:pPr>
      <w:r>
        <w:rPr>
          <w:rFonts w:hint="cs"/>
          <w:rtl/>
        </w:rPr>
        <w:t>ערעור לבית המשפט המחוזי תוך 45 יום.</w:t>
      </w:r>
    </w:p>
    <w:p w14:paraId="2758A037" w14:textId="77777777" w:rsidR="00B657D6" w:rsidRPr="00B657D6" w:rsidRDefault="00B657D6" w:rsidP="00B657D6">
      <w:pPr>
        <w:keepNext/>
        <w:spacing w:line="360" w:lineRule="auto"/>
        <w:rPr>
          <w:rFonts w:ascii="David" w:hAnsi="David"/>
          <w:color w:val="000000"/>
          <w:sz w:val="22"/>
          <w:szCs w:val="22"/>
          <w:rtl/>
        </w:rPr>
      </w:pPr>
    </w:p>
    <w:p w14:paraId="0E071761" w14:textId="77777777" w:rsidR="00C43041" w:rsidRPr="00C43041" w:rsidRDefault="00C43041" w:rsidP="00B657D6">
      <w:pPr>
        <w:keepNext/>
        <w:spacing w:line="360" w:lineRule="auto"/>
        <w:rPr>
          <w:rFonts w:ascii="David" w:hAnsi="David"/>
          <w:color w:val="FFFFFF"/>
          <w:sz w:val="2"/>
          <w:szCs w:val="2"/>
          <w:rtl/>
        </w:rPr>
      </w:pPr>
    </w:p>
    <w:p w14:paraId="41189CF6" w14:textId="77777777" w:rsidR="00C43041" w:rsidRPr="00C43041" w:rsidRDefault="00C43041" w:rsidP="00B657D6">
      <w:pPr>
        <w:keepNext/>
        <w:spacing w:line="360" w:lineRule="auto"/>
        <w:rPr>
          <w:rFonts w:ascii="David" w:hAnsi="David"/>
          <w:color w:val="FFFFFF"/>
          <w:sz w:val="2"/>
          <w:szCs w:val="2"/>
          <w:rtl/>
        </w:rPr>
      </w:pPr>
      <w:r w:rsidRPr="00C43041">
        <w:rPr>
          <w:rFonts w:ascii="David" w:hAnsi="David"/>
          <w:color w:val="FFFFFF"/>
          <w:sz w:val="2"/>
          <w:szCs w:val="2"/>
          <w:rtl/>
        </w:rPr>
        <w:t>5129371</w:t>
      </w:r>
    </w:p>
    <w:p w14:paraId="684A5019" w14:textId="77777777" w:rsidR="00B657D6" w:rsidRPr="00B657D6" w:rsidRDefault="00C43041" w:rsidP="00B657D6">
      <w:pPr>
        <w:keepNext/>
        <w:spacing w:line="360" w:lineRule="auto"/>
        <w:rPr>
          <w:rFonts w:ascii="David" w:hAnsi="David"/>
          <w:color w:val="000000"/>
          <w:sz w:val="22"/>
          <w:szCs w:val="22"/>
          <w:rtl/>
        </w:rPr>
      </w:pPr>
      <w:r w:rsidRPr="00C43041">
        <w:rPr>
          <w:rFonts w:ascii="David" w:hAnsi="David"/>
          <w:color w:val="FFFFFF"/>
          <w:sz w:val="2"/>
          <w:szCs w:val="2"/>
          <w:rtl/>
        </w:rPr>
        <w:t>54678313</w:t>
      </w:r>
      <w:r w:rsidR="00B657D6" w:rsidRPr="00B657D6">
        <w:rPr>
          <w:rFonts w:ascii="David" w:hAnsi="David"/>
          <w:color w:val="000000"/>
          <w:sz w:val="22"/>
          <w:szCs w:val="22"/>
          <w:rtl/>
        </w:rPr>
        <w:t>ת"פ 4824 07 מ.י. תביעות ת"א שלוחת איילון נ' יעקובי 54678313</w:t>
      </w:r>
    </w:p>
    <w:p w14:paraId="05EFBAE8" w14:textId="77777777" w:rsidR="000353D0" w:rsidRDefault="00B657D6">
      <w:pPr>
        <w:spacing w:after="120" w:line="360" w:lineRule="auto"/>
        <w:rPr>
          <w:rtl/>
        </w:rPr>
      </w:pPr>
      <w:r>
        <w:rPr>
          <w:rFonts w:ascii="Arial" w:hAnsi="Arial"/>
          <w:rtl/>
        </w:rPr>
        <w:t xml:space="preserve">ניתן היום,  כ"ט כסלו תשע"א, 06 דצמבר 2010, בנוכחות הנאשם, ב"כ וב"כ המאשימה. </w:t>
      </w:r>
    </w:p>
    <w:p w14:paraId="58E2185E" w14:textId="77777777" w:rsidR="00C43041" w:rsidRPr="00C43041" w:rsidRDefault="00C43041" w:rsidP="00C43041">
      <w:pPr>
        <w:keepNext/>
        <w:spacing w:line="360" w:lineRule="auto"/>
        <w:rPr>
          <w:rFonts w:ascii="David" w:hAnsi="David"/>
          <w:color w:val="000000"/>
          <w:sz w:val="22"/>
          <w:szCs w:val="22"/>
          <w:rtl/>
        </w:rPr>
      </w:pPr>
    </w:p>
    <w:p w14:paraId="74CDAFED" w14:textId="77777777" w:rsidR="000353D0" w:rsidRDefault="00B657D6">
      <w:pPr>
        <w:spacing w:after="120" w:line="360" w:lineRule="auto"/>
        <w:jc w:val="right"/>
        <w:rPr>
          <w:rFonts w:ascii="Arial" w:hAnsi="Arial"/>
          <w:rtl/>
        </w:rPr>
      </w:pPr>
      <w:r>
        <w:rPr>
          <w:rFonts w:ascii="Arial" w:hAnsi="Arial"/>
          <w:rtl/>
        </w:rPr>
        <w:t xml:space="preserve">             </w:t>
      </w:r>
    </w:p>
    <w:p w14:paraId="11E318E0" w14:textId="77777777" w:rsidR="00B657D6" w:rsidRDefault="00B657D6" w:rsidP="00B657D6">
      <w:r w:rsidRPr="00B657D6">
        <w:rPr>
          <w:color w:val="000000"/>
          <w:rtl/>
        </w:rPr>
        <w:t>נוסח מסמך זה כפוף לשינויי ניסוח ועריכה</w:t>
      </w:r>
    </w:p>
    <w:p w14:paraId="503E13EE" w14:textId="77777777" w:rsidR="00B657D6" w:rsidRDefault="00B657D6" w:rsidP="00B657D6">
      <w:pPr>
        <w:rPr>
          <w:rtl/>
        </w:rPr>
      </w:pPr>
    </w:p>
    <w:p w14:paraId="788F6108" w14:textId="77777777" w:rsidR="00B657D6" w:rsidRDefault="00B657D6" w:rsidP="00B657D6">
      <w:pPr>
        <w:jc w:val="center"/>
        <w:rPr>
          <w:color w:val="0000FF"/>
          <w:u w:val="single"/>
        </w:rPr>
      </w:pPr>
      <w:r w:rsidRPr="004B1B82">
        <w:rPr>
          <w:color w:val="000000"/>
          <w:rtl/>
        </w:rPr>
        <w:t>בעניין עריכה ושינויים במסמכי פסיקה, חקיקה ועוד באתר נבו – הקש כאן</w:t>
      </w:r>
    </w:p>
    <w:p w14:paraId="2F8A6C5D" w14:textId="77777777" w:rsidR="000353D0" w:rsidRPr="00B657D6" w:rsidRDefault="000353D0" w:rsidP="00C43041">
      <w:pPr>
        <w:rPr>
          <w:color w:val="0000FF"/>
          <w:u w:val="single"/>
        </w:rPr>
      </w:pPr>
    </w:p>
    <w:sectPr w:rsidR="000353D0" w:rsidRPr="00B657D6" w:rsidSect="00C43041">
      <w:headerReference w:type="even" r:id="rId18"/>
      <w:headerReference w:type="default" r:id="rId19"/>
      <w:footerReference w:type="even" r:id="rId20"/>
      <w:footerReference w:type="default" r:id="rId2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A1520" w14:textId="77777777" w:rsidR="00112E97" w:rsidRPr="00CF3055" w:rsidRDefault="00112E97">
      <w:pPr>
        <w:rPr>
          <w:rFonts w:cs="Arial"/>
          <w:szCs w:val="20"/>
        </w:rPr>
      </w:pPr>
      <w:r>
        <w:separator/>
      </w:r>
    </w:p>
  </w:endnote>
  <w:endnote w:type="continuationSeparator" w:id="0">
    <w:p w14:paraId="3175D17C" w14:textId="77777777" w:rsidR="00112E97" w:rsidRPr="00CF3055" w:rsidRDefault="00112E97">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96629" w14:textId="77777777" w:rsidR="006C2C90" w:rsidRDefault="006C2C90" w:rsidP="00C43041">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1D11BF1" w14:textId="77777777" w:rsidR="006C2C90" w:rsidRDefault="006C2C90" w:rsidP="00C43041">
    <w:pPr>
      <w:pStyle w:val="Footer"/>
      <w:pBdr>
        <w:top w:val="single" w:sz="4" w:space="1" w:color="auto"/>
        <w:between w:val="single" w:sz="4" w:space="0" w:color="auto"/>
      </w:pBdr>
      <w:spacing w:after="60"/>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7E29DFB6" w14:textId="77777777" w:rsidR="006C2C90" w:rsidRPr="00C43041" w:rsidRDefault="006C2C90" w:rsidP="00C43041">
    <w:pPr>
      <w:pStyle w:val="Footer"/>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sidR="00C60943">
      <w:rPr>
        <w:rFonts w:cs="Times New Roman"/>
        <w:noProof/>
        <w:color w:val="000000"/>
        <w:sz w:val="14"/>
        <w:szCs w:val="14"/>
      </w:rPr>
      <w:t>Z:\00000000000000000000000000000000000-2016---------------\HAKIKA-KIDUD-2016\2010\shalom\word\outdoc-nohyper\02\OutDoc-Makor\me-07-4824-7.doc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FD461" w14:textId="77777777" w:rsidR="006C2C90" w:rsidRDefault="006C2C90" w:rsidP="00C43041">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97C82">
      <w:rPr>
        <w:rFonts w:ascii="FrankRuehl" w:hAnsi="FrankRuehl" w:cs="FrankRuehl"/>
        <w:noProof/>
        <w:rtl/>
      </w:rPr>
      <w:t>1</w:t>
    </w:r>
    <w:r>
      <w:rPr>
        <w:rFonts w:ascii="FrankRuehl" w:hAnsi="FrankRuehl" w:cs="FrankRuehl"/>
        <w:rtl/>
      </w:rPr>
      <w:fldChar w:fldCharType="end"/>
    </w:r>
  </w:p>
  <w:p w14:paraId="6D7369D9" w14:textId="77777777" w:rsidR="006C2C90" w:rsidRDefault="006C2C90" w:rsidP="00C43041">
    <w:pPr>
      <w:pStyle w:val="Footer"/>
      <w:pBdr>
        <w:top w:val="single" w:sz="4" w:space="1" w:color="auto"/>
        <w:between w:val="single" w:sz="4" w:space="0" w:color="auto"/>
      </w:pBdr>
      <w:spacing w:after="60"/>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7FB09726" w14:textId="77777777" w:rsidR="006C2C90" w:rsidRPr="00C43041" w:rsidRDefault="006C2C90" w:rsidP="00C43041">
    <w:pPr>
      <w:pStyle w:val="Footer"/>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sidR="00C60943">
      <w:rPr>
        <w:rFonts w:cs="Times New Roman"/>
        <w:noProof/>
        <w:color w:val="000000"/>
        <w:sz w:val="14"/>
        <w:szCs w:val="14"/>
      </w:rPr>
      <w:t>Z:\00000000000000000000000000000000000-2016---------------\HAKIKA-KIDUD-2016\2010\shalom\word\outdoc-nohyper\02\OutDoc-Makor\me-07-4824-7.doc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BFA62" w14:textId="77777777" w:rsidR="00112E97" w:rsidRPr="00CF3055" w:rsidRDefault="00112E97">
      <w:pPr>
        <w:rPr>
          <w:rFonts w:cs="Arial"/>
          <w:szCs w:val="20"/>
        </w:rPr>
      </w:pPr>
      <w:r>
        <w:separator/>
      </w:r>
    </w:p>
  </w:footnote>
  <w:footnote w:type="continuationSeparator" w:id="0">
    <w:p w14:paraId="6BEA0BE6" w14:textId="77777777" w:rsidR="00112E97" w:rsidRPr="00CF3055" w:rsidRDefault="00112E97">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571D" w14:textId="77777777" w:rsidR="006C2C90" w:rsidRPr="00C43041" w:rsidRDefault="006C2C90" w:rsidP="00C43041">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4824-07</w:t>
    </w:r>
    <w:r>
      <w:rPr>
        <w:rFonts w:ascii="David" w:hAnsi="David"/>
        <w:color w:val="000000"/>
        <w:sz w:val="22"/>
        <w:szCs w:val="22"/>
        <w:rtl/>
      </w:rPr>
      <w:tab/>
      <w:t xml:space="preserve"> מ.י. תביעות ת"א שלוחת איילון נ' יעקובי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BD2DA" w14:textId="77777777" w:rsidR="006C2C90" w:rsidRPr="00C43041" w:rsidRDefault="006C2C90" w:rsidP="00C43041">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4824-07</w:t>
    </w:r>
    <w:r>
      <w:rPr>
        <w:rFonts w:ascii="David" w:hAnsi="David"/>
        <w:color w:val="000000"/>
        <w:sz w:val="22"/>
        <w:szCs w:val="22"/>
        <w:rtl/>
      </w:rPr>
      <w:tab/>
      <w:t xml:space="preserve"> מ.י. תביעות ת"א שלוחת איילון נ' יעקובי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225FC"/>
    <w:multiLevelType w:val="hybridMultilevel"/>
    <w:tmpl w:val="AA760C94"/>
    <w:lvl w:ilvl="0" w:tplc="EFBA6D3A">
      <w:start w:val="1"/>
      <w:numFmt w:val="decimal"/>
      <w:lvlText w:val="%1."/>
      <w:lvlJc w:val="left"/>
      <w:pPr>
        <w:tabs>
          <w:tab w:val="num" w:pos="1080"/>
        </w:tabs>
        <w:ind w:left="1080" w:right="1080" w:hanging="720"/>
      </w:pPr>
    </w:lvl>
    <w:lvl w:ilvl="1" w:tplc="040D0019">
      <w:start w:val="1"/>
      <w:numFmt w:val="decimal"/>
      <w:lvlText w:val="%2."/>
      <w:lvlJc w:val="left"/>
      <w:pPr>
        <w:tabs>
          <w:tab w:val="num" w:pos="1440"/>
        </w:tabs>
        <w:ind w:left="1440" w:hanging="360"/>
      </w:pPr>
    </w:lvl>
    <w:lvl w:ilvl="2" w:tplc="040D001B">
      <w:start w:val="1"/>
      <w:numFmt w:val="decimal"/>
      <w:lvlText w:val="%3."/>
      <w:lvlJc w:val="left"/>
      <w:pPr>
        <w:tabs>
          <w:tab w:val="num" w:pos="2160"/>
        </w:tabs>
        <w:ind w:left="2160" w:hanging="360"/>
      </w:pPr>
    </w:lvl>
    <w:lvl w:ilvl="3" w:tplc="040D000F">
      <w:start w:val="1"/>
      <w:numFmt w:val="decimal"/>
      <w:lvlText w:val="%4."/>
      <w:lvlJc w:val="left"/>
      <w:pPr>
        <w:tabs>
          <w:tab w:val="num" w:pos="2880"/>
        </w:tabs>
        <w:ind w:left="2880" w:hanging="360"/>
      </w:pPr>
    </w:lvl>
    <w:lvl w:ilvl="4" w:tplc="040D0019">
      <w:start w:val="1"/>
      <w:numFmt w:val="decimal"/>
      <w:lvlText w:val="%5."/>
      <w:lvlJc w:val="left"/>
      <w:pPr>
        <w:tabs>
          <w:tab w:val="num" w:pos="3600"/>
        </w:tabs>
        <w:ind w:left="3600" w:hanging="360"/>
      </w:pPr>
    </w:lvl>
    <w:lvl w:ilvl="5" w:tplc="040D001B">
      <w:start w:val="1"/>
      <w:numFmt w:val="decimal"/>
      <w:lvlText w:val="%6."/>
      <w:lvlJc w:val="left"/>
      <w:pPr>
        <w:tabs>
          <w:tab w:val="num" w:pos="4320"/>
        </w:tabs>
        <w:ind w:left="4320" w:hanging="360"/>
      </w:pPr>
    </w:lvl>
    <w:lvl w:ilvl="6" w:tplc="040D000F">
      <w:start w:val="1"/>
      <w:numFmt w:val="decimal"/>
      <w:lvlText w:val="%7."/>
      <w:lvlJc w:val="left"/>
      <w:pPr>
        <w:tabs>
          <w:tab w:val="num" w:pos="5040"/>
        </w:tabs>
        <w:ind w:left="5040" w:hanging="360"/>
      </w:pPr>
    </w:lvl>
    <w:lvl w:ilvl="7" w:tplc="040D0019">
      <w:start w:val="1"/>
      <w:numFmt w:val="decimal"/>
      <w:lvlText w:val="%8."/>
      <w:lvlJc w:val="left"/>
      <w:pPr>
        <w:tabs>
          <w:tab w:val="num" w:pos="5760"/>
        </w:tabs>
        <w:ind w:left="5760" w:hanging="360"/>
      </w:pPr>
    </w:lvl>
    <w:lvl w:ilvl="8" w:tplc="040D001B">
      <w:start w:val="1"/>
      <w:numFmt w:val="decimal"/>
      <w:lvlText w:val="%9."/>
      <w:lvlJc w:val="left"/>
      <w:pPr>
        <w:tabs>
          <w:tab w:val="num" w:pos="6480"/>
        </w:tabs>
        <w:ind w:left="6480" w:hanging="360"/>
      </w:pPr>
    </w:lvl>
  </w:abstractNum>
  <w:num w:numId="1" w16cid:durableId="12702331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353D0"/>
    <w:rsid w:val="000353D0"/>
    <w:rsid w:val="00112E97"/>
    <w:rsid w:val="00143984"/>
    <w:rsid w:val="00195867"/>
    <w:rsid w:val="00197C82"/>
    <w:rsid w:val="00207F91"/>
    <w:rsid w:val="00211FA7"/>
    <w:rsid w:val="004A42BF"/>
    <w:rsid w:val="004B1B82"/>
    <w:rsid w:val="006C2C90"/>
    <w:rsid w:val="007243D1"/>
    <w:rsid w:val="00B174EF"/>
    <w:rsid w:val="00B657D6"/>
    <w:rsid w:val="00C43041"/>
    <w:rsid w:val="00C60943"/>
    <w:rsid w:val="00EE1D90"/>
    <w:rsid w:val="00F460FA"/>
    <w:rsid w:val="00FD0D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CD77826"/>
  <w15:chartTrackingRefBased/>
  <w15:docId w15:val="{733B3DD1-F9C3-4DB1-B1C8-8D83E3FD5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53D0"/>
    <w:pPr>
      <w:bidi/>
    </w:pPr>
    <w:rPr>
      <w:rFonts w:cs="David"/>
      <w:sz w:val="24"/>
      <w:szCs w:val="24"/>
    </w:rPr>
  </w:style>
  <w:style w:type="paragraph" w:styleId="Heading1">
    <w:name w:val="heading 1"/>
    <w:basedOn w:val="Normal"/>
    <w:next w:val="Normal"/>
    <w:qFormat/>
    <w:rsid w:val="000353D0"/>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353D0"/>
    <w:pPr>
      <w:tabs>
        <w:tab w:val="center" w:pos="4153"/>
        <w:tab w:val="right" w:pos="8306"/>
      </w:tabs>
    </w:pPr>
  </w:style>
  <w:style w:type="paragraph" w:styleId="Footer">
    <w:name w:val="footer"/>
    <w:basedOn w:val="Normal"/>
    <w:rsid w:val="000353D0"/>
    <w:pPr>
      <w:tabs>
        <w:tab w:val="center" w:pos="4153"/>
        <w:tab w:val="right" w:pos="8306"/>
      </w:tabs>
    </w:pPr>
  </w:style>
  <w:style w:type="table" w:styleId="TableGrid">
    <w:name w:val="Table Grid"/>
    <w:basedOn w:val="TableNormal"/>
    <w:rsid w:val="000353D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0353D0"/>
    <w:pPr>
      <w:spacing w:after="120" w:line="360" w:lineRule="auto"/>
      <w:jc w:val="both"/>
    </w:pPr>
  </w:style>
  <w:style w:type="paragraph" w:customStyle="1" w:styleId="Ruller4">
    <w:name w:val="Ruller4"/>
    <w:basedOn w:val="Normal"/>
    <w:rsid w:val="000353D0"/>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character" w:styleId="PageNumber">
    <w:name w:val="page number"/>
    <w:basedOn w:val="DefaultParagraphFont"/>
    <w:rsid w:val="00B657D6"/>
  </w:style>
  <w:style w:type="character" w:styleId="Hyperlink">
    <w:name w:val="Hyperlink"/>
    <w:rsid w:val="00B657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 TargetMode="External"/><Relationship Id="rId13" Type="http://schemas.openxmlformats.org/officeDocument/2006/relationships/hyperlink" Target="http://www.nevo.co.il/law/70301/348.c"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jCe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5" TargetMode="External"/><Relationship Id="rId5" Type="http://schemas.openxmlformats.org/officeDocument/2006/relationships/footnotes" Target="footnotes.xml"/><Relationship Id="rId15" Type="http://schemas.openxmlformats.org/officeDocument/2006/relationships/hyperlink" Target="http://www.nevo.co.il/case/4385102" TargetMode="External"/><Relationship Id="rId23" Type="http://schemas.openxmlformats.org/officeDocument/2006/relationships/theme" Target="theme/theme1.xml"/><Relationship Id="rId10" Type="http://schemas.openxmlformats.org/officeDocument/2006/relationships/hyperlink" Target="http://www.nevo.co.il/law/70301/jCeS"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348.c" TargetMode="External"/><Relationship Id="rId14" Type="http://schemas.openxmlformats.org/officeDocument/2006/relationships/hyperlink" Target="http://www.nevo.co.il/case/1791696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1116</Words>
  <Characters>6366</Characters>
  <Application>Microsoft Office Word</Application>
  <DocSecurity>0</DocSecurity>
  <Lines>53</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7468</CharactersWithSpaces>
  <SharedDoc>false</SharedDoc>
  <HLinks>
    <vt:vector size="66" baseType="variant">
      <vt:variant>
        <vt:i4>7995492</vt:i4>
      </vt:variant>
      <vt:variant>
        <vt:i4>30</vt:i4>
      </vt:variant>
      <vt:variant>
        <vt:i4>0</vt:i4>
      </vt:variant>
      <vt:variant>
        <vt:i4>5</vt:i4>
      </vt:variant>
      <vt:variant>
        <vt:lpwstr>http://www.nevo.co.il/law/70301</vt:lpwstr>
      </vt:variant>
      <vt:variant>
        <vt:lpwstr/>
      </vt:variant>
      <vt:variant>
        <vt:i4>4522074</vt:i4>
      </vt:variant>
      <vt:variant>
        <vt:i4>27</vt:i4>
      </vt:variant>
      <vt:variant>
        <vt:i4>0</vt:i4>
      </vt:variant>
      <vt:variant>
        <vt:i4>5</vt:i4>
      </vt:variant>
      <vt:variant>
        <vt:lpwstr>http://www.nevo.co.il/law/70301/jCeS</vt:lpwstr>
      </vt:variant>
      <vt:variant>
        <vt:lpwstr/>
      </vt:variant>
      <vt:variant>
        <vt:i4>4128882</vt:i4>
      </vt:variant>
      <vt:variant>
        <vt:i4>24</vt:i4>
      </vt:variant>
      <vt:variant>
        <vt:i4>0</vt:i4>
      </vt:variant>
      <vt:variant>
        <vt:i4>5</vt:i4>
      </vt:variant>
      <vt:variant>
        <vt:lpwstr>http://www.nevo.co.il/case/4385102</vt:lpwstr>
      </vt:variant>
      <vt:variant>
        <vt:lpwstr/>
      </vt:variant>
      <vt:variant>
        <vt:i4>3670139</vt:i4>
      </vt:variant>
      <vt:variant>
        <vt:i4>21</vt:i4>
      </vt:variant>
      <vt:variant>
        <vt:i4>0</vt:i4>
      </vt:variant>
      <vt:variant>
        <vt:i4>5</vt:i4>
      </vt:variant>
      <vt:variant>
        <vt:lpwstr>http://www.nevo.co.il/case/17916966</vt:lpwstr>
      </vt:variant>
      <vt:variant>
        <vt:lpwstr/>
      </vt:variant>
      <vt:variant>
        <vt:i4>5177438</vt:i4>
      </vt:variant>
      <vt:variant>
        <vt:i4>18</vt:i4>
      </vt:variant>
      <vt:variant>
        <vt:i4>0</vt:i4>
      </vt:variant>
      <vt:variant>
        <vt:i4>5</vt:i4>
      </vt:variant>
      <vt:variant>
        <vt:lpwstr>http://www.nevo.co.il/law/70301/348.c</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6357094</vt:i4>
      </vt:variant>
      <vt:variant>
        <vt:i4>12</vt:i4>
      </vt:variant>
      <vt:variant>
        <vt:i4>0</vt:i4>
      </vt:variant>
      <vt:variant>
        <vt:i4>5</vt:i4>
      </vt:variant>
      <vt:variant>
        <vt:lpwstr>http://www.nevo.co.il/law/70301/345</vt:lpwstr>
      </vt:variant>
      <vt:variant>
        <vt:lpwstr/>
      </vt:variant>
      <vt:variant>
        <vt:i4>4522074</vt:i4>
      </vt:variant>
      <vt:variant>
        <vt:i4>9</vt:i4>
      </vt:variant>
      <vt:variant>
        <vt:i4>0</vt:i4>
      </vt:variant>
      <vt:variant>
        <vt:i4>5</vt:i4>
      </vt:variant>
      <vt:variant>
        <vt:lpwstr>http://www.nevo.co.il/law/70301/jCeS</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6357094</vt:i4>
      </vt:variant>
      <vt:variant>
        <vt:i4>3</vt:i4>
      </vt:variant>
      <vt:variant>
        <vt:i4>0</vt:i4>
      </vt:variant>
      <vt:variant>
        <vt:i4>5</vt:i4>
      </vt:variant>
      <vt:variant>
        <vt:lpwstr>http://www.nevo.co.il/law/70301/345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2022-05-24T09:42:00Z</dcterms:created>
  <dcterms:modified xsi:type="dcterms:W3CDTF">2022-05-24T09:42:00Z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AKDIN">
    <vt:lpwstr>הכרעת-דין</vt:lpwstr>
  </property>
  <property fmtid="{D5CDD505-2E9C-101B-9397-08002B2CF9AE}" pid="3" name="NEWPROC">
    <vt:lpwstr>תפ</vt:lpwstr>
  </property>
  <property fmtid="{D5CDD505-2E9C-101B-9397-08002B2CF9AE}" pid="4" name="NEWPARTA">
    <vt:lpwstr>4824</vt:lpwstr>
  </property>
  <property fmtid="{D5CDD505-2E9C-101B-9397-08002B2CF9AE}" pid="5" name="NEWPARTB">
    <vt:lpwstr/>
  </property>
  <property fmtid="{D5CDD505-2E9C-101B-9397-08002B2CF9AE}" pid="6" name="NEWPARTC">
    <vt:lpwstr>07</vt:lpwstr>
  </property>
  <property fmtid="{D5CDD505-2E9C-101B-9397-08002B2CF9AE}" pid="7" name="PROCNUM">
    <vt:lpwstr>4824</vt:lpwstr>
  </property>
  <property fmtid="{D5CDD505-2E9C-101B-9397-08002B2CF9AE}" pid="8" name="PROCYEAR">
    <vt:lpwstr>07</vt:lpwstr>
  </property>
  <property fmtid="{D5CDD505-2E9C-101B-9397-08002B2CF9AE}" pid="9" name="JUDGE">
    <vt:lpwstr>רפי ארניה</vt:lpwstr>
  </property>
  <property fmtid="{D5CDD505-2E9C-101B-9397-08002B2CF9AE}" pid="10" name="DATE">
    <vt:lpwstr>20101206</vt:lpwstr>
  </property>
  <property fmtid="{D5CDD505-2E9C-101B-9397-08002B2CF9AE}" pid="11" name="WORDNUMPAGES">
    <vt:lpwstr>5</vt:lpwstr>
  </property>
  <property fmtid="{D5CDD505-2E9C-101B-9397-08002B2CF9AE}" pid="12" name="CITY">
    <vt:lpwstr>ראשל"צ</vt:lpwstr>
  </property>
  <property fmtid="{D5CDD505-2E9C-101B-9397-08002B2CF9AE}" pid="13" name="APPELLANT">
    <vt:lpwstr>מ.י. תביעות ת#א שלוחת איילון</vt:lpwstr>
  </property>
  <property fmtid="{D5CDD505-2E9C-101B-9397-08002B2CF9AE}" pid="14" name="APPELLEE">
    <vt:lpwstr>יעקובי;בפני כב' השופט רפי ארניה</vt:lpwstr>
  </property>
  <property fmtid="{D5CDD505-2E9C-101B-9397-08002B2CF9AE}" pid="15" name="ISABSTRACT">
    <vt:lpwstr>Y</vt:lpwstr>
  </property>
  <property fmtid="{D5CDD505-2E9C-101B-9397-08002B2CF9AE}" pid="16" name="RemarkFileName">
    <vt:lpwstr>shalom 99dd7199cde24441bdea450439508005 07 4824 htm</vt:lpwstr>
  </property>
  <property fmtid="{D5CDD505-2E9C-101B-9397-08002B2CF9AE}" pid="17" name="LAWYER">
    <vt:lpwstr/>
  </property>
  <property fmtid="{D5CDD505-2E9C-101B-9397-08002B2CF9AE}" pid="18" name="PROCESS">
    <vt:lpwstr/>
  </property>
  <property fmtid="{D5CDD505-2E9C-101B-9397-08002B2CF9AE}" pid="19" name="TYPE">
    <vt:lpwstr>3</vt:lpwstr>
  </property>
  <property fmtid="{D5CDD505-2E9C-101B-9397-08002B2CF9AE}" pid="20" name="VOLUME">
    <vt:lpwstr/>
  </property>
  <property fmtid="{D5CDD505-2E9C-101B-9397-08002B2CF9AE}" pid="21" name="PART">
    <vt:lpwstr/>
  </property>
  <property fmtid="{D5CDD505-2E9C-101B-9397-08002B2CF9AE}" pid="22" name="PAGE">
    <vt:lpwstr/>
  </property>
  <property fmtid="{D5CDD505-2E9C-101B-9397-08002B2CF9AE}" pid="23" name="PADIMAIL">
    <vt:lpwstr/>
  </property>
  <property fmtid="{D5CDD505-2E9C-101B-9397-08002B2CF9AE}" pid="24" name="DELEMATA">
    <vt:lpwstr/>
  </property>
  <property fmtid="{D5CDD505-2E9C-101B-9397-08002B2CF9AE}" pid="25" name="LINKK1">
    <vt:lpwstr/>
  </property>
  <property fmtid="{D5CDD505-2E9C-101B-9397-08002B2CF9AE}" pid="26" name="LINKK2">
    <vt:lpwstr/>
  </property>
  <property fmtid="{D5CDD505-2E9C-101B-9397-08002B2CF9AE}" pid="27" name="LINKK3">
    <vt:lpwstr/>
  </property>
  <property fmtid="{D5CDD505-2E9C-101B-9397-08002B2CF9AE}" pid="28" name="LINKK4">
    <vt:lpwstr/>
  </property>
  <property fmtid="{D5CDD505-2E9C-101B-9397-08002B2CF9AE}" pid="29" name="LINKK5">
    <vt:lpwstr/>
  </property>
  <property fmtid="{D5CDD505-2E9C-101B-9397-08002B2CF9AE}" pid="30" name="LINKK6">
    <vt:lpwstr/>
  </property>
  <property fmtid="{D5CDD505-2E9C-101B-9397-08002B2CF9AE}" pid="31" name="LINKK7">
    <vt:lpwstr/>
  </property>
  <property fmtid="{D5CDD505-2E9C-101B-9397-08002B2CF9AE}" pid="32" name="LINKK8">
    <vt:lpwstr/>
  </property>
  <property fmtid="{D5CDD505-2E9C-101B-9397-08002B2CF9AE}" pid="33" name="LINKK9">
    <vt:lpwstr/>
  </property>
  <property fmtid="{D5CDD505-2E9C-101B-9397-08002B2CF9AE}" pid="34" name="LINKK10">
    <vt:lpwstr/>
  </property>
  <property fmtid="{D5CDD505-2E9C-101B-9397-08002B2CF9AE}" pid="35" name="LINKK11">
    <vt:lpwstr/>
  </property>
  <property fmtid="{D5CDD505-2E9C-101B-9397-08002B2CF9AE}" pid="36" name="LINKK12">
    <vt:lpwstr/>
  </property>
  <property fmtid="{D5CDD505-2E9C-101B-9397-08002B2CF9AE}" pid="37" name="TYPE_N_DATE">
    <vt:lpwstr>38020101206</vt:lpwstr>
  </property>
  <property fmtid="{D5CDD505-2E9C-101B-9397-08002B2CF9AE}" pid="38" name="TYPE_ABS_DATE">
    <vt:lpwstr>380020101206</vt:lpwstr>
  </property>
  <property fmtid="{D5CDD505-2E9C-101B-9397-08002B2CF9AE}" pid="39" name="CASESLISTTMP1">
    <vt:lpwstr>17916966;4385102</vt:lpwstr>
  </property>
  <property fmtid="{D5CDD505-2E9C-101B-9397-08002B2CF9AE}" pid="40" name="LAWLISTTMP1">
    <vt:lpwstr>70301/345;348.c;jCeS</vt:lpwstr>
  </property>
</Properties>
</file>