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6672"/>
        <w:gridCol w:w="1768"/>
        <w:gridCol w:w="113"/>
      </w:tblGrid>
      <w:tr w:rsidR="009D7712" w:rsidRPr="009D7712" w14:paraId="023C037D" w14:textId="77777777">
        <w:trPr>
          <w:gridAfter w:val="1"/>
          <w:wAfter w:w="113" w:type="dxa"/>
          <w:trHeight w:val="418"/>
          <w:jc w:val="center"/>
        </w:trPr>
        <w:tc>
          <w:tcPr>
            <w:tcW w:w="8440" w:type="dxa"/>
            <w:gridSpan w:val="2"/>
          </w:tcPr>
          <w:p w14:paraId="427449B2" w14:textId="77777777" w:rsidR="009D7712" w:rsidRPr="009D7712" w:rsidRDefault="009D7712" w:rsidP="009D7712">
            <w:pPr>
              <w:pStyle w:val="Header"/>
              <w:jc w:val="center"/>
            </w:pPr>
            <w:r w:rsidRPr="009D7712">
              <w:rPr>
                <w:rFonts w:ascii="Tahoma" w:hAnsi="Tahoma" w:cs="Tahoma"/>
                <w:b/>
                <w:bCs/>
                <w:color w:val="000080"/>
                <w:rtl/>
              </w:rPr>
              <w:t>בית המשפט המחוזי בתל אביב – יפו בשבתו כבית משפט לנוער</w:t>
            </w:r>
          </w:p>
        </w:tc>
      </w:tr>
      <w:tr w:rsidR="009D7712" w:rsidRPr="009D7712" w14:paraId="70C3CE6D" w14:textId="77777777">
        <w:trPr>
          <w:trHeight w:val="337"/>
          <w:jc w:val="center"/>
        </w:trPr>
        <w:tc>
          <w:tcPr>
            <w:tcW w:w="6672" w:type="dxa"/>
          </w:tcPr>
          <w:p w14:paraId="535E935F" w14:textId="77777777" w:rsidR="009D7712" w:rsidRPr="009D7712" w:rsidRDefault="009D7712" w:rsidP="009D7712">
            <w:pPr>
              <w:rPr>
                <w:rFonts w:ascii="David" w:eastAsia="David" w:hAnsi="David" w:cs="David"/>
                <w:b/>
                <w:bCs/>
                <w:sz w:val="26"/>
                <w:szCs w:val="26"/>
              </w:rPr>
            </w:pPr>
            <w:r w:rsidRPr="009D7712">
              <w:rPr>
                <w:rFonts w:hint="cs"/>
                <w:b/>
                <w:bCs/>
                <w:sz w:val="26"/>
                <w:szCs w:val="26"/>
                <w:rtl/>
              </w:rPr>
              <w:t xml:space="preserve">מדינת ישראל נ' פלוני ואח' </w:t>
            </w:r>
          </w:p>
        </w:tc>
        <w:tc>
          <w:tcPr>
            <w:tcW w:w="1881" w:type="dxa"/>
            <w:gridSpan w:val="2"/>
          </w:tcPr>
          <w:p w14:paraId="6E488FDC" w14:textId="77777777" w:rsidR="009D7712" w:rsidRPr="009D7712" w:rsidRDefault="009D7712" w:rsidP="009D7712">
            <w:pPr>
              <w:jc w:val="right"/>
              <w:rPr>
                <w:rFonts w:ascii="David" w:eastAsia="David" w:hAnsi="David" w:cs="David"/>
              </w:rPr>
            </w:pPr>
            <w:r w:rsidRPr="009D7712">
              <w:rPr>
                <w:rFonts w:hint="cs"/>
                <w:b/>
                <w:bCs/>
                <w:sz w:val="26"/>
                <w:szCs w:val="26"/>
                <w:rtl/>
              </w:rPr>
              <w:t>תפ"ח 208-08</w:t>
            </w:r>
          </w:p>
        </w:tc>
      </w:tr>
      <w:tr w:rsidR="009D7712" w:rsidRPr="009D7712" w14:paraId="75E8B56F" w14:textId="77777777">
        <w:trPr>
          <w:trHeight w:val="337"/>
          <w:jc w:val="center"/>
        </w:trPr>
        <w:tc>
          <w:tcPr>
            <w:tcW w:w="6672" w:type="dxa"/>
          </w:tcPr>
          <w:p w14:paraId="22D30DD5" w14:textId="77777777" w:rsidR="009D7712" w:rsidRPr="009D7712" w:rsidRDefault="009D7712" w:rsidP="009D7712">
            <w:pPr>
              <w:spacing w:line="360" w:lineRule="auto"/>
              <w:rPr>
                <w:rFonts w:ascii="Arial" w:eastAsia="David" w:hAnsi="Arial" w:cs="David"/>
              </w:rPr>
            </w:pPr>
            <w:r w:rsidRPr="009D7712">
              <w:rPr>
                <w:rFonts w:hint="cs"/>
                <w:b/>
                <w:bCs/>
                <w:sz w:val="26"/>
                <w:szCs w:val="26"/>
                <w:rtl/>
              </w:rPr>
              <w:t>בפני הרכב כב' השופטים: א' שהם- אב"ד,י' שבח, ג' נויטל</w:t>
            </w:r>
          </w:p>
        </w:tc>
        <w:tc>
          <w:tcPr>
            <w:tcW w:w="1881" w:type="dxa"/>
            <w:gridSpan w:val="2"/>
          </w:tcPr>
          <w:p w14:paraId="15C65CF4" w14:textId="77777777" w:rsidR="009D7712" w:rsidRPr="009D7712" w:rsidRDefault="009D7712" w:rsidP="009D7712">
            <w:pPr>
              <w:jc w:val="right"/>
              <w:rPr>
                <w:rFonts w:ascii="Arial" w:eastAsia="David" w:hAnsi="Arial" w:cs="David"/>
              </w:rPr>
            </w:pPr>
            <w:r w:rsidRPr="009D7712">
              <w:rPr>
                <w:rFonts w:hint="cs"/>
                <w:b/>
                <w:bCs/>
                <w:sz w:val="26"/>
                <w:szCs w:val="26"/>
                <w:rtl/>
              </w:rPr>
              <w:t>03 יוני 2010</w:t>
            </w:r>
          </w:p>
        </w:tc>
      </w:tr>
    </w:tbl>
    <w:p w14:paraId="7B855763" w14:textId="77777777" w:rsidR="009D7712" w:rsidRPr="009D7712" w:rsidRDefault="009D7712" w:rsidP="009D7712">
      <w:pPr>
        <w:pStyle w:val="Header"/>
      </w:pPr>
      <w:bookmarkStart w:id="0" w:name="LastJudge"/>
      <w:bookmarkEnd w:id="0"/>
    </w:p>
    <w:tbl>
      <w:tblPr>
        <w:bidiVisual/>
        <w:tblW w:w="8880" w:type="dxa"/>
        <w:jc w:val="center"/>
        <w:tblCellMar>
          <w:top w:w="15" w:type="dxa"/>
          <w:left w:w="15" w:type="dxa"/>
          <w:bottom w:w="15" w:type="dxa"/>
          <w:right w:w="15" w:type="dxa"/>
        </w:tblCellMar>
        <w:tblLook w:val="0000" w:firstRow="0" w:lastRow="0" w:firstColumn="0" w:lastColumn="0" w:noHBand="0" w:noVBand="0"/>
      </w:tblPr>
      <w:tblGrid>
        <w:gridCol w:w="93"/>
        <w:gridCol w:w="143"/>
        <w:gridCol w:w="891"/>
        <w:gridCol w:w="3187"/>
        <w:gridCol w:w="4506"/>
        <w:gridCol w:w="60"/>
      </w:tblGrid>
      <w:tr w:rsidR="009D7712" w:rsidRPr="009D7712" w14:paraId="51BFF1AF" w14:textId="77777777">
        <w:trPr>
          <w:gridBefore w:val="1"/>
          <w:wBefore w:w="93" w:type="dxa"/>
          <w:trHeight w:val="473"/>
          <w:jc w:val="center"/>
        </w:trPr>
        <w:tc>
          <w:tcPr>
            <w:tcW w:w="1034" w:type="dxa"/>
            <w:gridSpan w:val="2"/>
            <w:tcBorders>
              <w:top w:val="nil"/>
              <w:left w:val="nil"/>
              <w:bottom w:val="nil"/>
              <w:right w:val="nil"/>
            </w:tcBorders>
          </w:tcPr>
          <w:p w14:paraId="457658BE" w14:textId="77777777" w:rsidR="009D7712" w:rsidRPr="009D7712" w:rsidRDefault="007905AE" w:rsidP="009D7712">
            <w:pPr>
              <w:spacing w:before="100" w:beforeAutospacing="1" w:after="100" w:afterAutospacing="1"/>
            </w:pPr>
            <w:bookmarkStart w:id="1" w:name="FirstAppellant" w:colFirst="0" w:colLast="1"/>
            <w:bookmarkStart w:id="2" w:name="FirstLawyer"/>
            <w:r>
              <w:rPr>
                <w:rtl/>
              </w:rPr>
              <w:t xml:space="preserve"> </w:t>
            </w:r>
            <w:r w:rsidR="009D7712" w:rsidRPr="009D7712">
              <w:rPr>
                <w:rFonts w:cs="David" w:hint="cs"/>
                <w:b/>
                <w:bCs/>
                <w:sz w:val="26"/>
                <w:rtl/>
              </w:rPr>
              <w:t>בעניין</w:t>
            </w:r>
            <w:r w:rsidR="009D7712" w:rsidRPr="009D7712">
              <w:rPr>
                <w:rFonts w:cs="David" w:hint="cs"/>
                <w:b/>
                <w:bCs/>
                <w:sz w:val="26"/>
              </w:rPr>
              <w:t>:</w:t>
            </w:r>
          </w:p>
        </w:tc>
        <w:tc>
          <w:tcPr>
            <w:tcW w:w="3187" w:type="dxa"/>
            <w:tcBorders>
              <w:top w:val="nil"/>
              <w:left w:val="nil"/>
              <w:bottom w:val="nil"/>
              <w:right w:val="nil"/>
            </w:tcBorders>
            <w:tcMar>
              <w:top w:w="0" w:type="dxa"/>
              <w:left w:w="108" w:type="dxa"/>
              <w:bottom w:w="0" w:type="dxa"/>
              <w:right w:w="108" w:type="dxa"/>
            </w:tcMar>
          </w:tcPr>
          <w:p w14:paraId="68373A87" w14:textId="77777777" w:rsidR="009D7712" w:rsidRPr="009D7712" w:rsidRDefault="009D7712" w:rsidP="009D7712">
            <w:pPr>
              <w:spacing w:before="100" w:beforeAutospacing="1" w:after="100" w:afterAutospacing="1"/>
              <w:rPr>
                <w:rtl/>
              </w:rPr>
            </w:pPr>
            <w:r w:rsidRPr="009D7712">
              <w:rPr>
                <w:rFonts w:cs="David" w:hint="cs"/>
                <w:b/>
                <w:bCs/>
                <w:sz w:val="26"/>
                <w:rtl/>
              </w:rPr>
              <w:t>מדינת</w:t>
            </w:r>
            <w:r w:rsidRPr="009D7712">
              <w:rPr>
                <w:rFonts w:cs="David" w:hint="cs"/>
                <w:b/>
                <w:bCs/>
                <w:sz w:val="26"/>
              </w:rPr>
              <w:t xml:space="preserve"> </w:t>
            </w:r>
            <w:r w:rsidRPr="009D7712">
              <w:rPr>
                <w:rFonts w:cs="David" w:hint="cs"/>
                <w:b/>
                <w:bCs/>
                <w:sz w:val="26"/>
                <w:rtl/>
              </w:rPr>
              <w:t>ישראל</w:t>
            </w:r>
          </w:p>
          <w:p w14:paraId="29CD2E27" w14:textId="77777777" w:rsidR="009D7712" w:rsidRPr="009D7712" w:rsidRDefault="009D7712" w:rsidP="009D7712">
            <w:pPr>
              <w:spacing w:before="100" w:beforeAutospacing="1" w:after="100" w:afterAutospacing="1"/>
            </w:pPr>
            <w:r w:rsidRPr="009D7712">
              <w:rPr>
                <w:rFonts w:cs="David" w:hint="cs"/>
                <w:b/>
                <w:bCs/>
                <w:sz w:val="26"/>
                <w:rtl/>
              </w:rPr>
              <w:t>ע"י</w:t>
            </w:r>
            <w:r w:rsidRPr="009D7712">
              <w:rPr>
                <w:rFonts w:cs="David" w:hint="cs"/>
                <w:b/>
                <w:bCs/>
                <w:sz w:val="26"/>
              </w:rPr>
              <w:t xml:space="preserve"> </w:t>
            </w:r>
            <w:r w:rsidRPr="009D7712">
              <w:rPr>
                <w:rFonts w:cs="David" w:hint="cs"/>
                <w:b/>
                <w:bCs/>
                <w:sz w:val="26"/>
                <w:rtl/>
              </w:rPr>
              <w:t>ב"כ עו"ד איתי פרוסט</w:t>
            </w:r>
          </w:p>
        </w:tc>
        <w:tc>
          <w:tcPr>
            <w:tcW w:w="4566" w:type="dxa"/>
            <w:gridSpan w:val="2"/>
            <w:tcBorders>
              <w:top w:val="nil"/>
              <w:left w:val="nil"/>
              <w:bottom w:val="nil"/>
              <w:right w:val="nil"/>
            </w:tcBorders>
            <w:tcMar>
              <w:top w:w="0" w:type="dxa"/>
              <w:left w:w="108" w:type="dxa"/>
              <w:bottom w:w="0" w:type="dxa"/>
              <w:right w:w="108" w:type="dxa"/>
            </w:tcMar>
          </w:tcPr>
          <w:p w14:paraId="3F70513B" w14:textId="77777777" w:rsidR="009D7712" w:rsidRPr="009D7712" w:rsidRDefault="009D7712" w:rsidP="009D7712">
            <w:pPr>
              <w:spacing w:before="100" w:beforeAutospacing="1" w:after="100" w:afterAutospacing="1"/>
              <w:rPr>
                <w:rtl/>
              </w:rPr>
            </w:pPr>
            <w:r w:rsidRPr="009D7712">
              <w:rPr>
                <w:rFonts w:cs="David" w:hint="cs"/>
                <w:b/>
                <w:bCs/>
                <w:sz w:val="26"/>
              </w:rPr>
              <w:t xml:space="preserve">- </w:t>
            </w:r>
            <w:r w:rsidRPr="009D7712">
              <w:rPr>
                <w:rFonts w:cs="David" w:hint="cs"/>
                <w:b/>
                <w:bCs/>
                <w:sz w:val="26"/>
                <w:rtl/>
              </w:rPr>
              <w:t>המאשימה</w:t>
            </w:r>
            <w:r w:rsidRPr="009D7712">
              <w:rPr>
                <w:rFonts w:cs="David" w:hint="cs"/>
                <w:b/>
                <w:bCs/>
                <w:sz w:val="26"/>
              </w:rPr>
              <w:t xml:space="preserve"> -</w:t>
            </w:r>
          </w:p>
          <w:p w14:paraId="52E90DB6" w14:textId="77777777" w:rsidR="009D7712" w:rsidRPr="009D7712" w:rsidRDefault="007905AE" w:rsidP="009D7712">
            <w:pPr>
              <w:spacing w:before="100" w:beforeAutospacing="1" w:after="100" w:afterAutospacing="1"/>
            </w:pPr>
            <w:r>
              <w:rPr>
                <w:rtl/>
              </w:rPr>
              <w:t xml:space="preserve"> </w:t>
            </w:r>
          </w:p>
        </w:tc>
      </w:tr>
      <w:bookmarkEnd w:id="2"/>
      <w:tr w:rsidR="009D7712" w:rsidRPr="009D7712" w14:paraId="5EBA434C" w14:textId="77777777">
        <w:trPr>
          <w:gridBefore w:val="1"/>
          <w:wBefore w:w="93" w:type="dxa"/>
          <w:trHeight w:val="685"/>
          <w:jc w:val="center"/>
        </w:trPr>
        <w:tc>
          <w:tcPr>
            <w:tcW w:w="0" w:type="auto"/>
            <w:vAlign w:val="center"/>
          </w:tcPr>
          <w:p w14:paraId="4BA795FF" w14:textId="77777777" w:rsidR="009D7712" w:rsidRPr="009D7712" w:rsidRDefault="009D7712" w:rsidP="009D7712"/>
        </w:tc>
        <w:tc>
          <w:tcPr>
            <w:tcW w:w="8644" w:type="dxa"/>
            <w:gridSpan w:val="4"/>
            <w:tcBorders>
              <w:top w:val="nil"/>
              <w:left w:val="nil"/>
              <w:bottom w:val="nil"/>
              <w:right w:val="nil"/>
            </w:tcBorders>
            <w:tcMar>
              <w:top w:w="0" w:type="dxa"/>
              <w:left w:w="108" w:type="dxa"/>
              <w:bottom w:w="0" w:type="dxa"/>
              <w:right w:w="108" w:type="dxa"/>
            </w:tcMar>
          </w:tcPr>
          <w:p w14:paraId="77324627" w14:textId="77777777" w:rsidR="009D7712" w:rsidRPr="009D7712" w:rsidRDefault="007905AE" w:rsidP="009D7712">
            <w:pPr>
              <w:spacing w:before="100" w:beforeAutospacing="1" w:after="100" w:afterAutospacing="1"/>
            </w:pPr>
            <w:r>
              <w:rPr>
                <w:rtl/>
              </w:rPr>
              <w:t xml:space="preserve"> </w:t>
            </w:r>
            <w:r>
              <w:rPr>
                <w:rFonts w:cs="David" w:hint="cs"/>
                <w:b/>
                <w:bCs/>
                <w:sz w:val="26"/>
                <w:rtl/>
              </w:rPr>
              <w:t xml:space="preserve">                                         </w:t>
            </w:r>
            <w:r w:rsidR="009D7712" w:rsidRPr="009D7712">
              <w:rPr>
                <w:rFonts w:cs="David" w:hint="cs"/>
                <w:b/>
                <w:bCs/>
                <w:sz w:val="26"/>
                <w:rtl/>
              </w:rPr>
              <w:t>-נגד</w:t>
            </w:r>
            <w:r w:rsidR="009D7712" w:rsidRPr="009D7712">
              <w:rPr>
                <w:rFonts w:cs="David" w:hint="cs"/>
                <w:b/>
                <w:bCs/>
                <w:sz w:val="26"/>
              </w:rPr>
              <w:t>-</w:t>
            </w:r>
          </w:p>
        </w:tc>
      </w:tr>
      <w:bookmarkEnd w:id="1"/>
      <w:tr w:rsidR="009D7712" w:rsidRPr="009D7712" w14:paraId="017229D7" w14:textId="77777777">
        <w:trPr>
          <w:gridBefore w:val="1"/>
          <w:wBefore w:w="93" w:type="dxa"/>
          <w:trHeight w:val="685"/>
          <w:jc w:val="center"/>
        </w:trPr>
        <w:tc>
          <w:tcPr>
            <w:tcW w:w="0" w:type="auto"/>
            <w:vAlign w:val="center"/>
          </w:tcPr>
          <w:p w14:paraId="2AB4A1A3" w14:textId="77777777" w:rsidR="009D7712" w:rsidRPr="009D7712" w:rsidRDefault="009D7712" w:rsidP="009D7712">
            <w:pPr>
              <w:rPr>
                <w:rFonts w:hint="cs"/>
              </w:rPr>
            </w:pPr>
          </w:p>
        </w:tc>
        <w:tc>
          <w:tcPr>
            <w:tcW w:w="891" w:type="dxa"/>
            <w:tcBorders>
              <w:top w:val="nil"/>
              <w:left w:val="nil"/>
              <w:bottom w:val="nil"/>
              <w:right w:val="nil"/>
            </w:tcBorders>
            <w:tcMar>
              <w:top w:w="0" w:type="dxa"/>
              <w:left w:w="108" w:type="dxa"/>
              <w:bottom w:w="0" w:type="dxa"/>
              <w:right w:w="108" w:type="dxa"/>
            </w:tcMar>
          </w:tcPr>
          <w:p w14:paraId="6EA9BAAF" w14:textId="77777777" w:rsidR="009D7712" w:rsidRPr="009D7712" w:rsidRDefault="007905AE" w:rsidP="009D7712">
            <w:pPr>
              <w:spacing w:before="100" w:beforeAutospacing="1" w:after="100" w:afterAutospacing="1"/>
            </w:pPr>
            <w:r>
              <w:rPr>
                <w:rtl/>
              </w:rPr>
              <w:t xml:space="preserve"> </w:t>
            </w:r>
          </w:p>
        </w:tc>
        <w:tc>
          <w:tcPr>
            <w:tcW w:w="3187" w:type="dxa"/>
            <w:tcBorders>
              <w:top w:val="nil"/>
              <w:left w:val="nil"/>
              <w:bottom w:val="nil"/>
              <w:right w:val="nil"/>
            </w:tcBorders>
            <w:tcMar>
              <w:top w:w="0" w:type="dxa"/>
              <w:left w:w="108" w:type="dxa"/>
              <w:bottom w:w="0" w:type="dxa"/>
              <w:right w:w="108" w:type="dxa"/>
            </w:tcMar>
          </w:tcPr>
          <w:p w14:paraId="006BCEED" w14:textId="77777777" w:rsidR="009D7712" w:rsidRPr="009D7712" w:rsidRDefault="009D7712" w:rsidP="009D7712">
            <w:pPr>
              <w:spacing w:before="100" w:beforeAutospacing="1" w:after="100" w:afterAutospacing="1"/>
              <w:rPr>
                <w:rFonts w:cs="David" w:hint="cs"/>
                <w:b/>
                <w:bCs/>
                <w:sz w:val="26"/>
                <w:rtl/>
              </w:rPr>
            </w:pPr>
            <w:r w:rsidRPr="009D7712">
              <w:rPr>
                <w:rFonts w:cs="David"/>
                <w:b/>
                <w:bCs/>
                <w:sz w:val="26"/>
              </w:rPr>
              <w:t>1</w:t>
            </w:r>
            <w:r w:rsidRPr="009D7712">
              <w:rPr>
                <w:rFonts w:hint="cs"/>
                <w:rtl/>
              </w:rPr>
              <w:t>. *****</w:t>
            </w:r>
          </w:p>
          <w:p w14:paraId="42EE1D9C" w14:textId="77777777" w:rsidR="009D7712" w:rsidRPr="009D7712" w:rsidRDefault="009D7712" w:rsidP="009D7712">
            <w:pPr>
              <w:spacing w:before="100" w:beforeAutospacing="1" w:after="100" w:afterAutospacing="1"/>
            </w:pPr>
            <w:r w:rsidRPr="009D7712">
              <w:rPr>
                <w:rFonts w:cs="David" w:hint="cs"/>
                <w:b/>
                <w:bCs/>
                <w:sz w:val="26"/>
                <w:rtl/>
              </w:rPr>
              <w:t>ע"י</w:t>
            </w:r>
            <w:r w:rsidRPr="009D7712">
              <w:rPr>
                <w:rFonts w:cs="David" w:hint="cs"/>
                <w:b/>
                <w:bCs/>
                <w:sz w:val="26"/>
              </w:rPr>
              <w:t xml:space="preserve"> </w:t>
            </w:r>
            <w:r w:rsidRPr="009D7712">
              <w:rPr>
                <w:rFonts w:cs="David" w:hint="cs"/>
                <w:b/>
                <w:bCs/>
                <w:sz w:val="26"/>
                <w:rtl/>
              </w:rPr>
              <w:t>ב"כ עו"ד</w:t>
            </w:r>
            <w:r w:rsidRPr="009D7712">
              <w:rPr>
                <w:rFonts w:cs="David" w:hint="cs"/>
                <w:b/>
                <w:bCs/>
                <w:sz w:val="26"/>
              </w:rPr>
              <w:t xml:space="preserve"> </w:t>
            </w:r>
            <w:r w:rsidRPr="009D7712">
              <w:rPr>
                <w:rFonts w:cs="David" w:hint="cs"/>
                <w:b/>
                <w:bCs/>
                <w:sz w:val="26"/>
                <w:rtl/>
              </w:rPr>
              <w:t>ששי גז</w:t>
            </w:r>
          </w:p>
          <w:p w14:paraId="43F2B666" w14:textId="77777777" w:rsidR="009D7712" w:rsidRPr="009D7712" w:rsidRDefault="009D7712" w:rsidP="009D7712">
            <w:pPr>
              <w:spacing w:before="100" w:beforeAutospacing="1" w:after="100" w:afterAutospacing="1"/>
            </w:pPr>
            <w:r w:rsidRPr="009D7712">
              <w:rPr>
                <w:rFonts w:cs="David" w:hint="cs"/>
                <w:b/>
                <w:bCs/>
                <w:sz w:val="26"/>
                <w:rtl/>
              </w:rPr>
              <w:t>2.</w:t>
            </w:r>
            <w:r w:rsidRPr="009D7712">
              <w:rPr>
                <w:rFonts w:cs="David" w:hint="cs"/>
                <w:sz w:val="26"/>
                <w:rtl/>
              </w:rPr>
              <w:t xml:space="preserve"> *******</w:t>
            </w:r>
          </w:p>
          <w:p w14:paraId="514C4C5B" w14:textId="77777777" w:rsidR="009D7712" w:rsidRPr="009D7712" w:rsidRDefault="009D7712" w:rsidP="009D7712">
            <w:pPr>
              <w:spacing w:before="100" w:beforeAutospacing="1" w:after="100" w:afterAutospacing="1"/>
            </w:pPr>
            <w:r w:rsidRPr="009D7712">
              <w:rPr>
                <w:rFonts w:cs="David" w:hint="cs"/>
                <w:b/>
                <w:bCs/>
                <w:sz w:val="26"/>
                <w:rtl/>
              </w:rPr>
              <w:t>ע"י</w:t>
            </w:r>
            <w:r w:rsidRPr="009D7712">
              <w:rPr>
                <w:rFonts w:cs="David" w:hint="cs"/>
                <w:b/>
                <w:bCs/>
                <w:sz w:val="26"/>
              </w:rPr>
              <w:t xml:space="preserve"> </w:t>
            </w:r>
            <w:r w:rsidRPr="009D7712">
              <w:rPr>
                <w:rFonts w:cs="David" w:hint="cs"/>
                <w:b/>
                <w:bCs/>
                <w:sz w:val="26"/>
                <w:rtl/>
              </w:rPr>
              <w:t>ב"כ עו"ד</w:t>
            </w:r>
            <w:r w:rsidRPr="009D7712">
              <w:rPr>
                <w:rFonts w:cs="David" w:hint="cs"/>
                <w:b/>
                <w:bCs/>
                <w:sz w:val="26"/>
              </w:rPr>
              <w:t xml:space="preserve"> </w:t>
            </w:r>
            <w:r w:rsidRPr="009D7712">
              <w:rPr>
                <w:rFonts w:cs="David" w:hint="cs"/>
                <w:b/>
                <w:bCs/>
                <w:sz w:val="26"/>
                <w:rtl/>
              </w:rPr>
              <w:t>גיל פרידמן</w:t>
            </w:r>
          </w:p>
          <w:p w14:paraId="771A2F13" w14:textId="77777777" w:rsidR="009D7712" w:rsidRPr="009D7712" w:rsidRDefault="009D7712" w:rsidP="009D7712">
            <w:pPr>
              <w:spacing w:before="100" w:beforeAutospacing="1" w:after="100" w:afterAutospacing="1"/>
            </w:pPr>
            <w:r w:rsidRPr="009D7712">
              <w:rPr>
                <w:rFonts w:cs="David" w:hint="cs"/>
                <w:b/>
                <w:bCs/>
                <w:sz w:val="26"/>
                <w:rtl/>
              </w:rPr>
              <w:t>3.</w:t>
            </w:r>
            <w:r w:rsidRPr="009D7712">
              <w:rPr>
                <w:rFonts w:cs="David" w:hint="cs"/>
                <w:sz w:val="26"/>
                <w:rtl/>
              </w:rPr>
              <w:t xml:space="preserve"> ******</w:t>
            </w:r>
          </w:p>
          <w:p w14:paraId="428CDAF2" w14:textId="77777777" w:rsidR="009D7712" w:rsidRPr="009D7712" w:rsidRDefault="009D7712" w:rsidP="009D7712">
            <w:pPr>
              <w:spacing w:before="100" w:beforeAutospacing="1" w:after="100" w:afterAutospacing="1"/>
            </w:pPr>
            <w:r w:rsidRPr="009D7712">
              <w:rPr>
                <w:rFonts w:cs="David" w:hint="cs"/>
                <w:b/>
                <w:bCs/>
                <w:sz w:val="26"/>
                <w:rtl/>
              </w:rPr>
              <w:t>ע"י</w:t>
            </w:r>
            <w:r w:rsidRPr="009D7712">
              <w:rPr>
                <w:rFonts w:cs="David" w:hint="cs"/>
                <w:b/>
                <w:bCs/>
                <w:sz w:val="26"/>
              </w:rPr>
              <w:t xml:space="preserve"> </w:t>
            </w:r>
            <w:r w:rsidRPr="009D7712">
              <w:rPr>
                <w:rFonts w:cs="David" w:hint="cs"/>
                <w:b/>
                <w:bCs/>
                <w:sz w:val="26"/>
                <w:rtl/>
              </w:rPr>
              <w:t>ב"כ עו"ד בני ברקי</w:t>
            </w:r>
          </w:p>
        </w:tc>
        <w:tc>
          <w:tcPr>
            <w:tcW w:w="4566" w:type="dxa"/>
            <w:gridSpan w:val="2"/>
            <w:tcBorders>
              <w:top w:val="nil"/>
              <w:left w:val="nil"/>
              <w:bottom w:val="nil"/>
              <w:right w:val="nil"/>
            </w:tcBorders>
            <w:tcMar>
              <w:top w:w="0" w:type="dxa"/>
              <w:left w:w="108" w:type="dxa"/>
              <w:bottom w:w="0" w:type="dxa"/>
              <w:right w:w="108" w:type="dxa"/>
            </w:tcMar>
          </w:tcPr>
          <w:p w14:paraId="30B8573F" w14:textId="77777777" w:rsidR="009D7712" w:rsidRPr="009D7712" w:rsidRDefault="007905AE" w:rsidP="009D7712">
            <w:pPr>
              <w:spacing w:before="100" w:beforeAutospacing="1" w:after="100" w:afterAutospacing="1"/>
              <w:rPr>
                <w:rtl/>
              </w:rPr>
            </w:pPr>
            <w:r>
              <w:rPr>
                <w:rtl/>
              </w:rPr>
              <w:t xml:space="preserve"> </w:t>
            </w:r>
          </w:p>
          <w:p w14:paraId="2AF7E3DB" w14:textId="77777777" w:rsidR="009D7712" w:rsidRPr="009D7712" w:rsidRDefault="007905AE" w:rsidP="009D7712">
            <w:pPr>
              <w:spacing w:before="100" w:beforeAutospacing="1" w:after="100" w:afterAutospacing="1"/>
            </w:pPr>
            <w:r>
              <w:rPr>
                <w:rtl/>
              </w:rPr>
              <w:t xml:space="preserve"> </w:t>
            </w:r>
          </w:p>
          <w:p w14:paraId="02ED057B" w14:textId="77777777" w:rsidR="009D7712" w:rsidRPr="009D7712" w:rsidRDefault="007905AE" w:rsidP="009D7712">
            <w:pPr>
              <w:spacing w:before="100" w:beforeAutospacing="1" w:after="100" w:afterAutospacing="1"/>
            </w:pPr>
            <w:r>
              <w:rPr>
                <w:rtl/>
              </w:rPr>
              <w:t xml:space="preserve"> </w:t>
            </w:r>
          </w:p>
          <w:p w14:paraId="59F7E6A5" w14:textId="77777777" w:rsidR="009D7712" w:rsidRPr="009D7712" w:rsidRDefault="007905AE" w:rsidP="009D7712">
            <w:pPr>
              <w:spacing w:before="100" w:beforeAutospacing="1" w:after="100" w:afterAutospacing="1"/>
            </w:pPr>
            <w:r>
              <w:rPr>
                <w:rtl/>
              </w:rPr>
              <w:t xml:space="preserve"> </w:t>
            </w:r>
          </w:p>
          <w:p w14:paraId="1658332B" w14:textId="77777777" w:rsidR="009D7712" w:rsidRPr="009D7712" w:rsidRDefault="007905AE" w:rsidP="009D7712">
            <w:pPr>
              <w:spacing w:before="100" w:beforeAutospacing="1" w:after="100" w:afterAutospacing="1"/>
            </w:pPr>
            <w:r>
              <w:rPr>
                <w:rtl/>
              </w:rPr>
              <w:t xml:space="preserve"> </w:t>
            </w:r>
          </w:p>
          <w:p w14:paraId="50AFC054" w14:textId="77777777" w:rsidR="009D7712" w:rsidRPr="009D7712" w:rsidRDefault="009D7712" w:rsidP="009D7712">
            <w:pPr>
              <w:spacing w:before="100" w:beforeAutospacing="1" w:after="100" w:afterAutospacing="1"/>
            </w:pPr>
            <w:r w:rsidRPr="009D7712">
              <w:rPr>
                <w:rFonts w:cs="David" w:hint="cs"/>
                <w:b/>
                <w:bCs/>
                <w:sz w:val="26"/>
              </w:rPr>
              <w:t xml:space="preserve">- </w:t>
            </w:r>
            <w:r w:rsidRPr="009D7712">
              <w:rPr>
                <w:rFonts w:cs="David" w:hint="cs"/>
                <w:b/>
                <w:bCs/>
                <w:sz w:val="26"/>
                <w:rtl/>
              </w:rPr>
              <w:t>ה</w:t>
            </w:r>
            <w:r w:rsidRPr="009D7712">
              <w:t xml:space="preserve"> </w:t>
            </w:r>
            <w:r w:rsidRPr="009D7712">
              <w:rPr>
                <w:rFonts w:cs="David" w:hint="cs"/>
                <w:b/>
                <w:bCs/>
                <w:sz w:val="26"/>
                <w:rtl/>
              </w:rPr>
              <w:t>נאשמים</w:t>
            </w:r>
            <w:r w:rsidRPr="009D7712">
              <w:t xml:space="preserve"> </w:t>
            </w:r>
            <w:r w:rsidRPr="009D7712">
              <w:rPr>
                <w:rFonts w:cs="David" w:hint="cs"/>
                <w:b/>
                <w:bCs/>
                <w:sz w:val="26"/>
              </w:rPr>
              <w:t>-</w:t>
            </w:r>
            <w:r w:rsidRPr="009D7712">
              <w:t xml:space="preserve"> </w:t>
            </w:r>
          </w:p>
        </w:tc>
      </w:tr>
      <w:tr w:rsidR="009D7712" w:rsidRPr="009D7712" w14:paraId="0CE74E9C" w14:textId="77777777">
        <w:trPr>
          <w:gridBefore w:val="1"/>
          <w:wBefore w:w="93" w:type="dxa"/>
          <w:jc w:val="center"/>
        </w:trPr>
        <w:tc>
          <w:tcPr>
            <w:tcW w:w="143" w:type="dxa"/>
            <w:tcBorders>
              <w:top w:val="nil"/>
              <w:left w:val="nil"/>
              <w:bottom w:val="nil"/>
              <w:right w:val="nil"/>
            </w:tcBorders>
            <w:tcMar>
              <w:top w:w="0" w:type="dxa"/>
              <w:left w:w="0" w:type="dxa"/>
              <w:bottom w:w="0" w:type="dxa"/>
              <w:right w:w="0" w:type="dxa"/>
            </w:tcMar>
            <w:vAlign w:val="center"/>
          </w:tcPr>
          <w:p w14:paraId="13BBCFFC" w14:textId="77777777" w:rsidR="009D7712" w:rsidRPr="009D7712" w:rsidRDefault="009D7712" w:rsidP="009D7712">
            <w:pPr>
              <w:rPr>
                <w:sz w:val="1"/>
              </w:rPr>
            </w:pPr>
          </w:p>
        </w:tc>
        <w:tc>
          <w:tcPr>
            <w:tcW w:w="891" w:type="dxa"/>
            <w:tcBorders>
              <w:top w:val="nil"/>
              <w:left w:val="nil"/>
              <w:bottom w:val="nil"/>
              <w:right w:val="nil"/>
            </w:tcBorders>
            <w:tcMar>
              <w:top w:w="0" w:type="dxa"/>
              <w:left w:w="0" w:type="dxa"/>
              <w:bottom w:w="0" w:type="dxa"/>
              <w:right w:w="0" w:type="dxa"/>
            </w:tcMar>
            <w:vAlign w:val="center"/>
          </w:tcPr>
          <w:p w14:paraId="2726B6D7" w14:textId="77777777" w:rsidR="009D7712" w:rsidRPr="009D7712" w:rsidRDefault="009D7712" w:rsidP="009D7712">
            <w:pPr>
              <w:rPr>
                <w:sz w:val="1"/>
              </w:rPr>
            </w:pPr>
          </w:p>
        </w:tc>
        <w:tc>
          <w:tcPr>
            <w:tcW w:w="3187" w:type="dxa"/>
            <w:tcBorders>
              <w:top w:val="nil"/>
              <w:left w:val="nil"/>
              <w:bottom w:val="nil"/>
              <w:right w:val="nil"/>
            </w:tcBorders>
            <w:tcMar>
              <w:top w:w="0" w:type="dxa"/>
              <w:left w:w="0" w:type="dxa"/>
              <w:bottom w:w="0" w:type="dxa"/>
              <w:right w:w="0" w:type="dxa"/>
            </w:tcMar>
            <w:vAlign w:val="center"/>
          </w:tcPr>
          <w:p w14:paraId="13410F3E" w14:textId="77777777" w:rsidR="009D7712" w:rsidRPr="009D7712" w:rsidRDefault="009D7712" w:rsidP="009D7712">
            <w:pPr>
              <w:rPr>
                <w:sz w:val="1"/>
              </w:rPr>
            </w:pPr>
          </w:p>
        </w:tc>
        <w:tc>
          <w:tcPr>
            <w:tcW w:w="4566" w:type="dxa"/>
            <w:gridSpan w:val="2"/>
            <w:tcBorders>
              <w:top w:val="nil"/>
              <w:left w:val="nil"/>
              <w:bottom w:val="nil"/>
              <w:right w:val="nil"/>
            </w:tcBorders>
            <w:tcMar>
              <w:top w:w="0" w:type="dxa"/>
              <w:left w:w="0" w:type="dxa"/>
              <w:bottom w:w="0" w:type="dxa"/>
              <w:right w:w="0" w:type="dxa"/>
            </w:tcMar>
            <w:vAlign w:val="center"/>
          </w:tcPr>
          <w:p w14:paraId="41F27109" w14:textId="77777777" w:rsidR="009D7712" w:rsidRPr="009D7712" w:rsidRDefault="009D7712" w:rsidP="009D7712">
            <w:pPr>
              <w:rPr>
                <w:sz w:val="1"/>
              </w:rPr>
            </w:pPr>
          </w:p>
        </w:tc>
      </w:tr>
      <w:tr w:rsidR="00B97A28" w:rsidRPr="00B97A28" w14:paraId="53326ECB" w14:textId="77777777">
        <w:trPr>
          <w:gridAfter w:val="1"/>
          <w:wAfter w:w="60" w:type="dxa"/>
          <w:jc w:val="center"/>
        </w:trPr>
        <w:tc>
          <w:tcPr>
            <w:tcW w:w="8820" w:type="dxa"/>
            <w:gridSpan w:val="5"/>
            <w:tcBorders>
              <w:top w:val="nil"/>
              <w:left w:val="nil"/>
              <w:bottom w:val="nil"/>
              <w:right w:val="nil"/>
            </w:tcBorders>
            <w:tcMar>
              <w:top w:w="0" w:type="dxa"/>
              <w:left w:w="108" w:type="dxa"/>
              <w:bottom w:w="0" w:type="dxa"/>
              <w:right w:w="108" w:type="dxa"/>
            </w:tcMar>
          </w:tcPr>
          <w:p w14:paraId="20BF7ADC" w14:textId="77777777" w:rsidR="008A233A" w:rsidRDefault="008A233A" w:rsidP="009D7712">
            <w:pPr>
              <w:bidi w:val="0"/>
              <w:spacing w:before="100" w:beforeAutospacing="1" w:after="100" w:afterAutospacing="1" w:line="360" w:lineRule="auto"/>
              <w:jc w:val="center"/>
            </w:pPr>
            <w:bookmarkStart w:id="3" w:name="LawTable"/>
            <w:bookmarkEnd w:id="3"/>
          </w:p>
          <w:p w14:paraId="6CD908A2" w14:textId="77777777" w:rsidR="008A233A" w:rsidRPr="008A233A" w:rsidRDefault="008A233A" w:rsidP="008A233A">
            <w:pPr>
              <w:bidi w:val="0"/>
              <w:spacing w:before="100" w:beforeAutospacing="1" w:after="120" w:afterAutospacing="1" w:line="240" w:lineRule="exact"/>
              <w:ind w:left="283" w:hanging="283"/>
              <w:jc w:val="both"/>
              <w:rPr>
                <w:rFonts w:ascii="FrankRuehl" w:hAnsi="FrankRuehl" w:cs="FrankRuehl"/>
              </w:rPr>
            </w:pPr>
          </w:p>
          <w:p w14:paraId="5D2D3054" w14:textId="77777777" w:rsidR="008A233A" w:rsidRPr="008A233A" w:rsidRDefault="008A233A" w:rsidP="008A233A">
            <w:pPr>
              <w:bidi w:val="0"/>
              <w:spacing w:before="100" w:beforeAutospacing="1" w:after="120" w:afterAutospacing="1" w:line="240" w:lineRule="exact"/>
              <w:ind w:left="283" w:hanging="283"/>
              <w:jc w:val="both"/>
              <w:rPr>
                <w:rFonts w:ascii="FrankRuehl" w:hAnsi="FrankRuehl" w:cs="FrankRuehl"/>
              </w:rPr>
            </w:pPr>
            <w:r w:rsidRPr="008A233A">
              <w:rPr>
                <w:rFonts w:ascii="FrankRuehl" w:hAnsi="FrankRuehl" w:cs="FrankRuehl"/>
                <w:rtl/>
              </w:rPr>
              <w:t>חקיקה שאוזכרה</w:t>
            </w:r>
            <w:r w:rsidRPr="008A233A">
              <w:rPr>
                <w:rFonts w:ascii="FrankRuehl" w:hAnsi="FrankRuehl" w:cs="FrankRuehl"/>
              </w:rPr>
              <w:t xml:space="preserve">: </w:t>
            </w:r>
          </w:p>
          <w:p w14:paraId="29A3DB90" w14:textId="77777777" w:rsidR="008A233A" w:rsidRPr="008A233A" w:rsidRDefault="008A233A" w:rsidP="008A233A">
            <w:pPr>
              <w:bidi w:val="0"/>
              <w:spacing w:before="100" w:beforeAutospacing="1" w:after="120" w:afterAutospacing="1" w:line="240" w:lineRule="exact"/>
              <w:ind w:left="283" w:hanging="283"/>
              <w:jc w:val="both"/>
              <w:rPr>
                <w:rFonts w:ascii="FrankRuehl" w:hAnsi="FrankRuehl" w:cs="FrankRuehl"/>
              </w:rPr>
            </w:pPr>
            <w:hyperlink r:id="rId6" w:history="1">
              <w:r w:rsidRPr="008A233A">
                <w:rPr>
                  <w:rFonts w:ascii="FrankRuehl" w:hAnsi="FrankRuehl" w:cs="FrankRuehl"/>
                  <w:color w:val="0000FF"/>
                  <w:u w:val="single"/>
                  <w:rtl/>
                </w:rPr>
                <w:t>חוק העונשין, תשל"ז-1977</w:t>
              </w:r>
            </w:hyperlink>
            <w:r w:rsidRPr="008A233A">
              <w:rPr>
                <w:rFonts w:ascii="FrankRuehl" w:hAnsi="FrankRuehl" w:cs="FrankRuehl"/>
              </w:rPr>
              <w:t xml:space="preserve">: </w:t>
            </w:r>
            <w:r w:rsidRPr="008A233A">
              <w:rPr>
                <w:rFonts w:ascii="FrankRuehl" w:hAnsi="FrankRuehl" w:cs="FrankRuehl"/>
                <w:rtl/>
              </w:rPr>
              <w:t>סע</w:t>
            </w:r>
            <w:r w:rsidRPr="008A233A">
              <w:rPr>
                <w:rFonts w:ascii="FrankRuehl" w:hAnsi="FrankRuehl" w:cs="FrankRuehl"/>
              </w:rPr>
              <w:t xml:space="preserve">'  </w:t>
            </w:r>
            <w:hyperlink r:id="rId7" w:history="1">
              <w:r w:rsidRPr="008A233A">
                <w:rPr>
                  <w:rFonts w:ascii="FrankRuehl" w:hAnsi="FrankRuehl" w:cs="FrankRuehl"/>
                  <w:color w:val="0000FF"/>
                  <w:u w:val="single"/>
                </w:rPr>
                <w:t>345.</w:t>
              </w:r>
              <w:r w:rsidRPr="008A233A">
                <w:rPr>
                  <w:rFonts w:ascii="FrankRuehl" w:hAnsi="FrankRuehl" w:cs="FrankRuehl"/>
                  <w:color w:val="0000FF"/>
                  <w:u w:val="single"/>
                  <w:rtl/>
                </w:rPr>
                <w:t>א.1</w:t>
              </w:r>
              <w:r w:rsidRPr="008A233A">
                <w:rPr>
                  <w:rFonts w:ascii="FrankRuehl" w:hAnsi="FrankRuehl" w:cs="FrankRuehl"/>
                  <w:color w:val="0000FF"/>
                  <w:u w:val="single"/>
                </w:rPr>
                <w:t>.</w:t>
              </w:r>
            </w:hyperlink>
            <w:r w:rsidRPr="008A233A">
              <w:rPr>
                <w:rFonts w:ascii="FrankRuehl" w:hAnsi="FrankRuehl" w:cs="FrankRuehl"/>
              </w:rPr>
              <w:t xml:space="preserve">, </w:t>
            </w:r>
            <w:hyperlink r:id="rId8" w:history="1">
              <w:r w:rsidRPr="008A233A">
                <w:rPr>
                  <w:rFonts w:ascii="FrankRuehl" w:hAnsi="FrankRuehl" w:cs="FrankRuehl"/>
                  <w:color w:val="0000FF"/>
                  <w:u w:val="single"/>
                </w:rPr>
                <w:t>345.</w:t>
              </w:r>
              <w:r w:rsidRPr="008A233A">
                <w:rPr>
                  <w:rFonts w:ascii="FrankRuehl" w:hAnsi="FrankRuehl" w:cs="FrankRuehl"/>
                  <w:color w:val="0000FF"/>
                  <w:u w:val="single"/>
                  <w:rtl/>
                </w:rPr>
                <w:t>א.3</w:t>
              </w:r>
              <w:r w:rsidRPr="008A233A">
                <w:rPr>
                  <w:rFonts w:ascii="FrankRuehl" w:hAnsi="FrankRuehl" w:cs="FrankRuehl"/>
                  <w:color w:val="0000FF"/>
                  <w:u w:val="single"/>
                </w:rPr>
                <w:t>.</w:t>
              </w:r>
            </w:hyperlink>
            <w:r w:rsidRPr="008A233A">
              <w:rPr>
                <w:rFonts w:ascii="FrankRuehl" w:hAnsi="FrankRuehl" w:cs="FrankRuehl"/>
              </w:rPr>
              <w:t xml:space="preserve">, </w:t>
            </w:r>
            <w:hyperlink r:id="rId9" w:history="1">
              <w:r w:rsidRPr="008A233A">
                <w:rPr>
                  <w:rFonts w:ascii="FrankRuehl" w:hAnsi="FrankRuehl" w:cs="FrankRuehl"/>
                  <w:color w:val="0000FF"/>
                  <w:u w:val="single"/>
                </w:rPr>
                <w:t>345.</w:t>
              </w:r>
              <w:r w:rsidRPr="008A233A">
                <w:rPr>
                  <w:rFonts w:ascii="FrankRuehl" w:hAnsi="FrankRuehl" w:cs="FrankRuehl"/>
                  <w:color w:val="0000FF"/>
                  <w:u w:val="single"/>
                  <w:rtl/>
                </w:rPr>
                <w:t>א.4</w:t>
              </w:r>
            </w:hyperlink>
            <w:r w:rsidRPr="008A233A">
              <w:rPr>
                <w:rFonts w:ascii="FrankRuehl" w:hAnsi="FrankRuehl" w:cs="FrankRuehl"/>
              </w:rPr>
              <w:t xml:space="preserve">, </w:t>
            </w:r>
            <w:hyperlink r:id="rId10" w:history="1">
              <w:r w:rsidRPr="008A233A">
                <w:rPr>
                  <w:rFonts w:ascii="FrankRuehl" w:hAnsi="FrankRuehl" w:cs="FrankRuehl"/>
                  <w:color w:val="0000FF"/>
                  <w:u w:val="single"/>
                </w:rPr>
                <w:t>347(</w:t>
              </w:r>
              <w:r w:rsidRPr="008A233A">
                <w:rPr>
                  <w:rFonts w:ascii="FrankRuehl" w:hAnsi="FrankRuehl" w:cs="FrankRuehl"/>
                  <w:color w:val="0000FF"/>
                  <w:u w:val="single"/>
                  <w:rtl/>
                </w:rPr>
                <w:t>ב</w:t>
              </w:r>
              <w:r w:rsidRPr="008A233A">
                <w:rPr>
                  <w:rFonts w:ascii="FrankRuehl" w:hAnsi="FrankRuehl" w:cs="FrankRuehl"/>
                  <w:color w:val="0000FF"/>
                  <w:u w:val="single"/>
                </w:rPr>
                <w:t>)</w:t>
              </w:r>
            </w:hyperlink>
            <w:r w:rsidRPr="008A233A">
              <w:rPr>
                <w:rFonts w:ascii="FrankRuehl" w:hAnsi="FrankRuehl" w:cs="FrankRuehl"/>
              </w:rPr>
              <w:t xml:space="preserve">, </w:t>
            </w:r>
            <w:hyperlink r:id="rId11" w:history="1">
              <w:r w:rsidRPr="008A233A">
                <w:rPr>
                  <w:rFonts w:ascii="FrankRuehl" w:hAnsi="FrankRuehl" w:cs="FrankRuehl"/>
                  <w:color w:val="0000FF"/>
                  <w:u w:val="single"/>
                </w:rPr>
                <w:t>348(</w:t>
              </w:r>
              <w:r w:rsidRPr="008A233A">
                <w:rPr>
                  <w:rFonts w:ascii="FrankRuehl" w:hAnsi="FrankRuehl" w:cs="FrankRuehl"/>
                  <w:color w:val="0000FF"/>
                  <w:u w:val="single"/>
                  <w:rtl/>
                </w:rPr>
                <w:t>א</w:t>
              </w:r>
              <w:r w:rsidRPr="008A233A">
                <w:rPr>
                  <w:rFonts w:ascii="FrankRuehl" w:hAnsi="FrankRuehl" w:cs="FrankRuehl"/>
                  <w:color w:val="0000FF"/>
                  <w:u w:val="single"/>
                </w:rPr>
                <w:t>)</w:t>
              </w:r>
            </w:hyperlink>
          </w:p>
          <w:p w14:paraId="0E2ADD03" w14:textId="77777777" w:rsidR="008A233A" w:rsidRPr="008A233A" w:rsidRDefault="008A233A" w:rsidP="008A233A">
            <w:pPr>
              <w:bidi w:val="0"/>
              <w:spacing w:before="100" w:beforeAutospacing="1" w:after="120" w:afterAutospacing="1" w:line="240" w:lineRule="exact"/>
              <w:ind w:left="283" w:hanging="283"/>
              <w:jc w:val="both"/>
              <w:rPr>
                <w:rFonts w:ascii="FrankRuehl" w:hAnsi="FrankRuehl" w:cs="FrankRuehl"/>
              </w:rPr>
            </w:pPr>
          </w:p>
          <w:p w14:paraId="1D6D6A53" w14:textId="77777777" w:rsidR="008A233A" w:rsidRPr="008A233A" w:rsidRDefault="008A233A" w:rsidP="009D7712">
            <w:pPr>
              <w:bidi w:val="0"/>
              <w:spacing w:before="100" w:beforeAutospacing="1" w:after="100" w:afterAutospacing="1" w:line="360" w:lineRule="auto"/>
              <w:jc w:val="center"/>
            </w:pPr>
            <w:bookmarkStart w:id="4" w:name="LawTable_End"/>
            <w:bookmarkEnd w:id="4"/>
          </w:p>
          <w:p w14:paraId="0994A867" w14:textId="77777777" w:rsidR="008A233A" w:rsidRPr="008A233A" w:rsidRDefault="008A233A" w:rsidP="009D7712">
            <w:pPr>
              <w:bidi w:val="0"/>
              <w:spacing w:before="100" w:beforeAutospacing="1" w:after="100" w:afterAutospacing="1" w:line="360" w:lineRule="auto"/>
              <w:jc w:val="center"/>
            </w:pPr>
          </w:p>
          <w:p w14:paraId="270D3E60" w14:textId="77777777" w:rsidR="008944F0" w:rsidRPr="008944F0" w:rsidRDefault="008944F0" w:rsidP="009D7712">
            <w:pPr>
              <w:bidi w:val="0"/>
              <w:spacing w:before="100" w:beforeAutospacing="1" w:after="100" w:afterAutospacing="1" w:line="360" w:lineRule="auto"/>
              <w:jc w:val="center"/>
            </w:pPr>
          </w:p>
          <w:p w14:paraId="421EC33D" w14:textId="77777777" w:rsidR="009D7712" w:rsidRPr="009D7712" w:rsidRDefault="007905AE" w:rsidP="009D7712">
            <w:pPr>
              <w:bidi w:val="0"/>
              <w:spacing w:before="100" w:beforeAutospacing="1" w:after="100" w:afterAutospacing="1" w:line="360" w:lineRule="auto"/>
              <w:jc w:val="center"/>
              <w:rPr>
                <w:rFonts w:cs="David"/>
                <w:b/>
                <w:bCs/>
                <w:szCs w:val="28"/>
                <w:u w:val="single"/>
                <w:rtl/>
              </w:rPr>
            </w:pPr>
            <w:r>
              <w:t xml:space="preserve"> </w:t>
            </w:r>
            <w:bookmarkStart w:id="5" w:name="PsakDin" w:colFirst="0" w:colLast="0"/>
            <w:r w:rsidR="009D7712" w:rsidRPr="009D7712">
              <w:rPr>
                <w:rFonts w:cs="David"/>
                <w:b/>
                <w:bCs/>
                <w:szCs w:val="28"/>
                <w:u w:val="single"/>
                <w:rtl/>
              </w:rPr>
              <w:t>הכרעת דין</w:t>
            </w:r>
          </w:p>
          <w:p w14:paraId="3134D740" w14:textId="77777777" w:rsidR="00D72E1C" w:rsidRPr="009D7712" w:rsidRDefault="00D72E1C" w:rsidP="009D7712">
            <w:pPr>
              <w:bidi w:val="0"/>
              <w:spacing w:before="100" w:beforeAutospacing="1" w:after="100" w:afterAutospacing="1" w:line="360" w:lineRule="auto"/>
              <w:jc w:val="center"/>
              <w:rPr>
                <w:bCs/>
              </w:rPr>
            </w:pPr>
          </w:p>
        </w:tc>
      </w:tr>
    </w:tbl>
    <w:bookmarkEnd w:id="5"/>
    <w:p w14:paraId="50D13298" w14:textId="77777777" w:rsidR="00B97A28" w:rsidRDefault="007905AE" w:rsidP="001E0398">
      <w:pPr>
        <w:spacing w:before="100" w:beforeAutospacing="1" w:after="100" w:afterAutospacing="1" w:line="360" w:lineRule="auto"/>
        <w:rPr>
          <w:rtl/>
        </w:rPr>
      </w:pPr>
      <w:r>
        <w:rPr>
          <w:rtl/>
        </w:rPr>
        <w:t xml:space="preserve"> </w:t>
      </w:r>
      <w:bookmarkStart w:id="6" w:name="ABSTRACT_START"/>
      <w:bookmarkEnd w:id="6"/>
      <w:r w:rsidR="00B97A28" w:rsidRPr="00B97A28">
        <w:rPr>
          <w:rFonts w:cs="David" w:hint="cs"/>
          <w:rtl/>
        </w:rPr>
        <w:t xml:space="preserve">נגד הנאשמים הוגש, במסגרת הסדר טיעון, כתב אישום מתוקן שבו יוחסו לנאשמים 2-1 עבירות של מעשה סדום, לפי </w:t>
      </w:r>
      <w:hyperlink r:id="rId12" w:history="1">
        <w:r w:rsidR="008A233A" w:rsidRPr="008A233A">
          <w:rPr>
            <w:rFonts w:cs="David"/>
            <w:color w:val="0000FF"/>
            <w:u w:val="single"/>
            <w:rtl/>
          </w:rPr>
          <w:t>סעיף 347(ב)</w:t>
        </w:r>
      </w:hyperlink>
      <w:r w:rsidR="00B97A28" w:rsidRPr="00B97A28">
        <w:rPr>
          <w:rFonts w:cs="David" w:hint="cs"/>
          <w:rtl/>
        </w:rPr>
        <w:t xml:space="preserve"> בנסיבות </w:t>
      </w:r>
      <w:hyperlink r:id="rId13" w:history="1">
        <w:r w:rsidR="008A233A" w:rsidRPr="008A233A">
          <w:rPr>
            <w:rFonts w:cs="David"/>
            <w:color w:val="0000FF"/>
            <w:u w:val="single"/>
            <w:rtl/>
          </w:rPr>
          <w:t>סעיף 345(א)(1) ו-(4)</w:t>
        </w:r>
      </w:hyperlink>
      <w:r w:rsidR="00B97A28" w:rsidRPr="00B97A28">
        <w:rPr>
          <w:rFonts w:cs="David" w:hint="cs"/>
          <w:rtl/>
        </w:rPr>
        <w:t xml:space="preserve"> ל</w:t>
      </w:r>
      <w:hyperlink r:id="rId14" w:history="1">
        <w:r w:rsidR="008944F0" w:rsidRPr="008944F0">
          <w:rPr>
            <w:rStyle w:val="Hyperlink"/>
            <w:rFonts w:cs="David"/>
            <w:rtl/>
          </w:rPr>
          <w:t>חוק העונשין</w:t>
        </w:r>
      </w:hyperlink>
      <w:r w:rsidR="00B97A28" w:rsidRPr="00B97A28">
        <w:rPr>
          <w:rFonts w:cs="David" w:hint="cs"/>
          <w:rtl/>
        </w:rPr>
        <w:t xml:space="preserve">, התשל"ז-1977 </w:t>
      </w:r>
      <w:r w:rsidR="00B97A28" w:rsidRPr="00B97A28">
        <w:rPr>
          <w:rFonts w:cs="David" w:hint="cs"/>
          <w:rtl/>
        </w:rPr>
        <w:lastRenderedPageBreak/>
        <w:t xml:space="preserve">(להלן </w:t>
      </w:r>
      <w:r w:rsidR="00B97A28" w:rsidRPr="00B97A28">
        <w:rPr>
          <w:rFonts w:cs="David" w:hint="cs"/>
          <w:b/>
          <w:bCs/>
          <w:rtl/>
        </w:rPr>
        <w:t>"חוק העונשין"</w:t>
      </w:r>
      <w:r w:rsidR="00B97A28" w:rsidRPr="00B97A28">
        <w:rPr>
          <w:rFonts w:cs="David" w:hint="cs"/>
          <w:rtl/>
        </w:rPr>
        <w:t xml:space="preserve">), ושל מעשים מגונים, לפי </w:t>
      </w:r>
      <w:hyperlink r:id="rId15" w:history="1">
        <w:r w:rsidR="008A233A" w:rsidRPr="008A233A">
          <w:rPr>
            <w:rFonts w:cs="David"/>
            <w:color w:val="0000FF"/>
            <w:u w:val="single"/>
            <w:rtl/>
          </w:rPr>
          <w:t>סעיף 348(א)</w:t>
        </w:r>
      </w:hyperlink>
      <w:r w:rsidR="00B97A28" w:rsidRPr="00B97A28">
        <w:rPr>
          <w:rFonts w:cs="David" w:hint="cs"/>
          <w:rtl/>
        </w:rPr>
        <w:t xml:space="preserve"> בנסיבות </w:t>
      </w:r>
      <w:hyperlink r:id="rId16" w:history="1">
        <w:r w:rsidR="008A233A" w:rsidRPr="008A233A">
          <w:rPr>
            <w:rFonts w:cs="David"/>
            <w:color w:val="0000FF"/>
            <w:u w:val="single"/>
            <w:rtl/>
          </w:rPr>
          <w:t>סעיף 345(א)(3) ו-(4)</w:t>
        </w:r>
      </w:hyperlink>
      <w:r w:rsidR="00B97A28" w:rsidRPr="00B97A28">
        <w:rPr>
          <w:rFonts w:cs="David" w:hint="cs"/>
          <w:rtl/>
        </w:rPr>
        <w:t xml:space="preserve"> לחוק העונשין. לנאשם 3 יוחסה עבירה של מעשה סדום, לפי </w:t>
      </w:r>
      <w:hyperlink r:id="rId17" w:history="1">
        <w:r w:rsidR="008A233A" w:rsidRPr="008A233A">
          <w:rPr>
            <w:rFonts w:cs="David"/>
            <w:color w:val="0000FF"/>
            <w:u w:val="single"/>
            <w:rtl/>
          </w:rPr>
          <w:t>סעיף 347(ב)</w:t>
        </w:r>
      </w:hyperlink>
      <w:r w:rsidR="00B97A28" w:rsidRPr="00B97A28">
        <w:rPr>
          <w:rFonts w:cs="David" w:hint="cs"/>
          <w:rtl/>
        </w:rPr>
        <w:t xml:space="preserve"> בנסיבות </w:t>
      </w:r>
      <w:hyperlink r:id="rId18" w:history="1">
        <w:r w:rsidR="008A233A" w:rsidRPr="008A233A">
          <w:rPr>
            <w:rFonts w:cs="David"/>
            <w:color w:val="0000FF"/>
            <w:u w:val="single"/>
            <w:rtl/>
          </w:rPr>
          <w:t>סעיף 345(א)(1) ו-(4)</w:t>
        </w:r>
      </w:hyperlink>
      <w:r w:rsidR="00B97A28" w:rsidRPr="00B97A28">
        <w:rPr>
          <w:rFonts w:cs="David" w:hint="cs"/>
          <w:rtl/>
        </w:rPr>
        <w:t xml:space="preserve"> ל</w:t>
      </w:r>
      <w:hyperlink r:id="rId19" w:history="1">
        <w:r w:rsidR="008944F0" w:rsidRPr="008944F0">
          <w:rPr>
            <w:rStyle w:val="Hyperlink"/>
            <w:rFonts w:cs="David"/>
            <w:rtl/>
          </w:rPr>
          <w:t>חוק העונשין</w:t>
        </w:r>
      </w:hyperlink>
      <w:r w:rsidR="00B97A28" w:rsidRPr="00B97A28">
        <w:rPr>
          <w:rFonts w:cs="David" w:hint="cs"/>
          <w:rtl/>
        </w:rPr>
        <w:t xml:space="preserve">. </w:t>
      </w:r>
    </w:p>
    <w:p w14:paraId="048ECAB0" w14:textId="77777777" w:rsidR="00B97A28" w:rsidRDefault="007905AE" w:rsidP="001A22E9">
      <w:pPr>
        <w:spacing w:before="100" w:beforeAutospacing="1" w:after="100" w:afterAutospacing="1" w:line="360" w:lineRule="auto"/>
        <w:jc w:val="both"/>
        <w:rPr>
          <w:rtl/>
        </w:rPr>
      </w:pPr>
      <w:bookmarkStart w:id="7" w:name="ABSTRACT_END"/>
      <w:bookmarkEnd w:id="7"/>
      <w:r>
        <w:rPr>
          <w:rtl/>
        </w:rPr>
        <w:t xml:space="preserve"> </w:t>
      </w:r>
    </w:p>
    <w:p w14:paraId="750270C4" w14:textId="77777777" w:rsidR="00B97A28" w:rsidRDefault="00B97A28" w:rsidP="001A22E9">
      <w:pPr>
        <w:spacing w:before="100" w:beforeAutospacing="1" w:after="100" w:afterAutospacing="1" w:line="360" w:lineRule="auto"/>
        <w:jc w:val="both"/>
        <w:rPr>
          <w:rtl/>
        </w:rPr>
      </w:pPr>
      <w:r w:rsidRPr="00B97A28">
        <w:rPr>
          <w:rFonts w:cs="David" w:hint="cs"/>
          <w:rtl/>
        </w:rPr>
        <w:t>מהעובדות המתוארות בכתב האישום, שאינן שנויות במחלוקת, עולה כי הנאשמים, שהיו קטינים במועד הרלבנטי, נפגשו, ביום 12.7.08, בסמוך לשעה 02:00, עם המתלוננת, קטינה ילידת 7.9.94, בגן ציבורי בהרצליה. החבורה וכן קטינים אחרים שהיו במקום שתו משקאות אלכוהוליים, ונאשמים</w:t>
      </w:r>
      <w:r w:rsidRPr="00B97A28">
        <w:rPr>
          <w:rFonts w:cs="David" w:hint="cs"/>
          <w:rtl/>
        </w:rPr>
        <w:br w:type="textWrapping" w:clear="all"/>
        <w:t xml:space="preserve">2-1 הציעו למתלוננת להצטרף אליהם לשתיית המשקה. המתלוננת שתתה כמות גדולה של משקה אלכוהולי, ובשלב מסויים ביקשה מנאשם 3 </w:t>
      </w:r>
      <w:r w:rsidRPr="00B97A28">
        <w:rPr>
          <w:rFonts w:cs="David" w:hint="cs"/>
          <w:b/>
          <w:bCs/>
          <w:rtl/>
        </w:rPr>
        <w:t>"לשמור עליה שלא תשתכר"</w:t>
      </w:r>
      <w:r w:rsidRPr="00B97A28">
        <w:rPr>
          <w:rFonts w:cs="David" w:hint="cs"/>
          <w:rtl/>
        </w:rPr>
        <w:t xml:space="preserve">, כלשון כתב האישום. בעקבות כך נמצאה המתלוננת, אשר שתתה לשוכרה, במצב המונע ממנה ליתן הסכמה חופשית ומצבה אף לא אפשר לה להתהלך באופן עצמאי. </w:t>
      </w:r>
    </w:p>
    <w:p w14:paraId="79ACFD32" w14:textId="77777777" w:rsidR="00B97A28" w:rsidRDefault="00B97A28" w:rsidP="001A22E9">
      <w:pPr>
        <w:spacing w:before="100" w:beforeAutospacing="1" w:after="100" w:afterAutospacing="1" w:line="360" w:lineRule="auto"/>
        <w:jc w:val="both"/>
        <w:rPr>
          <w:rtl/>
        </w:rPr>
      </w:pPr>
      <w:r w:rsidRPr="00B97A28">
        <w:rPr>
          <w:rFonts w:cs="David" w:hint="cs"/>
          <w:rtl/>
        </w:rPr>
        <w:t>נאשמים 2-1 הובילו את המתלוננת לעבר פינה בגן הציבורי, מאחורי ביתן שהיה במקום, והשכיבו אותה על הרצפה. נאשם 1 ביצע בקטינה מעשה סדום בכך שהחדיר את איבר מינו לפיה, בנוכחות נאשם 2 וכן ליטף את גופה, נגע בחזה, נשק לה בפיה ונשכב מעליה כשהוא מצמיד את גופו לגופה.</w:t>
      </w:r>
    </w:p>
    <w:p w14:paraId="7C7A59E0" w14:textId="77777777" w:rsidR="00B97A28" w:rsidRDefault="00B97A28" w:rsidP="001A22E9">
      <w:pPr>
        <w:spacing w:before="100" w:beforeAutospacing="1" w:after="100" w:afterAutospacing="1" w:line="360" w:lineRule="auto"/>
        <w:jc w:val="both"/>
        <w:rPr>
          <w:rtl/>
        </w:rPr>
      </w:pPr>
      <w:r w:rsidRPr="00B97A28">
        <w:rPr>
          <w:rFonts w:cs="David" w:hint="cs"/>
          <w:rtl/>
        </w:rPr>
        <w:t xml:space="preserve">נאשם 2 ביצע, אף הוא, במתלוננת מעשה סדום בכך שהחדיר את איבר מינו לפיה, בנוכחות נאשם 1, וכן ליטף את שדיה, נשק לה בפיה ונגע בידו באיבר מינה. </w:t>
      </w:r>
    </w:p>
    <w:p w14:paraId="7CD6EA2C" w14:textId="77777777" w:rsidR="00B97A28" w:rsidRDefault="00B97A28" w:rsidP="001A22E9">
      <w:pPr>
        <w:spacing w:before="100" w:beforeAutospacing="1" w:after="100" w:afterAutospacing="1" w:line="360" w:lineRule="auto"/>
        <w:jc w:val="both"/>
        <w:rPr>
          <w:rtl/>
        </w:rPr>
      </w:pPr>
      <w:r w:rsidRPr="00B97A28">
        <w:rPr>
          <w:rFonts w:cs="David" w:hint="cs"/>
          <w:rtl/>
        </w:rPr>
        <w:t xml:space="preserve">גם נאשם 3 ניצל את מצבה של המתלוננת כמתואר לעיל, וביצע בה מעשה סדום בכך שהחדיר את איבר מינו לפיה, בהיותו מודע לכך כי היא נתונה במצב המונע את התנגדותה. </w:t>
      </w:r>
    </w:p>
    <w:p w14:paraId="5BE2874E" w14:textId="77777777" w:rsidR="00B97A28" w:rsidRDefault="00B97A28" w:rsidP="001A22E9">
      <w:pPr>
        <w:spacing w:before="100" w:beforeAutospacing="1" w:after="100" w:afterAutospacing="1" w:line="360" w:lineRule="auto"/>
        <w:jc w:val="both"/>
        <w:rPr>
          <w:rtl/>
        </w:rPr>
      </w:pPr>
      <w:r w:rsidRPr="00B97A28">
        <w:rPr>
          <w:rFonts w:cs="David" w:hint="cs"/>
          <w:rtl/>
        </w:rPr>
        <w:t xml:space="preserve">כפי שצויין בכתב האישום, הנאשמים ראו איש את מעשה רעהו, וגם קטינים אחרים, שהיו בגן אותה עת, צפו אף הם באירוע הקשה. בסמוך לשעה 05:00 לפנות בוקר, נמלטו הנאשמים מהגן הציבורי, לאחר שסיירת של עירית הרצליה הגיעה למקום, תוך שהם נוטשים את המתלוננת במקום כשהיא שיכורה, יחפה ומכנסיה פתוחים. </w:t>
      </w:r>
    </w:p>
    <w:p w14:paraId="1C6D95C7" w14:textId="77777777" w:rsidR="00B97A28" w:rsidRDefault="00B97A28" w:rsidP="001A22E9">
      <w:pPr>
        <w:spacing w:before="100" w:beforeAutospacing="1" w:after="100" w:afterAutospacing="1" w:line="360" w:lineRule="auto"/>
        <w:jc w:val="both"/>
        <w:rPr>
          <w:rtl/>
        </w:rPr>
      </w:pPr>
      <w:r w:rsidRPr="00B97A28">
        <w:rPr>
          <w:rFonts w:cs="David" w:hint="cs"/>
          <w:rtl/>
        </w:rPr>
        <w:t xml:space="preserve">בהיותם קטינים הופנו כל הנאשמים אל שירות המבחן לנוער לצורך קבלת תסקיר מבחן בעניינם. במסגרת התסקיר התייחס שירות המבחן גם לשאלה אם יש להרשיע את הנאשמים בעבירות המיוחסות להם. </w:t>
      </w:r>
    </w:p>
    <w:p w14:paraId="3317AFFC" w14:textId="77777777" w:rsidR="00B97A28" w:rsidRDefault="00B97A28" w:rsidP="001A22E9">
      <w:pPr>
        <w:spacing w:before="100" w:beforeAutospacing="1" w:after="100" w:afterAutospacing="1" w:line="360" w:lineRule="auto"/>
        <w:jc w:val="both"/>
        <w:rPr>
          <w:rtl/>
        </w:rPr>
      </w:pPr>
      <w:r w:rsidRPr="00B97A28">
        <w:rPr>
          <w:rFonts w:cs="David" w:hint="cs"/>
          <w:rtl/>
        </w:rPr>
        <w:t xml:space="preserve">ככל שהדבר נוגע לנאשמים 3-2, המליץ שירות המבחן להרשיעם בביצוע העבירות, ובאי כוחם לא הביעו כל התנגדות לכך. </w:t>
      </w:r>
    </w:p>
    <w:p w14:paraId="2EC73555" w14:textId="77777777" w:rsidR="00B97A28" w:rsidRDefault="007905AE" w:rsidP="001A22E9">
      <w:pPr>
        <w:spacing w:before="100" w:beforeAutospacing="1" w:after="100" w:afterAutospacing="1" w:line="360" w:lineRule="auto"/>
        <w:jc w:val="both"/>
        <w:rPr>
          <w:rtl/>
        </w:rPr>
      </w:pPr>
      <w:r>
        <w:rPr>
          <w:rtl/>
        </w:rPr>
        <w:t xml:space="preserve"> </w:t>
      </w:r>
    </w:p>
    <w:p w14:paraId="2B55CF1A" w14:textId="77777777" w:rsidR="00B97A28" w:rsidRDefault="00B97A28" w:rsidP="001A22E9">
      <w:pPr>
        <w:spacing w:before="100" w:beforeAutospacing="1" w:after="100" w:afterAutospacing="1" w:line="360" w:lineRule="auto"/>
        <w:jc w:val="both"/>
        <w:rPr>
          <w:rtl/>
        </w:rPr>
      </w:pPr>
      <w:r w:rsidRPr="00B97A28">
        <w:rPr>
          <w:rFonts w:cs="David" w:hint="cs"/>
          <w:rtl/>
        </w:rPr>
        <w:lastRenderedPageBreak/>
        <w:t xml:space="preserve">אשר לנאשם 1, המליץ שירות המבחן בתסקיר האחרון שניתן בעניינו ביום 14.3.2010, להמנע מהרשעה </w:t>
      </w:r>
      <w:r w:rsidRPr="00B97A28">
        <w:rPr>
          <w:rFonts w:cs="David" w:hint="cs"/>
          <w:b/>
          <w:bCs/>
          <w:rtl/>
        </w:rPr>
        <w:t xml:space="preserve">"שכן ההתרשמות הינה כי </w:t>
      </w:r>
      <w:r w:rsidR="001A22E9">
        <w:rPr>
          <w:rFonts w:cs="David" w:hint="cs"/>
          <w:b/>
          <w:bCs/>
          <w:rtl/>
        </w:rPr>
        <w:t>***</w:t>
      </w:r>
      <w:r w:rsidRPr="00B97A28">
        <w:rPr>
          <w:rFonts w:cs="David" w:hint="cs"/>
          <w:b/>
          <w:bCs/>
          <w:rtl/>
        </w:rPr>
        <w:t xml:space="preserve"> בונה לעצמו בלמים פנימיים משמעותיים"</w:t>
      </w:r>
      <w:r w:rsidRPr="00B97A28">
        <w:rPr>
          <w:rFonts w:cs="David" w:hint="cs"/>
          <w:rtl/>
        </w:rPr>
        <w:t xml:space="preserve">. עוד הומלץ בתסקיר להשאיר את נאשם 1 תחת פיקוח שירות המבחן ולשלבו בטיפול קבוצתי ופרטני, לשם פיתוח מוקדי שליטה פנימיים וקשרים חברתיים הולמים. </w:t>
      </w:r>
    </w:p>
    <w:p w14:paraId="15F6EE64" w14:textId="77777777" w:rsidR="00B97A28" w:rsidRDefault="00B97A28" w:rsidP="001A22E9">
      <w:pPr>
        <w:spacing w:before="100" w:beforeAutospacing="1" w:after="100" w:afterAutospacing="1" w:line="360" w:lineRule="auto"/>
        <w:jc w:val="both"/>
        <w:rPr>
          <w:rtl/>
        </w:rPr>
      </w:pPr>
      <w:r w:rsidRPr="00B97A28">
        <w:rPr>
          <w:rFonts w:cs="David" w:hint="cs"/>
          <w:rtl/>
        </w:rPr>
        <w:t xml:space="preserve">ב"כ נאשם 1, עו"ד ששי גז, טען כי לנוכח המלצתו זו של שירות המבחן, על בית המשפט להמנע מהרשעתו של הנאשם, ומן הראוי לשים את הדגש על ההיבט השיקומי, שימומש בהתאם לתכנית פעולה שפורטה בתסקירי שירות המבחן. עו"ד גז ציין כי הנאשם הינו יליד 21.3.93 והוא מבוגר אך במעט מהמתלוננת. נאשם זה פעל תחת השפעת אלכוהול, והוא מצר עד מאוד על הפגיעה במתלוננת, כפי שהדבר עולה ממכתב אישי ששלח לה, בו הוא מביע את צערו על הפגיעה הגופנית והנפשית שנגרמה לה. </w:t>
      </w:r>
    </w:p>
    <w:p w14:paraId="3D2432EB" w14:textId="77777777" w:rsidR="00B97A28" w:rsidRDefault="007905AE" w:rsidP="001A22E9">
      <w:pPr>
        <w:spacing w:before="100" w:beforeAutospacing="1" w:after="100" w:afterAutospacing="1" w:line="360" w:lineRule="auto"/>
        <w:jc w:val="both"/>
        <w:rPr>
          <w:rtl/>
        </w:rPr>
      </w:pPr>
      <w:r>
        <w:rPr>
          <w:rtl/>
        </w:rPr>
        <w:t xml:space="preserve"> </w:t>
      </w:r>
    </w:p>
    <w:p w14:paraId="30C22AE1" w14:textId="77777777" w:rsidR="00B97A28" w:rsidRDefault="00B97A28" w:rsidP="001A22E9">
      <w:pPr>
        <w:spacing w:before="100" w:beforeAutospacing="1" w:after="100" w:afterAutospacing="1" w:line="360" w:lineRule="auto"/>
        <w:jc w:val="both"/>
        <w:rPr>
          <w:rtl/>
        </w:rPr>
      </w:pPr>
      <w:r w:rsidRPr="00B97A28">
        <w:rPr>
          <w:rFonts w:cs="David" w:hint="cs"/>
          <w:rtl/>
        </w:rPr>
        <w:t xml:space="preserve">השיקולים אשר ידריכו את ביהמ"ש, בבואו להחליט אם להמנע מהרשעתו של נאשם אם לאו, סוכמו במספר פסקי דין מנחים אשר ניתנו על ידי בית המשפט העליון. </w:t>
      </w:r>
    </w:p>
    <w:p w14:paraId="23F3B47C" w14:textId="77777777" w:rsidR="00B97A28" w:rsidRDefault="00B97A28" w:rsidP="001A22E9">
      <w:pPr>
        <w:spacing w:before="100" w:beforeAutospacing="1" w:after="100" w:afterAutospacing="1" w:line="360" w:lineRule="auto"/>
        <w:jc w:val="both"/>
        <w:rPr>
          <w:rtl/>
        </w:rPr>
      </w:pPr>
      <w:r w:rsidRPr="00B97A28">
        <w:rPr>
          <w:rFonts w:cs="David" w:hint="cs"/>
          <w:rtl/>
        </w:rPr>
        <w:t>ב</w:t>
      </w:r>
      <w:hyperlink r:id="rId20" w:history="1">
        <w:r w:rsidR="007905AE" w:rsidRPr="007905AE">
          <w:rPr>
            <w:rStyle w:val="Hyperlink"/>
            <w:rFonts w:cs="David"/>
            <w:rtl/>
          </w:rPr>
          <w:t>ע"פ 2083/96 תמר כתב נ' מדינת ישראל, פ"ד נב</w:t>
        </w:r>
      </w:hyperlink>
      <w:r w:rsidRPr="00B97A28">
        <w:rPr>
          <w:rFonts w:cs="David" w:hint="cs"/>
          <w:rtl/>
        </w:rPr>
        <w:t>(3) 337, נקבע כי המנעות מהרשעתו של נאשם, אשר הוכח כי ביצע עבירה, היא בגדר מעשה חריג וניתן לנקוט בדרך זו רק במקרים יוצאי דופן. המבחנים העיקריים אשר נקבעו בפסק דין זה, להמנעות מהרשעה אפשרית, הם שניים אלה:</w:t>
      </w:r>
    </w:p>
    <w:p w14:paraId="575FBC1B" w14:textId="77777777" w:rsidR="00B97A28" w:rsidRDefault="00B97A28" w:rsidP="001A22E9">
      <w:pPr>
        <w:spacing w:before="100" w:beforeAutospacing="1" w:after="100" w:afterAutospacing="1" w:line="360" w:lineRule="auto"/>
        <w:ind w:left="900" w:right="720"/>
        <w:jc w:val="both"/>
        <w:rPr>
          <w:rtl/>
        </w:rPr>
      </w:pPr>
      <w:r w:rsidRPr="00B97A28">
        <w:rPr>
          <w:rFonts w:cs="David" w:hint="cs"/>
          <w:b/>
          <w:bCs/>
          <w:rtl/>
        </w:rPr>
        <w:t xml:space="preserve">"ראשית, על ההרשעה לפגוע פגיעה חמורה בשיקום הנאשם; ושנית, סוג העבירה מאפשר לוותר בנסיבות המקרה המסויים על ההרשעה מבלי לפגוע באופן מהותי בשיקולי הענישה האחרים ". </w:t>
      </w:r>
      <w:r w:rsidRPr="00B97A28">
        <w:rPr>
          <w:rFonts w:cs="David" w:hint="cs"/>
          <w:rtl/>
        </w:rPr>
        <w:t xml:space="preserve">(וראו גם </w:t>
      </w:r>
      <w:hyperlink r:id="rId21" w:history="1">
        <w:r w:rsidR="008A233A" w:rsidRPr="008A233A">
          <w:rPr>
            <w:rFonts w:cs="David"/>
            <w:color w:val="0000FF"/>
            <w:u w:val="single"/>
            <w:rtl/>
          </w:rPr>
          <w:t>רע"פ 6915 גומייד נ' מ"י</w:t>
        </w:r>
      </w:hyperlink>
      <w:r w:rsidRPr="00B97A28">
        <w:rPr>
          <w:rFonts w:cs="David" w:hint="cs"/>
          <w:rtl/>
        </w:rPr>
        <w:t xml:space="preserve">, לא פורסם, ניתן ביום 14.12.03) </w:t>
      </w:r>
    </w:p>
    <w:p w14:paraId="0EC04774" w14:textId="77777777" w:rsidR="00B97A28" w:rsidRDefault="00B97A28" w:rsidP="001A22E9">
      <w:pPr>
        <w:spacing w:before="100" w:beforeAutospacing="1" w:after="100" w:afterAutospacing="1" w:line="360" w:lineRule="auto"/>
        <w:jc w:val="both"/>
        <w:rPr>
          <w:rtl/>
        </w:rPr>
      </w:pPr>
      <w:r w:rsidRPr="00B97A28">
        <w:rPr>
          <w:rFonts w:cs="David" w:hint="cs"/>
          <w:rtl/>
        </w:rPr>
        <w:t xml:space="preserve">השימוש בסמכותו של בית המשפט להמנע מהרשעה, יעשה כאשר יש בעצם ההרשעה משום תגובה קשה במיוחד מבחינתו של העבריין, דבר שיש לו השלכה משמעותית על עתידו ועל סיכויי שיקומו. המלומד קדמי מציין בספרו, על סדר הדין בפלילים, חלק שני, מהדורה מעודכנת, תשס"ג 2003, בעמ' 1105, כי נסיבות חריגות אלה עשויות לבוא לידי ביטוי כאשר </w:t>
      </w:r>
      <w:r w:rsidRPr="00B97A28">
        <w:rPr>
          <w:rFonts w:cs="David" w:hint="cs"/>
          <w:b/>
          <w:bCs/>
          <w:rtl/>
        </w:rPr>
        <w:t>"ההרשעה כמוה 'כמכת מוות' על הנאשם"</w:t>
      </w:r>
      <w:r w:rsidRPr="00B97A28">
        <w:rPr>
          <w:rFonts w:cs="David" w:hint="cs"/>
          <w:rtl/>
        </w:rPr>
        <w:t>.</w:t>
      </w:r>
    </w:p>
    <w:p w14:paraId="0181F959" w14:textId="77777777" w:rsidR="00B97A28" w:rsidRDefault="007905AE" w:rsidP="001A22E9">
      <w:pPr>
        <w:spacing w:before="100" w:beforeAutospacing="1" w:after="100" w:afterAutospacing="1" w:line="360" w:lineRule="auto"/>
        <w:jc w:val="both"/>
        <w:rPr>
          <w:rtl/>
        </w:rPr>
      </w:pPr>
      <w:r>
        <w:rPr>
          <w:rtl/>
        </w:rPr>
        <w:t xml:space="preserve"> </w:t>
      </w:r>
    </w:p>
    <w:p w14:paraId="72477464" w14:textId="77777777" w:rsidR="00B97A28" w:rsidRDefault="007905AE" w:rsidP="001A22E9">
      <w:pPr>
        <w:spacing w:before="100" w:beforeAutospacing="1" w:after="100" w:afterAutospacing="1" w:line="360" w:lineRule="auto"/>
        <w:jc w:val="both"/>
        <w:rPr>
          <w:rtl/>
        </w:rPr>
      </w:pPr>
      <w:r>
        <w:rPr>
          <w:rtl/>
        </w:rPr>
        <w:t xml:space="preserve"> </w:t>
      </w:r>
    </w:p>
    <w:p w14:paraId="3A490ED9" w14:textId="77777777" w:rsidR="00B97A28" w:rsidRDefault="00B97A28" w:rsidP="001A22E9">
      <w:pPr>
        <w:spacing w:before="100" w:beforeAutospacing="1" w:after="100" w:afterAutospacing="1" w:line="360" w:lineRule="auto"/>
        <w:jc w:val="both"/>
        <w:rPr>
          <w:rtl/>
        </w:rPr>
      </w:pPr>
      <w:r w:rsidRPr="00B97A28">
        <w:rPr>
          <w:rFonts w:cs="David" w:hint="cs"/>
          <w:rtl/>
        </w:rPr>
        <w:t>כאשר מ</w:t>
      </w:r>
      <w:smartTag w:uri="urn:schemas-microsoft-com:office:smarttags" w:element="PersonName">
        <w:r w:rsidRPr="00B97A28">
          <w:rPr>
            <w:rFonts w:cs="David" w:hint="cs"/>
            <w:rtl/>
          </w:rPr>
          <w:t>דובר</w:t>
        </w:r>
      </w:smartTag>
      <w:r w:rsidRPr="00B97A28">
        <w:rPr>
          <w:rFonts w:cs="David" w:hint="cs"/>
          <w:rtl/>
        </w:rPr>
        <w:t xml:space="preserve"> בנאשם שהינו קטין, על ביהמ"ש ליתן משקל יתר לנסיבותיו האישיות, לגילו, סיכויי שיקומו, ואז </w:t>
      </w:r>
      <w:r w:rsidRPr="00B97A28">
        <w:rPr>
          <w:rFonts w:cs="David" w:hint="cs"/>
          <w:b/>
          <w:bCs/>
          <w:rtl/>
        </w:rPr>
        <w:t>"הנכונות לסטות מחובת מיצוי הדין ולהמנע מהרשעה תוך הדגשת עניינו של הפרט תהא נדירה פחות"</w:t>
      </w:r>
      <w:r w:rsidRPr="00B97A28">
        <w:rPr>
          <w:rFonts w:cs="David" w:hint="cs"/>
          <w:rtl/>
        </w:rPr>
        <w:t xml:space="preserve"> (</w:t>
      </w:r>
      <w:hyperlink r:id="rId22" w:history="1">
        <w:r w:rsidR="007905AE" w:rsidRPr="007905AE">
          <w:rPr>
            <w:rStyle w:val="Hyperlink"/>
            <w:rFonts w:cs="David"/>
            <w:rtl/>
          </w:rPr>
          <w:t>ע"פ 2669/00 מ"י נ' פלוני, פ"ד נד</w:t>
        </w:r>
      </w:hyperlink>
      <w:r w:rsidRPr="00B97A28">
        <w:rPr>
          <w:rFonts w:cs="David" w:hint="cs"/>
          <w:rtl/>
        </w:rPr>
        <w:t xml:space="preserve">(3) 685, בעמ' 691). </w:t>
      </w:r>
    </w:p>
    <w:p w14:paraId="1FCB7D37" w14:textId="77777777" w:rsidR="00B97A28" w:rsidRDefault="00B97A28" w:rsidP="001A22E9">
      <w:pPr>
        <w:spacing w:before="100" w:beforeAutospacing="1" w:after="100" w:afterAutospacing="1" w:line="360" w:lineRule="auto"/>
        <w:jc w:val="both"/>
        <w:rPr>
          <w:rtl/>
        </w:rPr>
      </w:pPr>
      <w:r w:rsidRPr="00B97A28">
        <w:rPr>
          <w:rFonts w:cs="David" w:hint="cs"/>
          <w:rtl/>
        </w:rPr>
        <w:lastRenderedPageBreak/>
        <w:t>עם זאת, נקבע באותו פס"ד כי כנגד שיקולי הפרט יעמוד השיקול הציבורי, במסגרתו ישקלו חומרת העבירה וצורכי ההרתעה וההגנה על הציבור. במקרים מעין אלה עשוי לגבור האינטרס הציבורי המבקש למצות את הדין ולהרשיע את הנאשם, גם כאשר מ</w:t>
      </w:r>
      <w:smartTag w:uri="urn:schemas-microsoft-com:office:smarttags" w:element="PersonName">
        <w:r w:rsidRPr="00B97A28">
          <w:rPr>
            <w:rFonts w:cs="David" w:hint="cs"/>
            <w:rtl/>
          </w:rPr>
          <w:t>דובר</w:t>
        </w:r>
      </w:smartTag>
      <w:r w:rsidRPr="00B97A28">
        <w:rPr>
          <w:rFonts w:cs="David" w:hint="cs"/>
          <w:rtl/>
        </w:rPr>
        <w:t xml:space="preserve"> בקטין. </w:t>
      </w:r>
    </w:p>
    <w:p w14:paraId="5C8F6D69" w14:textId="77777777" w:rsidR="00B97A28" w:rsidRDefault="00B97A28" w:rsidP="001A22E9">
      <w:pPr>
        <w:spacing w:before="100" w:beforeAutospacing="1" w:after="100" w:afterAutospacing="1" w:line="360" w:lineRule="auto"/>
        <w:jc w:val="both"/>
        <w:rPr>
          <w:rtl/>
        </w:rPr>
      </w:pPr>
      <w:r w:rsidRPr="00B97A28">
        <w:rPr>
          <w:rFonts w:cs="David" w:hint="cs"/>
          <w:rtl/>
        </w:rPr>
        <w:t xml:space="preserve">באותו פסק דין החליט ביהמ"ש העליון לקבל את ערעורה של המדינה, ככל שהדבר נוגע לשלושה מבין ארבעה קטינים, ולהרשיעם בעבירה המיוחסת להם, שהינה דומה בנסיבותיה לעבירה המפורטת בכתב האישום בתיק זה. לגבי אחד הקטינים, שהיה כבן 14 בלבד במועד ביצוע העבירה, נקבע כי גילו הצעיר מצדיק סטיה מהכלל והמנעות מהרשעתו בעבירות שיוחסו לו. </w:t>
      </w:r>
    </w:p>
    <w:p w14:paraId="05654B76" w14:textId="77777777" w:rsidR="00B97A28" w:rsidRDefault="00B97A28" w:rsidP="001A22E9">
      <w:pPr>
        <w:spacing w:before="100" w:beforeAutospacing="1" w:after="100" w:afterAutospacing="1" w:line="360" w:lineRule="auto"/>
        <w:jc w:val="both"/>
        <w:rPr>
          <w:rtl/>
        </w:rPr>
      </w:pPr>
      <w:r w:rsidRPr="00B97A28">
        <w:rPr>
          <w:rFonts w:cs="David" w:hint="cs"/>
          <w:rtl/>
        </w:rPr>
        <w:t>ב</w:t>
      </w:r>
      <w:hyperlink r:id="rId23" w:history="1">
        <w:r w:rsidR="007905AE" w:rsidRPr="007905AE">
          <w:rPr>
            <w:rStyle w:val="Hyperlink"/>
            <w:rFonts w:cs="David"/>
            <w:rtl/>
          </w:rPr>
          <w:t>ע"פ 9262/03 פלוני נ' מ"י, פ"ד נח</w:t>
        </w:r>
      </w:hyperlink>
      <w:r w:rsidRPr="00B97A28">
        <w:rPr>
          <w:rFonts w:cs="David" w:hint="cs"/>
          <w:rtl/>
        </w:rPr>
        <w:t>(4) 869, דחה בית המשפט העליון ערעור שהוגש על ידי קטין, אשר הורשע בביצוע עבירה של בעילה אסורה בהסכמה של קטינה אחרת, בצוותא חדא עם קטינים נוספים. בית המשפט העליון חזר וציין כי על בית המשפט לאזן בין האינטרסים שונים, תוך מתן משקל יתר לנסיבותיו האישיות של הקטין, לגילו, לנזק הצפוי לו בגין ההרשעה, לאפשרויות הטיפול בו ולסיכויי שיקומו. לצד זאת יש ליתן משקל גם לטיב העבירה וחומרתה ולצרכי ההרתעה, המניעה, הגמול, והגנה על הציבור. כאמור, במלאכת האיזון שנעשתה על ידי בית המשפט העליון נמצא כי האינטרס הציבורי המחייב את הרשעתו של הנאשם – גובר.</w:t>
      </w:r>
    </w:p>
    <w:p w14:paraId="1A0C9A14" w14:textId="77777777" w:rsidR="00B97A28" w:rsidRDefault="007905AE" w:rsidP="001A22E9">
      <w:pPr>
        <w:spacing w:before="100" w:beforeAutospacing="1" w:after="100" w:afterAutospacing="1" w:line="360" w:lineRule="auto"/>
        <w:jc w:val="both"/>
        <w:rPr>
          <w:rtl/>
        </w:rPr>
      </w:pPr>
      <w:r>
        <w:rPr>
          <w:rtl/>
        </w:rPr>
        <w:t xml:space="preserve"> </w:t>
      </w:r>
    </w:p>
    <w:p w14:paraId="707FAB2F" w14:textId="77777777" w:rsidR="00B97A28" w:rsidRDefault="00B97A28" w:rsidP="001A22E9">
      <w:pPr>
        <w:spacing w:before="100" w:beforeAutospacing="1" w:after="100" w:afterAutospacing="1" w:line="360" w:lineRule="auto"/>
        <w:jc w:val="both"/>
        <w:rPr>
          <w:rtl/>
        </w:rPr>
      </w:pPr>
      <w:r w:rsidRPr="00B97A28">
        <w:rPr>
          <w:rFonts w:cs="David" w:hint="cs"/>
          <w:rtl/>
        </w:rPr>
        <w:t xml:space="preserve">בענייננו וכאמור, היה מעורב הנאשם 1, ביחד עם הנאשמים 3-2, במעשים חמורים ביותר אשר בוצעו במתלוננת, שהושקתה על ידם לשוכרה והיתה במצב המונע ממנה כל יכולת להתנגד, כאשר הוא מחדיר את איבר מינו לפיה ומבצע בה מעשים מגונים נוספים, כמתואר בכתב האישום. המעשים נעשו בנוכחות הנאשמים האחרים וקטינים נוספים שהיו במקום, ולבסוף הופקרה הקטינה כשהיא נתונה במצב של שיכרות ומעורטלת למחצה, בגן הציבורי בו ביצע הנאשם את זממו. </w:t>
      </w:r>
    </w:p>
    <w:p w14:paraId="6CD71392" w14:textId="77777777" w:rsidR="00B97A28" w:rsidRDefault="007905AE" w:rsidP="001A22E9">
      <w:pPr>
        <w:spacing w:before="100" w:beforeAutospacing="1" w:after="100" w:afterAutospacing="1" w:line="360" w:lineRule="auto"/>
        <w:jc w:val="both"/>
        <w:rPr>
          <w:rtl/>
        </w:rPr>
      </w:pPr>
      <w:r>
        <w:rPr>
          <w:rtl/>
        </w:rPr>
        <w:t xml:space="preserve"> </w:t>
      </w:r>
    </w:p>
    <w:p w14:paraId="1216BEA7" w14:textId="77777777" w:rsidR="00B97A28" w:rsidRDefault="00B97A28" w:rsidP="001A22E9">
      <w:pPr>
        <w:spacing w:before="100" w:beforeAutospacing="1" w:after="100" w:afterAutospacing="1" w:line="360" w:lineRule="auto"/>
        <w:jc w:val="both"/>
        <w:rPr>
          <w:rtl/>
        </w:rPr>
      </w:pPr>
      <w:r w:rsidRPr="00B97A28">
        <w:rPr>
          <w:rFonts w:cs="David" w:hint="cs"/>
          <w:rtl/>
        </w:rPr>
        <w:t xml:space="preserve">נסיבות האירוע הינן קשות וחמורות והנזק אשר נגרם למתלוננת ספק אם הינו בר תיקון. </w:t>
      </w:r>
    </w:p>
    <w:p w14:paraId="0D9CD4D4" w14:textId="77777777" w:rsidR="00B97A28" w:rsidRDefault="00B97A28" w:rsidP="001A22E9">
      <w:pPr>
        <w:spacing w:before="100" w:beforeAutospacing="1" w:after="100" w:afterAutospacing="1" w:line="360" w:lineRule="auto"/>
        <w:jc w:val="both"/>
        <w:rPr>
          <w:rtl/>
        </w:rPr>
      </w:pPr>
      <w:r w:rsidRPr="00B97A28">
        <w:rPr>
          <w:rFonts w:cs="David" w:hint="cs"/>
          <w:rtl/>
        </w:rPr>
        <w:t>מבלי להתעלם מן העובדה כי מ</w:t>
      </w:r>
      <w:smartTag w:uri="urn:schemas-microsoft-com:office:smarttags" w:element="PersonName">
        <w:r w:rsidRPr="00B97A28">
          <w:rPr>
            <w:rFonts w:cs="David" w:hint="cs"/>
            <w:rtl/>
          </w:rPr>
          <w:t>דובר</w:t>
        </w:r>
      </w:smartTag>
      <w:r w:rsidRPr="00B97A28">
        <w:rPr>
          <w:rFonts w:cs="David" w:hint="cs"/>
          <w:rtl/>
        </w:rPr>
        <w:t xml:space="preserve"> בקטין הבוגר בכשנה ומחצה מהמתלוננת עצמה, הרי באיזון האינטרסים השונים, יש להעדיף את שיקולי הגמול, צרכי ההרתעה וההגנה על הציבור, על פני נסיבותיו האישיות של הנאשם וסיכויי שיקומו. </w:t>
      </w:r>
    </w:p>
    <w:p w14:paraId="549D796B" w14:textId="77777777" w:rsidR="00B97A28" w:rsidRDefault="007905AE" w:rsidP="001A22E9">
      <w:pPr>
        <w:spacing w:before="100" w:beforeAutospacing="1" w:after="100" w:afterAutospacing="1" w:line="360" w:lineRule="auto"/>
        <w:jc w:val="both"/>
        <w:rPr>
          <w:rtl/>
        </w:rPr>
      </w:pPr>
      <w:r>
        <w:rPr>
          <w:rtl/>
        </w:rPr>
        <w:t xml:space="preserve"> </w:t>
      </w:r>
    </w:p>
    <w:p w14:paraId="3847E4C0" w14:textId="77777777" w:rsidR="00B97A28" w:rsidRDefault="00B97A28" w:rsidP="001A22E9">
      <w:pPr>
        <w:spacing w:before="100" w:beforeAutospacing="1" w:after="100" w:afterAutospacing="1" w:line="360" w:lineRule="auto"/>
        <w:jc w:val="both"/>
        <w:rPr>
          <w:rtl/>
        </w:rPr>
      </w:pPr>
      <w:r w:rsidRPr="00B97A28">
        <w:rPr>
          <w:rFonts w:cs="David" w:hint="cs"/>
          <w:rtl/>
        </w:rPr>
        <w:t>לא שוכנענו כי בנסיבות העניין יש לאמץ את המלצת שירות המבחן ולהמנע מהרשעתו של נאשם זה, שעה שבעניינם של שני הנאשמים האחרים המליץ שירות המבחן להרשיעם בעבירות שיוחסו להם. לא מצאנו כי קיימת הבחנה משמעותית בין הנאשמים, ככל שהדבר נוגע לנסיבותיהם האישיות ולסיכויי שיקומם, כפי שעולה מתסקירי המבחן שניתנו בעניינם, שעה שהמעשים עצמם הינם כמעט זהים.</w:t>
      </w:r>
    </w:p>
    <w:p w14:paraId="391F5C49" w14:textId="77777777" w:rsidR="00B97A28" w:rsidRDefault="007905AE" w:rsidP="001A22E9">
      <w:pPr>
        <w:spacing w:before="100" w:beforeAutospacing="1" w:after="100" w:afterAutospacing="1" w:line="360" w:lineRule="auto"/>
        <w:jc w:val="both"/>
        <w:rPr>
          <w:rtl/>
        </w:rPr>
      </w:pPr>
      <w:r>
        <w:rPr>
          <w:rtl/>
        </w:rPr>
        <w:t xml:space="preserve"> </w:t>
      </w:r>
    </w:p>
    <w:p w14:paraId="032441C0" w14:textId="77777777" w:rsidR="00B97A28" w:rsidRDefault="00B97A28" w:rsidP="001A22E9">
      <w:pPr>
        <w:spacing w:before="100" w:beforeAutospacing="1" w:after="100" w:afterAutospacing="1" w:line="360" w:lineRule="auto"/>
        <w:jc w:val="both"/>
        <w:rPr>
          <w:rtl/>
        </w:rPr>
      </w:pPr>
      <w:r w:rsidRPr="00B97A28">
        <w:rPr>
          <w:rFonts w:cs="David" w:hint="cs"/>
          <w:rtl/>
        </w:rPr>
        <w:t xml:space="preserve">סיכומו של דבר, הננו מרשיעים את הנאשמים 3-2 בעבירה של מעשה סדום, לפי </w:t>
      </w:r>
      <w:hyperlink r:id="rId24" w:history="1">
        <w:r w:rsidR="008A233A" w:rsidRPr="008A233A">
          <w:rPr>
            <w:rFonts w:cs="David"/>
            <w:color w:val="0000FF"/>
            <w:u w:val="single"/>
            <w:rtl/>
          </w:rPr>
          <w:t>סעיף 347(ב)</w:t>
        </w:r>
      </w:hyperlink>
      <w:r w:rsidRPr="00B97A28">
        <w:rPr>
          <w:rFonts w:cs="David" w:hint="cs"/>
          <w:rtl/>
        </w:rPr>
        <w:t xml:space="preserve"> בנסיבות </w:t>
      </w:r>
      <w:hyperlink r:id="rId25" w:history="1">
        <w:r w:rsidR="008A233A" w:rsidRPr="008A233A">
          <w:rPr>
            <w:rStyle w:val="Hyperlink"/>
            <w:rFonts w:cs="David" w:hint="eastAsia"/>
            <w:rtl/>
          </w:rPr>
          <w:t>סעיף</w:t>
        </w:r>
        <w:r w:rsidR="008A233A" w:rsidRPr="008A233A">
          <w:rPr>
            <w:rStyle w:val="Hyperlink"/>
            <w:rFonts w:cs="David"/>
            <w:rtl/>
          </w:rPr>
          <w:t xml:space="preserve"> 345(א)(1) ו-(4)</w:t>
        </w:r>
      </w:hyperlink>
      <w:r w:rsidRPr="00B97A28">
        <w:rPr>
          <w:rFonts w:cs="David" w:hint="cs"/>
          <w:rtl/>
        </w:rPr>
        <w:t xml:space="preserve"> ל</w:t>
      </w:r>
      <w:hyperlink r:id="rId26" w:history="1">
        <w:r w:rsidR="008944F0" w:rsidRPr="008944F0">
          <w:rPr>
            <w:rStyle w:val="Hyperlink"/>
            <w:rFonts w:cs="David"/>
            <w:rtl/>
          </w:rPr>
          <w:t>חוק העונשין</w:t>
        </w:r>
      </w:hyperlink>
      <w:r w:rsidRPr="00B97A28">
        <w:rPr>
          <w:rFonts w:cs="David" w:hint="cs"/>
          <w:rtl/>
        </w:rPr>
        <w:t xml:space="preserve">. נאשם 2 יורשע בעבירה נוספת של מעשים מגונים, לפי </w:t>
      </w:r>
      <w:hyperlink r:id="rId27" w:history="1">
        <w:r w:rsidR="008A233A" w:rsidRPr="008A233A">
          <w:rPr>
            <w:rStyle w:val="Hyperlink"/>
            <w:rFonts w:cs="David" w:hint="eastAsia"/>
            <w:rtl/>
          </w:rPr>
          <w:t>סעיף</w:t>
        </w:r>
        <w:r w:rsidR="008A233A" w:rsidRPr="008A233A">
          <w:rPr>
            <w:rStyle w:val="Hyperlink"/>
            <w:rFonts w:cs="David"/>
            <w:rtl/>
          </w:rPr>
          <w:t xml:space="preserve"> 348(א)</w:t>
        </w:r>
      </w:hyperlink>
      <w:r w:rsidRPr="00B97A28">
        <w:rPr>
          <w:rFonts w:cs="David" w:hint="cs"/>
          <w:rtl/>
        </w:rPr>
        <w:t xml:space="preserve"> בנסיבות </w:t>
      </w:r>
      <w:hyperlink r:id="rId28" w:history="1">
        <w:r w:rsidR="008A233A" w:rsidRPr="008A233A">
          <w:rPr>
            <w:rStyle w:val="Hyperlink"/>
            <w:rFonts w:cs="David" w:hint="eastAsia"/>
            <w:rtl/>
          </w:rPr>
          <w:t>סעיף</w:t>
        </w:r>
        <w:r w:rsidR="008A233A" w:rsidRPr="008A233A">
          <w:rPr>
            <w:rStyle w:val="Hyperlink"/>
            <w:rFonts w:cs="David"/>
            <w:rtl/>
          </w:rPr>
          <w:t xml:space="preserve"> 345(א)(3) ו-(4)</w:t>
        </w:r>
      </w:hyperlink>
      <w:r w:rsidRPr="00B97A28">
        <w:rPr>
          <w:rFonts w:cs="David" w:hint="cs"/>
          <w:rtl/>
        </w:rPr>
        <w:t xml:space="preserve"> ל</w:t>
      </w:r>
      <w:hyperlink r:id="rId29" w:history="1">
        <w:r w:rsidR="008944F0" w:rsidRPr="008944F0">
          <w:rPr>
            <w:rStyle w:val="Hyperlink"/>
            <w:rFonts w:cs="David"/>
            <w:rtl/>
          </w:rPr>
          <w:t>חוק העונשין</w:t>
        </w:r>
      </w:hyperlink>
      <w:r w:rsidRPr="00B97A28">
        <w:rPr>
          <w:rFonts w:cs="David" w:hint="cs"/>
          <w:rtl/>
        </w:rPr>
        <w:t>.</w:t>
      </w:r>
    </w:p>
    <w:p w14:paraId="20FB2570" w14:textId="77777777" w:rsidR="00B97A28" w:rsidRDefault="007905AE" w:rsidP="001A22E9">
      <w:pPr>
        <w:spacing w:before="100" w:beforeAutospacing="1" w:after="100" w:afterAutospacing="1" w:line="360" w:lineRule="auto"/>
        <w:jc w:val="both"/>
        <w:rPr>
          <w:rtl/>
        </w:rPr>
      </w:pPr>
      <w:r>
        <w:rPr>
          <w:rtl/>
        </w:rPr>
        <w:t xml:space="preserve"> </w:t>
      </w:r>
    </w:p>
    <w:p w14:paraId="5DD8067D" w14:textId="77777777" w:rsidR="00B97A28" w:rsidRDefault="00B97A28" w:rsidP="001A22E9">
      <w:pPr>
        <w:spacing w:before="100" w:beforeAutospacing="1" w:after="100" w:afterAutospacing="1" w:line="360" w:lineRule="auto"/>
        <w:jc w:val="both"/>
        <w:rPr>
          <w:rtl/>
        </w:rPr>
      </w:pPr>
      <w:r w:rsidRPr="00B97A28">
        <w:rPr>
          <w:rFonts w:cs="David" w:hint="cs"/>
          <w:rtl/>
        </w:rPr>
        <w:t xml:space="preserve">לאור האמור לעיל, הננו מחליטים להרשיע גם את הנאשם 1 בעבירות של מעשה סדום, לפי </w:t>
      </w:r>
      <w:hyperlink r:id="rId30" w:history="1">
        <w:r w:rsidR="008A233A" w:rsidRPr="008A233A">
          <w:rPr>
            <w:rFonts w:cs="David"/>
            <w:color w:val="0000FF"/>
            <w:u w:val="single"/>
            <w:rtl/>
          </w:rPr>
          <w:t>סעיף 347(ב)</w:t>
        </w:r>
      </w:hyperlink>
      <w:r w:rsidRPr="00B97A28">
        <w:rPr>
          <w:rFonts w:cs="David" w:hint="cs"/>
          <w:rtl/>
        </w:rPr>
        <w:t xml:space="preserve"> בנסיבות </w:t>
      </w:r>
      <w:hyperlink r:id="rId31" w:history="1">
        <w:r w:rsidR="008A233A" w:rsidRPr="008A233A">
          <w:rPr>
            <w:rFonts w:cs="David"/>
            <w:color w:val="0000FF"/>
            <w:u w:val="single"/>
            <w:rtl/>
          </w:rPr>
          <w:t>סעיף 345(א)(1) ו-(4)</w:t>
        </w:r>
      </w:hyperlink>
      <w:r w:rsidRPr="00B97A28">
        <w:rPr>
          <w:rFonts w:cs="David" w:hint="cs"/>
          <w:rtl/>
        </w:rPr>
        <w:t xml:space="preserve"> ל</w:t>
      </w:r>
      <w:hyperlink r:id="rId32" w:history="1">
        <w:r w:rsidR="008944F0" w:rsidRPr="008944F0">
          <w:rPr>
            <w:rStyle w:val="Hyperlink"/>
            <w:rFonts w:cs="David"/>
            <w:rtl/>
          </w:rPr>
          <w:t>חוק העונשין</w:t>
        </w:r>
      </w:hyperlink>
      <w:r w:rsidRPr="00B97A28">
        <w:rPr>
          <w:rFonts w:cs="David" w:hint="cs"/>
          <w:rtl/>
        </w:rPr>
        <w:t xml:space="preserve">, ושל מעשים מגונים, לפי </w:t>
      </w:r>
      <w:hyperlink r:id="rId33" w:history="1">
        <w:r w:rsidR="008A233A" w:rsidRPr="008A233A">
          <w:rPr>
            <w:rFonts w:cs="David"/>
            <w:color w:val="0000FF"/>
            <w:u w:val="single"/>
            <w:rtl/>
          </w:rPr>
          <w:t>סעיף 348(א)</w:t>
        </w:r>
      </w:hyperlink>
      <w:r w:rsidRPr="00B97A28">
        <w:rPr>
          <w:rFonts w:cs="David" w:hint="cs"/>
          <w:rtl/>
        </w:rPr>
        <w:t xml:space="preserve"> בנסיבות </w:t>
      </w:r>
      <w:hyperlink r:id="rId34" w:history="1">
        <w:r w:rsidR="008A233A" w:rsidRPr="008A233A">
          <w:rPr>
            <w:rFonts w:cs="David"/>
            <w:color w:val="0000FF"/>
            <w:u w:val="single"/>
            <w:rtl/>
          </w:rPr>
          <w:t>סעיף 345(א)(3) ו-(4)</w:t>
        </w:r>
      </w:hyperlink>
      <w:r w:rsidRPr="00B97A28">
        <w:rPr>
          <w:rFonts w:cs="David" w:hint="cs"/>
          <w:rtl/>
        </w:rPr>
        <w:t xml:space="preserve"> לחוק העונשין. </w:t>
      </w:r>
    </w:p>
    <w:p w14:paraId="437DE138" w14:textId="77777777" w:rsidR="00B97A28" w:rsidRDefault="007905AE" w:rsidP="001A22E9">
      <w:pPr>
        <w:spacing w:before="100" w:beforeAutospacing="1" w:after="100" w:afterAutospacing="1" w:line="360" w:lineRule="auto"/>
        <w:jc w:val="both"/>
        <w:rPr>
          <w:rtl/>
        </w:rPr>
      </w:pPr>
      <w:r>
        <w:rPr>
          <w:rtl/>
        </w:rPr>
        <w:t xml:space="preserve"> </w:t>
      </w:r>
    </w:p>
    <w:p w14:paraId="4F360C31" w14:textId="77777777" w:rsidR="00B97A28" w:rsidRDefault="009D7712" w:rsidP="001A22E9">
      <w:pPr>
        <w:spacing w:before="100" w:beforeAutospacing="1" w:after="100" w:afterAutospacing="1" w:line="360" w:lineRule="auto"/>
        <w:jc w:val="both"/>
        <w:rPr>
          <w:rtl/>
        </w:rPr>
      </w:pPr>
      <w:r>
        <w:rPr>
          <w:rFonts w:cs="David"/>
          <w:b/>
          <w:bCs/>
          <w:rtl/>
        </w:rPr>
        <w:t xml:space="preserve">ניתנה היום, כא בסיוון תש"ע, 3.6.2010, במעמד הצדדים. </w:t>
      </w:r>
      <w:r w:rsidR="007905AE">
        <w:rPr>
          <w:rtl/>
        </w:rPr>
        <w:t xml:space="preserve"> </w:t>
      </w:r>
    </w:p>
    <w:p w14:paraId="677E8E63" w14:textId="77777777" w:rsidR="00B97A28" w:rsidRDefault="007905AE" w:rsidP="001A22E9">
      <w:pPr>
        <w:spacing w:before="100" w:beforeAutospacing="1" w:after="100" w:afterAutospacing="1" w:line="360" w:lineRule="auto"/>
        <w:rPr>
          <w:rtl/>
        </w:rPr>
      </w:pPr>
      <w:r>
        <w:rPr>
          <w:rtl/>
        </w:rPr>
        <w:t xml:space="preserve"> </w:t>
      </w:r>
    </w:p>
    <w:p w14:paraId="7D295CF4" w14:textId="77777777" w:rsidR="00B97A28" w:rsidRDefault="007905AE" w:rsidP="001A22E9">
      <w:pPr>
        <w:spacing w:before="100" w:beforeAutospacing="1" w:after="100" w:afterAutospacing="1" w:line="360" w:lineRule="auto"/>
        <w:jc w:val="both"/>
        <w:rPr>
          <w:rtl/>
        </w:rPr>
      </w:pPr>
      <w:r>
        <w:rPr>
          <w:rtl/>
        </w:rPr>
        <w:t xml:space="preserve"> </w:t>
      </w:r>
    </w:p>
    <w:p w14:paraId="36DFF98C" w14:textId="77777777" w:rsidR="00B97A28" w:rsidRDefault="007905AE" w:rsidP="001A22E9">
      <w:pPr>
        <w:spacing w:before="100" w:beforeAutospacing="1" w:after="100" w:afterAutospacing="1" w:line="360" w:lineRule="auto"/>
        <w:rPr>
          <w:rtl/>
        </w:rPr>
      </w:pPr>
      <w:r>
        <w:rPr>
          <w:rtl/>
        </w:rPr>
        <w:t xml:space="preserve"> </w:t>
      </w:r>
    </w:p>
    <w:tbl>
      <w:tblPr>
        <w:bidiVisual/>
        <w:tblW w:w="0" w:type="dxa"/>
        <w:tblCellMar>
          <w:top w:w="15" w:type="dxa"/>
          <w:left w:w="15" w:type="dxa"/>
          <w:bottom w:w="15" w:type="dxa"/>
          <w:right w:w="15" w:type="dxa"/>
        </w:tblCellMar>
        <w:tblLook w:val="0000" w:firstRow="0" w:lastRow="0" w:firstColumn="0" w:lastColumn="0" w:noHBand="0" w:noVBand="0"/>
      </w:tblPr>
      <w:tblGrid>
        <w:gridCol w:w="2962"/>
        <w:gridCol w:w="236"/>
        <w:gridCol w:w="2301"/>
        <w:gridCol w:w="300"/>
        <w:gridCol w:w="2723"/>
      </w:tblGrid>
      <w:tr w:rsidR="00B97A28" w:rsidRPr="00B97A28" w14:paraId="222F7574" w14:textId="77777777">
        <w:tc>
          <w:tcPr>
            <w:tcW w:w="2962" w:type="dxa"/>
            <w:tcBorders>
              <w:top w:val="nil"/>
              <w:left w:val="nil"/>
              <w:bottom w:val="single" w:sz="4" w:space="0" w:color="auto"/>
              <w:right w:val="nil"/>
            </w:tcBorders>
            <w:tcMar>
              <w:top w:w="0" w:type="dxa"/>
              <w:left w:w="108" w:type="dxa"/>
              <w:bottom w:w="0" w:type="dxa"/>
              <w:right w:w="108" w:type="dxa"/>
            </w:tcMar>
            <w:vAlign w:val="center"/>
          </w:tcPr>
          <w:p w14:paraId="497541E8" w14:textId="77777777" w:rsidR="00D72E1C" w:rsidRPr="00B97A28" w:rsidRDefault="00B97A28" w:rsidP="001A22E9">
            <w:pPr>
              <w:bidi w:val="0"/>
              <w:spacing w:before="100" w:beforeAutospacing="1" w:after="100" w:afterAutospacing="1" w:line="360" w:lineRule="auto"/>
              <w:jc w:val="center"/>
            </w:pPr>
            <w:r w:rsidRPr="00B97A28">
              <w:rPr>
                <w:rFonts w:ascii="Courier New" w:hAnsi="Courier New" w:cs="Courier New"/>
                <w:b/>
                <w:bC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5pt;height:23.5pt"/>
              </w:pict>
            </w:r>
          </w:p>
        </w:tc>
        <w:tc>
          <w:tcPr>
            <w:tcW w:w="236" w:type="dxa"/>
            <w:tcBorders>
              <w:top w:val="nil"/>
              <w:left w:val="nil"/>
              <w:bottom w:val="nil"/>
              <w:right w:val="nil"/>
            </w:tcBorders>
            <w:tcMar>
              <w:top w:w="0" w:type="dxa"/>
              <w:left w:w="108" w:type="dxa"/>
              <w:bottom w:w="0" w:type="dxa"/>
              <w:right w:w="108" w:type="dxa"/>
            </w:tcMar>
            <w:vAlign w:val="center"/>
          </w:tcPr>
          <w:p w14:paraId="326E3726" w14:textId="77777777" w:rsidR="00D72E1C" w:rsidRPr="00B97A28" w:rsidRDefault="007905AE" w:rsidP="001A22E9">
            <w:pPr>
              <w:bidi w:val="0"/>
              <w:spacing w:before="100" w:beforeAutospacing="1" w:after="100" w:afterAutospacing="1" w:line="360" w:lineRule="auto"/>
              <w:jc w:val="center"/>
            </w:pPr>
            <w:r>
              <w:t xml:space="preserve"> </w:t>
            </w:r>
          </w:p>
        </w:tc>
        <w:tc>
          <w:tcPr>
            <w:tcW w:w="2301" w:type="dxa"/>
            <w:tcBorders>
              <w:top w:val="nil"/>
              <w:left w:val="nil"/>
              <w:bottom w:val="single" w:sz="4" w:space="0" w:color="auto"/>
              <w:right w:val="nil"/>
            </w:tcBorders>
            <w:tcMar>
              <w:top w:w="0" w:type="dxa"/>
              <w:left w:w="108" w:type="dxa"/>
              <w:bottom w:w="0" w:type="dxa"/>
              <w:right w:w="108" w:type="dxa"/>
            </w:tcMar>
            <w:vAlign w:val="center"/>
          </w:tcPr>
          <w:p w14:paraId="49468CCA" w14:textId="77777777" w:rsidR="00D72E1C" w:rsidRPr="00B97A28" w:rsidRDefault="00B97A28" w:rsidP="001A22E9">
            <w:pPr>
              <w:bidi w:val="0"/>
              <w:spacing w:before="100" w:beforeAutospacing="1" w:after="100" w:afterAutospacing="1" w:line="360" w:lineRule="auto"/>
              <w:jc w:val="center"/>
            </w:pPr>
            <w:r w:rsidRPr="00B97A28">
              <w:rPr>
                <w:rFonts w:ascii="Courier New" w:hAnsi="Courier New" w:cs="Courier New"/>
                <w:b/>
                <w:bCs/>
                <w:sz w:val="20"/>
                <w:szCs w:val="20"/>
              </w:rPr>
              <w:pict>
                <v:shape id="_x0000_i1026" type="#_x0000_t75" style="width:87.5pt;height:45pt"/>
              </w:pict>
            </w:r>
          </w:p>
        </w:tc>
        <w:tc>
          <w:tcPr>
            <w:tcW w:w="300" w:type="dxa"/>
            <w:tcBorders>
              <w:top w:val="nil"/>
              <w:left w:val="nil"/>
              <w:bottom w:val="nil"/>
              <w:right w:val="nil"/>
            </w:tcBorders>
            <w:tcMar>
              <w:top w:w="0" w:type="dxa"/>
              <w:left w:w="108" w:type="dxa"/>
              <w:bottom w:w="0" w:type="dxa"/>
              <w:right w:w="108" w:type="dxa"/>
            </w:tcMar>
            <w:vAlign w:val="center"/>
          </w:tcPr>
          <w:p w14:paraId="3293EF02" w14:textId="77777777" w:rsidR="00D72E1C" w:rsidRPr="00B97A28" w:rsidRDefault="007905AE" w:rsidP="001A22E9">
            <w:pPr>
              <w:bidi w:val="0"/>
              <w:spacing w:before="100" w:beforeAutospacing="1" w:after="100" w:afterAutospacing="1" w:line="360" w:lineRule="auto"/>
              <w:jc w:val="center"/>
            </w:pPr>
            <w:r>
              <w:t xml:space="preserve"> </w:t>
            </w:r>
          </w:p>
        </w:tc>
        <w:tc>
          <w:tcPr>
            <w:tcW w:w="2723" w:type="dxa"/>
            <w:tcBorders>
              <w:top w:val="nil"/>
              <w:left w:val="nil"/>
              <w:bottom w:val="single" w:sz="4" w:space="0" w:color="auto"/>
              <w:right w:val="nil"/>
            </w:tcBorders>
            <w:tcMar>
              <w:top w:w="0" w:type="dxa"/>
              <w:left w:w="108" w:type="dxa"/>
              <w:bottom w:w="0" w:type="dxa"/>
              <w:right w:w="108" w:type="dxa"/>
            </w:tcMar>
            <w:vAlign w:val="center"/>
          </w:tcPr>
          <w:p w14:paraId="70450075" w14:textId="77777777" w:rsidR="00D72E1C" w:rsidRPr="00B97A28" w:rsidRDefault="00B97A28" w:rsidP="001A22E9">
            <w:pPr>
              <w:bidi w:val="0"/>
              <w:spacing w:before="100" w:beforeAutospacing="1" w:after="100" w:afterAutospacing="1" w:line="360" w:lineRule="auto"/>
              <w:jc w:val="center"/>
            </w:pPr>
            <w:r w:rsidRPr="00B97A28">
              <w:rPr>
                <w:rFonts w:ascii="Courier New" w:hAnsi="Courier New" w:cs="Courier New"/>
                <w:b/>
                <w:bCs/>
              </w:rPr>
              <w:pict>
                <v:shape id="_x0000_i1027" type="#_x0000_t75" style="width:70.5pt;height:62pt"/>
              </w:pict>
            </w:r>
          </w:p>
        </w:tc>
      </w:tr>
      <w:tr w:rsidR="00B97A28" w:rsidRPr="00B97A28" w14:paraId="45F60632" w14:textId="77777777">
        <w:tc>
          <w:tcPr>
            <w:tcW w:w="2962" w:type="dxa"/>
            <w:tcBorders>
              <w:top w:val="single" w:sz="4" w:space="0" w:color="auto"/>
              <w:left w:val="nil"/>
              <w:bottom w:val="nil"/>
              <w:right w:val="nil"/>
            </w:tcBorders>
            <w:tcMar>
              <w:top w:w="0" w:type="dxa"/>
              <w:left w:w="108" w:type="dxa"/>
              <w:bottom w:w="0" w:type="dxa"/>
              <w:right w:w="108" w:type="dxa"/>
            </w:tcMar>
            <w:vAlign w:val="bottom"/>
          </w:tcPr>
          <w:p w14:paraId="11B99AD1" w14:textId="77777777" w:rsidR="00B97A28" w:rsidRDefault="00B97A28" w:rsidP="001A22E9">
            <w:pPr>
              <w:bidi w:val="0"/>
              <w:spacing w:before="100" w:beforeAutospacing="1" w:after="100" w:afterAutospacing="1" w:line="360" w:lineRule="auto"/>
              <w:jc w:val="center"/>
              <w:rPr>
                <w:rtl/>
              </w:rPr>
            </w:pPr>
            <w:smartTag w:uri="urn:schemas-microsoft-com:office:smarttags" w:element="PersonName">
              <w:r w:rsidRPr="00B97A28">
                <w:rPr>
                  <w:rFonts w:cs="David" w:hint="cs"/>
                  <w:b/>
                  <w:bCs/>
                  <w:rtl/>
                </w:rPr>
                <w:t>אורי</w:t>
              </w:r>
              <w:r w:rsidRPr="00B97A28">
                <w:rPr>
                  <w:rFonts w:cs="David" w:hint="cs"/>
                  <w:b/>
                  <w:bCs/>
                </w:rPr>
                <w:t xml:space="preserve"> </w:t>
              </w:r>
              <w:r w:rsidRPr="00B97A28">
                <w:rPr>
                  <w:rFonts w:cs="David" w:hint="cs"/>
                  <w:b/>
                  <w:bCs/>
                  <w:rtl/>
                </w:rPr>
                <w:t>שהם</w:t>
              </w:r>
            </w:smartTag>
            <w:r w:rsidRPr="00B97A28">
              <w:t xml:space="preserve"> </w:t>
            </w:r>
            <w:r w:rsidRPr="00B97A28">
              <w:rPr>
                <w:rFonts w:cs="David" w:hint="cs"/>
                <w:b/>
                <w:bCs/>
              </w:rPr>
              <w:t xml:space="preserve">, </w:t>
            </w:r>
            <w:r w:rsidRPr="00B97A28">
              <w:rPr>
                <w:rFonts w:cs="David" w:hint="cs"/>
                <w:b/>
                <w:bCs/>
                <w:rtl/>
              </w:rPr>
              <w:t>שופט</w:t>
            </w:r>
          </w:p>
          <w:p w14:paraId="1874F5D5" w14:textId="77777777" w:rsidR="00D72E1C" w:rsidRPr="00B97A28" w:rsidRDefault="00B97A28" w:rsidP="001A22E9">
            <w:pPr>
              <w:bidi w:val="0"/>
              <w:spacing w:before="100" w:beforeAutospacing="1" w:after="100" w:afterAutospacing="1" w:line="360" w:lineRule="auto"/>
              <w:jc w:val="center"/>
            </w:pPr>
            <w:r w:rsidRPr="00B97A28">
              <w:rPr>
                <w:rFonts w:cs="David" w:hint="cs"/>
                <w:b/>
                <w:bCs/>
                <w:rtl/>
              </w:rPr>
              <w:t>אב"ד</w:t>
            </w:r>
          </w:p>
        </w:tc>
        <w:tc>
          <w:tcPr>
            <w:tcW w:w="236" w:type="dxa"/>
            <w:tcBorders>
              <w:top w:val="nil"/>
              <w:left w:val="nil"/>
              <w:bottom w:val="nil"/>
              <w:right w:val="nil"/>
            </w:tcBorders>
            <w:tcMar>
              <w:top w:w="0" w:type="dxa"/>
              <w:left w:w="108" w:type="dxa"/>
              <w:bottom w:w="0" w:type="dxa"/>
              <w:right w:w="108" w:type="dxa"/>
            </w:tcMar>
            <w:vAlign w:val="bottom"/>
          </w:tcPr>
          <w:p w14:paraId="5A079ECE" w14:textId="77777777" w:rsidR="00D72E1C" w:rsidRPr="00B97A28" w:rsidRDefault="007905AE" w:rsidP="001A22E9">
            <w:pPr>
              <w:bidi w:val="0"/>
              <w:spacing w:before="100" w:beforeAutospacing="1" w:after="100" w:afterAutospacing="1" w:line="360" w:lineRule="auto"/>
              <w:jc w:val="center"/>
            </w:pPr>
            <w:r>
              <w:t xml:space="preserve"> </w:t>
            </w:r>
          </w:p>
        </w:tc>
        <w:tc>
          <w:tcPr>
            <w:tcW w:w="2301" w:type="dxa"/>
            <w:tcBorders>
              <w:top w:val="single" w:sz="4" w:space="0" w:color="auto"/>
              <w:left w:val="nil"/>
              <w:bottom w:val="nil"/>
              <w:right w:val="nil"/>
            </w:tcBorders>
            <w:tcMar>
              <w:top w:w="0" w:type="dxa"/>
              <w:left w:w="108" w:type="dxa"/>
              <w:bottom w:w="0" w:type="dxa"/>
              <w:right w:w="108" w:type="dxa"/>
            </w:tcMar>
          </w:tcPr>
          <w:p w14:paraId="7164280A" w14:textId="77777777" w:rsidR="00D72E1C" w:rsidRPr="00B97A28" w:rsidRDefault="00B97A28" w:rsidP="001A22E9">
            <w:pPr>
              <w:bidi w:val="0"/>
              <w:spacing w:before="100" w:beforeAutospacing="1" w:after="100" w:afterAutospacing="1" w:line="360" w:lineRule="auto"/>
              <w:jc w:val="center"/>
            </w:pPr>
            <w:smartTag w:uri="urn:schemas-microsoft-com:office:smarttags" w:element="PersonName">
              <w:r w:rsidRPr="00B97A28">
                <w:rPr>
                  <w:rFonts w:cs="David" w:hint="cs"/>
                  <w:b/>
                  <w:bCs/>
                  <w:rtl/>
                </w:rPr>
                <w:t>יהודית</w:t>
              </w:r>
              <w:r w:rsidRPr="00B97A28">
                <w:rPr>
                  <w:rFonts w:cs="David" w:hint="cs"/>
                  <w:b/>
                  <w:bCs/>
                </w:rPr>
                <w:t xml:space="preserve"> </w:t>
              </w:r>
              <w:r w:rsidRPr="00B97A28">
                <w:rPr>
                  <w:rFonts w:cs="David" w:hint="cs"/>
                  <w:b/>
                  <w:bCs/>
                  <w:rtl/>
                </w:rPr>
                <w:t>שבח</w:t>
              </w:r>
            </w:smartTag>
            <w:r w:rsidRPr="00B97A28">
              <w:rPr>
                <w:rFonts w:cs="David" w:hint="cs"/>
                <w:b/>
                <w:bCs/>
                <w:rtl/>
              </w:rPr>
              <w:t>, שופטת</w:t>
            </w:r>
          </w:p>
        </w:tc>
        <w:tc>
          <w:tcPr>
            <w:tcW w:w="300" w:type="dxa"/>
            <w:tcBorders>
              <w:top w:val="nil"/>
              <w:left w:val="nil"/>
              <w:bottom w:val="nil"/>
              <w:right w:val="nil"/>
            </w:tcBorders>
            <w:tcMar>
              <w:top w:w="0" w:type="dxa"/>
              <w:left w:w="108" w:type="dxa"/>
              <w:bottom w:w="0" w:type="dxa"/>
              <w:right w:w="108" w:type="dxa"/>
            </w:tcMar>
          </w:tcPr>
          <w:p w14:paraId="2A60F45B" w14:textId="77777777" w:rsidR="00D72E1C" w:rsidRPr="00B97A28" w:rsidRDefault="007905AE" w:rsidP="001A22E9">
            <w:pPr>
              <w:bidi w:val="0"/>
              <w:spacing w:before="100" w:beforeAutospacing="1" w:after="100" w:afterAutospacing="1" w:line="360" w:lineRule="auto"/>
              <w:jc w:val="center"/>
            </w:pPr>
            <w:r>
              <w:t xml:space="preserve"> </w:t>
            </w:r>
          </w:p>
        </w:tc>
        <w:tc>
          <w:tcPr>
            <w:tcW w:w="2723" w:type="dxa"/>
            <w:tcBorders>
              <w:top w:val="single" w:sz="4" w:space="0" w:color="auto"/>
              <w:left w:val="nil"/>
              <w:bottom w:val="nil"/>
              <w:right w:val="nil"/>
            </w:tcBorders>
            <w:tcMar>
              <w:top w:w="0" w:type="dxa"/>
              <w:left w:w="108" w:type="dxa"/>
              <w:bottom w:w="0" w:type="dxa"/>
              <w:right w:w="108" w:type="dxa"/>
            </w:tcMar>
          </w:tcPr>
          <w:p w14:paraId="648B101D" w14:textId="77777777" w:rsidR="00D72E1C" w:rsidRPr="00B97A28" w:rsidRDefault="00B97A28" w:rsidP="001A22E9">
            <w:pPr>
              <w:bidi w:val="0"/>
              <w:spacing w:before="100" w:beforeAutospacing="1" w:after="100" w:afterAutospacing="1" w:line="360" w:lineRule="auto"/>
              <w:jc w:val="center"/>
            </w:pPr>
            <w:r w:rsidRPr="00B97A28">
              <w:rPr>
                <w:rFonts w:cs="David" w:hint="cs"/>
                <w:b/>
                <w:bCs/>
                <w:rtl/>
              </w:rPr>
              <w:t>גלעד</w:t>
            </w:r>
            <w:r w:rsidRPr="00B97A28">
              <w:rPr>
                <w:rFonts w:cs="David" w:hint="cs"/>
                <w:b/>
                <w:bCs/>
              </w:rPr>
              <w:t xml:space="preserve"> </w:t>
            </w:r>
            <w:r w:rsidRPr="00B97A28">
              <w:rPr>
                <w:rFonts w:cs="David" w:hint="cs"/>
                <w:b/>
                <w:bCs/>
                <w:rtl/>
              </w:rPr>
              <w:t>נויטל, שופט</w:t>
            </w:r>
          </w:p>
        </w:tc>
      </w:tr>
      <w:tr w:rsidR="00B97A28" w:rsidRPr="00B97A28" w14:paraId="21BFD441" w14:textId="77777777">
        <w:tc>
          <w:tcPr>
            <w:tcW w:w="2962" w:type="dxa"/>
            <w:tcBorders>
              <w:top w:val="nil"/>
              <w:left w:val="nil"/>
              <w:bottom w:val="nil"/>
              <w:right w:val="nil"/>
            </w:tcBorders>
            <w:tcMar>
              <w:top w:w="0" w:type="dxa"/>
              <w:left w:w="0" w:type="dxa"/>
              <w:bottom w:w="0" w:type="dxa"/>
              <w:right w:w="0" w:type="dxa"/>
            </w:tcMar>
            <w:vAlign w:val="center"/>
          </w:tcPr>
          <w:p w14:paraId="0A5887F4" w14:textId="77777777" w:rsidR="00B97A28" w:rsidRPr="00B97A28" w:rsidRDefault="00B97A28" w:rsidP="001A22E9">
            <w:pPr>
              <w:spacing w:line="360" w:lineRule="auto"/>
              <w:rPr>
                <w:sz w:val="1"/>
              </w:rPr>
            </w:pPr>
          </w:p>
        </w:tc>
        <w:tc>
          <w:tcPr>
            <w:tcW w:w="236" w:type="dxa"/>
            <w:tcBorders>
              <w:top w:val="nil"/>
              <w:left w:val="nil"/>
              <w:bottom w:val="nil"/>
              <w:right w:val="nil"/>
            </w:tcBorders>
            <w:tcMar>
              <w:top w:w="0" w:type="dxa"/>
              <w:left w:w="0" w:type="dxa"/>
              <w:bottom w:w="0" w:type="dxa"/>
              <w:right w:w="0" w:type="dxa"/>
            </w:tcMar>
            <w:vAlign w:val="center"/>
          </w:tcPr>
          <w:p w14:paraId="016462AD" w14:textId="77777777" w:rsidR="00B97A28" w:rsidRPr="00B97A28" w:rsidRDefault="00B97A28" w:rsidP="001A22E9">
            <w:pPr>
              <w:spacing w:line="360" w:lineRule="auto"/>
              <w:rPr>
                <w:sz w:val="1"/>
              </w:rPr>
            </w:pPr>
          </w:p>
        </w:tc>
        <w:tc>
          <w:tcPr>
            <w:tcW w:w="2301" w:type="dxa"/>
            <w:tcBorders>
              <w:top w:val="nil"/>
              <w:left w:val="nil"/>
              <w:bottom w:val="nil"/>
              <w:right w:val="nil"/>
            </w:tcBorders>
            <w:tcMar>
              <w:top w:w="0" w:type="dxa"/>
              <w:left w:w="0" w:type="dxa"/>
              <w:bottom w:w="0" w:type="dxa"/>
              <w:right w:w="0" w:type="dxa"/>
            </w:tcMar>
            <w:vAlign w:val="center"/>
          </w:tcPr>
          <w:p w14:paraId="032A41D2" w14:textId="77777777" w:rsidR="00B97A28" w:rsidRPr="00B97A28" w:rsidRDefault="00B97A28" w:rsidP="001A22E9">
            <w:pPr>
              <w:spacing w:line="360" w:lineRule="auto"/>
              <w:rPr>
                <w:sz w:val="1"/>
              </w:rPr>
            </w:pPr>
          </w:p>
        </w:tc>
        <w:tc>
          <w:tcPr>
            <w:tcW w:w="300" w:type="dxa"/>
            <w:tcBorders>
              <w:top w:val="nil"/>
              <w:left w:val="nil"/>
              <w:bottom w:val="nil"/>
              <w:right w:val="nil"/>
            </w:tcBorders>
            <w:tcMar>
              <w:top w:w="0" w:type="dxa"/>
              <w:left w:w="0" w:type="dxa"/>
              <w:bottom w:w="0" w:type="dxa"/>
              <w:right w:w="0" w:type="dxa"/>
            </w:tcMar>
            <w:vAlign w:val="center"/>
          </w:tcPr>
          <w:p w14:paraId="072BC6E6" w14:textId="77777777" w:rsidR="00B97A28" w:rsidRPr="00B97A28" w:rsidRDefault="00B97A28" w:rsidP="001A22E9">
            <w:pPr>
              <w:spacing w:line="360" w:lineRule="auto"/>
              <w:rPr>
                <w:sz w:val="1"/>
              </w:rPr>
            </w:pPr>
          </w:p>
        </w:tc>
        <w:tc>
          <w:tcPr>
            <w:tcW w:w="2723" w:type="dxa"/>
            <w:tcBorders>
              <w:top w:val="nil"/>
              <w:left w:val="nil"/>
              <w:bottom w:val="nil"/>
              <w:right w:val="nil"/>
            </w:tcBorders>
            <w:tcMar>
              <w:top w:w="0" w:type="dxa"/>
              <w:left w:w="0" w:type="dxa"/>
              <w:bottom w:w="0" w:type="dxa"/>
              <w:right w:w="0" w:type="dxa"/>
            </w:tcMar>
            <w:vAlign w:val="center"/>
          </w:tcPr>
          <w:p w14:paraId="357A079C" w14:textId="77777777" w:rsidR="009D7712" w:rsidRDefault="009D7712" w:rsidP="001A22E9">
            <w:pPr>
              <w:spacing w:line="360" w:lineRule="auto"/>
              <w:rPr>
                <w:sz w:val="1"/>
                <w:rtl/>
              </w:rPr>
            </w:pPr>
          </w:p>
          <w:p w14:paraId="2582B0A8" w14:textId="77777777" w:rsidR="00B97A28" w:rsidRPr="00B97A28" w:rsidRDefault="00B97A28" w:rsidP="001A22E9">
            <w:pPr>
              <w:spacing w:line="360" w:lineRule="auto"/>
              <w:rPr>
                <w:sz w:val="1"/>
              </w:rPr>
            </w:pPr>
          </w:p>
        </w:tc>
      </w:tr>
    </w:tbl>
    <w:p w14:paraId="573E966E" w14:textId="77777777" w:rsidR="009D7712" w:rsidRPr="009D7712" w:rsidRDefault="009D7712" w:rsidP="001A22E9">
      <w:pPr>
        <w:spacing w:before="100" w:beforeAutospacing="1" w:after="100" w:afterAutospacing="1" w:line="360" w:lineRule="auto"/>
        <w:jc w:val="both"/>
        <w:rPr>
          <w:color w:val="FFFFFF"/>
          <w:sz w:val="2"/>
          <w:szCs w:val="2"/>
          <w:rtl/>
        </w:rPr>
      </w:pPr>
    </w:p>
    <w:p w14:paraId="171DEB7B" w14:textId="77777777" w:rsidR="009D7712" w:rsidRPr="009D7712" w:rsidRDefault="009D7712" w:rsidP="001A22E9">
      <w:pPr>
        <w:spacing w:before="100" w:beforeAutospacing="1" w:after="100" w:afterAutospacing="1" w:line="360" w:lineRule="auto"/>
        <w:jc w:val="both"/>
        <w:rPr>
          <w:color w:val="FFFFFF"/>
          <w:sz w:val="2"/>
          <w:szCs w:val="2"/>
          <w:rtl/>
        </w:rPr>
      </w:pPr>
      <w:r w:rsidRPr="009D7712">
        <w:rPr>
          <w:color w:val="FFFFFF"/>
          <w:sz w:val="2"/>
          <w:szCs w:val="2"/>
          <w:rtl/>
        </w:rPr>
        <w:t>5129371</w:t>
      </w:r>
    </w:p>
    <w:p w14:paraId="71DF8846" w14:textId="77777777" w:rsidR="00B97A28" w:rsidRDefault="009D7712" w:rsidP="001A22E9">
      <w:pPr>
        <w:spacing w:before="100" w:beforeAutospacing="1" w:after="100" w:afterAutospacing="1" w:line="360" w:lineRule="auto"/>
        <w:jc w:val="both"/>
        <w:rPr>
          <w:rtl/>
        </w:rPr>
      </w:pPr>
      <w:r w:rsidRPr="009D7712">
        <w:rPr>
          <w:color w:val="FFFFFF"/>
          <w:sz w:val="2"/>
          <w:szCs w:val="2"/>
          <w:rtl/>
        </w:rPr>
        <w:t>54678313</w:t>
      </w:r>
      <w:r w:rsidR="007905AE">
        <w:rPr>
          <w:rtl/>
        </w:rPr>
        <w:t xml:space="preserve"> </w:t>
      </w:r>
    </w:p>
    <w:p w14:paraId="277BE748" w14:textId="77777777" w:rsidR="009D7712" w:rsidRPr="009D7712" w:rsidRDefault="009D7712" w:rsidP="009D7712">
      <w:pPr>
        <w:keepNext/>
        <w:spacing w:line="360" w:lineRule="auto"/>
        <w:rPr>
          <w:rFonts w:ascii="David" w:hAnsi="David" w:cs="David"/>
          <w:color w:val="000000"/>
          <w:sz w:val="22"/>
          <w:szCs w:val="22"/>
          <w:rtl/>
        </w:rPr>
      </w:pPr>
    </w:p>
    <w:p w14:paraId="576486C1" w14:textId="77777777" w:rsidR="00B97A28" w:rsidRDefault="007905AE" w:rsidP="001A22E9">
      <w:pPr>
        <w:spacing w:before="100" w:beforeAutospacing="1" w:after="100" w:afterAutospacing="1" w:line="360" w:lineRule="auto"/>
        <w:jc w:val="both"/>
        <w:rPr>
          <w:rtl/>
        </w:rPr>
      </w:pPr>
      <w:r>
        <w:rPr>
          <w:rtl/>
        </w:rPr>
        <w:t xml:space="preserve"> </w:t>
      </w:r>
    </w:p>
    <w:p w14:paraId="46926C89" w14:textId="77777777" w:rsidR="001E0398" w:rsidRPr="001E0398" w:rsidRDefault="001E0398" w:rsidP="001A22E9">
      <w:pPr>
        <w:spacing w:before="100" w:beforeAutospacing="1" w:after="100" w:afterAutospacing="1" w:line="360" w:lineRule="auto"/>
        <w:jc w:val="both"/>
        <w:rPr>
          <w:color w:val="FFFFFF"/>
          <w:sz w:val="2"/>
          <w:szCs w:val="2"/>
          <w:rtl/>
        </w:rPr>
      </w:pPr>
    </w:p>
    <w:p w14:paraId="7A5A961D" w14:textId="77777777" w:rsidR="001E0398" w:rsidRPr="001E0398" w:rsidRDefault="001E0398" w:rsidP="001A22E9">
      <w:pPr>
        <w:spacing w:before="100" w:beforeAutospacing="1" w:after="100" w:afterAutospacing="1" w:line="360" w:lineRule="auto"/>
        <w:jc w:val="both"/>
        <w:rPr>
          <w:color w:val="FFFFFF"/>
          <w:sz w:val="2"/>
          <w:szCs w:val="2"/>
          <w:rtl/>
        </w:rPr>
      </w:pPr>
      <w:r w:rsidRPr="001E0398">
        <w:rPr>
          <w:color w:val="FFFFFF"/>
          <w:sz w:val="2"/>
          <w:szCs w:val="2"/>
          <w:rtl/>
        </w:rPr>
        <w:t>5129371</w:t>
      </w:r>
    </w:p>
    <w:p w14:paraId="003DC848" w14:textId="77777777" w:rsidR="00B97A28" w:rsidRDefault="001E0398" w:rsidP="001A22E9">
      <w:pPr>
        <w:spacing w:before="100" w:beforeAutospacing="1" w:after="100" w:afterAutospacing="1" w:line="360" w:lineRule="auto"/>
        <w:jc w:val="both"/>
        <w:rPr>
          <w:rtl/>
        </w:rPr>
      </w:pPr>
      <w:r w:rsidRPr="001E0398">
        <w:rPr>
          <w:color w:val="FFFFFF"/>
          <w:sz w:val="2"/>
          <w:szCs w:val="2"/>
          <w:rtl/>
        </w:rPr>
        <w:t>54678313</w:t>
      </w:r>
      <w:r w:rsidR="007905AE">
        <w:rPr>
          <w:rtl/>
        </w:rPr>
        <w:t xml:space="preserve"> </w:t>
      </w:r>
    </w:p>
    <w:p w14:paraId="5D391B71" w14:textId="77777777" w:rsidR="00B97A28" w:rsidRDefault="007905AE" w:rsidP="001A22E9">
      <w:pPr>
        <w:spacing w:before="100" w:beforeAutospacing="1" w:after="100" w:afterAutospacing="1" w:line="360" w:lineRule="auto"/>
        <w:jc w:val="both"/>
        <w:rPr>
          <w:rtl/>
        </w:rPr>
      </w:pPr>
      <w:r>
        <w:rPr>
          <w:rtl/>
        </w:rPr>
        <w:t xml:space="preserve"> </w:t>
      </w:r>
    </w:p>
    <w:p w14:paraId="72DE9B1C" w14:textId="77777777" w:rsidR="001E0398" w:rsidRPr="001E0398" w:rsidRDefault="001E0398" w:rsidP="001E0398">
      <w:pPr>
        <w:keepNext/>
        <w:spacing w:line="360" w:lineRule="auto"/>
        <w:rPr>
          <w:rFonts w:ascii="David" w:hAnsi="David" w:cs="David"/>
          <w:color w:val="000000"/>
          <w:sz w:val="22"/>
          <w:szCs w:val="22"/>
          <w:rtl/>
        </w:rPr>
      </w:pPr>
    </w:p>
    <w:p w14:paraId="60F18053" w14:textId="77777777" w:rsidR="001E0398" w:rsidRPr="001E0398" w:rsidRDefault="001E0398" w:rsidP="001E0398">
      <w:pPr>
        <w:keepNext/>
        <w:spacing w:line="360" w:lineRule="auto"/>
        <w:rPr>
          <w:rFonts w:ascii="David" w:hAnsi="David" w:cs="David"/>
          <w:color w:val="000000"/>
          <w:sz w:val="22"/>
          <w:szCs w:val="22"/>
          <w:rtl/>
        </w:rPr>
      </w:pPr>
      <w:r w:rsidRPr="001E0398">
        <w:rPr>
          <w:rFonts w:ascii="David" w:hAnsi="David" w:cs="David"/>
          <w:color w:val="000000"/>
          <w:sz w:val="22"/>
          <w:szCs w:val="22"/>
          <w:rtl/>
        </w:rPr>
        <w:t>א' שהם 54678313-208/08</w:t>
      </w:r>
    </w:p>
    <w:p w14:paraId="2BD4D36F" w14:textId="77777777" w:rsidR="00B97A28" w:rsidRDefault="007905AE" w:rsidP="001A22E9">
      <w:pPr>
        <w:spacing w:before="100" w:beforeAutospacing="1" w:after="100" w:afterAutospacing="1" w:line="360" w:lineRule="auto"/>
        <w:jc w:val="both"/>
        <w:rPr>
          <w:rtl/>
        </w:rPr>
      </w:pPr>
      <w:r>
        <w:rPr>
          <w:rtl/>
        </w:rPr>
        <w:t xml:space="preserve"> </w:t>
      </w:r>
    </w:p>
    <w:p w14:paraId="1EC016A7" w14:textId="77777777" w:rsidR="009D7712" w:rsidRDefault="009D7712" w:rsidP="009D7712">
      <w:pPr>
        <w:spacing w:line="360" w:lineRule="auto"/>
      </w:pPr>
      <w:r w:rsidRPr="009D7712">
        <w:rPr>
          <w:color w:val="000000"/>
          <w:rtl/>
        </w:rPr>
        <w:t>נוסח מסמך זה כפוף לשינויי ניסוח ועריכה</w:t>
      </w:r>
    </w:p>
    <w:p w14:paraId="4A31C987" w14:textId="77777777" w:rsidR="009D7712" w:rsidRDefault="009D7712" w:rsidP="009D7712">
      <w:pPr>
        <w:spacing w:line="360" w:lineRule="auto"/>
        <w:rPr>
          <w:rtl/>
        </w:rPr>
      </w:pPr>
    </w:p>
    <w:p w14:paraId="730D171B" w14:textId="77777777" w:rsidR="009D7712" w:rsidRDefault="009D7712" w:rsidP="009D7712">
      <w:pPr>
        <w:spacing w:line="360" w:lineRule="auto"/>
        <w:jc w:val="center"/>
        <w:rPr>
          <w:rFonts w:cs="David"/>
          <w:color w:val="0000FF"/>
          <w:u w:val="single"/>
        </w:rPr>
      </w:pPr>
      <w:r w:rsidRPr="004B7913">
        <w:rPr>
          <w:rFonts w:cs="David"/>
          <w:color w:val="000000"/>
          <w:rtl/>
        </w:rPr>
        <w:t>הודעה למנויים על עריכה ושינויים במסמכי פסיקה, חקיקה ועוד באתר נבו - הקש כאן</w:t>
      </w:r>
    </w:p>
    <w:sectPr w:rsidR="009D7712" w:rsidSect="001E0398">
      <w:headerReference w:type="even" r:id="rId35"/>
      <w:headerReference w:type="default" r:id="rId36"/>
      <w:footerReference w:type="even" r:id="rId37"/>
      <w:footerReference w:type="default" r:id="rId38"/>
      <w:pgSz w:w="11906" w:h="16838"/>
      <w:pgMar w:top="1701" w:right="1800" w:bottom="1440" w:left="1800" w:header="708" w:footer="708"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F87E6" w14:textId="77777777" w:rsidR="00F22323" w:rsidRDefault="00F22323">
      <w:r>
        <w:separator/>
      </w:r>
    </w:p>
  </w:endnote>
  <w:endnote w:type="continuationSeparator" w:id="0">
    <w:p w14:paraId="67224FB2" w14:textId="77777777" w:rsidR="00F22323" w:rsidRDefault="00F22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2B2D6" w14:textId="77777777" w:rsidR="008F0207" w:rsidRDefault="008F0207" w:rsidP="001E0398">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9D38DF1" w14:textId="77777777" w:rsidR="008F0207" w:rsidRDefault="008F0207" w:rsidP="001E0398">
    <w:pPr>
      <w:pStyle w:val="Footer"/>
      <w:pBdr>
        <w:top w:val="single" w:sz="4" w:space="1" w:color="auto"/>
        <w:between w:val="single" w:sz="4" w:space="0" w:color="auto"/>
      </w:pBdr>
      <w:spacing w:after="60"/>
      <w:jc w:val="center"/>
      <w:rPr>
        <w:color w:val="000000"/>
        <w:sz w:val="28"/>
        <w:szCs w:val="22"/>
      </w:rPr>
    </w:pPr>
    <w:r>
      <w:rPr>
        <w:color w:val="000000"/>
        <w:sz w:val="28"/>
        <w:szCs w:val="22"/>
        <w:rtl/>
      </w:rPr>
      <w:t xml:space="preserve">נבו הוצאה לאור בע"מ  </w:t>
    </w:r>
    <w:r>
      <w:rPr>
        <w:color w:val="000000"/>
        <w:sz w:val="28"/>
        <w:szCs w:val="22"/>
      </w:rPr>
      <w:t>nevo.co.il</w:t>
    </w:r>
    <w:r>
      <w:rPr>
        <w:color w:val="000000"/>
        <w:sz w:val="28"/>
        <w:szCs w:val="22"/>
        <w:rtl/>
      </w:rPr>
      <w:t xml:space="preserve">   המאגר המשפטי הישראלי</w:t>
    </w:r>
  </w:p>
  <w:p w14:paraId="33F913FE" w14:textId="77777777" w:rsidR="008F0207" w:rsidRPr="001E0398" w:rsidRDefault="008F0207" w:rsidP="001E0398">
    <w:pPr>
      <w:pStyle w:val="Footer"/>
      <w:pBdr>
        <w:top w:val="single" w:sz="4" w:space="1" w:color="auto"/>
        <w:between w:val="single" w:sz="4" w:space="0" w:color="auto"/>
      </w:pBdr>
      <w:rPr>
        <w:color w:val="000000"/>
        <w:sz w:val="14"/>
        <w:szCs w:val="14"/>
      </w:rPr>
    </w:pPr>
    <w:r>
      <w:rPr>
        <w:color w:val="000000"/>
        <w:sz w:val="14"/>
        <w:szCs w:val="14"/>
        <w:rtl/>
      </w:rPr>
      <w:fldChar w:fldCharType="begin"/>
    </w:r>
    <w:r>
      <w:rPr>
        <w:color w:val="000000"/>
        <w:sz w:val="14"/>
        <w:szCs w:val="14"/>
        <w:rtl/>
      </w:rPr>
      <w:instrText xml:space="preserve"> </w:instrText>
    </w:r>
    <w:r>
      <w:rPr>
        <w:color w:val="000000"/>
        <w:sz w:val="14"/>
        <w:szCs w:val="14"/>
      </w:rPr>
      <w:instrText>FILENAME \p  \* MERGEFORMAT</w:instrText>
    </w:r>
    <w:r>
      <w:rPr>
        <w:color w:val="000000"/>
        <w:sz w:val="14"/>
        <w:szCs w:val="14"/>
        <w:rtl/>
      </w:rPr>
      <w:instrText xml:space="preserve"> </w:instrText>
    </w:r>
    <w:r>
      <w:rPr>
        <w:color w:val="000000"/>
        <w:sz w:val="14"/>
        <w:szCs w:val="14"/>
        <w:rtl/>
      </w:rPr>
      <w:fldChar w:fldCharType="separate"/>
    </w:r>
    <w:r w:rsidR="008944F0">
      <w:rPr>
        <w:noProof/>
        <w:color w:val="000000"/>
        <w:sz w:val="14"/>
        <w:szCs w:val="14"/>
      </w:rPr>
      <w:t>Z:\00000000000000000000000000000000000-2016---------------\HAKIKA-KIDUD-2016\2010\mechozi\word\outdoc-nohyper\OutDoc-Makor\me-08-208-942.doc</w:t>
    </w:r>
    <w:r>
      <w:rPr>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29AD3" w14:textId="77777777" w:rsidR="008F0207" w:rsidRDefault="008F0207" w:rsidP="001E0398">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A0466">
      <w:rPr>
        <w:rFonts w:ascii="FrankRuehl" w:hAnsi="FrankRuehl" w:cs="FrankRuehl"/>
        <w:noProof/>
        <w:rtl/>
      </w:rPr>
      <w:t>1</w:t>
    </w:r>
    <w:r>
      <w:rPr>
        <w:rFonts w:ascii="FrankRuehl" w:hAnsi="FrankRuehl" w:cs="FrankRuehl"/>
        <w:rtl/>
      </w:rPr>
      <w:fldChar w:fldCharType="end"/>
    </w:r>
  </w:p>
  <w:p w14:paraId="384A90DB" w14:textId="77777777" w:rsidR="008F0207" w:rsidRDefault="008F0207" w:rsidP="001E0398">
    <w:pPr>
      <w:pStyle w:val="Footer"/>
      <w:pBdr>
        <w:top w:val="single" w:sz="4" w:space="1" w:color="auto"/>
        <w:between w:val="single" w:sz="4" w:space="0" w:color="auto"/>
      </w:pBdr>
      <w:spacing w:after="60"/>
      <w:jc w:val="center"/>
      <w:rPr>
        <w:color w:val="000000"/>
        <w:sz w:val="28"/>
        <w:szCs w:val="22"/>
      </w:rPr>
    </w:pPr>
    <w:r>
      <w:rPr>
        <w:color w:val="000000"/>
        <w:sz w:val="28"/>
        <w:szCs w:val="22"/>
        <w:rtl/>
      </w:rPr>
      <w:t xml:space="preserve">נבו הוצאה לאור בע"מ  </w:t>
    </w:r>
    <w:r>
      <w:rPr>
        <w:color w:val="000000"/>
        <w:sz w:val="28"/>
        <w:szCs w:val="22"/>
      </w:rPr>
      <w:t>nevo.co.il</w:t>
    </w:r>
    <w:r>
      <w:rPr>
        <w:color w:val="000000"/>
        <w:sz w:val="28"/>
        <w:szCs w:val="22"/>
        <w:rtl/>
      </w:rPr>
      <w:t xml:space="preserve">   המאגר המשפטי הישראלי</w:t>
    </w:r>
  </w:p>
  <w:p w14:paraId="1FA3F33C" w14:textId="77777777" w:rsidR="008F0207" w:rsidRPr="001E0398" w:rsidRDefault="008F0207" w:rsidP="001E0398">
    <w:pPr>
      <w:pStyle w:val="Footer"/>
      <w:pBdr>
        <w:top w:val="single" w:sz="4" w:space="1" w:color="auto"/>
        <w:between w:val="single" w:sz="4" w:space="0" w:color="auto"/>
      </w:pBdr>
      <w:rPr>
        <w:color w:val="000000"/>
        <w:sz w:val="14"/>
        <w:szCs w:val="14"/>
      </w:rPr>
    </w:pPr>
    <w:r>
      <w:rPr>
        <w:color w:val="000000"/>
        <w:sz w:val="14"/>
        <w:szCs w:val="14"/>
        <w:rtl/>
      </w:rPr>
      <w:fldChar w:fldCharType="begin"/>
    </w:r>
    <w:r>
      <w:rPr>
        <w:color w:val="000000"/>
        <w:sz w:val="14"/>
        <w:szCs w:val="14"/>
        <w:rtl/>
      </w:rPr>
      <w:instrText xml:space="preserve"> </w:instrText>
    </w:r>
    <w:r>
      <w:rPr>
        <w:color w:val="000000"/>
        <w:sz w:val="14"/>
        <w:szCs w:val="14"/>
      </w:rPr>
      <w:instrText>FILENAME \p  \* MERGEFORMAT</w:instrText>
    </w:r>
    <w:r>
      <w:rPr>
        <w:color w:val="000000"/>
        <w:sz w:val="14"/>
        <w:szCs w:val="14"/>
        <w:rtl/>
      </w:rPr>
      <w:instrText xml:space="preserve"> </w:instrText>
    </w:r>
    <w:r>
      <w:rPr>
        <w:color w:val="000000"/>
        <w:sz w:val="14"/>
        <w:szCs w:val="14"/>
        <w:rtl/>
      </w:rPr>
      <w:fldChar w:fldCharType="separate"/>
    </w:r>
    <w:r w:rsidR="008944F0">
      <w:rPr>
        <w:noProof/>
        <w:color w:val="000000"/>
        <w:sz w:val="14"/>
        <w:szCs w:val="14"/>
      </w:rPr>
      <w:t>Z:\00000000000000000000000000000000000-2016---------------\HAKIKA-KIDUD-2016\2010\mechozi\word\outdoc-nohyper\OutDoc-Makor\me-08-208-942.doc</w:t>
    </w:r>
    <w:r>
      <w:rPr>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C698F" w14:textId="77777777" w:rsidR="00F22323" w:rsidRDefault="00F22323">
      <w:r>
        <w:separator/>
      </w:r>
    </w:p>
  </w:footnote>
  <w:footnote w:type="continuationSeparator" w:id="0">
    <w:p w14:paraId="44E89562" w14:textId="77777777" w:rsidR="00F22323" w:rsidRDefault="00F223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3475D" w14:textId="77777777" w:rsidR="008F0207" w:rsidRPr="001E0398" w:rsidRDefault="008F0207" w:rsidP="001E0398">
    <w:pPr>
      <w:pStyle w:val="Header"/>
      <w:pBdr>
        <w:bottom w:val="single" w:sz="4" w:space="1" w:color="auto"/>
      </w:pBdr>
      <w:tabs>
        <w:tab w:val="clear" w:pos="4153"/>
        <w:tab w:val="clear" w:pos="8306"/>
        <w:tab w:val="right" w:pos="8311"/>
      </w:tabs>
      <w:spacing w:line="220" w:lineRule="exact"/>
      <w:rPr>
        <w:rFonts w:ascii="David" w:hAnsi="David" w:cs="David"/>
        <w:color w:val="000000"/>
        <w:sz w:val="22"/>
        <w:szCs w:val="22"/>
        <w:rtl/>
      </w:rPr>
    </w:pPr>
    <w:r>
      <w:rPr>
        <w:rFonts w:ascii="David" w:hAnsi="David" w:cs="David"/>
        <w:color w:val="000000"/>
        <w:sz w:val="22"/>
        <w:szCs w:val="22"/>
        <w:rtl/>
      </w:rPr>
      <w:t>תפח (ת"א) 208-08</w:t>
    </w:r>
    <w:r>
      <w:rPr>
        <w:rFonts w:ascii="David" w:hAnsi="David" w:cs="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702C1" w14:textId="77777777" w:rsidR="008F0207" w:rsidRPr="001E0398" w:rsidRDefault="008F0207" w:rsidP="001E0398">
    <w:pPr>
      <w:pStyle w:val="Header"/>
      <w:pBdr>
        <w:bottom w:val="single" w:sz="4" w:space="1" w:color="auto"/>
      </w:pBdr>
      <w:tabs>
        <w:tab w:val="clear" w:pos="4153"/>
        <w:tab w:val="clear" w:pos="8306"/>
        <w:tab w:val="right" w:pos="8311"/>
      </w:tabs>
      <w:spacing w:line="220" w:lineRule="exact"/>
      <w:rPr>
        <w:rFonts w:ascii="David" w:hAnsi="David" w:cs="David"/>
        <w:color w:val="000000"/>
        <w:sz w:val="22"/>
        <w:szCs w:val="22"/>
        <w:rtl/>
      </w:rPr>
    </w:pPr>
    <w:r>
      <w:rPr>
        <w:rFonts w:ascii="David" w:hAnsi="David" w:cs="David"/>
        <w:color w:val="000000"/>
        <w:sz w:val="22"/>
        <w:szCs w:val="22"/>
        <w:rtl/>
      </w:rPr>
      <w:t>תפח (ת"א) 208-08</w:t>
    </w:r>
    <w:r>
      <w:rPr>
        <w:rFonts w:ascii="David" w:hAnsi="David" w:cs="David"/>
        <w:color w:val="000000"/>
        <w:sz w:val="22"/>
        <w:szCs w:val="22"/>
        <w:rtl/>
      </w:rPr>
      <w:tab/>
      <w:t xml:space="preserve"> מדינת ישראל נ' פלוני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97A28"/>
    <w:rsid w:val="00075AD5"/>
    <w:rsid w:val="000E4E17"/>
    <w:rsid w:val="001A22E9"/>
    <w:rsid w:val="001E0398"/>
    <w:rsid w:val="00201790"/>
    <w:rsid w:val="002F75A5"/>
    <w:rsid w:val="0044637F"/>
    <w:rsid w:val="004B7913"/>
    <w:rsid w:val="004D083B"/>
    <w:rsid w:val="006D2A74"/>
    <w:rsid w:val="007905AE"/>
    <w:rsid w:val="007A2DA7"/>
    <w:rsid w:val="008944F0"/>
    <w:rsid w:val="008A233A"/>
    <w:rsid w:val="008F0207"/>
    <w:rsid w:val="009A0466"/>
    <w:rsid w:val="009D7712"/>
    <w:rsid w:val="00B97A28"/>
    <w:rsid w:val="00C32694"/>
    <w:rsid w:val="00C604BC"/>
    <w:rsid w:val="00C90BF4"/>
    <w:rsid w:val="00D72E1C"/>
    <w:rsid w:val="00F2232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4C9EE3C0"/>
  <w15:chartTrackingRefBased/>
  <w15:docId w15:val="{CEE2866E-FB21-4990-AA40-9DF8C5D26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p">
    <w:name w:val="normal-p"/>
    <w:basedOn w:val="Normal"/>
    <w:rsid w:val="00B97A28"/>
    <w:pPr>
      <w:bidi w:val="0"/>
      <w:spacing w:before="100" w:beforeAutospacing="1" w:after="100" w:afterAutospacing="1"/>
    </w:pPr>
  </w:style>
  <w:style w:type="character" w:customStyle="1" w:styleId="normal-h">
    <w:name w:val="normal-h"/>
    <w:basedOn w:val="DefaultParagraphFont"/>
    <w:rsid w:val="00B97A28"/>
  </w:style>
  <w:style w:type="paragraph" w:styleId="Header">
    <w:name w:val="header"/>
    <w:basedOn w:val="Normal"/>
    <w:rsid w:val="001A22E9"/>
    <w:pPr>
      <w:tabs>
        <w:tab w:val="center" w:pos="4153"/>
        <w:tab w:val="right" w:pos="8306"/>
      </w:tabs>
    </w:pPr>
  </w:style>
  <w:style w:type="paragraph" w:styleId="Footer">
    <w:name w:val="footer"/>
    <w:basedOn w:val="Normal"/>
    <w:rsid w:val="001A22E9"/>
    <w:pPr>
      <w:tabs>
        <w:tab w:val="center" w:pos="4153"/>
        <w:tab w:val="right" w:pos="8306"/>
      </w:tabs>
    </w:pPr>
  </w:style>
  <w:style w:type="character" w:styleId="PageNumber">
    <w:name w:val="page number"/>
    <w:basedOn w:val="DefaultParagraphFont"/>
    <w:rsid w:val="009D7712"/>
  </w:style>
  <w:style w:type="character" w:styleId="Hyperlink">
    <w:name w:val="Hyperlink"/>
    <w:rsid w:val="009D77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800719">
      <w:bodyDiv w:val="1"/>
      <w:marLeft w:val="0"/>
      <w:marRight w:val="0"/>
      <w:marTop w:val="0"/>
      <w:marBottom w:val="0"/>
      <w:divBdr>
        <w:top w:val="none" w:sz="0" w:space="0" w:color="auto"/>
        <w:left w:val="none" w:sz="0" w:space="0" w:color="auto"/>
        <w:bottom w:val="none" w:sz="0" w:space="0" w:color="auto"/>
        <w:right w:val="none" w:sz="0" w:space="0" w:color="auto"/>
      </w:divBdr>
    </w:div>
    <w:div w:id="16947622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5.a.1.;345.a.4" TargetMode="External"/><Relationship Id="rId18" Type="http://schemas.openxmlformats.org/officeDocument/2006/relationships/hyperlink" Target="http://www.nevo.co.il/law/70301/345.a.1.;345.a.4" TargetMode="External"/><Relationship Id="rId26" Type="http://schemas.openxmlformats.org/officeDocument/2006/relationships/hyperlink" Target="http://www.nevo.co.il/law/70301" TargetMode="External"/><Relationship Id="rId39" Type="http://schemas.openxmlformats.org/officeDocument/2006/relationships/fontTable" Target="fontTable.xml"/><Relationship Id="rId21" Type="http://schemas.openxmlformats.org/officeDocument/2006/relationships/hyperlink" Target="http://www.nevo.co.il/case/6089713" TargetMode="External"/><Relationship Id="rId34" Type="http://schemas.openxmlformats.org/officeDocument/2006/relationships/hyperlink" Target="http://www.nevo.co.il/law/70301/345.a.3.;345.a.4" TargetMode="External"/><Relationship Id="rId7" Type="http://schemas.openxmlformats.org/officeDocument/2006/relationships/hyperlink" Target="http://www.nevo.co.il/law/70301/345.a.1." TargetMode="External"/><Relationship Id="rId12" Type="http://schemas.openxmlformats.org/officeDocument/2006/relationships/hyperlink" Target="http://www.nevo.co.il/law/70301/347.b" TargetMode="External"/><Relationship Id="rId17" Type="http://schemas.openxmlformats.org/officeDocument/2006/relationships/hyperlink" Target="http://www.nevo.co.il/law/70301/347.b" TargetMode="External"/><Relationship Id="rId25" Type="http://schemas.openxmlformats.org/officeDocument/2006/relationships/hyperlink" Target="http://www.nevo.co.il/law/70301/345.a.1.;345.a.4" TargetMode="External"/><Relationship Id="rId33" Type="http://schemas.openxmlformats.org/officeDocument/2006/relationships/hyperlink" Target="http://www.nevo.co.il/law/70301/348.a" TargetMode="External"/><Relationship Id="rId38"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70301/345.a.3.;345.a.4" TargetMode="External"/><Relationship Id="rId20" Type="http://schemas.openxmlformats.org/officeDocument/2006/relationships/hyperlink" Target="http://www.nevo.co.il/case/5810781" TargetMode="External"/><Relationship Id="rId29" Type="http://schemas.openxmlformats.org/officeDocument/2006/relationships/hyperlink" Target="http://www.nevo.co.il/law/70301"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8.a" TargetMode="External"/><Relationship Id="rId24" Type="http://schemas.openxmlformats.org/officeDocument/2006/relationships/hyperlink" Target="http://www.nevo.co.il/law/70301/347.b" TargetMode="External"/><Relationship Id="rId32" Type="http://schemas.openxmlformats.org/officeDocument/2006/relationships/hyperlink" Target="http://www.nevo.co.il/law/70301"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0301/348.a" TargetMode="External"/><Relationship Id="rId23" Type="http://schemas.openxmlformats.org/officeDocument/2006/relationships/hyperlink" Target="http://www.nevo.co.il/case/6240015" TargetMode="External"/><Relationship Id="rId28" Type="http://schemas.openxmlformats.org/officeDocument/2006/relationships/hyperlink" Target="http://www.nevo.co.il/law/70301/345.a.3.;345.a.4" TargetMode="External"/><Relationship Id="rId36" Type="http://schemas.openxmlformats.org/officeDocument/2006/relationships/header" Target="header2.xml"/><Relationship Id="rId10" Type="http://schemas.openxmlformats.org/officeDocument/2006/relationships/hyperlink" Target="http://www.nevo.co.il/law/70301/347.b" TargetMode="External"/><Relationship Id="rId19" Type="http://schemas.openxmlformats.org/officeDocument/2006/relationships/hyperlink" Target="http://www.nevo.co.il/law/70301" TargetMode="External"/><Relationship Id="rId31" Type="http://schemas.openxmlformats.org/officeDocument/2006/relationships/hyperlink" Target="http://www.nevo.co.il/law/70301/345.a.1.;345.a.4" TargetMode="External"/><Relationship Id="rId4" Type="http://schemas.openxmlformats.org/officeDocument/2006/relationships/footnotes" Target="footnotes.xml"/><Relationship Id="rId9" Type="http://schemas.openxmlformats.org/officeDocument/2006/relationships/hyperlink" Target="http://www.nevo.co.il/law/70301/345.a.4"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5849797" TargetMode="External"/><Relationship Id="rId27" Type="http://schemas.openxmlformats.org/officeDocument/2006/relationships/hyperlink" Target="http://www.nevo.co.il/law/70301/348.a" TargetMode="External"/><Relationship Id="rId30" Type="http://schemas.openxmlformats.org/officeDocument/2006/relationships/hyperlink" Target="http://www.nevo.co.il/law/70301/347.b" TargetMode="External"/><Relationship Id="rId35" Type="http://schemas.openxmlformats.org/officeDocument/2006/relationships/header" Target="header1.xml"/><Relationship Id="rId8" Type="http://schemas.openxmlformats.org/officeDocument/2006/relationships/hyperlink" Target="http://www.nevo.co.il/law/70301/345.a.3."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1336</Words>
  <Characters>7620</Characters>
  <Application>Microsoft Office Word</Application>
  <DocSecurity>0</DocSecurity>
  <Lines>63</Lines>
  <Paragraphs>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LinksUpToDate>false</LinksUpToDate>
  <CharactersWithSpaces>8939</CharactersWithSpaces>
  <SharedDoc>false</SharedDoc>
  <HLinks>
    <vt:vector size="174" baseType="variant">
      <vt:variant>
        <vt:i4>1835022</vt:i4>
      </vt:variant>
      <vt:variant>
        <vt:i4>84</vt:i4>
      </vt:variant>
      <vt:variant>
        <vt:i4>0</vt:i4>
      </vt:variant>
      <vt:variant>
        <vt:i4>5</vt:i4>
      </vt:variant>
      <vt:variant>
        <vt:lpwstr>http://www.nevo.co.il/law/70301/345.a.3.;345.a.4</vt:lpwstr>
      </vt:variant>
      <vt:variant>
        <vt:lpwstr/>
      </vt:variant>
      <vt:variant>
        <vt:i4>5177438</vt:i4>
      </vt:variant>
      <vt:variant>
        <vt:i4>81</vt:i4>
      </vt:variant>
      <vt:variant>
        <vt:i4>0</vt:i4>
      </vt:variant>
      <vt:variant>
        <vt:i4>5</vt:i4>
      </vt:variant>
      <vt:variant>
        <vt:lpwstr>http://www.nevo.co.il/law/70301/348.a</vt:lpwstr>
      </vt:variant>
      <vt:variant>
        <vt:lpwstr/>
      </vt:variant>
      <vt:variant>
        <vt:i4>7995492</vt:i4>
      </vt:variant>
      <vt:variant>
        <vt:i4>78</vt:i4>
      </vt:variant>
      <vt:variant>
        <vt:i4>0</vt:i4>
      </vt:variant>
      <vt:variant>
        <vt:i4>5</vt:i4>
      </vt:variant>
      <vt:variant>
        <vt:lpwstr>http://www.nevo.co.il/law/70301</vt:lpwstr>
      </vt:variant>
      <vt:variant>
        <vt:lpwstr/>
      </vt:variant>
      <vt:variant>
        <vt:i4>1835020</vt:i4>
      </vt:variant>
      <vt:variant>
        <vt:i4>75</vt:i4>
      </vt:variant>
      <vt:variant>
        <vt:i4>0</vt:i4>
      </vt:variant>
      <vt:variant>
        <vt:i4>5</vt:i4>
      </vt:variant>
      <vt:variant>
        <vt:lpwstr>http://www.nevo.co.il/law/70301/345.a.1.;345.a.4</vt:lpwstr>
      </vt:variant>
      <vt:variant>
        <vt:lpwstr/>
      </vt:variant>
      <vt:variant>
        <vt:i4>5177425</vt:i4>
      </vt:variant>
      <vt:variant>
        <vt:i4>72</vt:i4>
      </vt:variant>
      <vt:variant>
        <vt:i4>0</vt:i4>
      </vt:variant>
      <vt:variant>
        <vt:i4>5</vt:i4>
      </vt:variant>
      <vt:variant>
        <vt:lpwstr>http://www.nevo.co.il/law/70301/347.b</vt:lpwstr>
      </vt:variant>
      <vt:variant>
        <vt:lpwstr/>
      </vt:variant>
      <vt:variant>
        <vt:i4>7995492</vt:i4>
      </vt:variant>
      <vt:variant>
        <vt:i4>69</vt:i4>
      </vt:variant>
      <vt:variant>
        <vt:i4>0</vt:i4>
      </vt:variant>
      <vt:variant>
        <vt:i4>5</vt:i4>
      </vt:variant>
      <vt:variant>
        <vt:lpwstr>http://www.nevo.co.il/law/70301</vt:lpwstr>
      </vt:variant>
      <vt:variant>
        <vt:lpwstr/>
      </vt:variant>
      <vt:variant>
        <vt:i4>1835022</vt:i4>
      </vt:variant>
      <vt:variant>
        <vt:i4>66</vt:i4>
      </vt:variant>
      <vt:variant>
        <vt:i4>0</vt:i4>
      </vt:variant>
      <vt:variant>
        <vt:i4>5</vt:i4>
      </vt:variant>
      <vt:variant>
        <vt:lpwstr>http://www.nevo.co.il/law/70301/345.a.3.;345.a.4</vt:lpwstr>
      </vt:variant>
      <vt:variant>
        <vt:lpwstr/>
      </vt:variant>
      <vt:variant>
        <vt:i4>5177438</vt:i4>
      </vt:variant>
      <vt:variant>
        <vt:i4>63</vt:i4>
      </vt:variant>
      <vt:variant>
        <vt:i4>0</vt:i4>
      </vt:variant>
      <vt:variant>
        <vt:i4>5</vt:i4>
      </vt:variant>
      <vt:variant>
        <vt:lpwstr>http://www.nevo.co.il/law/70301/348.a</vt:lpwstr>
      </vt:variant>
      <vt:variant>
        <vt:lpwstr/>
      </vt:variant>
      <vt:variant>
        <vt:i4>7995492</vt:i4>
      </vt:variant>
      <vt:variant>
        <vt:i4>60</vt:i4>
      </vt:variant>
      <vt:variant>
        <vt:i4>0</vt:i4>
      </vt:variant>
      <vt:variant>
        <vt:i4>5</vt:i4>
      </vt:variant>
      <vt:variant>
        <vt:lpwstr>http://www.nevo.co.il/law/70301</vt:lpwstr>
      </vt:variant>
      <vt:variant>
        <vt:lpwstr/>
      </vt:variant>
      <vt:variant>
        <vt:i4>1835020</vt:i4>
      </vt:variant>
      <vt:variant>
        <vt:i4>57</vt:i4>
      </vt:variant>
      <vt:variant>
        <vt:i4>0</vt:i4>
      </vt:variant>
      <vt:variant>
        <vt:i4>5</vt:i4>
      </vt:variant>
      <vt:variant>
        <vt:lpwstr>http://www.nevo.co.il/law/70301/345.a.1.;345.a.4</vt:lpwstr>
      </vt:variant>
      <vt:variant>
        <vt:lpwstr/>
      </vt:variant>
      <vt:variant>
        <vt:i4>5177425</vt:i4>
      </vt:variant>
      <vt:variant>
        <vt:i4>54</vt:i4>
      </vt:variant>
      <vt:variant>
        <vt:i4>0</vt:i4>
      </vt:variant>
      <vt:variant>
        <vt:i4>5</vt:i4>
      </vt:variant>
      <vt:variant>
        <vt:lpwstr>http://www.nevo.co.il/law/70301/347.b</vt:lpwstr>
      </vt:variant>
      <vt:variant>
        <vt:lpwstr/>
      </vt:variant>
      <vt:variant>
        <vt:i4>3604599</vt:i4>
      </vt:variant>
      <vt:variant>
        <vt:i4>51</vt:i4>
      </vt:variant>
      <vt:variant>
        <vt:i4>0</vt:i4>
      </vt:variant>
      <vt:variant>
        <vt:i4>5</vt:i4>
      </vt:variant>
      <vt:variant>
        <vt:lpwstr>http://www.nevo.co.il/case/6240015</vt:lpwstr>
      </vt:variant>
      <vt:variant>
        <vt:lpwstr/>
      </vt:variant>
      <vt:variant>
        <vt:i4>3211388</vt:i4>
      </vt:variant>
      <vt:variant>
        <vt:i4>48</vt:i4>
      </vt:variant>
      <vt:variant>
        <vt:i4>0</vt:i4>
      </vt:variant>
      <vt:variant>
        <vt:i4>5</vt:i4>
      </vt:variant>
      <vt:variant>
        <vt:lpwstr>http://www.nevo.co.il/case/5849797</vt:lpwstr>
      </vt:variant>
      <vt:variant>
        <vt:lpwstr/>
      </vt:variant>
      <vt:variant>
        <vt:i4>3801212</vt:i4>
      </vt:variant>
      <vt:variant>
        <vt:i4>45</vt:i4>
      </vt:variant>
      <vt:variant>
        <vt:i4>0</vt:i4>
      </vt:variant>
      <vt:variant>
        <vt:i4>5</vt:i4>
      </vt:variant>
      <vt:variant>
        <vt:lpwstr>http://www.nevo.co.il/case/6089713</vt:lpwstr>
      </vt:variant>
      <vt:variant>
        <vt:lpwstr/>
      </vt:variant>
      <vt:variant>
        <vt:i4>3276916</vt:i4>
      </vt:variant>
      <vt:variant>
        <vt:i4>42</vt:i4>
      </vt:variant>
      <vt:variant>
        <vt:i4>0</vt:i4>
      </vt:variant>
      <vt:variant>
        <vt:i4>5</vt:i4>
      </vt:variant>
      <vt:variant>
        <vt:lpwstr>http://www.nevo.co.il/case/5810781</vt:lpwstr>
      </vt:variant>
      <vt:variant>
        <vt:lpwstr/>
      </vt:variant>
      <vt:variant>
        <vt:i4>7995492</vt:i4>
      </vt:variant>
      <vt:variant>
        <vt:i4>39</vt:i4>
      </vt:variant>
      <vt:variant>
        <vt:i4>0</vt:i4>
      </vt:variant>
      <vt:variant>
        <vt:i4>5</vt:i4>
      </vt:variant>
      <vt:variant>
        <vt:lpwstr>http://www.nevo.co.il/law/70301</vt:lpwstr>
      </vt:variant>
      <vt:variant>
        <vt:lpwstr/>
      </vt:variant>
      <vt:variant>
        <vt:i4>1835020</vt:i4>
      </vt:variant>
      <vt:variant>
        <vt:i4>36</vt:i4>
      </vt:variant>
      <vt:variant>
        <vt:i4>0</vt:i4>
      </vt:variant>
      <vt:variant>
        <vt:i4>5</vt:i4>
      </vt:variant>
      <vt:variant>
        <vt:lpwstr>http://www.nevo.co.il/law/70301/345.a.1.;345.a.4</vt:lpwstr>
      </vt:variant>
      <vt:variant>
        <vt:lpwstr/>
      </vt:variant>
      <vt:variant>
        <vt:i4>5177425</vt:i4>
      </vt:variant>
      <vt:variant>
        <vt:i4>33</vt:i4>
      </vt:variant>
      <vt:variant>
        <vt:i4>0</vt:i4>
      </vt:variant>
      <vt:variant>
        <vt:i4>5</vt:i4>
      </vt:variant>
      <vt:variant>
        <vt:lpwstr>http://www.nevo.co.il/law/70301/347.b</vt:lpwstr>
      </vt:variant>
      <vt:variant>
        <vt:lpwstr/>
      </vt:variant>
      <vt:variant>
        <vt:i4>1835022</vt:i4>
      </vt:variant>
      <vt:variant>
        <vt:i4>30</vt:i4>
      </vt:variant>
      <vt:variant>
        <vt:i4>0</vt:i4>
      </vt:variant>
      <vt:variant>
        <vt:i4>5</vt:i4>
      </vt:variant>
      <vt:variant>
        <vt:lpwstr>http://www.nevo.co.il/law/70301/345.a.3.;345.a.4</vt:lpwstr>
      </vt:variant>
      <vt:variant>
        <vt:lpwstr/>
      </vt:variant>
      <vt:variant>
        <vt:i4>5177438</vt:i4>
      </vt:variant>
      <vt:variant>
        <vt:i4>27</vt:i4>
      </vt:variant>
      <vt:variant>
        <vt:i4>0</vt:i4>
      </vt:variant>
      <vt:variant>
        <vt:i4>5</vt:i4>
      </vt:variant>
      <vt:variant>
        <vt:lpwstr>http://www.nevo.co.il/law/70301/348.a</vt:lpwstr>
      </vt:variant>
      <vt:variant>
        <vt:lpwstr/>
      </vt:variant>
      <vt:variant>
        <vt:i4>7995492</vt:i4>
      </vt:variant>
      <vt:variant>
        <vt:i4>24</vt:i4>
      </vt:variant>
      <vt:variant>
        <vt:i4>0</vt:i4>
      </vt:variant>
      <vt:variant>
        <vt:i4>5</vt:i4>
      </vt:variant>
      <vt:variant>
        <vt:lpwstr>http://www.nevo.co.il/law/70301</vt:lpwstr>
      </vt:variant>
      <vt:variant>
        <vt:lpwstr/>
      </vt:variant>
      <vt:variant>
        <vt:i4>1835020</vt:i4>
      </vt:variant>
      <vt:variant>
        <vt:i4>21</vt:i4>
      </vt:variant>
      <vt:variant>
        <vt:i4>0</vt:i4>
      </vt:variant>
      <vt:variant>
        <vt:i4>5</vt:i4>
      </vt:variant>
      <vt:variant>
        <vt:lpwstr>http://www.nevo.co.il/law/70301/345.a.1.;345.a.4</vt:lpwstr>
      </vt:variant>
      <vt:variant>
        <vt:lpwstr/>
      </vt:variant>
      <vt:variant>
        <vt:i4>5177425</vt:i4>
      </vt:variant>
      <vt:variant>
        <vt:i4>18</vt:i4>
      </vt:variant>
      <vt:variant>
        <vt:i4>0</vt:i4>
      </vt:variant>
      <vt:variant>
        <vt:i4>5</vt:i4>
      </vt:variant>
      <vt:variant>
        <vt:lpwstr>http://www.nevo.co.il/law/70301/347.b</vt:lpwstr>
      </vt:variant>
      <vt:variant>
        <vt:lpwstr/>
      </vt:variant>
      <vt:variant>
        <vt:i4>5177438</vt:i4>
      </vt:variant>
      <vt:variant>
        <vt:i4>15</vt:i4>
      </vt:variant>
      <vt:variant>
        <vt:i4>0</vt:i4>
      </vt:variant>
      <vt:variant>
        <vt:i4>5</vt:i4>
      </vt:variant>
      <vt:variant>
        <vt:lpwstr>http://www.nevo.co.il/law/70301/348.a</vt:lpwstr>
      </vt:variant>
      <vt:variant>
        <vt:lpwstr/>
      </vt:variant>
      <vt:variant>
        <vt:i4>5177425</vt:i4>
      </vt:variant>
      <vt:variant>
        <vt:i4>12</vt:i4>
      </vt:variant>
      <vt:variant>
        <vt:i4>0</vt:i4>
      </vt:variant>
      <vt:variant>
        <vt:i4>5</vt:i4>
      </vt:variant>
      <vt:variant>
        <vt:lpwstr>http://www.nevo.co.il/law/70301/347.b</vt:lpwstr>
      </vt:variant>
      <vt:variant>
        <vt:lpwstr/>
      </vt:variant>
      <vt:variant>
        <vt:i4>6357042</vt:i4>
      </vt:variant>
      <vt:variant>
        <vt:i4>9</vt:i4>
      </vt:variant>
      <vt:variant>
        <vt:i4>0</vt:i4>
      </vt:variant>
      <vt:variant>
        <vt:i4>5</vt:i4>
      </vt:variant>
      <vt:variant>
        <vt:lpwstr>http://www.nevo.co.il/law/70301/345.a.4</vt:lpwstr>
      </vt:variant>
      <vt:variant>
        <vt:lpwstr/>
      </vt:variant>
      <vt:variant>
        <vt:i4>5177345</vt:i4>
      </vt:variant>
      <vt:variant>
        <vt:i4>6</vt:i4>
      </vt:variant>
      <vt:variant>
        <vt:i4>0</vt:i4>
      </vt:variant>
      <vt:variant>
        <vt:i4>5</vt:i4>
      </vt:variant>
      <vt:variant>
        <vt:lpwstr>http://www.nevo.co.il/law/70301/345.a.3.</vt:lpwstr>
      </vt:variant>
      <vt:variant>
        <vt:lpwstr/>
      </vt:variant>
      <vt:variant>
        <vt:i4>5177347</vt:i4>
      </vt:variant>
      <vt:variant>
        <vt:i4>3</vt:i4>
      </vt:variant>
      <vt:variant>
        <vt:i4>0</vt:i4>
      </vt:variant>
      <vt:variant>
        <vt:i4>5</vt:i4>
      </vt:variant>
      <vt:variant>
        <vt:lpwstr>http://www.nevo.co.il/law/70301/345.a.1.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Shahar Goldstein</dc:creator>
  <cp:keywords/>
  <cp:lastModifiedBy>Eliya Habba</cp:lastModifiedBy>
  <cp:revision>2</cp:revision>
  <dcterms:created xsi:type="dcterms:W3CDTF">2022-05-24T09:44:00Z</dcterms:created>
  <dcterms:modified xsi:type="dcterms:W3CDTF">2022-05-24T09:44:00Z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208</vt:lpwstr>
  </property>
  <property fmtid="{D5CDD505-2E9C-101B-9397-08002B2CF9AE}" pid="6" name="NEWPARTB">
    <vt:lpwstr/>
  </property>
  <property fmtid="{D5CDD505-2E9C-101B-9397-08002B2CF9AE}" pid="7" name="NEWPARTC">
    <vt:lpwstr>08</vt:lpwstr>
  </property>
  <property fmtid="{D5CDD505-2E9C-101B-9397-08002B2CF9AE}" pid="8" name="PROCNUM">
    <vt:lpwstr>208</vt:lpwstr>
  </property>
  <property fmtid="{D5CDD505-2E9C-101B-9397-08002B2CF9AE}" pid="9" name="PROCYEAR">
    <vt:lpwstr>08</vt:lpwstr>
  </property>
  <property fmtid="{D5CDD505-2E9C-101B-9397-08002B2CF9AE}" pid="10" name="APPELLANT">
    <vt:lpwstr>מדינת ישראל</vt:lpwstr>
  </property>
  <property fmtid="{D5CDD505-2E9C-101B-9397-08002B2CF9AE}" pid="11" name="APPELLEE">
    <vt:lpwstr>פלוני</vt:lpwstr>
  </property>
  <property fmtid="{D5CDD505-2E9C-101B-9397-08002B2CF9AE}" pid="12" name="LAWYER">
    <vt:lpwstr>איתי פרוסט;ששי גז;גיל פרידמן;בני ברקי     </vt:lpwstr>
  </property>
  <property fmtid="{D5CDD505-2E9C-101B-9397-08002B2CF9AE}" pid="13" name="JUDGE">
    <vt:lpwstr>א' שהם;י' שבח;ג' נויטל</vt:lpwstr>
  </property>
  <property fmtid="{D5CDD505-2E9C-101B-9397-08002B2CF9AE}" pid="14" name="CITY">
    <vt:lpwstr>ת"א</vt:lpwstr>
  </property>
  <property fmtid="{D5CDD505-2E9C-101B-9397-08002B2CF9AE}" pid="15" name="DATE">
    <vt:lpwstr>20100603</vt:lpwstr>
  </property>
  <property fmtid="{D5CDD505-2E9C-101B-9397-08002B2CF9AE}" pid="16" name="TYPE_N_DATE">
    <vt:lpwstr>39020100603</vt:lpwstr>
  </property>
  <property fmtid="{D5CDD505-2E9C-101B-9397-08002B2CF9AE}" pid="17" name="WORDNUMPAGES">
    <vt:lpwstr>6</vt:lpwstr>
  </property>
  <property fmtid="{D5CDD505-2E9C-101B-9397-08002B2CF9AE}" pid="18" name="TYPE_ABS_DATE">
    <vt:lpwstr>390020100603</vt:lpwstr>
  </property>
  <property fmtid="{D5CDD505-2E9C-101B-9397-08002B2CF9AE}" pid="19" name="RemarkFileName">
    <vt:lpwstr>mechozi me 08 208 942 htm</vt:lpwstr>
  </property>
  <property fmtid="{D5CDD505-2E9C-101B-9397-08002B2CF9AE}" pid="20" name="ISABSTRACT">
    <vt:lpwstr>Y</vt:lpwstr>
  </property>
  <property fmtid="{D5CDD505-2E9C-101B-9397-08002B2CF9AE}" pid="21" name="PROCESS">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LINKK6">
    <vt:lpwstr/>
  </property>
  <property fmtid="{D5CDD505-2E9C-101B-9397-08002B2CF9AE}" pid="33" name="LINKK7">
    <vt:lpwstr/>
  </property>
  <property fmtid="{D5CDD505-2E9C-101B-9397-08002B2CF9AE}" pid="34" name="LINKK8">
    <vt:lpwstr/>
  </property>
  <property fmtid="{D5CDD505-2E9C-101B-9397-08002B2CF9AE}" pid="35" name="LINKK9">
    <vt:lpwstr/>
  </property>
  <property fmtid="{D5CDD505-2E9C-101B-9397-08002B2CF9AE}" pid="36" name="LINKK10">
    <vt:lpwstr/>
  </property>
  <property fmtid="{D5CDD505-2E9C-101B-9397-08002B2CF9AE}" pid="37" name="LINKK11">
    <vt:lpwstr/>
  </property>
  <property fmtid="{D5CDD505-2E9C-101B-9397-08002B2CF9AE}" pid="38" name="LINKK12">
    <vt:lpwstr/>
  </property>
  <property fmtid="{D5CDD505-2E9C-101B-9397-08002B2CF9AE}" pid="39" name="CASESLISTTMP1">
    <vt:lpwstr>5810781;6089713;5849797;6240015</vt:lpwstr>
  </property>
  <property fmtid="{D5CDD505-2E9C-101B-9397-08002B2CF9AE}" pid="40" name="LAWLISTTMP1">
    <vt:lpwstr>70301/347.b:4;345.a.1:4;345.a.4:7;348.a:3;345.a.3:3</vt:lpwstr>
  </property>
</Properties>
</file>