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973"/>
        <w:gridCol w:w="1068"/>
        <w:gridCol w:w="3679"/>
      </w:tblGrid>
      <w:tr w:rsidR="006F34EF" w:rsidRPr="00FD57B0" w14:paraId="14317D87" w14:textId="77777777">
        <w:trPr>
          <w:trHeight w:hRule="exact" w:val="418"/>
          <w:jc w:val="center"/>
        </w:trPr>
        <w:tc>
          <w:tcPr>
            <w:tcW w:w="8720" w:type="dxa"/>
            <w:gridSpan w:val="3"/>
          </w:tcPr>
          <w:p w14:paraId="15C07ABE" w14:textId="77777777" w:rsidR="006F34EF" w:rsidRPr="00FD57B0" w:rsidRDefault="00FD57B0">
            <w:pPr>
              <w:pStyle w:val="Header"/>
              <w:tabs>
                <w:tab w:val="clear" w:pos="8306"/>
              </w:tabs>
              <w:jc w:val="center"/>
              <w:rPr>
                <w:rFonts w:ascii="Tahoma" w:hAnsi="Tahoma" w:cs="Tahoma"/>
                <w:b/>
                <w:bCs/>
                <w:color w:val="000080"/>
                <w:sz w:val="20"/>
                <w:szCs w:val="20"/>
                <w:rtl/>
              </w:rPr>
            </w:pPr>
            <w:r w:rsidRPr="00FD57B0">
              <w:rPr>
                <w:rFonts w:ascii="Tahoma" w:hAnsi="Tahoma" w:cs="Tahoma"/>
                <w:b/>
                <w:bCs/>
                <w:color w:val="000080"/>
                <w:sz w:val="20"/>
                <w:szCs w:val="20"/>
                <w:rtl/>
              </w:rPr>
              <w:t>בית המשפט המחוזי בירושלים</w:t>
            </w:r>
          </w:p>
        </w:tc>
      </w:tr>
      <w:tr w:rsidR="006F34EF" w:rsidRPr="00FD57B0" w14:paraId="35E2C2CD" w14:textId="77777777">
        <w:trPr>
          <w:trHeight w:val="337"/>
          <w:jc w:val="center"/>
        </w:trPr>
        <w:tc>
          <w:tcPr>
            <w:tcW w:w="3973" w:type="dxa"/>
          </w:tcPr>
          <w:p w14:paraId="49A967DA" w14:textId="77777777" w:rsidR="006F34EF" w:rsidRPr="00FD57B0" w:rsidRDefault="00FD57B0">
            <w:pPr>
              <w:rPr>
                <w:b/>
                <w:bCs/>
                <w:sz w:val="26"/>
                <w:szCs w:val="26"/>
                <w:rtl/>
              </w:rPr>
            </w:pPr>
            <w:r w:rsidRPr="00FD57B0">
              <w:rPr>
                <w:b/>
                <w:bCs/>
                <w:sz w:val="26"/>
                <w:szCs w:val="26"/>
                <w:rtl/>
              </w:rPr>
              <w:t>תפ"ח</w:t>
            </w:r>
            <w:r w:rsidRPr="00FD57B0">
              <w:rPr>
                <w:rFonts w:hint="cs"/>
                <w:b/>
                <w:bCs/>
                <w:sz w:val="26"/>
                <w:szCs w:val="26"/>
                <w:rtl/>
              </w:rPr>
              <w:t xml:space="preserve"> </w:t>
            </w:r>
            <w:r w:rsidRPr="00FD57B0">
              <w:rPr>
                <w:b/>
                <w:bCs/>
                <w:sz w:val="26"/>
                <w:szCs w:val="26"/>
                <w:rtl/>
              </w:rPr>
              <w:t>1280-07-10</w:t>
            </w:r>
            <w:r w:rsidRPr="00FD57B0">
              <w:rPr>
                <w:rFonts w:hint="cs"/>
                <w:b/>
                <w:bCs/>
                <w:sz w:val="26"/>
                <w:szCs w:val="26"/>
                <w:rtl/>
              </w:rPr>
              <w:t xml:space="preserve"> </w:t>
            </w:r>
            <w:r w:rsidRPr="00FD57B0">
              <w:rPr>
                <w:b/>
                <w:bCs/>
                <w:sz w:val="26"/>
                <w:szCs w:val="26"/>
                <w:rtl/>
              </w:rPr>
              <w:t>מדינת ישראל נ' יעקובזון(עציר)</w:t>
            </w:r>
          </w:p>
          <w:p w14:paraId="0301FECD" w14:textId="77777777" w:rsidR="006F34EF" w:rsidRPr="00FD57B0" w:rsidRDefault="006F34EF">
            <w:pPr>
              <w:rPr>
                <w:b/>
                <w:bCs/>
                <w:sz w:val="26"/>
                <w:szCs w:val="26"/>
                <w:rtl/>
              </w:rPr>
            </w:pPr>
          </w:p>
        </w:tc>
        <w:tc>
          <w:tcPr>
            <w:tcW w:w="1068" w:type="dxa"/>
          </w:tcPr>
          <w:p w14:paraId="7E98A176" w14:textId="77777777" w:rsidR="006F34EF" w:rsidRPr="00FD57B0" w:rsidRDefault="006F34EF">
            <w:pPr>
              <w:pStyle w:val="Header"/>
              <w:jc w:val="right"/>
              <w:rPr>
                <w:b/>
                <w:bCs/>
                <w:sz w:val="26"/>
                <w:szCs w:val="26"/>
                <w:rtl/>
              </w:rPr>
            </w:pPr>
          </w:p>
        </w:tc>
        <w:tc>
          <w:tcPr>
            <w:tcW w:w="3679" w:type="dxa"/>
          </w:tcPr>
          <w:p w14:paraId="40772567" w14:textId="77777777" w:rsidR="006F34EF" w:rsidRPr="00FD57B0" w:rsidRDefault="00FD57B0">
            <w:pPr>
              <w:pStyle w:val="Header"/>
              <w:tabs>
                <w:tab w:val="clear" w:pos="4153"/>
              </w:tabs>
              <w:jc w:val="right"/>
              <w:rPr>
                <w:b/>
                <w:bCs/>
                <w:sz w:val="26"/>
                <w:szCs w:val="26"/>
                <w:rtl/>
              </w:rPr>
            </w:pPr>
            <w:r w:rsidRPr="00FD57B0">
              <w:rPr>
                <w:b/>
                <w:bCs/>
                <w:sz w:val="26"/>
                <w:szCs w:val="26"/>
                <w:rtl/>
              </w:rPr>
              <w:t>28 מרץ 2011</w:t>
            </w:r>
          </w:p>
        </w:tc>
      </w:tr>
    </w:tbl>
    <w:p w14:paraId="5757F8E7" w14:textId="77777777" w:rsidR="006F34EF" w:rsidRPr="00FD57B0" w:rsidRDefault="006F34EF">
      <w:pPr>
        <w:pStyle w:val="Header"/>
        <w:jc w:val="center"/>
        <w:rPr>
          <w:rFonts w:ascii="Tahoma" w:hAnsi="Tahoma" w:cs="Tahoma"/>
          <w:b/>
          <w:bCs/>
          <w:color w:val="000080"/>
          <w:sz w:val="20"/>
          <w:szCs w:val="20"/>
          <w:rtl/>
        </w:rPr>
      </w:pPr>
    </w:p>
    <w:p w14:paraId="64F4AC3A" w14:textId="77777777" w:rsidR="006F34EF" w:rsidRPr="00FD57B0" w:rsidRDefault="006F34EF">
      <w:pPr>
        <w:spacing w:line="360" w:lineRule="auto"/>
        <w:jc w:val="both"/>
        <w:rPr>
          <w:rFonts w:ascii="Arial" w:hAnsi="Arial"/>
          <w:b/>
          <w:bCs/>
          <w:rtl/>
        </w:rPr>
      </w:pPr>
    </w:p>
    <w:tbl>
      <w:tblPr>
        <w:bidiVisual/>
        <w:tblW w:w="8802" w:type="dxa"/>
        <w:tblInd w:w="-28" w:type="dxa"/>
        <w:tblLook w:val="01E0" w:firstRow="1" w:lastRow="1" w:firstColumn="1" w:lastColumn="1" w:noHBand="0" w:noVBand="0"/>
      </w:tblPr>
      <w:tblGrid>
        <w:gridCol w:w="28"/>
        <w:gridCol w:w="2852"/>
        <w:gridCol w:w="360"/>
        <w:gridCol w:w="5507"/>
        <w:gridCol w:w="55"/>
      </w:tblGrid>
      <w:tr w:rsidR="006F34EF" w:rsidRPr="00FD57B0" w14:paraId="643ED4A5" w14:textId="77777777">
        <w:trPr>
          <w:gridBefore w:val="1"/>
          <w:gridAfter w:val="1"/>
          <w:wBefore w:w="28" w:type="dxa"/>
          <w:wAfter w:w="55" w:type="dxa"/>
        </w:trPr>
        <w:tc>
          <w:tcPr>
            <w:tcW w:w="8719" w:type="dxa"/>
            <w:gridSpan w:val="3"/>
          </w:tcPr>
          <w:p w14:paraId="19802602" w14:textId="77777777" w:rsidR="006F34EF" w:rsidRPr="00FD57B0" w:rsidRDefault="00FD57B0">
            <w:pPr>
              <w:spacing w:line="360" w:lineRule="auto"/>
              <w:jc w:val="both"/>
              <w:rPr>
                <w:rFonts w:ascii="Arial" w:hAnsi="Arial"/>
              </w:rPr>
            </w:pPr>
            <w:r w:rsidRPr="00FD57B0">
              <w:rPr>
                <w:rFonts w:hint="cs"/>
                <w:b/>
                <w:bCs/>
                <w:sz w:val="26"/>
                <w:szCs w:val="26"/>
                <w:rtl/>
              </w:rPr>
              <w:t>בפני כב'  השופטים: צבי סגל, סגן הנשיאה – אב"ד, משה  דרורי ומשה יועד הכהן</w:t>
            </w:r>
          </w:p>
        </w:tc>
      </w:tr>
      <w:tr w:rsidR="006F34EF" w:rsidRPr="00FD57B0" w14:paraId="5CFED40D" w14:textId="77777777">
        <w:tc>
          <w:tcPr>
            <w:tcW w:w="2880" w:type="dxa"/>
            <w:gridSpan w:val="2"/>
          </w:tcPr>
          <w:p w14:paraId="5970A770" w14:textId="77777777" w:rsidR="006F34EF" w:rsidRPr="00FD57B0" w:rsidRDefault="00FD57B0">
            <w:pPr>
              <w:ind w:left="26"/>
              <w:rPr>
                <w:b/>
                <w:bCs/>
                <w:sz w:val="26"/>
                <w:szCs w:val="26"/>
              </w:rPr>
            </w:pPr>
            <w:bookmarkStart w:id="0" w:name="FirstAppellant"/>
            <w:bookmarkStart w:id="1" w:name="LastJudge"/>
            <w:bookmarkEnd w:id="1"/>
            <w:r w:rsidRPr="00FD57B0">
              <w:rPr>
                <w:rFonts w:hint="cs"/>
                <w:b/>
                <w:bCs/>
                <w:sz w:val="26"/>
                <w:szCs w:val="26"/>
                <w:rtl/>
              </w:rPr>
              <w:t>המאשימה</w:t>
            </w:r>
          </w:p>
        </w:tc>
        <w:tc>
          <w:tcPr>
            <w:tcW w:w="5922" w:type="dxa"/>
            <w:gridSpan w:val="3"/>
          </w:tcPr>
          <w:p w14:paraId="51D46A4C" w14:textId="77777777" w:rsidR="006F34EF" w:rsidRPr="00FD57B0" w:rsidRDefault="00FD57B0">
            <w:pPr>
              <w:rPr>
                <w:b/>
                <w:bCs/>
                <w:sz w:val="26"/>
                <w:szCs w:val="26"/>
              </w:rPr>
            </w:pPr>
            <w:r w:rsidRPr="00FD57B0">
              <w:rPr>
                <w:rFonts w:hint="cs"/>
                <w:b/>
                <w:bCs/>
                <w:sz w:val="26"/>
                <w:szCs w:val="26"/>
                <w:rtl/>
              </w:rPr>
              <w:t xml:space="preserve"> מדינת ישראל</w:t>
            </w:r>
          </w:p>
        </w:tc>
      </w:tr>
      <w:bookmarkEnd w:id="0"/>
      <w:tr w:rsidR="006F34EF" w:rsidRPr="00FD57B0" w14:paraId="19FD3B23" w14:textId="77777777">
        <w:tc>
          <w:tcPr>
            <w:tcW w:w="8802" w:type="dxa"/>
            <w:gridSpan w:val="5"/>
          </w:tcPr>
          <w:p w14:paraId="3719ECE3" w14:textId="77777777" w:rsidR="006F34EF" w:rsidRPr="00FD57B0" w:rsidRDefault="006F34EF">
            <w:pPr>
              <w:jc w:val="both"/>
              <w:rPr>
                <w:rFonts w:ascii="Arial" w:hAnsi="Arial"/>
                <w:b/>
                <w:bCs/>
                <w:sz w:val="26"/>
                <w:szCs w:val="26"/>
                <w:rtl/>
              </w:rPr>
            </w:pPr>
          </w:p>
          <w:p w14:paraId="78A18519" w14:textId="77777777" w:rsidR="006F34EF" w:rsidRPr="00FD57B0" w:rsidRDefault="00FD57B0">
            <w:pPr>
              <w:jc w:val="center"/>
              <w:rPr>
                <w:rFonts w:ascii="Arial" w:hAnsi="Arial"/>
                <w:b/>
                <w:bCs/>
                <w:sz w:val="26"/>
                <w:szCs w:val="26"/>
                <w:rtl/>
              </w:rPr>
            </w:pPr>
            <w:r w:rsidRPr="00FD57B0">
              <w:rPr>
                <w:rFonts w:ascii="Arial" w:hAnsi="Arial" w:hint="cs"/>
                <w:b/>
                <w:bCs/>
                <w:sz w:val="26"/>
                <w:szCs w:val="26"/>
                <w:rtl/>
              </w:rPr>
              <w:t>נגד</w:t>
            </w:r>
          </w:p>
          <w:p w14:paraId="677BF89B" w14:textId="77777777" w:rsidR="006F34EF" w:rsidRPr="00FD57B0" w:rsidRDefault="006F34EF">
            <w:pPr>
              <w:jc w:val="center"/>
              <w:rPr>
                <w:rFonts w:ascii="Arial" w:hAnsi="Arial"/>
                <w:b/>
                <w:bCs/>
                <w:sz w:val="26"/>
                <w:szCs w:val="26"/>
              </w:rPr>
            </w:pPr>
          </w:p>
        </w:tc>
      </w:tr>
      <w:tr w:rsidR="006F34EF" w:rsidRPr="00FD57B0" w14:paraId="618D70E5" w14:textId="77777777">
        <w:tc>
          <w:tcPr>
            <w:tcW w:w="2880" w:type="dxa"/>
            <w:gridSpan w:val="2"/>
          </w:tcPr>
          <w:p w14:paraId="22D2659D" w14:textId="77777777" w:rsidR="006F34EF" w:rsidRPr="00FD57B0" w:rsidRDefault="00FD57B0">
            <w:pPr>
              <w:ind w:left="26"/>
              <w:rPr>
                <w:b/>
                <w:bCs/>
                <w:sz w:val="26"/>
                <w:szCs w:val="26"/>
              </w:rPr>
            </w:pPr>
            <w:r w:rsidRPr="00FD57B0">
              <w:rPr>
                <w:rFonts w:hint="cs"/>
                <w:b/>
                <w:bCs/>
                <w:sz w:val="26"/>
                <w:szCs w:val="26"/>
                <w:rtl/>
              </w:rPr>
              <w:t>הנאשם</w:t>
            </w:r>
          </w:p>
        </w:tc>
        <w:tc>
          <w:tcPr>
            <w:tcW w:w="5922" w:type="dxa"/>
            <w:gridSpan w:val="3"/>
          </w:tcPr>
          <w:p w14:paraId="7C90FED7" w14:textId="77777777" w:rsidR="006F34EF" w:rsidRPr="00FD57B0" w:rsidRDefault="00FD57B0">
            <w:pPr>
              <w:rPr>
                <w:b/>
                <w:bCs/>
                <w:sz w:val="26"/>
                <w:szCs w:val="26"/>
              </w:rPr>
            </w:pPr>
            <w:r w:rsidRPr="00FD57B0">
              <w:rPr>
                <w:rFonts w:hint="cs"/>
                <w:b/>
                <w:bCs/>
                <w:sz w:val="26"/>
                <w:szCs w:val="26"/>
                <w:rtl/>
              </w:rPr>
              <w:t>משה יעקובזון (עציר), ת"ז 024134413</w:t>
            </w:r>
          </w:p>
        </w:tc>
      </w:tr>
      <w:tr w:rsidR="006F34EF" w:rsidRPr="00FD57B0" w14:paraId="495F56D9" w14:textId="77777777">
        <w:tc>
          <w:tcPr>
            <w:tcW w:w="3240" w:type="dxa"/>
            <w:gridSpan w:val="3"/>
          </w:tcPr>
          <w:p w14:paraId="0A30E586" w14:textId="77777777" w:rsidR="006F34EF" w:rsidRPr="00FD57B0" w:rsidRDefault="006F34EF"/>
        </w:tc>
        <w:tc>
          <w:tcPr>
            <w:tcW w:w="5562" w:type="dxa"/>
            <w:gridSpan w:val="2"/>
          </w:tcPr>
          <w:p w14:paraId="10E2017A" w14:textId="77777777" w:rsidR="006F34EF" w:rsidRPr="00FD57B0" w:rsidRDefault="006F34EF"/>
        </w:tc>
      </w:tr>
    </w:tbl>
    <w:p w14:paraId="69939F24" w14:textId="77777777" w:rsidR="006F34EF" w:rsidRPr="00FD57B0" w:rsidRDefault="00FD57B0">
      <w:pPr>
        <w:spacing w:line="360" w:lineRule="auto"/>
        <w:jc w:val="both"/>
        <w:rPr>
          <w:rFonts w:ascii="Arial" w:hAnsi="Arial"/>
          <w:rtl/>
        </w:rPr>
      </w:pPr>
      <w:r w:rsidRPr="00FD57B0">
        <w:rPr>
          <w:rFonts w:ascii="Arial" w:hAnsi="Arial" w:hint="cs"/>
          <w:b/>
          <w:bCs/>
          <w:rtl/>
        </w:rPr>
        <w:t>נוכחים</w:t>
      </w:r>
      <w:r w:rsidRPr="00FD57B0">
        <w:rPr>
          <w:rFonts w:ascii="Arial" w:hAnsi="Arial" w:hint="cs"/>
          <w:rtl/>
        </w:rPr>
        <w:t>:</w:t>
      </w:r>
    </w:p>
    <w:p w14:paraId="5F4D1FE3" w14:textId="77777777" w:rsidR="006F34EF" w:rsidRPr="00FD57B0" w:rsidRDefault="00FD57B0">
      <w:pPr>
        <w:jc w:val="both"/>
        <w:rPr>
          <w:rFonts w:ascii="Arial" w:hAnsi="Arial"/>
          <w:b/>
          <w:bCs/>
          <w:rtl/>
        </w:rPr>
      </w:pPr>
      <w:bookmarkStart w:id="2" w:name="FirstLawyer"/>
      <w:r w:rsidRPr="00FD57B0">
        <w:rPr>
          <w:rFonts w:ascii="Arial" w:hAnsi="Arial" w:hint="cs"/>
          <w:b/>
          <w:bCs/>
          <w:rtl/>
        </w:rPr>
        <w:t>ב"כ</w:t>
      </w:r>
      <w:bookmarkEnd w:id="2"/>
      <w:r w:rsidRPr="00FD57B0">
        <w:rPr>
          <w:rFonts w:ascii="Arial" w:hAnsi="Arial" w:hint="cs"/>
          <w:b/>
          <w:bCs/>
          <w:rtl/>
        </w:rPr>
        <w:t xml:space="preserve"> המאשימה עו"ד ג'ני גינזבורג מפרקליטות מחוז י-ם</w:t>
      </w:r>
    </w:p>
    <w:p w14:paraId="2CCD3250" w14:textId="77777777" w:rsidR="006F34EF" w:rsidRPr="00FD57B0" w:rsidRDefault="00FD57B0">
      <w:pPr>
        <w:jc w:val="both"/>
        <w:rPr>
          <w:rFonts w:ascii="Arial" w:hAnsi="Arial"/>
          <w:b/>
          <w:bCs/>
          <w:rtl/>
        </w:rPr>
      </w:pPr>
      <w:r w:rsidRPr="00FD57B0">
        <w:rPr>
          <w:rFonts w:ascii="Arial" w:hAnsi="Arial" w:hint="cs"/>
          <w:b/>
          <w:bCs/>
          <w:rtl/>
        </w:rPr>
        <w:t xml:space="preserve">הנאשם ובא כוחו עו"ד יאיר נהוראי </w:t>
      </w:r>
    </w:p>
    <w:p w14:paraId="571001A6" w14:textId="77777777" w:rsidR="00C8473F" w:rsidRPr="00C8473F" w:rsidRDefault="00C8473F" w:rsidP="00C8473F">
      <w:pPr>
        <w:spacing w:before="120" w:after="120" w:line="240" w:lineRule="exact"/>
        <w:ind w:left="283" w:hanging="283"/>
        <w:jc w:val="both"/>
        <w:rPr>
          <w:rFonts w:ascii="FrankRuehl" w:hAnsi="FrankRuehl" w:cs="FrankRuehl"/>
          <w:color w:val="0000FF"/>
          <w:u w:val="single"/>
          <w:rtl/>
        </w:rPr>
      </w:pPr>
    </w:p>
    <w:p w14:paraId="1C1C2E4D" w14:textId="77777777" w:rsidR="00C8473F" w:rsidRPr="00C8473F" w:rsidRDefault="00C8473F" w:rsidP="00C8473F">
      <w:pPr>
        <w:spacing w:before="120" w:after="120" w:line="240" w:lineRule="exact"/>
        <w:ind w:left="283" w:hanging="283"/>
        <w:jc w:val="both"/>
        <w:rPr>
          <w:rFonts w:ascii="FrankRuehl" w:hAnsi="FrankRuehl" w:cs="FrankRuehl"/>
          <w:rtl/>
        </w:rPr>
      </w:pPr>
      <w:bookmarkStart w:id="3" w:name="LawTable"/>
      <w:bookmarkEnd w:id="3"/>
    </w:p>
    <w:p w14:paraId="0028F028" w14:textId="77777777" w:rsidR="00C8473F" w:rsidRPr="00C8473F" w:rsidRDefault="00C8473F" w:rsidP="00C8473F">
      <w:pPr>
        <w:spacing w:before="120" w:after="120" w:line="240" w:lineRule="exact"/>
        <w:ind w:left="283" w:hanging="283"/>
        <w:jc w:val="both"/>
        <w:rPr>
          <w:rFonts w:ascii="FrankRuehl" w:hAnsi="FrankRuehl" w:cs="FrankRuehl"/>
          <w:rtl/>
        </w:rPr>
      </w:pPr>
    </w:p>
    <w:p w14:paraId="3D91DA24" w14:textId="77777777" w:rsidR="00C8473F" w:rsidRPr="00C8473F" w:rsidRDefault="00C8473F" w:rsidP="00C8473F">
      <w:pPr>
        <w:spacing w:before="120" w:after="120" w:line="240" w:lineRule="exact"/>
        <w:ind w:left="283" w:hanging="283"/>
        <w:jc w:val="both"/>
        <w:rPr>
          <w:rFonts w:ascii="FrankRuehl" w:hAnsi="FrankRuehl" w:cs="FrankRuehl"/>
          <w:rtl/>
        </w:rPr>
      </w:pPr>
      <w:r w:rsidRPr="00C8473F">
        <w:rPr>
          <w:rFonts w:ascii="FrankRuehl" w:hAnsi="FrankRuehl" w:cs="FrankRuehl"/>
          <w:rtl/>
        </w:rPr>
        <w:t xml:space="preserve">חקיקה שאוזכרה: </w:t>
      </w:r>
    </w:p>
    <w:p w14:paraId="1F6A65FB" w14:textId="77777777" w:rsidR="00C8473F" w:rsidRPr="00C8473F" w:rsidRDefault="00C8473F" w:rsidP="00C8473F">
      <w:pPr>
        <w:spacing w:before="120" w:after="120" w:line="240" w:lineRule="exact"/>
        <w:ind w:left="283" w:hanging="283"/>
        <w:jc w:val="both"/>
        <w:rPr>
          <w:rFonts w:ascii="FrankRuehl" w:hAnsi="FrankRuehl" w:cs="FrankRuehl"/>
          <w:color w:val="0000FF"/>
          <w:rtl/>
        </w:rPr>
      </w:pPr>
      <w:hyperlink r:id="rId6" w:history="1">
        <w:r w:rsidRPr="00C8473F">
          <w:rPr>
            <w:rStyle w:val="Hyperlink"/>
            <w:rFonts w:ascii="FrankRuehl" w:hAnsi="FrankRuehl" w:cs="FrankRuehl"/>
            <w:rtl/>
          </w:rPr>
          <w:t>חוק העונשין, תשל"ז-1977</w:t>
        </w:r>
      </w:hyperlink>
      <w:r w:rsidRPr="00C8473F">
        <w:rPr>
          <w:rFonts w:ascii="FrankRuehl" w:hAnsi="FrankRuehl" w:cs="FrankRuehl"/>
          <w:color w:val="0000FF"/>
          <w:u w:val="single"/>
          <w:rtl/>
        </w:rPr>
        <w:t xml:space="preserve">: סע'  </w:t>
      </w:r>
      <w:hyperlink r:id="rId7" w:history="1">
        <w:r w:rsidRPr="00C8473F">
          <w:rPr>
            <w:rStyle w:val="Hyperlink"/>
            <w:rFonts w:ascii="FrankRuehl" w:hAnsi="FrankRuehl" w:cs="FrankRuehl"/>
          </w:rPr>
          <w:t>275</w:t>
        </w:r>
      </w:hyperlink>
      <w:r w:rsidRPr="00C8473F">
        <w:rPr>
          <w:rFonts w:ascii="FrankRuehl" w:hAnsi="FrankRuehl" w:cs="FrankRuehl"/>
          <w:color w:val="0000FF"/>
          <w:u w:val="single"/>
          <w:rtl/>
        </w:rPr>
        <w:t xml:space="preserve">, </w:t>
      </w:r>
      <w:hyperlink r:id="rId8" w:history="1">
        <w:r w:rsidRPr="00C8473F">
          <w:rPr>
            <w:rStyle w:val="Hyperlink"/>
            <w:rFonts w:ascii="FrankRuehl" w:hAnsi="FrankRuehl" w:cs="FrankRuehl"/>
          </w:rPr>
          <w:t>345</w:t>
        </w:r>
      </w:hyperlink>
      <w:r w:rsidRPr="00C8473F">
        <w:rPr>
          <w:rFonts w:ascii="FrankRuehl" w:hAnsi="FrankRuehl" w:cs="FrankRuehl"/>
          <w:color w:val="0000FF"/>
          <w:rtl/>
        </w:rPr>
        <w:t xml:space="preserve">(א)(1), </w:t>
      </w:r>
      <w:hyperlink r:id="rId9" w:history="1">
        <w:r w:rsidRPr="00C8473F">
          <w:rPr>
            <w:rStyle w:val="Hyperlink"/>
            <w:rFonts w:ascii="FrankRuehl" w:hAnsi="FrankRuehl" w:cs="FrankRuehl"/>
          </w:rPr>
          <w:t>345</w:t>
        </w:r>
      </w:hyperlink>
      <w:r w:rsidRPr="00C8473F">
        <w:rPr>
          <w:rFonts w:ascii="FrankRuehl" w:hAnsi="FrankRuehl" w:cs="FrankRuehl"/>
          <w:color w:val="0000FF"/>
          <w:rtl/>
        </w:rPr>
        <w:t xml:space="preserve">(ב)(1), </w:t>
      </w:r>
      <w:hyperlink r:id="rId10" w:history="1">
        <w:r w:rsidRPr="00C8473F">
          <w:rPr>
            <w:rStyle w:val="Hyperlink"/>
            <w:rFonts w:ascii="FrankRuehl" w:hAnsi="FrankRuehl" w:cs="FrankRuehl"/>
          </w:rPr>
          <w:t>348</w:t>
        </w:r>
      </w:hyperlink>
      <w:r w:rsidRPr="00C8473F">
        <w:rPr>
          <w:rFonts w:ascii="FrankRuehl" w:hAnsi="FrankRuehl" w:cs="FrankRuehl"/>
          <w:color w:val="0000FF"/>
          <w:rtl/>
        </w:rPr>
        <w:t xml:space="preserve">(ב), </w:t>
      </w:r>
      <w:hyperlink r:id="rId11" w:history="1">
        <w:r w:rsidRPr="00C8473F">
          <w:rPr>
            <w:rStyle w:val="Hyperlink"/>
            <w:rFonts w:ascii="FrankRuehl" w:hAnsi="FrankRuehl" w:cs="FrankRuehl"/>
          </w:rPr>
          <w:t>348</w:t>
        </w:r>
      </w:hyperlink>
      <w:r w:rsidRPr="00C8473F">
        <w:rPr>
          <w:rFonts w:ascii="FrankRuehl" w:hAnsi="FrankRuehl" w:cs="FrankRuehl"/>
          <w:color w:val="0000FF"/>
          <w:rtl/>
        </w:rPr>
        <w:t>(ג1)</w:t>
      </w:r>
    </w:p>
    <w:p w14:paraId="4FD71A4F" w14:textId="77777777" w:rsidR="006F34EF" w:rsidRDefault="006F34EF" w:rsidP="00C8473F">
      <w:pPr>
        <w:spacing w:line="360" w:lineRule="auto"/>
        <w:jc w:val="both"/>
        <w:rPr>
          <w:rFonts w:hint="cs"/>
          <w:rtl/>
        </w:rPr>
      </w:pPr>
      <w:bookmarkStart w:id="4" w:name="LawTable_End"/>
      <w:bookmarkEnd w:id="4"/>
    </w:p>
    <w:p w14:paraId="0A193786" w14:textId="77777777" w:rsidR="00C8473F" w:rsidRPr="00C8473F" w:rsidRDefault="00C8473F" w:rsidP="00C8473F">
      <w:pPr>
        <w:spacing w:line="360" w:lineRule="auto"/>
        <w:jc w:val="both"/>
        <w:rPr>
          <w:rFonts w:hint="cs"/>
          <w:rtl/>
        </w:rPr>
      </w:pPr>
    </w:p>
    <w:p w14:paraId="0473B599" w14:textId="77777777" w:rsidR="006F34EF" w:rsidRPr="00FD57B0" w:rsidRDefault="00FD57B0">
      <w:pPr>
        <w:jc w:val="center"/>
        <w:rPr>
          <w:rFonts w:ascii="Arial" w:hAnsi="Arial"/>
          <w:b/>
          <w:bCs/>
          <w:sz w:val="28"/>
          <w:szCs w:val="28"/>
          <w:rtl/>
        </w:rPr>
      </w:pPr>
      <w:bookmarkStart w:id="5" w:name="PsakDin"/>
      <w:r w:rsidRPr="00FD57B0">
        <w:rPr>
          <w:rFonts w:ascii="Arial" w:hAnsi="Arial"/>
          <w:b/>
          <w:bCs/>
          <w:sz w:val="28"/>
          <w:szCs w:val="28"/>
          <w:rtl/>
        </w:rPr>
        <w:t xml:space="preserve">הכרעת דין </w:t>
      </w:r>
      <w:bookmarkEnd w:id="5"/>
      <w:r w:rsidRPr="00FD57B0">
        <w:rPr>
          <w:rFonts w:ascii="Arial" w:hAnsi="Arial"/>
          <w:b/>
          <w:bCs/>
          <w:sz w:val="28"/>
          <w:szCs w:val="28"/>
          <w:rtl/>
        </w:rPr>
        <w:t>משלימה</w:t>
      </w:r>
    </w:p>
    <w:p w14:paraId="660A5E9C" w14:textId="77777777" w:rsidR="006F34EF" w:rsidRPr="00FD57B0" w:rsidRDefault="006F34EF">
      <w:pPr>
        <w:jc w:val="both"/>
        <w:rPr>
          <w:rtl/>
        </w:rPr>
      </w:pPr>
    </w:p>
    <w:p w14:paraId="36DC7112" w14:textId="77777777" w:rsidR="006F34EF" w:rsidRPr="00FD57B0" w:rsidRDefault="00FD57B0">
      <w:pPr>
        <w:spacing w:line="360" w:lineRule="auto"/>
        <w:jc w:val="both"/>
        <w:rPr>
          <w:rFonts w:ascii="Times New Roman" w:hAnsi="Times New Roman"/>
          <w:sz w:val="26"/>
          <w:szCs w:val="26"/>
          <w:rtl/>
        </w:rPr>
      </w:pPr>
      <w:r w:rsidRPr="00FD57B0">
        <w:rPr>
          <w:rFonts w:hint="cs"/>
          <w:rtl/>
        </w:rPr>
        <w:tab/>
      </w:r>
      <w:r w:rsidRPr="00FD57B0">
        <w:rPr>
          <w:rFonts w:hint="cs"/>
          <w:sz w:val="26"/>
          <w:szCs w:val="26"/>
          <w:rtl/>
        </w:rPr>
        <w:t xml:space="preserve">בנוסף להרשעת הנאשם בעבירה של מעשה מגונה בקטין שטרם מלאו לו 16 שנה, שלא בהסכמתו החופשית </w:t>
      </w:r>
      <w:r w:rsidRPr="00FD57B0">
        <w:rPr>
          <w:sz w:val="26"/>
          <w:szCs w:val="26"/>
          <w:rtl/>
        </w:rPr>
        <w:t>–</w:t>
      </w:r>
      <w:r w:rsidRPr="00FD57B0">
        <w:rPr>
          <w:rFonts w:hint="cs"/>
          <w:sz w:val="26"/>
          <w:szCs w:val="26"/>
          <w:rtl/>
        </w:rPr>
        <w:t xml:space="preserve"> לפי </w:t>
      </w:r>
      <w:hyperlink r:id="rId12" w:history="1">
        <w:r w:rsidR="00C8473F" w:rsidRPr="00C8473F">
          <w:rPr>
            <w:rStyle w:val="Hyperlink"/>
            <w:rFonts w:hint="eastAsia"/>
            <w:sz w:val="26"/>
            <w:szCs w:val="26"/>
            <w:rtl/>
          </w:rPr>
          <w:t>סעיף</w:t>
        </w:r>
        <w:r w:rsidR="00C8473F" w:rsidRPr="00C8473F">
          <w:rPr>
            <w:rStyle w:val="Hyperlink"/>
            <w:sz w:val="26"/>
            <w:szCs w:val="26"/>
            <w:rtl/>
          </w:rPr>
          <w:t xml:space="preserve"> 348(ב)</w:t>
        </w:r>
      </w:hyperlink>
      <w:r w:rsidRPr="00FD57B0">
        <w:rPr>
          <w:rFonts w:hint="cs"/>
          <w:sz w:val="26"/>
          <w:szCs w:val="26"/>
          <w:rtl/>
        </w:rPr>
        <w:t xml:space="preserve"> בנסיבות </w:t>
      </w:r>
      <w:hyperlink r:id="rId13" w:history="1">
        <w:r w:rsidR="00C8473F" w:rsidRPr="00C8473F">
          <w:rPr>
            <w:rStyle w:val="Hyperlink"/>
            <w:rFonts w:hint="eastAsia"/>
            <w:sz w:val="26"/>
            <w:szCs w:val="26"/>
            <w:rtl/>
          </w:rPr>
          <w:t>סעיף</w:t>
        </w:r>
        <w:r w:rsidR="00C8473F" w:rsidRPr="00C8473F">
          <w:rPr>
            <w:rStyle w:val="Hyperlink"/>
            <w:sz w:val="26"/>
            <w:szCs w:val="26"/>
            <w:rtl/>
          </w:rPr>
          <w:t xml:space="preserve"> 345(ב)(1)</w:t>
        </w:r>
      </w:hyperlink>
      <w:r w:rsidRPr="00FD57B0">
        <w:rPr>
          <w:rFonts w:hint="cs"/>
          <w:sz w:val="26"/>
          <w:szCs w:val="26"/>
          <w:rtl/>
        </w:rPr>
        <w:t xml:space="preserve"> </w:t>
      </w:r>
      <w:hyperlink r:id="rId14" w:history="1">
        <w:r w:rsidR="00C8473F" w:rsidRPr="00C8473F">
          <w:rPr>
            <w:rStyle w:val="Hyperlink"/>
            <w:rFonts w:hint="eastAsia"/>
            <w:sz w:val="26"/>
            <w:szCs w:val="26"/>
            <w:rtl/>
          </w:rPr>
          <w:t>וסעיף</w:t>
        </w:r>
        <w:r w:rsidR="00C8473F" w:rsidRPr="00C8473F">
          <w:rPr>
            <w:rStyle w:val="Hyperlink"/>
            <w:sz w:val="26"/>
            <w:szCs w:val="26"/>
            <w:rtl/>
          </w:rPr>
          <w:t xml:space="preserve"> 345(א)(1)</w:t>
        </w:r>
      </w:hyperlink>
      <w:r w:rsidRPr="00FD57B0">
        <w:rPr>
          <w:rFonts w:hint="cs"/>
          <w:sz w:val="26"/>
          <w:szCs w:val="26"/>
          <w:rtl/>
        </w:rPr>
        <w:t xml:space="preserve"> ל</w:t>
      </w:r>
      <w:hyperlink r:id="rId15" w:history="1">
        <w:r w:rsidR="00C8473F" w:rsidRPr="00C8473F">
          <w:rPr>
            <w:rStyle w:val="Hyperlink"/>
            <w:sz w:val="26"/>
            <w:szCs w:val="26"/>
            <w:rtl/>
          </w:rPr>
          <w:t>חוק העונשין</w:t>
        </w:r>
      </w:hyperlink>
      <w:r w:rsidRPr="00FD57B0">
        <w:rPr>
          <w:rFonts w:hint="cs"/>
          <w:sz w:val="26"/>
          <w:szCs w:val="26"/>
          <w:rtl/>
        </w:rPr>
        <w:t xml:space="preserve">, התשל"ז-1977 (להלן: "החוק"), אנו מרשיעים הנאשם, על-פי הודאתו, בתיק אותו ביקש לצרף </w:t>
      </w:r>
      <w:r w:rsidRPr="00FD57B0">
        <w:rPr>
          <w:rFonts w:ascii="Times New Roman" w:hAnsi="Times New Roman" w:hint="cs"/>
          <w:sz w:val="26"/>
          <w:szCs w:val="26"/>
          <w:rtl/>
        </w:rPr>
        <w:t xml:space="preserve">(שלום (י-ם) </w:t>
      </w:r>
      <w:r w:rsidRPr="00C8473F">
        <w:rPr>
          <w:rFonts w:ascii="Times New Roman" w:hAnsi="Times New Roman"/>
          <w:color w:val="000000"/>
          <w:sz w:val="26"/>
          <w:szCs w:val="26"/>
          <w:rtl/>
        </w:rPr>
        <w:t>ת"פ 9115/08</w:t>
      </w:r>
      <w:r w:rsidRPr="00FD57B0">
        <w:rPr>
          <w:rFonts w:ascii="Times New Roman" w:hAnsi="Times New Roman" w:hint="cs"/>
          <w:sz w:val="26"/>
          <w:szCs w:val="26"/>
          <w:rtl/>
        </w:rPr>
        <w:t xml:space="preserve">) בעבירות של מעשה מגונה תוך שימוש בכוח והפרעה לשוטר בשעת מילוי תפקידו </w:t>
      </w:r>
      <w:r w:rsidRPr="00FD57B0">
        <w:rPr>
          <w:rFonts w:ascii="Times New Roman" w:hAnsi="Times New Roman"/>
          <w:sz w:val="26"/>
          <w:szCs w:val="26"/>
          <w:rtl/>
        </w:rPr>
        <w:t>–</w:t>
      </w:r>
      <w:r w:rsidRPr="00FD57B0">
        <w:rPr>
          <w:rFonts w:ascii="Times New Roman" w:hAnsi="Times New Roman" w:hint="cs"/>
          <w:sz w:val="26"/>
          <w:szCs w:val="26"/>
          <w:rtl/>
        </w:rPr>
        <w:t xml:space="preserve"> לפי </w:t>
      </w:r>
      <w:hyperlink r:id="rId16" w:history="1">
        <w:r w:rsidR="00C8473F" w:rsidRPr="00C8473F">
          <w:rPr>
            <w:rStyle w:val="Hyperlink"/>
            <w:rFonts w:ascii="Times New Roman" w:hAnsi="Times New Roman" w:hint="eastAsia"/>
            <w:sz w:val="26"/>
            <w:szCs w:val="26"/>
            <w:rtl/>
          </w:rPr>
          <w:t>סעיפים</w:t>
        </w:r>
        <w:r w:rsidR="00C8473F" w:rsidRPr="00C8473F">
          <w:rPr>
            <w:rStyle w:val="Hyperlink"/>
            <w:rFonts w:ascii="Times New Roman" w:hAnsi="Times New Roman"/>
            <w:sz w:val="26"/>
            <w:szCs w:val="26"/>
            <w:rtl/>
          </w:rPr>
          <w:t xml:space="preserve"> 348(ג1)</w:t>
        </w:r>
      </w:hyperlink>
      <w:r w:rsidRPr="00FD57B0">
        <w:rPr>
          <w:rFonts w:ascii="Times New Roman" w:hAnsi="Times New Roman" w:hint="cs"/>
          <w:sz w:val="26"/>
          <w:szCs w:val="26"/>
          <w:rtl/>
        </w:rPr>
        <w:t xml:space="preserve"> ו-</w:t>
      </w:r>
      <w:hyperlink r:id="rId17" w:history="1">
        <w:r w:rsidR="00C8473F" w:rsidRPr="00C8473F">
          <w:rPr>
            <w:rStyle w:val="Hyperlink"/>
            <w:rFonts w:ascii="Times New Roman" w:hAnsi="Times New Roman"/>
            <w:sz w:val="26"/>
            <w:szCs w:val="26"/>
            <w:rtl/>
          </w:rPr>
          <w:t>275</w:t>
        </w:r>
      </w:hyperlink>
      <w:r w:rsidRPr="00FD57B0">
        <w:rPr>
          <w:rFonts w:ascii="Times New Roman" w:hAnsi="Times New Roman" w:hint="cs"/>
          <w:sz w:val="26"/>
          <w:szCs w:val="26"/>
          <w:rtl/>
        </w:rPr>
        <w:t xml:space="preserve"> לחוק הנ"ל. </w:t>
      </w:r>
    </w:p>
    <w:p w14:paraId="41EA96AE" w14:textId="77777777" w:rsidR="006F34EF" w:rsidRPr="00FD57B0" w:rsidRDefault="006F34EF">
      <w:pPr>
        <w:rPr>
          <w:rtl/>
        </w:rPr>
      </w:pPr>
    </w:p>
    <w:p w14:paraId="5FA37490" w14:textId="77777777" w:rsidR="006F34EF" w:rsidRPr="00FD57B0" w:rsidRDefault="00FD57B0">
      <w:pPr>
        <w:spacing w:line="360" w:lineRule="auto"/>
        <w:jc w:val="both"/>
        <w:rPr>
          <w:sz w:val="6"/>
          <w:szCs w:val="6"/>
          <w:rtl/>
        </w:rPr>
      </w:pPr>
      <w:r w:rsidRPr="00FD57B0">
        <w:rPr>
          <w:sz w:val="6"/>
          <w:szCs w:val="6"/>
          <w:rtl/>
        </w:rPr>
        <w:t>&lt;#4#&gt;</w:t>
      </w:r>
    </w:p>
    <w:p w14:paraId="1CBBB2F9" w14:textId="77777777" w:rsidR="006F34EF" w:rsidRPr="00FD57B0" w:rsidRDefault="00FD57B0">
      <w:pPr>
        <w:spacing w:line="360" w:lineRule="auto"/>
        <w:rPr>
          <w:b/>
          <w:bCs/>
          <w:sz w:val="26"/>
          <w:szCs w:val="26"/>
          <w:rtl/>
        </w:rPr>
      </w:pPr>
      <w:r w:rsidRPr="00FD57B0">
        <w:rPr>
          <w:rFonts w:hint="cs"/>
          <w:b/>
          <w:bCs/>
          <w:sz w:val="26"/>
          <w:szCs w:val="26"/>
          <w:rtl/>
        </w:rPr>
        <w:t xml:space="preserve">ניתנה והודעה היום </w:t>
      </w:r>
      <w:r w:rsidRPr="00FD57B0">
        <w:rPr>
          <w:b/>
          <w:bCs/>
          <w:sz w:val="26"/>
          <w:szCs w:val="26"/>
          <w:rtl/>
        </w:rPr>
        <w:t>כ"ב  אדר ב תשע"א</w:t>
      </w:r>
      <w:r w:rsidRPr="00FD57B0">
        <w:rPr>
          <w:rFonts w:hint="cs"/>
          <w:b/>
          <w:bCs/>
          <w:sz w:val="26"/>
          <w:szCs w:val="26"/>
          <w:rtl/>
        </w:rPr>
        <w:t xml:space="preserve">, </w:t>
      </w:r>
      <w:r w:rsidRPr="00FD57B0">
        <w:rPr>
          <w:b/>
          <w:bCs/>
          <w:sz w:val="26"/>
          <w:szCs w:val="26"/>
          <w:rtl/>
        </w:rPr>
        <w:t>28/03/2011</w:t>
      </w:r>
      <w:r w:rsidRPr="00FD57B0">
        <w:rPr>
          <w:rFonts w:hint="cs"/>
          <w:b/>
          <w:bCs/>
          <w:sz w:val="26"/>
          <w:szCs w:val="26"/>
          <w:rtl/>
        </w:rPr>
        <w:t xml:space="preserve"> במעמד הנוכחים. </w:t>
      </w:r>
    </w:p>
    <w:tbl>
      <w:tblPr>
        <w:tblStyle w:val="TableGrid"/>
        <w:bidiVisual/>
        <w:tblW w:w="10260" w:type="dxa"/>
        <w:tblInd w:w="-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0"/>
        <w:gridCol w:w="3420"/>
        <w:gridCol w:w="3420"/>
      </w:tblGrid>
      <w:tr w:rsidR="006F34EF" w:rsidRPr="00FD57B0" w14:paraId="52CF6021" w14:textId="77777777">
        <w:tc>
          <w:tcPr>
            <w:tcW w:w="3420" w:type="dxa"/>
            <w:tcBorders>
              <w:bottom w:val="single" w:sz="4" w:space="0" w:color="auto"/>
            </w:tcBorders>
          </w:tcPr>
          <w:p w14:paraId="67CDBB31" w14:textId="77777777" w:rsidR="006F34EF" w:rsidRPr="00FD57B0" w:rsidRDefault="00FD57B0">
            <w:pPr>
              <w:spacing w:line="360" w:lineRule="auto"/>
              <w:jc w:val="center"/>
              <w:rPr>
                <w:rFonts w:cs="FrankRuehl"/>
                <w:sz w:val="6"/>
                <w:szCs w:val="6"/>
                <w:rtl/>
              </w:rPr>
            </w:pPr>
            <w:r w:rsidRPr="00FD57B0">
              <w:rPr>
                <w:sz w:val="6"/>
                <w:szCs w:val="6"/>
                <w:rtl/>
              </w:rPr>
              <w:t xml:space="preserve"> </w:t>
            </w:r>
          </w:p>
        </w:tc>
        <w:tc>
          <w:tcPr>
            <w:tcW w:w="3420" w:type="dxa"/>
            <w:tcBorders>
              <w:bottom w:val="single" w:sz="4" w:space="0" w:color="auto"/>
            </w:tcBorders>
          </w:tcPr>
          <w:p w14:paraId="5A93449B" w14:textId="77777777" w:rsidR="006F34EF" w:rsidRPr="00FD57B0" w:rsidRDefault="006F34EF">
            <w:pPr>
              <w:spacing w:line="360" w:lineRule="auto"/>
              <w:jc w:val="center"/>
              <w:rPr>
                <w:rFonts w:cs="FrankRuehl"/>
                <w:sz w:val="6"/>
                <w:szCs w:val="6"/>
                <w:rtl/>
              </w:rPr>
            </w:pPr>
          </w:p>
          <w:p w14:paraId="5EBBC72C" w14:textId="77777777" w:rsidR="006F34EF" w:rsidRPr="00FD57B0" w:rsidRDefault="006F34EF">
            <w:pPr>
              <w:spacing w:line="360" w:lineRule="auto"/>
              <w:jc w:val="center"/>
              <w:rPr>
                <w:rFonts w:cs="FrankRuehl"/>
                <w:sz w:val="6"/>
                <w:szCs w:val="6"/>
                <w:rtl/>
              </w:rPr>
            </w:pPr>
          </w:p>
        </w:tc>
        <w:tc>
          <w:tcPr>
            <w:tcW w:w="3420" w:type="dxa"/>
            <w:tcBorders>
              <w:bottom w:val="single" w:sz="4" w:space="0" w:color="auto"/>
            </w:tcBorders>
          </w:tcPr>
          <w:p w14:paraId="64D4CD28" w14:textId="77777777" w:rsidR="006F34EF" w:rsidRPr="00FD57B0" w:rsidRDefault="006F34EF">
            <w:pPr>
              <w:spacing w:line="360" w:lineRule="auto"/>
              <w:jc w:val="center"/>
              <w:rPr>
                <w:rFonts w:cs="FrankRuehl"/>
                <w:sz w:val="6"/>
                <w:szCs w:val="6"/>
                <w:rtl/>
              </w:rPr>
            </w:pPr>
          </w:p>
        </w:tc>
      </w:tr>
      <w:tr w:rsidR="006F34EF" w:rsidRPr="00FD57B0" w14:paraId="027E71B2" w14:textId="77777777">
        <w:tc>
          <w:tcPr>
            <w:tcW w:w="3420" w:type="dxa"/>
            <w:tcBorders>
              <w:top w:val="single" w:sz="4" w:space="0" w:color="auto"/>
              <w:bottom w:val="single" w:sz="4" w:space="0" w:color="auto"/>
            </w:tcBorders>
          </w:tcPr>
          <w:p w14:paraId="78A7C1B4" w14:textId="77777777" w:rsidR="006F34EF" w:rsidRPr="00FD57B0" w:rsidRDefault="00FD57B0">
            <w:pPr>
              <w:spacing w:line="360" w:lineRule="auto"/>
              <w:jc w:val="center"/>
              <w:rPr>
                <w:b/>
                <w:bCs/>
                <w:szCs w:val="26"/>
                <w:rtl/>
              </w:rPr>
            </w:pPr>
            <w:r w:rsidRPr="00FD57B0">
              <w:rPr>
                <w:b/>
                <w:bCs/>
                <w:szCs w:val="26"/>
                <w:rtl/>
              </w:rPr>
              <w:t>צבי</w:t>
            </w:r>
            <w:r w:rsidRPr="00FD57B0">
              <w:rPr>
                <w:rFonts w:hint="cs"/>
                <w:b/>
                <w:bCs/>
                <w:szCs w:val="26"/>
                <w:rtl/>
              </w:rPr>
              <w:t xml:space="preserve">  </w:t>
            </w:r>
            <w:r w:rsidRPr="00FD57B0">
              <w:rPr>
                <w:b/>
                <w:bCs/>
                <w:szCs w:val="26"/>
                <w:rtl/>
              </w:rPr>
              <w:t>סגל</w:t>
            </w:r>
            <w:r w:rsidRPr="00FD57B0">
              <w:rPr>
                <w:rFonts w:hint="cs"/>
                <w:b/>
                <w:bCs/>
                <w:szCs w:val="26"/>
                <w:rtl/>
              </w:rPr>
              <w:t xml:space="preserve">, </w:t>
            </w:r>
            <w:r w:rsidRPr="00FD57B0">
              <w:rPr>
                <w:b/>
                <w:bCs/>
                <w:szCs w:val="26"/>
                <w:rtl/>
              </w:rPr>
              <w:t>סגן נשיא</w:t>
            </w:r>
          </w:p>
        </w:tc>
        <w:tc>
          <w:tcPr>
            <w:tcW w:w="3420" w:type="dxa"/>
            <w:tcBorders>
              <w:top w:val="single" w:sz="4" w:space="0" w:color="auto"/>
              <w:bottom w:val="single" w:sz="4" w:space="0" w:color="auto"/>
            </w:tcBorders>
          </w:tcPr>
          <w:p w14:paraId="56BF0FEC" w14:textId="77777777" w:rsidR="006F34EF" w:rsidRPr="00FD57B0" w:rsidRDefault="00FD57B0">
            <w:pPr>
              <w:spacing w:line="360" w:lineRule="auto"/>
              <w:jc w:val="center"/>
              <w:rPr>
                <w:b/>
                <w:bCs/>
                <w:szCs w:val="26"/>
                <w:rtl/>
              </w:rPr>
            </w:pPr>
            <w:r w:rsidRPr="00FD57B0">
              <w:rPr>
                <w:b/>
                <w:bCs/>
                <w:szCs w:val="26"/>
                <w:rtl/>
              </w:rPr>
              <w:t>משה</w:t>
            </w:r>
            <w:r w:rsidRPr="00FD57B0">
              <w:rPr>
                <w:rFonts w:hint="cs"/>
                <w:b/>
                <w:bCs/>
                <w:szCs w:val="26"/>
                <w:rtl/>
              </w:rPr>
              <w:t xml:space="preserve"> </w:t>
            </w:r>
            <w:r w:rsidRPr="00FD57B0">
              <w:rPr>
                <w:b/>
                <w:bCs/>
                <w:szCs w:val="26"/>
                <w:rtl/>
              </w:rPr>
              <w:t>דרורי</w:t>
            </w:r>
            <w:r w:rsidRPr="00FD57B0">
              <w:rPr>
                <w:rFonts w:hint="cs"/>
                <w:b/>
                <w:bCs/>
                <w:szCs w:val="26"/>
                <w:rtl/>
              </w:rPr>
              <w:t xml:space="preserve">, </w:t>
            </w:r>
            <w:r w:rsidRPr="00FD57B0">
              <w:rPr>
                <w:b/>
                <w:bCs/>
                <w:szCs w:val="26"/>
                <w:rtl/>
              </w:rPr>
              <w:t>שופט</w:t>
            </w:r>
          </w:p>
        </w:tc>
        <w:tc>
          <w:tcPr>
            <w:tcW w:w="3420" w:type="dxa"/>
            <w:tcBorders>
              <w:top w:val="single" w:sz="4" w:space="0" w:color="auto"/>
              <w:bottom w:val="single" w:sz="4" w:space="0" w:color="auto"/>
            </w:tcBorders>
          </w:tcPr>
          <w:p w14:paraId="7AD2C28C" w14:textId="77777777" w:rsidR="006F34EF" w:rsidRPr="00FD57B0" w:rsidRDefault="00FD57B0">
            <w:pPr>
              <w:spacing w:line="360" w:lineRule="auto"/>
              <w:jc w:val="center"/>
              <w:rPr>
                <w:b/>
                <w:bCs/>
                <w:szCs w:val="26"/>
                <w:rtl/>
              </w:rPr>
            </w:pPr>
            <w:r w:rsidRPr="00FD57B0">
              <w:rPr>
                <w:b/>
                <w:bCs/>
                <w:szCs w:val="26"/>
                <w:rtl/>
              </w:rPr>
              <w:t>משה</w:t>
            </w:r>
            <w:r w:rsidRPr="00FD57B0">
              <w:rPr>
                <w:rFonts w:hint="cs"/>
                <w:b/>
                <w:bCs/>
                <w:szCs w:val="26"/>
                <w:rtl/>
              </w:rPr>
              <w:t xml:space="preserve"> </w:t>
            </w:r>
            <w:r w:rsidRPr="00FD57B0">
              <w:rPr>
                <w:b/>
                <w:bCs/>
                <w:szCs w:val="26"/>
                <w:rtl/>
              </w:rPr>
              <w:t>יועד הכהן</w:t>
            </w:r>
            <w:r w:rsidRPr="00FD57B0">
              <w:rPr>
                <w:rFonts w:hint="cs"/>
                <w:b/>
                <w:bCs/>
                <w:szCs w:val="26"/>
                <w:rtl/>
              </w:rPr>
              <w:t xml:space="preserve">, </w:t>
            </w:r>
            <w:r w:rsidRPr="00FD57B0">
              <w:rPr>
                <w:b/>
                <w:bCs/>
                <w:szCs w:val="26"/>
                <w:rtl/>
              </w:rPr>
              <w:t>שופט</w:t>
            </w:r>
          </w:p>
        </w:tc>
      </w:tr>
    </w:tbl>
    <w:p w14:paraId="47DC5E74" w14:textId="77777777" w:rsidR="006F34EF" w:rsidRPr="00FD57B0" w:rsidRDefault="006F34EF">
      <w:pPr>
        <w:spacing w:line="360" w:lineRule="auto"/>
        <w:jc w:val="both"/>
        <w:rPr>
          <w:b/>
          <w:bCs/>
          <w:sz w:val="6"/>
          <w:szCs w:val="26"/>
          <w:rtl/>
        </w:rPr>
      </w:pPr>
    </w:p>
    <w:p w14:paraId="6C206919" w14:textId="77777777" w:rsidR="006F34EF" w:rsidRPr="00FD57B0" w:rsidRDefault="006F34EF">
      <w:pPr>
        <w:pStyle w:val="12"/>
        <w:rPr>
          <w:szCs w:val="26"/>
          <w:u w:val="none"/>
          <w:rtl/>
        </w:rPr>
      </w:pPr>
    </w:p>
    <w:p w14:paraId="326CD693" w14:textId="77777777" w:rsidR="006F34EF" w:rsidRPr="00FD57B0" w:rsidRDefault="006F34EF">
      <w:pPr>
        <w:pStyle w:val="12"/>
        <w:rPr>
          <w:b w:val="0"/>
          <w:bCs w:val="0"/>
          <w:u w:val="none"/>
          <w:rtl/>
        </w:rPr>
      </w:pPr>
    </w:p>
    <w:p w14:paraId="14708DDC" w14:textId="77777777" w:rsidR="006F34EF" w:rsidRPr="00FD57B0" w:rsidRDefault="006F34EF">
      <w:pPr>
        <w:pStyle w:val="David"/>
        <w:rPr>
          <w:rtl/>
        </w:rPr>
      </w:pPr>
    </w:p>
    <w:p w14:paraId="3CFEFD33" w14:textId="77777777" w:rsidR="006F34EF" w:rsidRDefault="006F34EF">
      <w:pPr>
        <w:spacing w:line="360" w:lineRule="auto"/>
        <w:jc w:val="center"/>
        <w:rPr>
          <w:rFonts w:ascii="Arial" w:hAnsi="Arial"/>
          <w:b/>
          <w:bCs/>
          <w:sz w:val="28"/>
          <w:szCs w:val="28"/>
          <w:u w:val="single"/>
          <w:rtl/>
        </w:rPr>
      </w:pPr>
    </w:p>
    <w:p w14:paraId="1D4463EC" w14:textId="77777777" w:rsidR="006F34EF" w:rsidRDefault="00FD57B0">
      <w:pPr>
        <w:spacing w:line="360" w:lineRule="auto"/>
        <w:jc w:val="center"/>
        <w:rPr>
          <w:rFonts w:ascii="Arial" w:hAnsi="Arial"/>
          <w:b/>
          <w:bCs/>
          <w:sz w:val="28"/>
          <w:szCs w:val="28"/>
          <w:u w:val="single"/>
          <w:rtl/>
        </w:rPr>
      </w:pPr>
      <w:r>
        <w:rPr>
          <w:rFonts w:ascii="Arial" w:hAnsi="Arial" w:hint="cs"/>
          <w:b/>
          <w:bCs/>
          <w:sz w:val="28"/>
          <w:szCs w:val="28"/>
          <w:u w:val="single"/>
          <w:rtl/>
        </w:rPr>
        <w:t>גזר דין</w:t>
      </w:r>
    </w:p>
    <w:p w14:paraId="63BA18C4" w14:textId="77777777" w:rsidR="006F34EF" w:rsidRDefault="006F34EF">
      <w:pPr>
        <w:spacing w:line="360" w:lineRule="auto"/>
        <w:jc w:val="both"/>
        <w:rPr>
          <w:rtl/>
        </w:rPr>
      </w:pPr>
    </w:p>
    <w:p w14:paraId="755514B5" w14:textId="77777777" w:rsidR="006F34EF" w:rsidRDefault="006F34EF">
      <w:pPr>
        <w:spacing w:line="360" w:lineRule="auto"/>
        <w:jc w:val="both"/>
        <w:rPr>
          <w:rtl/>
        </w:rPr>
      </w:pPr>
    </w:p>
    <w:p w14:paraId="5C08471C" w14:textId="77777777" w:rsidR="006F34EF" w:rsidRDefault="00FD57B0">
      <w:pPr>
        <w:spacing w:line="360" w:lineRule="auto"/>
        <w:jc w:val="both"/>
        <w:rPr>
          <w:rFonts w:ascii="Times New Roman" w:hAnsi="Times New Roman"/>
          <w:sz w:val="26"/>
          <w:szCs w:val="26"/>
          <w:rtl/>
        </w:rPr>
      </w:pPr>
      <w:r>
        <w:rPr>
          <w:rFonts w:hint="cs"/>
          <w:sz w:val="26"/>
          <w:szCs w:val="26"/>
          <w:rtl/>
        </w:rPr>
        <w:t>1.</w:t>
      </w:r>
      <w:r>
        <w:rPr>
          <w:rFonts w:hint="cs"/>
          <w:sz w:val="26"/>
          <w:szCs w:val="26"/>
          <w:rtl/>
        </w:rPr>
        <w:tab/>
        <w:t xml:space="preserve">הצדדים הציגו לפנינו הודעה על הסדר טיעון, בגדרו הודה הנאשם בעבירות של מעשה מגונה בקטין שטרם מלאו לו 16 שנה, שלא בהסכמתו החופשית </w:t>
      </w:r>
      <w:r>
        <w:rPr>
          <w:sz w:val="26"/>
          <w:szCs w:val="26"/>
          <w:rtl/>
        </w:rPr>
        <w:t>–</w:t>
      </w:r>
      <w:r>
        <w:rPr>
          <w:rFonts w:hint="cs"/>
          <w:sz w:val="26"/>
          <w:szCs w:val="26"/>
          <w:rtl/>
        </w:rPr>
        <w:t xml:space="preserve"> לפי </w:t>
      </w:r>
      <w:hyperlink r:id="rId18" w:history="1">
        <w:r w:rsidR="00C8473F" w:rsidRPr="00C8473F">
          <w:rPr>
            <w:rStyle w:val="Hyperlink"/>
            <w:rFonts w:hint="eastAsia"/>
            <w:sz w:val="26"/>
            <w:szCs w:val="26"/>
            <w:rtl/>
          </w:rPr>
          <w:t>סעיף</w:t>
        </w:r>
        <w:r w:rsidR="00C8473F" w:rsidRPr="00C8473F">
          <w:rPr>
            <w:rStyle w:val="Hyperlink"/>
            <w:sz w:val="26"/>
            <w:szCs w:val="26"/>
            <w:rtl/>
          </w:rPr>
          <w:t xml:space="preserve"> 348(ב)</w:t>
        </w:r>
      </w:hyperlink>
      <w:r>
        <w:rPr>
          <w:rFonts w:hint="cs"/>
          <w:sz w:val="26"/>
          <w:szCs w:val="26"/>
          <w:rtl/>
        </w:rPr>
        <w:t xml:space="preserve"> בנסיבות </w:t>
      </w:r>
      <w:hyperlink r:id="rId19" w:history="1">
        <w:r w:rsidR="00C8473F" w:rsidRPr="00C8473F">
          <w:rPr>
            <w:rStyle w:val="Hyperlink"/>
            <w:rFonts w:hint="eastAsia"/>
            <w:sz w:val="26"/>
            <w:szCs w:val="26"/>
            <w:rtl/>
          </w:rPr>
          <w:t>סעיף</w:t>
        </w:r>
        <w:r w:rsidR="00C8473F" w:rsidRPr="00C8473F">
          <w:rPr>
            <w:rStyle w:val="Hyperlink"/>
            <w:sz w:val="26"/>
            <w:szCs w:val="26"/>
            <w:rtl/>
          </w:rPr>
          <w:t xml:space="preserve"> 345(ב)(1)</w:t>
        </w:r>
      </w:hyperlink>
      <w:r>
        <w:rPr>
          <w:rFonts w:hint="cs"/>
          <w:sz w:val="26"/>
          <w:szCs w:val="26"/>
          <w:rtl/>
        </w:rPr>
        <w:t xml:space="preserve"> </w:t>
      </w:r>
      <w:hyperlink r:id="rId20" w:history="1">
        <w:r w:rsidR="00C8473F" w:rsidRPr="00C8473F">
          <w:rPr>
            <w:rStyle w:val="Hyperlink"/>
            <w:rFonts w:hint="eastAsia"/>
            <w:sz w:val="26"/>
            <w:szCs w:val="26"/>
            <w:rtl/>
          </w:rPr>
          <w:t>וסעיף</w:t>
        </w:r>
        <w:r w:rsidR="00C8473F" w:rsidRPr="00C8473F">
          <w:rPr>
            <w:rStyle w:val="Hyperlink"/>
            <w:sz w:val="26"/>
            <w:szCs w:val="26"/>
            <w:rtl/>
          </w:rPr>
          <w:t xml:space="preserve"> 345(א)(1)</w:t>
        </w:r>
      </w:hyperlink>
      <w:r>
        <w:rPr>
          <w:rFonts w:hint="cs"/>
          <w:sz w:val="26"/>
          <w:szCs w:val="26"/>
          <w:rtl/>
        </w:rPr>
        <w:t xml:space="preserve"> ל</w:t>
      </w:r>
      <w:hyperlink r:id="rId21" w:history="1">
        <w:r w:rsidR="00C8473F" w:rsidRPr="00C8473F">
          <w:rPr>
            <w:rStyle w:val="Hyperlink"/>
            <w:sz w:val="26"/>
            <w:szCs w:val="26"/>
            <w:rtl/>
          </w:rPr>
          <w:t>חוק העונשין</w:t>
        </w:r>
      </w:hyperlink>
      <w:r>
        <w:rPr>
          <w:rFonts w:hint="cs"/>
          <w:sz w:val="26"/>
          <w:szCs w:val="26"/>
          <w:rtl/>
        </w:rPr>
        <w:t>, התשל"ז-1977 (להלן: "</w:t>
      </w:r>
      <w:r>
        <w:rPr>
          <w:rFonts w:hint="cs"/>
          <w:b/>
          <w:bCs/>
          <w:sz w:val="26"/>
          <w:szCs w:val="26"/>
          <w:rtl/>
        </w:rPr>
        <w:t>החוק</w:t>
      </w:r>
      <w:r>
        <w:rPr>
          <w:rFonts w:hint="cs"/>
          <w:sz w:val="26"/>
          <w:szCs w:val="26"/>
          <w:rtl/>
        </w:rPr>
        <w:t xml:space="preserve">"), וכן בעבירות </w:t>
      </w:r>
      <w:r>
        <w:rPr>
          <w:rFonts w:ascii="Times New Roman" w:hAnsi="Times New Roman" w:hint="cs"/>
          <w:sz w:val="26"/>
          <w:szCs w:val="26"/>
          <w:rtl/>
        </w:rPr>
        <w:t xml:space="preserve">של מעשה מגונה תוך שימוש בכוח, והפרעה לשוטר בשעת מילוי תפקידו </w:t>
      </w:r>
      <w:r>
        <w:rPr>
          <w:rFonts w:ascii="Times New Roman" w:hAnsi="Times New Roman"/>
          <w:sz w:val="26"/>
          <w:szCs w:val="26"/>
          <w:rtl/>
        </w:rPr>
        <w:t>–</w:t>
      </w:r>
      <w:r>
        <w:rPr>
          <w:rFonts w:ascii="Times New Roman" w:hAnsi="Times New Roman" w:hint="cs"/>
          <w:sz w:val="26"/>
          <w:szCs w:val="26"/>
          <w:rtl/>
        </w:rPr>
        <w:t xml:space="preserve"> לפי </w:t>
      </w:r>
      <w:hyperlink r:id="rId22" w:history="1">
        <w:r w:rsidR="00C8473F" w:rsidRPr="00C8473F">
          <w:rPr>
            <w:rStyle w:val="Hyperlink"/>
            <w:rFonts w:ascii="Times New Roman" w:hAnsi="Times New Roman" w:hint="eastAsia"/>
            <w:sz w:val="26"/>
            <w:szCs w:val="26"/>
            <w:rtl/>
          </w:rPr>
          <w:t>סעיפים</w:t>
        </w:r>
        <w:r w:rsidR="00C8473F" w:rsidRPr="00C8473F">
          <w:rPr>
            <w:rStyle w:val="Hyperlink"/>
            <w:rFonts w:ascii="Times New Roman" w:hAnsi="Times New Roman"/>
            <w:sz w:val="26"/>
            <w:szCs w:val="26"/>
            <w:rtl/>
          </w:rPr>
          <w:t xml:space="preserve"> 348(ג1)</w:t>
        </w:r>
      </w:hyperlink>
      <w:r>
        <w:rPr>
          <w:rFonts w:ascii="Times New Roman" w:hAnsi="Times New Roman" w:hint="cs"/>
          <w:sz w:val="26"/>
          <w:szCs w:val="26"/>
          <w:rtl/>
        </w:rPr>
        <w:t xml:space="preserve"> ו-</w:t>
      </w:r>
      <w:hyperlink r:id="rId23" w:history="1">
        <w:r w:rsidR="00C8473F" w:rsidRPr="00C8473F">
          <w:rPr>
            <w:rStyle w:val="Hyperlink"/>
            <w:rFonts w:ascii="Times New Roman" w:hAnsi="Times New Roman"/>
            <w:sz w:val="26"/>
            <w:szCs w:val="26"/>
            <w:rtl/>
          </w:rPr>
          <w:t>275</w:t>
        </w:r>
      </w:hyperlink>
      <w:r>
        <w:rPr>
          <w:rFonts w:ascii="Times New Roman" w:hAnsi="Times New Roman" w:hint="cs"/>
          <w:sz w:val="26"/>
          <w:szCs w:val="26"/>
          <w:rtl/>
        </w:rPr>
        <w:t xml:space="preserve"> לחוק הנ"ל. </w:t>
      </w:r>
    </w:p>
    <w:p w14:paraId="449CD19E" w14:textId="77777777" w:rsidR="006F34EF" w:rsidRDefault="006F34EF">
      <w:pPr>
        <w:spacing w:line="360" w:lineRule="auto"/>
        <w:jc w:val="both"/>
        <w:rPr>
          <w:rFonts w:ascii="Times New Roman" w:hAnsi="Times New Roman"/>
          <w:sz w:val="26"/>
          <w:szCs w:val="26"/>
          <w:rtl/>
        </w:rPr>
      </w:pPr>
    </w:p>
    <w:p w14:paraId="4F226913" w14:textId="77777777" w:rsidR="006F34EF" w:rsidRDefault="00FD57B0">
      <w:pPr>
        <w:spacing w:line="360" w:lineRule="auto"/>
        <w:jc w:val="both"/>
        <w:rPr>
          <w:rFonts w:ascii="Times New Roman" w:hAnsi="Times New Roman"/>
          <w:sz w:val="26"/>
          <w:szCs w:val="26"/>
          <w:rtl/>
        </w:rPr>
      </w:pPr>
      <w:r>
        <w:rPr>
          <w:rFonts w:ascii="Times New Roman" w:hAnsi="Times New Roman" w:hint="cs"/>
          <w:sz w:val="26"/>
          <w:szCs w:val="26"/>
          <w:rtl/>
        </w:rPr>
        <w:t>2.</w:t>
      </w:r>
      <w:r>
        <w:rPr>
          <w:rFonts w:ascii="Times New Roman" w:hAnsi="Times New Roman" w:hint="cs"/>
          <w:sz w:val="26"/>
          <w:szCs w:val="26"/>
          <w:rtl/>
        </w:rPr>
        <w:tab/>
        <w:t xml:space="preserve">בגדר אותו הסדר עתרו שני הצדדים לעונש מאסר של 30 חודשים בפועל, בניכוי ימי המעצר אותם ריצה הנאשם בתיק זה, והמאשימה אף עתרה לעונש מאסר על-תנאי ולפיצוי המתלוננים. </w:t>
      </w:r>
    </w:p>
    <w:p w14:paraId="7625CD19" w14:textId="77777777" w:rsidR="006F34EF" w:rsidRDefault="006F34EF">
      <w:pPr>
        <w:spacing w:line="360" w:lineRule="auto"/>
        <w:jc w:val="both"/>
        <w:rPr>
          <w:rFonts w:ascii="Times New Roman" w:hAnsi="Times New Roman"/>
          <w:sz w:val="26"/>
          <w:szCs w:val="26"/>
          <w:rtl/>
        </w:rPr>
      </w:pPr>
    </w:p>
    <w:p w14:paraId="233A3810" w14:textId="77777777" w:rsidR="006F34EF" w:rsidRDefault="00FD57B0">
      <w:pPr>
        <w:spacing w:line="360" w:lineRule="auto"/>
        <w:jc w:val="both"/>
        <w:rPr>
          <w:rFonts w:ascii="Times New Roman" w:hAnsi="Times New Roman"/>
          <w:sz w:val="26"/>
          <w:szCs w:val="26"/>
          <w:rtl/>
        </w:rPr>
      </w:pPr>
      <w:r>
        <w:rPr>
          <w:rFonts w:ascii="Times New Roman" w:hAnsi="Times New Roman" w:hint="cs"/>
          <w:sz w:val="26"/>
          <w:szCs w:val="26"/>
          <w:rtl/>
        </w:rPr>
        <w:t>3.</w:t>
      </w:r>
      <w:r>
        <w:rPr>
          <w:rFonts w:ascii="Times New Roman" w:hAnsi="Times New Roman" w:hint="cs"/>
          <w:sz w:val="26"/>
          <w:szCs w:val="26"/>
          <w:rtl/>
        </w:rPr>
        <w:tab/>
        <w:t>התחבטנו קשות אם לאמץ את הסדר הטיעון לעונש, זאת לא רק בשל עובדות שני כתבי האישום בהן הודה הנאשם, אלא בעיקר לאור חוות הדעת שניתנה על-ידי המרכז להערכת המסוכנות, בגדרה נאמר, בין השאר, כי: "</w:t>
      </w:r>
      <w:r>
        <w:rPr>
          <w:rFonts w:ascii="Times New Roman" w:hAnsi="Times New Roman" w:hint="cs"/>
          <w:b/>
          <w:bCs/>
          <w:sz w:val="26"/>
          <w:szCs w:val="26"/>
          <w:rtl/>
        </w:rPr>
        <w:t>מדובר בעבריין מין רצידיביסט... אינו מגלה אמפטיה לקורבן.... אינו מגלה כל תובנה למסוכנותו, עובדה שכשלעצמה מגבירה את המסוכנות... ולטווח הרחוק רמת מסוכנותו המינית הנה גבוהה</w:t>
      </w:r>
      <w:r>
        <w:rPr>
          <w:rFonts w:ascii="Times New Roman" w:hAnsi="Times New Roman" w:hint="cs"/>
          <w:sz w:val="26"/>
          <w:szCs w:val="26"/>
          <w:rtl/>
        </w:rPr>
        <w:t xml:space="preserve">". </w:t>
      </w:r>
    </w:p>
    <w:p w14:paraId="0B857A95" w14:textId="77777777" w:rsidR="006F34EF" w:rsidRDefault="006F34EF">
      <w:pPr>
        <w:spacing w:line="360" w:lineRule="auto"/>
        <w:ind w:firstLine="720"/>
        <w:jc w:val="both"/>
        <w:rPr>
          <w:rFonts w:ascii="Times New Roman" w:hAnsi="Times New Roman"/>
          <w:sz w:val="26"/>
          <w:szCs w:val="26"/>
          <w:rtl/>
        </w:rPr>
      </w:pPr>
    </w:p>
    <w:p w14:paraId="1ABC6585" w14:textId="77777777" w:rsidR="006F34EF" w:rsidRDefault="00FD57B0">
      <w:pPr>
        <w:spacing w:line="360" w:lineRule="auto"/>
        <w:jc w:val="both"/>
        <w:rPr>
          <w:rFonts w:ascii="Times New Roman" w:hAnsi="Times New Roman"/>
          <w:sz w:val="26"/>
          <w:szCs w:val="26"/>
          <w:rtl/>
        </w:rPr>
      </w:pPr>
      <w:r>
        <w:rPr>
          <w:rFonts w:ascii="Times New Roman" w:hAnsi="Times New Roman" w:hint="cs"/>
          <w:sz w:val="26"/>
          <w:szCs w:val="26"/>
          <w:rtl/>
        </w:rPr>
        <w:t>4.</w:t>
      </w:r>
      <w:r>
        <w:rPr>
          <w:rFonts w:ascii="Times New Roman" w:hAnsi="Times New Roman" w:hint="cs"/>
          <w:sz w:val="26"/>
          <w:szCs w:val="26"/>
          <w:rtl/>
        </w:rPr>
        <w:tab/>
        <w:t xml:space="preserve">הפנינו שוב ושוב שאלות לבאת-כוח המאשימה, על-מנת שתבהיר לנו את פשר ההסכמה מבחינתם, ובאת-כוח המאשימה עמדה על מצבו הגופני הקשה של הנאשם ועל הקושי הראייתי בתיק בשל חוות-דעת פסיכיאטריות מנוגדות, וביקשה לאמץ את ההסדר. </w:t>
      </w:r>
    </w:p>
    <w:p w14:paraId="488F6C6B" w14:textId="77777777" w:rsidR="006F34EF" w:rsidRDefault="006F34EF">
      <w:pPr>
        <w:spacing w:line="360" w:lineRule="auto"/>
        <w:ind w:firstLine="720"/>
        <w:jc w:val="both"/>
        <w:rPr>
          <w:rFonts w:ascii="Times New Roman" w:hAnsi="Times New Roman"/>
          <w:sz w:val="26"/>
          <w:szCs w:val="26"/>
          <w:rtl/>
        </w:rPr>
      </w:pPr>
    </w:p>
    <w:p w14:paraId="413F1B30" w14:textId="77777777" w:rsidR="006F34EF" w:rsidRDefault="00FD57B0">
      <w:pPr>
        <w:spacing w:line="360" w:lineRule="auto"/>
        <w:jc w:val="both"/>
        <w:rPr>
          <w:rFonts w:ascii="Times New Roman" w:hAnsi="Times New Roman"/>
          <w:sz w:val="26"/>
          <w:szCs w:val="26"/>
          <w:rtl/>
        </w:rPr>
      </w:pPr>
      <w:r>
        <w:rPr>
          <w:rFonts w:ascii="Times New Roman" w:hAnsi="Times New Roman" w:hint="cs"/>
          <w:sz w:val="26"/>
          <w:szCs w:val="26"/>
          <w:rtl/>
        </w:rPr>
        <w:t>5.</w:t>
      </w:r>
      <w:r>
        <w:rPr>
          <w:rFonts w:ascii="Times New Roman" w:hAnsi="Times New Roman" w:hint="cs"/>
          <w:sz w:val="26"/>
          <w:szCs w:val="26"/>
          <w:rtl/>
        </w:rPr>
        <w:tab/>
        <w:t xml:space="preserve">עיינו בחוות הדעת הפסיכיאטרית שהוגשה על-ידי הסנגוריה, מאת ד"ר משה איזק, והתרשמנו כי מזה כשנה החל הנאשם לסבול ממחלה הורמונאלית קשה על שם "אדיסון", המתבטאת באי-ספיקה של בלוטת יותרת הכליה. המחלה מוכרת היטב וללא טיפול היא עלולה לגרום להפרעות גופניות קשות ואף להסתיים במוות. הנאשם מקבל טיפול הורמונאלי מלאכותי על-ידי סטרואידים שונים, הבאים להחליף את העדרם של ההורמונים הטבעיים, והוא נמצא תחת טיפולו של פרופ' גלזר, אנדוקרינולוג מבית החולים הדסה "עין כרם". שמענו גם מפי אחותו של הנאשם, כי רק בתקופה האחרונה בה שוהה הנאשם במעצר היה צורך לאשפזו שמונה פעמים בבית החולים "אסף הרופא" כתוצאה ממחלתו. </w:t>
      </w:r>
    </w:p>
    <w:p w14:paraId="2D02E3DE" w14:textId="77777777" w:rsidR="006F34EF" w:rsidRDefault="006F34EF">
      <w:pPr>
        <w:spacing w:line="360" w:lineRule="auto"/>
        <w:ind w:firstLine="720"/>
        <w:jc w:val="both"/>
        <w:rPr>
          <w:rFonts w:ascii="Times New Roman" w:hAnsi="Times New Roman"/>
          <w:sz w:val="26"/>
          <w:szCs w:val="26"/>
          <w:rtl/>
        </w:rPr>
      </w:pPr>
    </w:p>
    <w:p w14:paraId="62EC96E9" w14:textId="77777777" w:rsidR="006F34EF" w:rsidRDefault="00FD57B0">
      <w:pPr>
        <w:spacing w:line="360" w:lineRule="auto"/>
        <w:jc w:val="both"/>
        <w:rPr>
          <w:rFonts w:ascii="Times New Roman" w:hAnsi="Times New Roman"/>
          <w:sz w:val="26"/>
          <w:szCs w:val="26"/>
          <w:rtl/>
        </w:rPr>
      </w:pPr>
      <w:r>
        <w:rPr>
          <w:rFonts w:ascii="Times New Roman" w:hAnsi="Times New Roman" w:hint="cs"/>
          <w:sz w:val="26"/>
          <w:szCs w:val="26"/>
          <w:rtl/>
        </w:rPr>
        <w:t>6.</w:t>
      </w:r>
      <w:r>
        <w:rPr>
          <w:rFonts w:ascii="Times New Roman" w:hAnsi="Times New Roman" w:hint="cs"/>
          <w:sz w:val="26"/>
          <w:szCs w:val="26"/>
          <w:rtl/>
        </w:rPr>
        <w:tab/>
        <w:t xml:space="preserve">כפי שצוין לעיל, התחבטנו קשות כיצד לאזן נכונה בין האינטרס הציבורי, המחייב החמרה בעבירות אלו, בעיקר לאור דו"ח הערכת המסוכנות, לבין האינטרס הפרטי של הנאשם, כמפורט לעיל, ובשאלה האם ניתן להסתפק בעונש המינימום הקבוע בחוק לעבירה מסוג זה. לא בלי היסוס הגענו לכלל מסקנה, כי יש לאמץ את ההסדר הנ"ל, זאת בעיקר בשל מצבו הרפואי של הנאשם והידיעה כי בסמוך לאחר שחרורו מן הכלא הוא יחל בטיפול </w:t>
      </w:r>
      <w:r>
        <w:rPr>
          <w:rFonts w:ascii="Times New Roman" w:hAnsi="Times New Roman" w:hint="cs"/>
          <w:sz w:val="26"/>
          <w:szCs w:val="26"/>
          <w:rtl/>
        </w:rPr>
        <w:lastRenderedPageBreak/>
        <w:t>מניעתי-תרופתי על-ידי הרופאים פרופ' ויצטום ופרופ' רסלר, ובכך יוקהה במקצת הסיכון העתידי, כמו גם חוק הפיקוח על עברייני מין שיש להניח שיופעל לגבי הנאשם עד תומו עם יציאתו מהכלא, ובמסגרתו ניתן לקוות כי תמצא הדרך כי אכן הטיפול המניעתי-תרופתי יבוצע כדבעי.</w:t>
      </w:r>
    </w:p>
    <w:p w14:paraId="29664BA0" w14:textId="77777777" w:rsidR="006F34EF" w:rsidRDefault="006F34EF">
      <w:pPr>
        <w:spacing w:line="360" w:lineRule="auto"/>
        <w:ind w:firstLine="720"/>
        <w:jc w:val="both"/>
        <w:rPr>
          <w:rFonts w:ascii="Times New Roman" w:hAnsi="Times New Roman"/>
          <w:sz w:val="26"/>
          <w:szCs w:val="26"/>
          <w:rtl/>
        </w:rPr>
      </w:pPr>
    </w:p>
    <w:p w14:paraId="547010F1" w14:textId="77777777" w:rsidR="006F34EF" w:rsidRDefault="00FD57B0">
      <w:pPr>
        <w:spacing w:line="360" w:lineRule="auto"/>
        <w:jc w:val="both"/>
        <w:rPr>
          <w:rFonts w:ascii="Times New Roman" w:hAnsi="Times New Roman"/>
          <w:sz w:val="26"/>
          <w:szCs w:val="26"/>
          <w:rtl/>
        </w:rPr>
      </w:pPr>
      <w:r>
        <w:rPr>
          <w:rFonts w:ascii="Times New Roman" w:hAnsi="Times New Roman" w:hint="cs"/>
          <w:sz w:val="26"/>
          <w:szCs w:val="26"/>
          <w:rtl/>
        </w:rPr>
        <w:t>7.</w:t>
      </w:r>
      <w:r>
        <w:rPr>
          <w:rFonts w:ascii="Times New Roman" w:hAnsi="Times New Roman" w:hint="cs"/>
          <w:sz w:val="26"/>
          <w:szCs w:val="26"/>
          <w:rtl/>
        </w:rPr>
        <w:tab/>
        <w:t>אנו גוזרים, אפוא, על הנאשם את העונשים כדלקמן:</w:t>
      </w:r>
    </w:p>
    <w:p w14:paraId="6A46C2E4" w14:textId="77777777" w:rsidR="006F34EF" w:rsidRDefault="006F34EF">
      <w:pPr>
        <w:spacing w:line="360" w:lineRule="auto"/>
        <w:ind w:firstLine="720"/>
        <w:jc w:val="both"/>
        <w:rPr>
          <w:rFonts w:ascii="Times New Roman" w:hAnsi="Times New Roman"/>
          <w:sz w:val="26"/>
          <w:szCs w:val="26"/>
          <w:rtl/>
        </w:rPr>
      </w:pPr>
    </w:p>
    <w:p w14:paraId="37AFA0C3" w14:textId="77777777" w:rsidR="006F34EF" w:rsidRDefault="00FD57B0">
      <w:pPr>
        <w:spacing w:line="360" w:lineRule="auto"/>
        <w:ind w:left="720"/>
        <w:jc w:val="both"/>
        <w:rPr>
          <w:rFonts w:ascii="Times New Roman" w:hAnsi="Times New Roman"/>
          <w:sz w:val="26"/>
          <w:szCs w:val="26"/>
          <w:rtl/>
        </w:rPr>
      </w:pPr>
      <w:r>
        <w:rPr>
          <w:rFonts w:ascii="Times New Roman" w:hAnsi="Times New Roman" w:hint="cs"/>
          <w:sz w:val="26"/>
          <w:szCs w:val="26"/>
          <w:rtl/>
        </w:rPr>
        <w:t>א.</w:t>
      </w:r>
      <w:r>
        <w:rPr>
          <w:rFonts w:ascii="Times New Roman" w:hAnsi="Times New Roman" w:hint="cs"/>
          <w:sz w:val="26"/>
          <w:szCs w:val="26"/>
          <w:rtl/>
        </w:rPr>
        <w:tab/>
        <w:t xml:space="preserve">30 חודשי מאסר בפועל, החל מיום מעצרו </w:t>
      </w:r>
      <w:r>
        <w:rPr>
          <w:rFonts w:ascii="Times New Roman" w:hAnsi="Times New Roman"/>
          <w:sz w:val="26"/>
          <w:szCs w:val="26"/>
          <w:rtl/>
        </w:rPr>
        <w:t>–</w:t>
      </w:r>
      <w:r>
        <w:rPr>
          <w:rFonts w:ascii="Times New Roman" w:hAnsi="Times New Roman" w:hint="cs"/>
          <w:sz w:val="26"/>
          <w:szCs w:val="26"/>
          <w:rtl/>
        </w:rPr>
        <w:t xml:space="preserve"> 30.6.10, בניכוי 5 ימי מעצר אותם ריצה בקשר לתיק בית משפט השלום בירושלים (26.7.07 </w:t>
      </w:r>
      <w:r>
        <w:rPr>
          <w:rFonts w:ascii="Times New Roman" w:hAnsi="Times New Roman"/>
          <w:sz w:val="26"/>
          <w:szCs w:val="26"/>
          <w:rtl/>
        </w:rPr>
        <w:t>–</w:t>
      </w:r>
      <w:r>
        <w:rPr>
          <w:rFonts w:ascii="Times New Roman" w:hAnsi="Times New Roman" w:hint="cs"/>
          <w:sz w:val="26"/>
          <w:szCs w:val="26"/>
          <w:rtl/>
        </w:rPr>
        <w:t xml:space="preserve"> 30.7.07);</w:t>
      </w:r>
    </w:p>
    <w:p w14:paraId="67B71CF3" w14:textId="77777777" w:rsidR="006F34EF" w:rsidRDefault="006F34EF">
      <w:pPr>
        <w:spacing w:line="360" w:lineRule="auto"/>
        <w:ind w:left="720"/>
        <w:jc w:val="both"/>
        <w:rPr>
          <w:rFonts w:ascii="Times New Roman" w:hAnsi="Times New Roman"/>
          <w:sz w:val="26"/>
          <w:szCs w:val="26"/>
          <w:rtl/>
        </w:rPr>
      </w:pPr>
    </w:p>
    <w:p w14:paraId="76DE7462" w14:textId="77777777" w:rsidR="006F34EF" w:rsidRDefault="00FD57B0">
      <w:pPr>
        <w:spacing w:line="360" w:lineRule="auto"/>
        <w:ind w:left="720"/>
        <w:jc w:val="both"/>
        <w:rPr>
          <w:rFonts w:ascii="Times New Roman" w:hAnsi="Times New Roman"/>
          <w:sz w:val="26"/>
          <w:szCs w:val="26"/>
          <w:rtl/>
        </w:rPr>
      </w:pPr>
      <w:r>
        <w:rPr>
          <w:rFonts w:ascii="Times New Roman" w:hAnsi="Times New Roman" w:hint="cs"/>
          <w:sz w:val="26"/>
          <w:szCs w:val="26"/>
          <w:rtl/>
        </w:rPr>
        <w:t>ב.</w:t>
      </w:r>
      <w:r>
        <w:rPr>
          <w:rFonts w:ascii="Times New Roman" w:hAnsi="Times New Roman" w:hint="cs"/>
          <w:sz w:val="26"/>
          <w:szCs w:val="26"/>
          <w:rtl/>
        </w:rPr>
        <w:tab/>
        <w:t>18 חודשי מאסר על-תנאי, שלא יעבור תוך שלוש שנים מיום שחרורו ממעצרו עבירה דומה בה הורשע בתיקים אלה;</w:t>
      </w:r>
    </w:p>
    <w:p w14:paraId="4F23D933" w14:textId="77777777" w:rsidR="006F34EF" w:rsidRDefault="006F34EF">
      <w:pPr>
        <w:spacing w:line="360" w:lineRule="auto"/>
        <w:ind w:left="720"/>
        <w:jc w:val="both"/>
        <w:rPr>
          <w:rFonts w:ascii="Times New Roman" w:hAnsi="Times New Roman"/>
          <w:sz w:val="26"/>
          <w:szCs w:val="26"/>
          <w:rtl/>
        </w:rPr>
      </w:pPr>
    </w:p>
    <w:p w14:paraId="2D504E46" w14:textId="77777777" w:rsidR="006F34EF" w:rsidRDefault="00FD57B0">
      <w:pPr>
        <w:spacing w:line="360" w:lineRule="auto"/>
        <w:ind w:left="720"/>
        <w:jc w:val="both"/>
        <w:rPr>
          <w:rFonts w:ascii="Times New Roman" w:hAnsi="Times New Roman"/>
          <w:sz w:val="26"/>
          <w:szCs w:val="26"/>
          <w:rtl/>
        </w:rPr>
      </w:pPr>
      <w:r>
        <w:rPr>
          <w:rFonts w:ascii="Times New Roman" w:hAnsi="Times New Roman" w:hint="cs"/>
          <w:sz w:val="26"/>
          <w:szCs w:val="26"/>
          <w:rtl/>
        </w:rPr>
        <w:t>ג.</w:t>
      </w:r>
      <w:r>
        <w:rPr>
          <w:rFonts w:ascii="Times New Roman" w:hAnsi="Times New Roman" w:hint="cs"/>
          <w:sz w:val="26"/>
          <w:szCs w:val="26"/>
          <w:rtl/>
        </w:rPr>
        <w:tab/>
        <w:t xml:space="preserve">אנו מחייבים הנאשם לפצות כל אחד משני המתלוננים בשני התיקים בסך 10,000 ₪ כל אחד, אשר ישולמו תוך 12 חודשים מהיום. </w:t>
      </w:r>
    </w:p>
    <w:p w14:paraId="7CD7979C" w14:textId="77777777" w:rsidR="006F34EF" w:rsidRDefault="006F34EF">
      <w:pPr>
        <w:spacing w:line="360" w:lineRule="auto"/>
        <w:jc w:val="both"/>
        <w:rPr>
          <w:rFonts w:ascii="Times New Roman" w:hAnsi="Times New Roman"/>
          <w:sz w:val="26"/>
          <w:szCs w:val="26"/>
          <w:rtl/>
        </w:rPr>
      </w:pPr>
    </w:p>
    <w:p w14:paraId="75E0471C" w14:textId="77777777" w:rsidR="006F34EF" w:rsidRDefault="00FD57B0">
      <w:pPr>
        <w:spacing w:line="360" w:lineRule="auto"/>
        <w:jc w:val="both"/>
        <w:rPr>
          <w:rFonts w:ascii="Times New Roman" w:hAnsi="Times New Roman"/>
          <w:sz w:val="26"/>
          <w:szCs w:val="26"/>
          <w:rtl/>
        </w:rPr>
      </w:pPr>
      <w:r>
        <w:rPr>
          <w:rFonts w:ascii="Times New Roman" w:hAnsi="Times New Roman" w:hint="cs"/>
          <w:b/>
          <w:bCs/>
          <w:sz w:val="26"/>
          <w:szCs w:val="26"/>
          <w:u w:val="single"/>
          <w:rtl/>
        </w:rPr>
        <w:t>הודע לנאשם על זכותו לערער לבית המשפט העליון תוך 45 יום מהיום</w:t>
      </w:r>
      <w:r>
        <w:rPr>
          <w:rFonts w:ascii="Times New Roman" w:hAnsi="Times New Roman" w:hint="cs"/>
          <w:sz w:val="26"/>
          <w:szCs w:val="26"/>
          <w:rtl/>
        </w:rPr>
        <w:t xml:space="preserve">. </w:t>
      </w:r>
    </w:p>
    <w:p w14:paraId="3814FEB9" w14:textId="77777777" w:rsidR="006F34EF" w:rsidRDefault="006F34EF">
      <w:pPr>
        <w:spacing w:line="360" w:lineRule="auto"/>
        <w:jc w:val="both"/>
        <w:rPr>
          <w:rFonts w:ascii="Times New Roman" w:hAnsi="Times New Roman"/>
          <w:sz w:val="26"/>
          <w:szCs w:val="26"/>
          <w:rtl/>
        </w:rPr>
      </w:pPr>
    </w:p>
    <w:p w14:paraId="187CDB4C" w14:textId="77777777" w:rsidR="006F34EF" w:rsidRDefault="00FD57B0">
      <w:pPr>
        <w:spacing w:line="360" w:lineRule="auto"/>
        <w:jc w:val="both"/>
        <w:rPr>
          <w:sz w:val="6"/>
          <w:szCs w:val="6"/>
          <w:rtl/>
        </w:rPr>
      </w:pPr>
      <w:r>
        <w:rPr>
          <w:sz w:val="6"/>
          <w:szCs w:val="6"/>
          <w:rtl/>
        </w:rPr>
        <w:t>&lt;#9#&gt;</w:t>
      </w:r>
    </w:p>
    <w:p w14:paraId="08F5AF28" w14:textId="77777777" w:rsidR="006F34EF" w:rsidRDefault="00FD57B0">
      <w:pPr>
        <w:spacing w:line="360" w:lineRule="auto"/>
        <w:jc w:val="both"/>
        <w:rPr>
          <w:rtl/>
        </w:rPr>
      </w:pPr>
      <w:r>
        <w:rPr>
          <w:b/>
          <w:bCs/>
          <w:sz w:val="28"/>
          <w:szCs w:val="28"/>
          <w:rtl/>
        </w:rPr>
        <w:t xml:space="preserve">ניתן והודע היום כ"ב  אדר ב תשע"א, 28/03/2011 במעמד הנוכחים.  </w:t>
      </w:r>
      <w:r>
        <w:rPr>
          <w:rtl/>
        </w:rPr>
        <w:t xml:space="preserve"> </w:t>
      </w:r>
    </w:p>
    <w:p w14:paraId="544D3C04" w14:textId="77777777" w:rsidR="00FD57B0" w:rsidRPr="00FD57B0" w:rsidRDefault="00FD57B0">
      <w:pPr>
        <w:jc w:val="both"/>
        <w:rPr>
          <w:color w:val="FFFFFF"/>
          <w:sz w:val="2"/>
          <w:szCs w:val="2"/>
          <w:rtl/>
        </w:rPr>
      </w:pPr>
    </w:p>
    <w:p w14:paraId="32043EEB" w14:textId="77777777" w:rsidR="00FD57B0" w:rsidRPr="00FD57B0" w:rsidRDefault="00FD57B0">
      <w:pPr>
        <w:jc w:val="both"/>
        <w:rPr>
          <w:color w:val="FFFFFF"/>
          <w:sz w:val="2"/>
          <w:szCs w:val="2"/>
          <w:rtl/>
        </w:rPr>
      </w:pPr>
      <w:r w:rsidRPr="00FD57B0">
        <w:rPr>
          <w:color w:val="FFFFFF"/>
          <w:sz w:val="2"/>
          <w:szCs w:val="2"/>
          <w:rtl/>
        </w:rPr>
        <w:t>5129371</w:t>
      </w:r>
    </w:p>
    <w:p w14:paraId="67EE9290" w14:textId="77777777" w:rsidR="00FD57B0" w:rsidRPr="00FD57B0" w:rsidRDefault="00FD57B0" w:rsidP="00FD57B0">
      <w:pPr>
        <w:keepNext/>
        <w:rPr>
          <w:color w:val="000000"/>
          <w:sz w:val="22"/>
          <w:szCs w:val="22"/>
          <w:rtl/>
        </w:rPr>
      </w:pPr>
    </w:p>
    <w:p w14:paraId="46798C4F" w14:textId="77777777" w:rsidR="00FD57B0" w:rsidRPr="00FD57B0" w:rsidRDefault="00FD57B0" w:rsidP="00FD57B0">
      <w:pPr>
        <w:keepNext/>
        <w:rPr>
          <w:color w:val="000000"/>
          <w:sz w:val="22"/>
          <w:szCs w:val="22"/>
          <w:rtl/>
        </w:rPr>
      </w:pPr>
      <w:r w:rsidRPr="00FD57B0">
        <w:rPr>
          <w:color w:val="000000"/>
          <w:sz w:val="22"/>
          <w:szCs w:val="22"/>
          <w:rtl/>
        </w:rPr>
        <w:t>ים צבי סגל 54678313</w:t>
      </w:r>
    </w:p>
    <w:p w14:paraId="40087F0D" w14:textId="77777777" w:rsidR="006F34EF" w:rsidRDefault="00FD57B0">
      <w:pPr>
        <w:jc w:val="both"/>
        <w:rPr>
          <w:rtl/>
        </w:rPr>
      </w:pPr>
      <w:r w:rsidRPr="00FD57B0">
        <w:rPr>
          <w:color w:val="FFFFFF"/>
          <w:sz w:val="2"/>
          <w:szCs w:val="2"/>
          <w:rtl/>
        </w:rPr>
        <w:t>54678313</w:t>
      </w:r>
      <w:r>
        <w:rPr>
          <w:rtl/>
        </w:rPr>
        <w:t xml:space="preserve"> </w:t>
      </w:r>
    </w:p>
    <w:tbl>
      <w:tblPr>
        <w:tblStyle w:val="TableGrid"/>
        <w:bidiVisual/>
        <w:tblW w:w="10260" w:type="dxa"/>
        <w:tblInd w:w="-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0"/>
        <w:gridCol w:w="3420"/>
        <w:gridCol w:w="3420"/>
      </w:tblGrid>
      <w:tr w:rsidR="006F34EF" w14:paraId="14605D9B" w14:textId="77777777">
        <w:tc>
          <w:tcPr>
            <w:tcW w:w="3420" w:type="dxa"/>
            <w:tcBorders>
              <w:bottom w:val="single" w:sz="4" w:space="0" w:color="auto"/>
            </w:tcBorders>
          </w:tcPr>
          <w:p w14:paraId="20FEF316" w14:textId="77777777" w:rsidR="006F34EF" w:rsidRDefault="006F34EF">
            <w:pPr>
              <w:spacing w:line="360" w:lineRule="auto"/>
              <w:jc w:val="center"/>
              <w:rPr>
                <w:rFonts w:cs="FrankRuehl"/>
                <w:rtl/>
              </w:rPr>
            </w:pPr>
          </w:p>
        </w:tc>
        <w:tc>
          <w:tcPr>
            <w:tcW w:w="3420" w:type="dxa"/>
            <w:tcBorders>
              <w:bottom w:val="single" w:sz="4" w:space="0" w:color="auto"/>
            </w:tcBorders>
          </w:tcPr>
          <w:p w14:paraId="6FC052E7" w14:textId="77777777" w:rsidR="006F34EF" w:rsidRDefault="006F34EF">
            <w:pPr>
              <w:spacing w:line="360" w:lineRule="auto"/>
              <w:jc w:val="center"/>
              <w:rPr>
                <w:rFonts w:cs="FrankRuehl"/>
                <w:rtl/>
              </w:rPr>
            </w:pPr>
          </w:p>
          <w:p w14:paraId="403965CC" w14:textId="77777777" w:rsidR="006F34EF" w:rsidRDefault="006F34EF">
            <w:pPr>
              <w:spacing w:line="360" w:lineRule="auto"/>
              <w:jc w:val="center"/>
              <w:rPr>
                <w:rFonts w:cs="FrankRuehl"/>
                <w:rtl/>
              </w:rPr>
            </w:pPr>
          </w:p>
        </w:tc>
        <w:tc>
          <w:tcPr>
            <w:tcW w:w="3420" w:type="dxa"/>
            <w:tcBorders>
              <w:bottom w:val="single" w:sz="4" w:space="0" w:color="auto"/>
            </w:tcBorders>
          </w:tcPr>
          <w:p w14:paraId="750322F1" w14:textId="77777777" w:rsidR="006F34EF" w:rsidRDefault="006F34EF">
            <w:pPr>
              <w:spacing w:line="360" w:lineRule="auto"/>
              <w:jc w:val="center"/>
              <w:rPr>
                <w:rFonts w:cs="FrankRuehl"/>
                <w:rtl/>
              </w:rPr>
            </w:pPr>
          </w:p>
        </w:tc>
      </w:tr>
      <w:tr w:rsidR="006F34EF" w14:paraId="0137BEE5" w14:textId="77777777">
        <w:tc>
          <w:tcPr>
            <w:tcW w:w="3420" w:type="dxa"/>
            <w:tcBorders>
              <w:top w:val="single" w:sz="4" w:space="0" w:color="auto"/>
              <w:bottom w:val="single" w:sz="4" w:space="0" w:color="auto"/>
            </w:tcBorders>
          </w:tcPr>
          <w:p w14:paraId="4FF3C612" w14:textId="77777777" w:rsidR="006F34EF" w:rsidRDefault="00FD57B0">
            <w:pPr>
              <w:spacing w:line="360" w:lineRule="auto"/>
              <w:jc w:val="center"/>
              <w:rPr>
                <w:b/>
                <w:bCs/>
                <w:szCs w:val="26"/>
                <w:rtl/>
              </w:rPr>
            </w:pPr>
            <w:r>
              <w:rPr>
                <w:b/>
                <w:bCs/>
                <w:szCs w:val="26"/>
                <w:rtl/>
              </w:rPr>
              <w:t>צבי</w:t>
            </w:r>
            <w:r>
              <w:rPr>
                <w:rFonts w:hint="cs"/>
                <w:b/>
                <w:bCs/>
                <w:szCs w:val="26"/>
                <w:rtl/>
              </w:rPr>
              <w:t xml:space="preserve">  </w:t>
            </w:r>
            <w:r>
              <w:rPr>
                <w:b/>
                <w:bCs/>
                <w:szCs w:val="26"/>
                <w:rtl/>
              </w:rPr>
              <w:t>סגל</w:t>
            </w:r>
            <w:r>
              <w:rPr>
                <w:rFonts w:hint="cs"/>
                <w:b/>
                <w:bCs/>
                <w:szCs w:val="26"/>
                <w:rtl/>
              </w:rPr>
              <w:t xml:space="preserve">, </w:t>
            </w:r>
            <w:r>
              <w:rPr>
                <w:b/>
                <w:bCs/>
                <w:szCs w:val="26"/>
                <w:rtl/>
              </w:rPr>
              <w:t>סגן נשיא</w:t>
            </w:r>
          </w:p>
        </w:tc>
        <w:tc>
          <w:tcPr>
            <w:tcW w:w="3420" w:type="dxa"/>
            <w:tcBorders>
              <w:top w:val="single" w:sz="4" w:space="0" w:color="auto"/>
              <w:bottom w:val="single" w:sz="4" w:space="0" w:color="auto"/>
            </w:tcBorders>
          </w:tcPr>
          <w:p w14:paraId="5602744F" w14:textId="77777777" w:rsidR="006F34EF" w:rsidRDefault="00FD57B0">
            <w:pPr>
              <w:spacing w:line="360" w:lineRule="auto"/>
              <w:jc w:val="center"/>
              <w:rPr>
                <w:b/>
                <w:bCs/>
                <w:szCs w:val="26"/>
                <w:rtl/>
              </w:rPr>
            </w:pPr>
            <w:r>
              <w:rPr>
                <w:b/>
                <w:bCs/>
                <w:szCs w:val="26"/>
                <w:rtl/>
              </w:rPr>
              <w:t>משה</w:t>
            </w:r>
            <w:r>
              <w:rPr>
                <w:rFonts w:hint="cs"/>
                <w:b/>
                <w:bCs/>
                <w:szCs w:val="26"/>
                <w:rtl/>
              </w:rPr>
              <w:t xml:space="preserve"> </w:t>
            </w:r>
            <w:r>
              <w:rPr>
                <w:b/>
                <w:bCs/>
                <w:szCs w:val="26"/>
                <w:rtl/>
              </w:rPr>
              <w:t>דרורי</w:t>
            </w:r>
            <w:r>
              <w:rPr>
                <w:rFonts w:hint="cs"/>
                <w:b/>
                <w:bCs/>
                <w:szCs w:val="26"/>
                <w:rtl/>
              </w:rPr>
              <w:t xml:space="preserve">, </w:t>
            </w:r>
            <w:r>
              <w:rPr>
                <w:b/>
                <w:bCs/>
                <w:szCs w:val="26"/>
                <w:rtl/>
              </w:rPr>
              <w:t>שופט</w:t>
            </w:r>
          </w:p>
        </w:tc>
        <w:tc>
          <w:tcPr>
            <w:tcW w:w="3420" w:type="dxa"/>
            <w:tcBorders>
              <w:top w:val="single" w:sz="4" w:space="0" w:color="auto"/>
              <w:bottom w:val="single" w:sz="4" w:space="0" w:color="auto"/>
            </w:tcBorders>
          </w:tcPr>
          <w:p w14:paraId="3734D763" w14:textId="77777777" w:rsidR="006F34EF" w:rsidRDefault="00FD57B0">
            <w:pPr>
              <w:spacing w:line="360" w:lineRule="auto"/>
              <w:jc w:val="center"/>
              <w:rPr>
                <w:b/>
                <w:bCs/>
                <w:szCs w:val="26"/>
                <w:rtl/>
              </w:rPr>
            </w:pPr>
            <w:r>
              <w:rPr>
                <w:b/>
                <w:bCs/>
                <w:szCs w:val="26"/>
                <w:rtl/>
              </w:rPr>
              <w:t>משה</w:t>
            </w:r>
            <w:r>
              <w:rPr>
                <w:rFonts w:hint="cs"/>
                <w:b/>
                <w:bCs/>
                <w:szCs w:val="26"/>
                <w:rtl/>
              </w:rPr>
              <w:t xml:space="preserve"> </w:t>
            </w:r>
            <w:r>
              <w:rPr>
                <w:b/>
                <w:bCs/>
                <w:szCs w:val="26"/>
                <w:rtl/>
              </w:rPr>
              <w:t>יועד הכהן</w:t>
            </w:r>
            <w:r>
              <w:rPr>
                <w:rFonts w:hint="cs"/>
                <w:b/>
                <w:bCs/>
                <w:szCs w:val="26"/>
                <w:rtl/>
              </w:rPr>
              <w:t xml:space="preserve">, </w:t>
            </w:r>
            <w:r>
              <w:rPr>
                <w:b/>
                <w:bCs/>
                <w:szCs w:val="26"/>
                <w:rtl/>
              </w:rPr>
              <w:t>שופט</w:t>
            </w:r>
          </w:p>
        </w:tc>
      </w:tr>
    </w:tbl>
    <w:p w14:paraId="52A30712" w14:textId="77777777" w:rsidR="006F34EF" w:rsidRDefault="006F34EF">
      <w:pPr>
        <w:spacing w:line="360" w:lineRule="auto"/>
        <w:jc w:val="center"/>
        <w:rPr>
          <w:b/>
          <w:bCs/>
          <w:szCs w:val="26"/>
          <w:rtl/>
        </w:rPr>
      </w:pPr>
    </w:p>
    <w:p w14:paraId="53531A00" w14:textId="77777777" w:rsidR="006F34EF" w:rsidRDefault="00FD57B0">
      <w:pPr>
        <w:rPr>
          <w:rFonts w:cs="FrankRuehl"/>
          <w:sz w:val="28"/>
          <w:szCs w:val="28"/>
        </w:rPr>
      </w:pPr>
      <w:r>
        <w:rPr>
          <w:rFonts w:ascii="Arial" w:hAnsi="Arial" w:cs="FrankRuehl"/>
          <w:sz w:val="28"/>
          <w:szCs w:val="28"/>
          <w:rtl/>
        </w:rPr>
        <w:t>הוקלד על ידי</w:t>
      </w:r>
      <w:r>
        <w:rPr>
          <w:rFonts w:ascii="Arial" w:hAnsi="Arial" w:cs="FrankRuehl" w:hint="cs"/>
          <w:sz w:val="28"/>
          <w:szCs w:val="28"/>
          <w:rtl/>
        </w:rPr>
        <w:t xml:space="preserve">: </w:t>
      </w:r>
      <w:r>
        <w:rPr>
          <w:rFonts w:ascii="Arial" w:hAnsi="Arial" w:cs="FrankRuehl"/>
          <w:sz w:val="28"/>
          <w:szCs w:val="28"/>
          <w:rtl/>
        </w:rPr>
        <w:t>נאוה זקן</w:t>
      </w:r>
    </w:p>
    <w:p w14:paraId="36195CD9" w14:textId="77777777" w:rsidR="00FD57B0" w:rsidRDefault="00FD57B0" w:rsidP="00FD57B0">
      <w:r w:rsidRPr="00FD57B0">
        <w:rPr>
          <w:color w:val="000000"/>
          <w:rtl/>
        </w:rPr>
        <w:t>נוסח מסמך זה כפוף לשינויי ניסוח ועריכה</w:t>
      </w:r>
    </w:p>
    <w:p w14:paraId="060BCB6D" w14:textId="77777777" w:rsidR="00FD57B0" w:rsidRDefault="00FD57B0" w:rsidP="00FD57B0">
      <w:pPr>
        <w:rPr>
          <w:rtl/>
        </w:rPr>
      </w:pPr>
    </w:p>
    <w:p w14:paraId="0D87B8DE" w14:textId="77777777" w:rsidR="00FD57B0" w:rsidRDefault="00FD57B0" w:rsidP="00FD57B0">
      <w:pPr>
        <w:jc w:val="center"/>
        <w:rPr>
          <w:color w:val="0000FF"/>
          <w:u w:val="single"/>
        </w:rPr>
      </w:pPr>
      <w:r w:rsidRPr="00C8473F">
        <w:rPr>
          <w:color w:val="000000"/>
          <w:rtl/>
        </w:rPr>
        <w:t>בעניין עריכה ושינויים במסמכי פסיקה, חקיקה ועוד באתר נבו – הקש כאן</w:t>
      </w:r>
    </w:p>
    <w:p w14:paraId="2ACBCCD4" w14:textId="77777777" w:rsidR="006F34EF" w:rsidRPr="00FD57B0" w:rsidRDefault="006F34EF" w:rsidP="00FD57B0">
      <w:pPr>
        <w:jc w:val="center"/>
        <w:rPr>
          <w:color w:val="0000FF"/>
          <w:u w:val="single"/>
        </w:rPr>
      </w:pPr>
    </w:p>
    <w:sectPr w:rsidR="006F34EF" w:rsidRPr="00FD57B0" w:rsidSect="00FD57B0">
      <w:headerReference w:type="even" r:id="rId24"/>
      <w:headerReference w:type="default" r:id="rId25"/>
      <w:footerReference w:type="even" r:id="rId26"/>
      <w:footerReference w:type="default" r:id="rId27"/>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FA2BF" w14:textId="77777777" w:rsidR="00016E69" w:rsidRPr="00B35084" w:rsidRDefault="00016E69">
      <w:pPr>
        <w:rPr>
          <w:rFonts w:cs="Arial"/>
          <w:szCs w:val="20"/>
        </w:rPr>
      </w:pPr>
      <w:r>
        <w:separator/>
      </w:r>
    </w:p>
  </w:endnote>
  <w:endnote w:type="continuationSeparator" w:id="0">
    <w:p w14:paraId="0B307E6C" w14:textId="77777777" w:rsidR="00016E69" w:rsidRPr="00B35084" w:rsidRDefault="00016E69">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7C21A" w14:textId="77777777" w:rsidR="00FD57B0" w:rsidRDefault="00FD57B0" w:rsidP="00FD57B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11</w:t>
    </w:r>
    <w:r>
      <w:rPr>
        <w:rFonts w:ascii="FrankRuehl" w:hAnsi="FrankRuehl" w:cs="FrankRuehl"/>
        <w:rtl/>
      </w:rPr>
      <w:fldChar w:fldCharType="end"/>
    </w:r>
  </w:p>
  <w:p w14:paraId="40CE53CF" w14:textId="77777777" w:rsidR="006F34EF" w:rsidRPr="00FD57B0" w:rsidRDefault="00FD57B0" w:rsidP="00FD57B0">
    <w:pPr>
      <w:pStyle w:val="Footer"/>
      <w:pBdr>
        <w:top w:val="single" w:sz="4" w:space="1" w:color="auto"/>
        <w:between w:val="single" w:sz="4" w:space="0" w:color="auto"/>
      </w:pBdr>
      <w:spacing w:after="60"/>
      <w:jc w:val="center"/>
      <w:rPr>
        <w:rFonts w:ascii="FrankRuehl" w:hAnsi="FrankRuehl" w:cs="FrankRuehl"/>
        <w:color w:val="000000"/>
      </w:rPr>
    </w:pPr>
    <w:r w:rsidRPr="00FD57B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FD97D" w14:textId="77777777" w:rsidR="00FD57B0" w:rsidRDefault="00FD57B0" w:rsidP="00FD57B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50599">
      <w:rPr>
        <w:rFonts w:ascii="FrankRuehl" w:hAnsi="FrankRuehl" w:cs="FrankRuehl"/>
        <w:noProof/>
        <w:rtl/>
      </w:rPr>
      <w:t>1</w:t>
    </w:r>
    <w:r>
      <w:rPr>
        <w:rFonts w:ascii="FrankRuehl" w:hAnsi="FrankRuehl" w:cs="FrankRuehl"/>
        <w:rtl/>
      </w:rPr>
      <w:fldChar w:fldCharType="end"/>
    </w:r>
  </w:p>
  <w:p w14:paraId="69A749CE" w14:textId="77777777" w:rsidR="006F34EF" w:rsidRPr="00FD57B0" w:rsidRDefault="00FD57B0" w:rsidP="00FD57B0">
    <w:pPr>
      <w:pStyle w:val="Footer"/>
      <w:pBdr>
        <w:top w:val="single" w:sz="4" w:space="1" w:color="auto"/>
        <w:between w:val="single" w:sz="4" w:space="0" w:color="auto"/>
      </w:pBdr>
      <w:spacing w:after="60"/>
      <w:jc w:val="center"/>
      <w:rPr>
        <w:rFonts w:ascii="FrankRuehl" w:hAnsi="FrankRuehl" w:cs="FrankRuehl"/>
        <w:color w:val="000000"/>
      </w:rPr>
    </w:pPr>
    <w:r w:rsidRPr="00FD57B0">
      <w:rPr>
        <w:rFonts w:ascii="FrankRuehl" w:hAnsi="FrankRuehl" w:cs="FrankRuehl"/>
        <w:color w:val="000000"/>
      </w:rPr>
      <w:pict w14:anchorId="3020A7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DB2FC" w14:textId="77777777" w:rsidR="00016E69" w:rsidRPr="00B35084" w:rsidRDefault="00016E69">
      <w:pPr>
        <w:rPr>
          <w:rFonts w:cs="Arial"/>
          <w:szCs w:val="20"/>
        </w:rPr>
      </w:pPr>
      <w:r>
        <w:separator/>
      </w:r>
    </w:p>
  </w:footnote>
  <w:footnote w:type="continuationSeparator" w:id="0">
    <w:p w14:paraId="6003834D" w14:textId="77777777" w:rsidR="00016E69" w:rsidRPr="00B35084" w:rsidRDefault="00016E69">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2ABB0" w14:textId="77777777" w:rsidR="00FD57B0" w:rsidRPr="00FD57B0" w:rsidRDefault="00FD57B0" w:rsidP="00FD57B0">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(י-ם) 1280-07-10</w:t>
    </w:r>
    <w:r>
      <w:rPr>
        <w:color w:val="000000"/>
        <w:sz w:val="22"/>
        <w:szCs w:val="22"/>
        <w:rtl/>
      </w:rPr>
      <w:tab/>
      <w:t xml:space="preserve"> מדינת ישראל נ' משה יעקובזון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9E481" w14:textId="77777777" w:rsidR="00FD57B0" w:rsidRPr="00FD57B0" w:rsidRDefault="00FD57B0" w:rsidP="00FD57B0">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(י-ם) 1280-07-10</w:t>
    </w:r>
    <w:r>
      <w:rPr>
        <w:color w:val="000000"/>
        <w:sz w:val="22"/>
        <w:szCs w:val="22"/>
        <w:rtl/>
      </w:rPr>
      <w:tab/>
      <w:t xml:space="preserve"> מדינת ישראל נ' משה יעקובזון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F34EF"/>
    <w:rsid w:val="00016E69"/>
    <w:rsid w:val="0035174A"/>
    <w:rsid w:val="0067539A"/>
    <w:rsid w:val="006F34EF"/>
    <w:rsid w:val="00950599"/>
    <w:rsid w:val="00C8473F"/>
    <w:rsid w:val="00DE10C5"/>
    <w:rsid w:val="00EB3075"/>
    <w:rsid w:val="00FD41FF"/>
    <w:rsid w:val="00FD57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1E927C5"/>
  <w15:chartTrackingRefBased/>
  <w15:docId w15:val="{AC42451F-3942-41D7-9285-8B3908BB5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34EF"/>
    <w:pPr>
      <w:bidi/>
    </w:pPr>
    <w:rPr>
      <w:rFonts w:ascii="David" w:eastAsia="David" w:hAnsi="David"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F34EF"/>
    <w:pPr>
      <w:tabs>
        <w:tab w:val="center" w:pos="4153"/>
        <w:tab w:val="right" w:pos="8306"/>
      </w:tabs>
    </w:pPr>
  </w:style>
  <w:style w:type="paragraph" w:styleId="Footer">
    <w:name w:val="footer"/>
    <w:basedOn w:val="Normal"/>
    <w:rsid w:val="006F34EF"/>
    <w:pPr>
      <w:tabs>
        <w:tab w:val="center" w:pos="4153"/>
        <w:tab w:val="right" w:pos="8306"/>
      </w:tabs>
    </w:pPr>
  </w:style>
  <w:style w:type="table" w:styleId="TableGrid">
    <w:name w:val="Table Grid"/>
    <w:basedOn w:val="TableNormal"/>
    <w:rsid w:val="006F34EF"/>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6F34EF"/>
  </w:style>
  <w:style w:type="paragraph" w:customStyle="1" w:styleId="12">
    <w:name w:val="רגיל + ‏12 נק'"/>
    <w:aliases w:val="מיושר לשני הצדדים,מרווח בין שורות:  שורה וחצי"/>
    <w:basedOn w:val="Normal"/>
    <w:rsid w:val="006F34EF"/>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Normal"/>
    <w:rsid w:val="006F34EF"/>
    <w:pPr>
      <w:spacing w:line="360" w:lineRule="auto"/>
      <w:jc w:val="both"/>
    </w:pPr>
    <w:rPr>
      <w:rFonts w:ascii="Times New Roman" w:eastAsia="Times New Roman" w:hAnsi="Times New Roman"/>
    </w:rPr>
  </w:style>
  <w:style w:type="character" w:styleId="LineNumber">
    <w:name w:val="line number"/>
    <w:basedOn w:val="DefaultParagraphFont"/>
    <w:rsid w:val="006F34EF"/>
  </w:style>
  <w:style w:type="character" w:styleId="Hyperlink">
    <w:name w:val="Hyperlink"/>
    <w:basedOn w:val="DefaultParagraphFont"/>
    <w:rsid w:val="00FD57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5.a.1" TargetMode="External"/><Relationship Id="rId13" Type="http://schemas.openxmlformats.org/officeDocument/2006/relationships/hyperlink" Target="http://www.nevo.co.il/law/70301/345.b.1" TargetMode="External"/><Relationship Id="rId18" Type="http://schemas.openxmlformats.org/officeDocument/2006/relationships/hyperlink" Target="http://www.nevo.co.il/law/70301/348.b"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law/70301" TargetMode="External"/><Relationship Id="rId7" Type="http://schemas.openxmlformats.org/officeDocument/2006/relationships/hyperlink" Target="http://www.nevo.co.il/law/70301/275" TargetMode="External"/><Relationship Id="rId12" Type="http://schemas.openxmlformats.org/officeDocument/2006/relationships/hyperlink" Target="http://www.nevo.co.il/law/70301/348.b" TargetMode="External"/><Relationship Id="rId17" Type="http://schemas.openxmlformats.org/officeDocument/2006/relationships/hyperlink" Target="http://www.nevo.co.il/law/70301/275"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70301/348.c1" TargetMode="External"/><Relationship Id="rId20" Type="http://schemas.openxmlformats.org/officeDocument/2006/relationships/hyperlink" Target="http://www.nevo.co.il/law/70301/345.a.1"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8.c1"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275" TargetMode="External"/><Relationship Id="rId28" Type="http://schemas.openxmlformats.org/officeDocument/2006/relationships/fontTable" Target="fontTable.xml"/><Relationship Id="rId10" Type="http://schemas.openxmlformats.org/officeDocument/2006/relationships/hyperlink" Target="http://www.nevo.co.il/law/70301/348.b" TargetMode="External"/><Relationship Id="rId19" Type="http://schemas.openxmlformats.org/officeDocument/2006/relationships/hyperlink" Target="http://www.nevo.co.il/law/70301/345.b.1" TargetMode="External"/><Relationship Id="rId4" Type="http://schemas.openxmlformats.org/officeDocument/2006/relationships/footnotes" Target="footnotes.xml"/><Relationship Id="rId9" Type="http://schemas.openxmlformats.org/officeDocument/2006/relationships/hyperlink" Target="http://www.nevo.co.il/law/70301/345.b.1" TargetMode="External"/><Relationship Id="rId14" Type="http://schemas.openxmlformats.org/officeDocument/2006/relationships/hyperlink" Target="http://www.nevo.co.il/law/70301/345.a.1" TargetMode="External"/><Relationship Id="rId22" Type="http://schemas.openxmlformats.org/officeDocument/2006/relationships/hyperlink" Target="http://www.nevo.co.il/law/70301/348.c1"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5000</CharactersWithSpaces>
  <SharedDoc>false</SharedDoc>
  <HLinks>
    <vt:vector size="108" baseType="variant">
      <vt:variant>
        <vt:i4>6422631</vt:i4>
      </vt:variant>
      <vt:variant>
        <vt:i4>51</vt:i4>
      </vt:variant>
      <vt:variant>
        <vt:i4>0</vt:i4>
      </vt:variant>
      <vt:variant>
        <vt:i4>5</vt:i4>
      </vt:variant>
      <vt:variant>
        <vt:lpwstr>http://www.nevo.co.il/law/70301/275</vt:lpwstr>
      </vt:variant>
      <vt:variant>
        <vt:lpwstr/>
      </vt:variant>
      <vt:variant>
        <vt:i4>8257597</vt:i4>
      </vt:variant>
      <vt:variant>
        <vt:i4>48</vt:i4>
      </vt:variant>
      <vt:variant>
        <vt:i4>0</vt:i4>
      </vt:variant>
      <vt:variant>
        <vt:i4>5</vt:i4>
      </vt:variant>
      <vt:variant>
        <vt:lpwstr>http://www.nevo.co.il/law/70301/348.c1</vt:lpwstr>
      </vt:variant>
      <vt:variant>
        <vt:lpwstr/>
      </vt:variant>
      <vt:variant>
        <vt:i4>7995492</vt:i4>
      </vt:variant>
      <vt:variant>
        <vt:i4>45</vt:i4>
      </vt:variant>
      <vt:variant>
        <vt:i4>0</vt:i4>
      </vt:variant>
      <vt:variant>
        <vt:i4>5</vt:i4>
      </vt:variant>
      <vt:variant>
        <vt:lpwstr>http://www.nevo.co.il/law/70301</vt:lpwstr>
      </vt:variant>
      <vt:variant>
        <vt:lpwstr/>
      </vt:variant>
      <vt:variant>
        <vt:i4>6357042</vt:i4>
      </vt:variant>
      <vt:variant>
        <vt:i4>42</vt:i4>
      </vt:variant>
      <vt:variant>
        <vt:i4>0</vt:i4>
      </vt:variant>
      <vt:variant>
        <vt:i4>5</vt:i4>
      </vt:variant>
      <vt:variant>
        <vt:lpwstr>http://www.nevo.co.il/law/70301/345.a.1</vt:lpwstr>
      </vt:variant>
      <vt:variant>
        <vt:lpwstr/>
      </vt:variant>
      <vt:variant>
        <vt:i4>6357041</vt:i4>
      </vt:variant>
      <vt:variant>
        <vt:i4>39</vt:i4>
      </vt:variant>
      <vt:variant>
        <vt:i4>0</vt:i4>
      </vt:variant>
      <vt:variant>
        <vt:i4>5</vt:i4>
      </vt:variant>
      <vt:variant>
        <vt:lpwstr>http://www.nevo.co.il/law/70301/345.b.1</vt:lpwstr>
      </vt:variant>
      <vt:variant>
        <vt:lpwstr/>
      </vt:variant>
      <vt:variant>
        <vt:i4>5177438</vt:i4>
      </vt:variant>
      <vt:variant>
        <vt:i4>36</vt:i4>
      </vt:variant>
      <vt:variant>
        <vt:i4>0</vt:i4>
      </vt:variant>
      <vt:variant>
        <vt:i4>5</vt:i4>
      </vt:variant>
      <vt:variant>
        <vt:lpwstr>http://www.nevo.co.il/law/70301/348.b</vt:lpwstr>
      </vt:variant>
      <vt:variant>
        <vt:lpwstr/>
      </vt:variant>
      <vt:variant>
        <vt:i4>6422631</vt:i4>
      </vt:variant>
      <vt:variant>
        <vt:i4>33</vt:i4>
      </vt:variant>
      <vt:variant>
        <vt:i4>0</vt:i4>
      </vt:variant>
      <vt:variant>
        <vt:i4>5</vt:i4>
      </vt:variant>
      <vt:variant>
        <vt:lpwstr>http://www.nevo.co.il/law/70301/275</vt:lpwstr>
      </vt:variant>
      <vt:variant>
        <vt:lpwstr/>
      </vt:variant>
      <vt:variant>
        <vt:i4>8257597</vt:i4>
      </vt:variant>
      <vt:variant>
        <vt:i4>30</vt:i4>
      </vt:variant>
      <vt:variant>
        <vt:i4>0</vt:i4>
      </vt:variant>
      <vt:variant>
        <vt:i4>5</vt:i4>
      </vt:variant>
      <vt:variant>
        <vt:lpwstr>http://www.nevo.co.il/law/70301/348.c1</vt:lpwstr>
      </vt:variant>
      <vt:variant>
        <vt:lpwstr/>
      </vt:variant>
      <vt:variant>
        <vt:i4>7995492</vt:i4>
      </vt:variant>
      <vt:variant>
        <vt:i4>27</vt:i4>
      </vt:variant>
      <vt:variant>
        <vt:i4>0</vt:i4>
      </vt:variant>
      <vt:variant>
        <vt:i4>5</vt:i4>
      </vt:variant>
      <vt:variant>
        <vt:lpwstr>http://www.nevo.co.il/law/70301</vt:lpwstr>
      </vt:variant>
      <vt:variant>
        <vt:lpwstr/>
      </vt:variant>
      <vt:variant>
        <vt:i4>6357042</vt:i4>
      </vt:variant>
      <vt:variant>
        <vt:i4>24</vt:i4>
      </vt:variant>
      <vt:variant>
        <vt:i4>0</vt:i4>
      </vt:variant>
      <vt:variant>
        <vt:i4>5</vt:i4>
      </vt:variant>
      <vt:variant>
        <vt:lpwstr>http://www.nevo.co.il/law/70301/345.a.1</vt:lpwstr>
      </vt:variant>
      <vt:variant>
        <vt:lpwstr/>
      </vt:variant>
      <vt:variant>
        <vt:i4>6357041</vt:i4>
      </vt:variant>
      <vt:variant>
        <vt:i4>21</vt:i4>
      </vt:variant>
      <vt:variant>
        <vt:i4>0</vt:i4>
      </vt:variant>
      <vt:variant>
        <vt:i4>5</vt:i4>
      </vt:variant>
      <vt:variant>
        <vt:lpwstr>http://www.nevo.co.il/law/70301/345.b.1</vt:lpwstr>
      </vt:variant>
      <vt:variant>
        <vt:lpwstr/>
      </vt:variant>
      <vt:variant>
        <vt:i4>5177438</vt:i4>
      </vt:variant>
      <vt:variant>
        <vt:i4>18</vt:i4>
      </vt:variant>
      <vt:variant>
        <vt:i4>0</vt:i4>
      </vt:variant>
      <vt:variant>
        <vt:i4>5</vt:i4>
      </vt:variant>
      <vt:variant>
        <vt:lpwstr>http://www.nevo.co.il/law/70301/348.b</vt:lpwstr>
      </vt:variant>
      <vt:variant>
        <vt:lpwstr/>
      </vt:variant>
      <vt:variant>
        <vt:i4>8257597</vt:i4>
      </vt:variant>
      <vt:variant>
        <vt:i4>15</vt:i4>
      </vt:variant>
      <vt:variant>
        <vt:i4>0</vt:i4>
      </vt:variant>
      <vt:variant>
        <vt:i4>5</vt:i4>
      </vt:variant>
      <vt:variant>
        <vt:lpwstr>http://www.nevo.co.il/law/70301/348.c1</vt:lpwstr>
      </vt:variant>
      <vt:variant>
        <vt:lpwstr/>
      </vt:variant>
      <vt:variant>
        <vt:i4>5177438</vt:i4>
      </vt:variant>
      <vt:variant>
        <vt:i4>12</vt:i4>
      </vt:variant>
      <vt:variant>
        <vt:i4>0</vt:i4>
      </vt:variant>
      <vt:variant>
        <vt:i4>5</vt:i4>
      </vt:variant>
      <vt:variant>
        <vt:lpwstr>http://www.nevo.co.il/law/70301/348.b</vt:lpwstr>
      </vt:variant>
      <vt:variant>
        <vt:lpwstr/>
      </vt:variant>
      <vt:variant>
        <vt:i4>6357041</vt:i4>
      </vt:variant>
      <vt:variant>
        <vt:i4>9</vt:i4>
      </vt:variant>
      <vt:variant>
        <vt:i4>0</vt:i4>
      </vt:variant>
      <vt:variant>
        <vt:i4>5</vt:i4>
      </vt:variant>
      <vt:variant>
        <vt:lpwstr>http://www.nevo.co.il/law/70301/345.b.1</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6422631</vt:i4>
      </vt:variant>
      <vt:variant>
        <vt:i4>3</vt:i4>
      </vt:variant>
      <vt:variant>
        <vt:i4>0</vt:i4>
      </vt:variant>
      <vt:variant>
        <vt:i4>5</vt:i4>
      </vt:variant>
      <vt:variant>
        <vt:lpwstr>http://www.nevo.co.il/law/70301/275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2022-05-24T09:49:00Z</dcterms:created>
  <dcterms:modified xsi:type="dcterms:W3CDTF">2022-05-24T09:49:00Z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1280</vt:lpwstr>
  </property>
  <property fmtid="{D5CDD505-2E9C-101B-9397-08002B2CF9AE}" pid="6" name="NEWPARTB">
    <vt:lpwstr>07</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משה יעקובזון</vt:lpwstr>
  </property>
  <property fmtid="{D5CDD505-2E9C-101B-9397-08002B2CF9AE}" pid="10" name="LAWYER">
    <vt:lpwstr>ג'ני גינזבורג מפרקליטות מחוז י ם;על פי המוסכם בהסדר, שני הצדדים לעונש מאסר כולל בשני התיקים של 30 חודשי מאסר בפועל, החל מיום מעצרו של 30;ובניכוי 5 ימים בהם היה</vt:lpwstr>
  </property>
  <property fmtid="{D5CDD505-2E9C-101B-9397-08002B2CF9AE}" pid="11" name="JUDGE">
    <vt:lpwstr>ים צבי סגל;משה דרורי ומשה יועד הכהן</vt:lpwstr>
  </property>
  <property fmtid="{D5CDD505-2E9C-101B-9397-08002B2CF9AE}" pid="12" name="CITY">
    <vt:lpwstr>י-ם</vt:lpwstr>
  </property>
  <property fmtid="{D5CDD505-2E9C-101B-9397-08002B2CF9AE}" pid="13" name="DATE">
    <vt:lpwstr>20110328</vt:lpwstr>
  </property>
  <property fmtid="{D5CDD505-2E9C-101B-9397-08002B2CF9AE}" pid="14" name="TYPE_N_DATE">
    <vt:lpwstr>39020110328</vt:lpwstr>
  </property>
  <property fmtid="{D5CDD505-2E9C-101B-9397-08002B2CF9AE}" pid="15" name="WORDNUMPAGES">
    <vt:lpwstr>3</vt:lpwstr>
  </property>
  <property fmtid="{D5CDD505-2E9C-101B-9397-08002B2CF9AE}" pid="16" name="TYPE_ABS_DATE">
    <vt:lpwstr>390020110328</vt:lpwstr>
  </property>
  <property fmtid="{D5CDD505-2E9C-101B-9397-08002B2CF9AE}" pid="17" name="RemarkFileName">
    <vt:lpwstr>mechozi me 10 07 1280 656 htm</vt:lpwstr>
  </property>
  <property fmtid="{D5CDD505-2E9C-101B-9397-08002B2CF9AE}" pid="18" name="CASENOTES1">
    <vt:lpwstr>ProcID=209&amp;PartA=9115&amp;PartC=08</vt:lpwstr>
  </property>
  <property fmtid="{D5CDD505-2E9C-101B-9397-08002B2CF9AE}" pid="19" name="LAWLISTTMP1">
    <vt:lpwstr>70301/348.b:2;345.b.1:2;345.a.1:2;348.c1:2;275:2</vt:lpwstr>
  </property>
</Properties>
</file>