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1B74FB" w:rsidRPr="001B74FB" w14:paraId="02B736A9" w14:textId="77777777">
        <w:trPr>
          <w:trHeight w:hRule="exact" w:val="418"/>
          <w:jc w:val="center"/>
        </w:trPr>
        <w:tc>
          <w:tcPr>
            <w:tcW w:w="8721" w:type="dxa"/>
            <w:gridSpan w:val="2"/>
          </w:tcPr>
          <w:p w14:paraId="4D243FFA" w14:textId="77777777" w:rsidR="001B74FB" w:rsidRPr="001B74FB" w:rsidRDefault="001B74FB" w:rsidP="001B74FB">
            <w:pPr>
              <w:pStyle w:val="Header"/>
              <w:jc w:val="center"/>
              <w:rPr>
                <w:rFonts w:ascii="Tahoma" w:hAnsi="Tahoma" w:cs="Tahoma"/>
                <w:color w:val="000080"/>
                <w:rtl/>
              </w:rPr>
            </w:pPr>
            <w:r w:rsidRPr="001B74FB">
              <w:rPr>
                <w:rFonts w:ascii="Tahoma" w:hAnsi="Tahoma" w:cs="Tahoma"/>
                <w:b/>
                <w:bCs/>
                <w:color w:val="000080"/>
                <w:rtl/>
              </w:rPr>
              <w:t>בית המשפט המחוזי בחיפה</w:t>
            </w:r>
          </w:p>
        </w:tc>
      </w:tr>
      <w:tr w:rsidR="001B74FB" w:rsidRPr="001B74FB" w14:paraId="0854E505" w14:textId="77777777">
        <w:trPr>
          <w:trHeight w:val="337"/>
          <w:jc w:val="center"/>
        </w:trPr>
        <w:tc>
          <w:tcPr>
            <w:tcW w:w="5047" w:type="dxa"/>
          </w:tcPr>
          <w:p w14:paraId="49B8A6E5" w14:textId="77777777" w:rsidR="001B74FB" w:rsidRPr="001B74FB" w:rsidRDefault="001B74FB" w:rsidP="001B74FB">
            <w:pPr>
              <w:pStyle w:val="Header"/>
              <w:rPr>
                <w:rFonts w:cs="FrankRuehl"/>
                <w:sz w:val="28"/>
                <w:szCs w:val="28"/>
                <w:rtl/>
              </w:rPr>
            </w:pPr>
          </w:p>
        </w:tc>
        <w:tc>
          <w:tcPr>
            <w:tcW w:w="3674" w:type="dxa"/>
          </w:tcPr>
          <w:p w14:paraId="4BE76D32" w14:textId="77777777" w:rsidR="001B74FB" w:rsidRPr="001B74FB" w:rsidRDefault="001B74FB" w:rsidP="001B74FB">
            <w:pPr>
              <w:pStyle w:val="Header"/>
              <w:jc w:val="right"/>
              <w:rPr>
                <w:rFonts w:cs="FrankRuehl"/>
                <w:sz w:val="28"/>
                <w:szCs w:val="28"/>
                <w:rtl/>
              </w:rPr>
            </w:pPr>
          </w:p>
        </w:tc>
      </w:tr>
      <w:tr w:rsidR="001B74FB" w:rsidRPr="001B74FB" w14:paraId="7C3F982C" w14:textId="77777777">
        <w:trPr>
          <w:trHeight w:val="337"/>
          <w:jc w:val="center"/>
        </w:trPr>
        <w:tc>
          <w:tcPr>
            <w:tcW w:w="8721" w:type="dxa"/>
            <w:gridSpan w:val="2"/>
          </w:tcPr>
          <w:p w14:paraId="3BE299BA" w14:textId="77777777" w:rsidR="001B74FB" w:rsidRPr="001B74FB" w:rsidRDefault="001B74FB" w:rsidP="001B74FB">
            <w:pPr>
              <w:rPr>
                <w:rFonts w:cs="FrankRuehl"/>
                <w:sz w:val="28"/>
                <w:szCs w:val="28"/>
                <w:rtl/>
              </w:rPr>
            </w:pPr>
            <w:r w:rsidRPr="001B74FB">
              <w:rPr>
                <w:rFonts w:cs="FrankRuehl"/>
                <w:sz w:val="28"/>
                <w:szCs w:val="28"/>
                <w:rtl/>
              </w:rPr>
              <w:t>תפ"ח</w:t>
            </w:r>
            <w:r w:rsidRPr="001B74FB">
              <w:rPr>
                <w:rFonts w:cs="FrankRuehl" w:hint="cs"/>
                <w:sz w:val="28"/>
                <w:szCs w:val="28"/>
                <w:rtl/>
              </w:rPr>
              <w:t xml:space="preserve"> </w:t>
            </w:r>
            <w:r w:rsidRPr="001B74FB">
              <w:rPr>
                <w:rFonts w:cs="FrankRuehl"/>
                <w:sz w:val="28"/>
                <w:szCs w:val="28"/>
                <w:rtl/>
              </w:rPr>
              <w:t>15656-08-10</w:t>
            </w:r>
            <w:r w:rsidRPr="001B74FB">
              <w:rPr>
                <w:rFonts w:cs="FrankRuehl" w:hint="cs"/>
                <w:sz w:val="28"/>
                <w:szCs w:val="28"/>
                <w:rtl/>
              </w:rPr>
              <w:t xml:space="preserve"> </w:t>
            </w:r>
            <w:r w:rsidRPr="001B74FB">
              <w:rPr>
                <w:rFonts w:cs="FrankRuehl"/>
                <w:sz w:val="28"/>
                <w:szCs w:val="28"/>
                <w:rtl/>
              </w:rPr>
              <w:t>מדינת ישראל נ' בכוראשוילי(עציר) ואח'</w:t>
            </w:r>
          </w:p>
          <w:p w14:paraId="7F305526" w14:textId="77777777" w:rsidR="001B74FB" w:rsidRPr="001B74FB" w:rsidRDefault="001B74FB" w:rsidP="001B74FB">
            <w:pPr>
              <w:pStyle w:val="Header"/>
              <w:rPr>
                <w:rtl/>
              </w:rPr>
            </w:pPr>
          </w:p>
        </w:tc>
      </w:tr>
    </w:tbl>
    <w:p w14:paraId="2EBDDC7A" w14:textId="77777777" w:rsidR="001B74FB" w:rsidRPr="001B74FB" w:rsidRDefault="001B74FB" w:rsidP="001B74FB">
      <w:pPr>
        <w:pStyle w:val="Header"/>
      </w:pPr>
      <w:r w:rsidRPr="001B74FB">
        <w:rPr>
          <w:rFonts w:hint="cs"/>
          <w:rtl/>
        </w:rPr>
        <w:t xml:space="preserve"> </w:t>
      </w:r>
    </w:p>
    <w:p w14:paraId="44BFFDFA" w14:textId="77777777" w:rsidR="001B74FB" w:rsidRPr="001B74FB" w:rsidRDefault="001B74FB">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4350"/>
        <w:gridCol w:w="3727"/>
      </w:tblGrid>
      <w:tr w:rsidR="001B74FB" w:rsidRPr="001B74FB" w14:paraId="6D4197AE" w14:textId="77777777">
        <w:trPr>
          <w:gridAfter w:val="1"/>
          <w:wAfter w:w="3727" w:type="dxa"/>
          <w:trHeight w:val="295"/>
          <w:jc w:val="center"/>
        </w:trPr>
        <w:tc>
          <w:tcPr>
            <w:tcW w:w="5093" w:type="dxa"/>
            <w:gridSpan w:val="2"/>
            <w:tcBorders>
              <w:top w:val="nil"/>
              <w:left w:val="nil"/>
              <w:bottom w:val="nil"/>
              <w:right w:val="nil"/>
            </w:tcBorders>
            <w:shd w:val="clear" w:color="auto" w:fill="auto"/>
          </w:tcPr>
          <w:p w14:paraId="147F2881" w14:textId="77777777" w:rsidR="001B74FB" w:rsidRPr="0014522B" w:rsidRDefault="001B74FB" w:rsidP="0014522B">
            <w:pPr>
              <w:spacing w:line="360" w:lineRule="auto"/>
              <w:jc w:val="right"/>
              <w:rPr>
                <w:rFonts w:ascii="Arial" w:hAnsi="Arial" w:cs="FrankRuehl"/>
                <w:sz w:val="28"/>
                <w:szCs w:val="28"/>
                <w:rtl/>
              </w:rPr>
            </w:pPr>
          </w:p>
        </w:tc>
      </w:tr>
      <w:tr w:rsidR="001B74FB" w:rsidRPr="001B74FB" w14:paraId="0BA56E45" w14:textId="77777777">
        <w:trPr>
          <w:trHeight w:val="295"/>
          <w:jc w:val="center"/>
        </w:trPr>
        <w:tc>
          <w:tcPr>
            <w:tcW w:w="743" w:type="dxa"/>
            <w:tcBorders>
              <w:top w:val="nil"/>
              <w:left w:val="nil"/>
              <w:bottom w:val="nil"/>
              <w:right w:val="nil"/>
            </w:tcBorders>
            <w:shd w:val="clear" w:color="auto" w:fill="auto"/>
          </w:tcPr>
          <w:p w14:paraId="0864DE9B" w14:textId="77777777" w:rsidR="001B74FB" w:rsidRPr="0014522B" w:rsidRDefault="001B74FB" w:rsidP="0014522B">
            <w:pPr>
              <w:spacing w:line="360" w:lineRule="auto"/>
              <w:jc w:val="both"/>
              <w:rPr>
                <w:rFonts w:ascii="Arial" w:hAnsi="Arial"/>
                <w:b/>
                <w:bCs/>
              </w:rPr>
            </w:pPr>
            <w:r w:rsidRPr="0014522B">
              <w:rPr>
                <w:rFonts w:ascii="Arial" w:hAnsi="Arial"/>
                <w:b/>
                <w:bCs/>
                <w:rtl/>
              </w:rPr>
              <w:t xml:space="preserve">בפני </w:t>
            </w:r>
          </w:p>
        </w:tc>
        <w:tc>
          <w:tcPr>
            <w:tcW w:w="8077" w:type="dxa"/>
            <w:gridSpan w:val="2"/>
            <w:tcBorders>
              <w:top w:val="nil"/>
              <w:left w:val="nil"/>
              <w:bottom w:val="nil"/>
              <w:right w:val="nil"/>
            </w:tcBorders>
            <w:shd w:val="clear" w:color="auto" w:fill="auto"/>
          </w:tcPr>
          <w:p w14:paraId="20BCA578" w14:textId="77777777" w:rsidR="001B74FB" w:rsidRPr="0014522B" w:rsidRDefault="001B74FB" w:rsidP="0014522B">
            <w:pPr>
              <w:spacing w:line="360" w:lineRule="auto"/>
              <w:rPr>
                <w:rFonts w:ascii="Arial" w:hAnsi="Arial"/>
                <w:b/>
                <w:bCs/>
                <w:rtl/>
              </w:rPr>
            </w:pPr>
            <w:r w:rsidRPr="0014522B">
              <w:rPr>
                <w:rFonts w:ascii="Arial" w:hAnsi="Arial" w:hint="cs"/>
                <w:b/>
                <w:bCs/>
                <w:rtl/>
              </w:rPr>
              <w:t>הרכב כב' השופטים:</w:t>
            </w:r>
          </w:p>
          <w:p w14:paraId="0024B92D" w14:textId="77777777" w:rsidR="001B74FB" w:rsidRPr="0014522B" w:rsidRDefault="001B74FB" w:rsidP="0014522B">
            <w:pPr>
              <w:spacing w:line="360" w:lineRule="auto"/>
              <w:rPr>
                <w:rFonts w:ascii="Arial" w:hAnsi="Arial"/>
                <w:b/>
                <w:bCs/>
                <w:rtl/>
              </w:rPr>
            </w:pPr>
            <w:r w:rsidRPr="0014522B">
              <w:rPr>
                <w:rFonts w:ascii="Arial" w:hAnsi="Arial" w:hint="cs"/>
                <w:b/>
                <w:bCs/>
                <w:rtl/>
              </w:rPr>
              <w:t xml:space="preserve">י' </w:t>
            </w:r>
            <w:r w:rsidRPr="0014522B">
              <w:rPr>
                <w:rFonts w:ascii="Arial" w:hAnsi="Arial"/>
                <w:b/>
                <w:bCs/>
                <w:rtl/>
              </w:rPr>
              <w:t xml:space="preserve">אלרון </w:t>
            </w:r>
            <w:r w:rsidRPr="0014522B">
              <w:rPr>
                <w:rFonts w:ascii="Arial" w:hAnsi="Arial" w:hint="cs"/>
                <w:b/>
                <w:bCs/>
                <w:rtl/>
              </w:rPr>
              <w:t xml:space="preserve"> [אב"ד]</w:t>
            </w:r>
          </w:p>
          <w:p w14:paraId="1BE098E4" w14:textId="77777777" w:rsidR="001B74FB" w:rsidRPr="0014522B" w:rsidRDefault="001B74FB" w:rsidP="0014522B">
            <w:pPr>
              <w:spacing w:line="360" w:lineRule="auto"/>
              <w:rPr>
                <w:rFonts w:ascii="Arial" w:hAnsi="Arial"/>
                <w:b/>
                <w:bCs/>
                <w:highlight w:val="yellow"/>
              </w:rPr>
            </w:pPr>
            <w:r w:rsidRPr="0014522B">
              <w:rPr>
                <w:rFonts w:ascii="Arial" w:hAnsi="Arial" w:hint="cs"/>
                <w:b/>
                <w:bCs/>
                <w:rtl/>
              </w:rPr>
              <w:t xml:space="preserve">מ' </w:t>
            </w:r>
            <w:r w:rsidRPr="0014522B">
              <w:rPr>
                <w:rFonts w:ascii="Arial" w:hAnsi="Arial"/>
                <w:b/>
                <w:bCs/>
                <w:rtl/>
              </w:rPr>
              <w:t>גלעד</w:t>
            </w:r>
          </w:p>
          <w:p w14:paraId="12561662" w14:textId="77777777" w:rsidR="001B74FB" w:rsidRPr="0014522B" w:rsidRDefault="001B74FB" w:rsidP="0014522B">
            <w:pPr>
              <w:spacing w:line="360" w:lineRule="auto"/>
              <w:rPr>
                <w:rFonts w:ascii="Arial" w:hAnsi="Arial"/>
                <w:b/>
                <w:bCs/>
                <w:highlight w:val="yellow"/>
              </w:rPr>
            </w:pPr>
            <w:r w:rsidRPr="0014522B">
              <w:rPr>
                <w:rFonts w:ascii="Arial" w:hAnsi="Arial" w:hint="cs"/>
                <w:b/>
                <w:bCs/>
                <w:rtl/>
              </w:rPr>
              <w:t xml:space="preserve">א' </w:t>
            </w:r>
            <w:r w:rsidRPr="0014522B">
              <w:rPr>
                <w:rFonts w:ascii="Arial" w:hAnsi="Arial"/>
                <w:b/>
                <w:bCs/>
                <w:rtl/>
              </w:rPr>
              <w:t>אליקים</w:t>
            </w:r>
          </w:p>
        </w:tc>
      </w:tr>
    </w:tbl>
    <w:p w14:paraId="6483F72D" w14:textId="77777777" w:rsidR="00C17DCE" w:rsidRPr="001B74FB" w:rsidRDefault="00C17DCE">
      <w:pPr>
        <w:spacing w:line="360" w:lineRule="auto"/>
        <w:rPr>
          <w:rtl/>
        </w:rPr>
      </w:pPr>
      <w:bookmarkStart w:id="0" w:name="LastJudge"/>
      <w:bookmarkEnd w:id="0"/>
    </w:p>
    <w:p w14:paraId="35AE5656" w14:textId="77777777" w:rsidR="001B74FB" w:rsidRPr="001B74FB" w:rsidRDefault="001B74FB">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3"/>
        <w:gridCol w:w="4219"/>
        <w:gridCol w:w="3708"/>
      </w:tblGrid>
      <w:tr w:rsidR="001B74FB" w:rsidRPr="001B74FB" w14:paraId="08A8DA45" w14:textId="77777777">
        <w:trPr>
          <w:trHeight w:val="355"/>
          <w:jc w:val="center"/>
        </w:trPr>
        <w:tc>
          <w:tcPr>
            <w:tcW w:w="893" w:type="dxa"/>
            <w:tcBorders>
              <w:top w:val="nil"/>
              <w:left w:val="nil"/>
              <w:bottom w:val="nil"/>
              <w:right w:val="nil"/>
            </w:tcBorders>
            <w:shd w:val="clear" w:color="auto" w:fill="auto"/>
          </w:tcPr>
          <w:p w14:paraId="7C32E4AD" w14:textId="77777777" w:rsidR="001B74FB" w:rsidRPr="0014522B" w:rsidRDefault="001B74FB" w:rsidP="0014522B">
            <w:pPr>
              <w:spacing w:line="360" w:lineRule="auto"/>
              <w:jc w:val="both"/>
              <w:rPr>
                <w:rFonts w:ascii="Arial" w:hAnsi="Arial" w:cs="FrankRuehl"/>
                <w:b/>
                <w:bCs/>
                <w:sz w:val="28"/>
                <w:szCs w:val="28"/>
                <w:rtl/>
              </w:rPr>
            </w:pPr>
            <w:bookmarkStart w:id="1" w:name="FirstAppellant"/>
          </w:p>
          <w:p w14:paraId="477BACF8" w14:textId="77777777" w:rsidR="001B74FB" w:rsidRPr="0014522B" w:rsidRDefault="001B74FB" w:rsidP="0014522B">
            <w:pPr>
              <w:spacing w:line="360" w:lineRule="auto"/>
              <w:jc w:val="both"/>
              <w:rPr>
                <w:rFonts w:ascii="Arial" w:hAnsi="Arial"/>
                <w:b/>
                <w:bCs/>
                <w:sz w:val="28"/>
                <w:szCs w:val="28"/>
              </w:rPr>
            </w:pPr>
            <w:r w:rsidRPr="0014522B">
              <w:rPr>
                <w:rFonts w:ascii="Arial" w:hAnsi="Arial"/>
                <w:b/>
                <w:bCs/>
                <w:sz w:val="26"/>
                <w:szCs w:val="26"/>
                <w:rtl/>
              </w:rPr>
              <w:t>בעניין:</w:t>
            </w:r>
          </w:p>
        </w:tc>
        <w:tc>
          <w:tcPr>
            <w:tcW w:w="4219" w:type="dxa"/>
            <w:tcBorders>
              <w:top w:val="nil"/>
              <w:left w:val="nil"/>
              <w:bottom w:val="nil"/>
              <w:right w:val="nil"/>
            </w:tcBorders>
            <w:shd w:val="clear" w:color="auto" w:fill="auto"/>
          </w:tcPr>
          <w:p w14:paraId="6EA78420" w14:textId="77777777" w:rsidR="001B74FB" w:rsidRPr="0014522B" w:rsidRDefault="001B74FB" w:rsidP="0014522B">
            <w:pPr>
              <w:spacing w:line="360" w:lineRule="auto"/>
              <w:jc w:val="both"/>
              <w:rPr>
                <w:rFonts w:ascii="Arial" w:hAnsi="Arial"/>
                <w:b/>
                <w:bCs/>
                <w:sz w:val="26"/>
                <w:szCs w:val="26"/>
                <w:rtl/>
              </w:rPr>
            </w:pPr>
          </w:p>
          <w:p w14:paraId="2B84BE41" w14:textId="77777777" w:rsidR="001B74FB" w:rsidRPr="0014522B" w:rsidRDefault="001B74FB" w:rsidP="0014522B">
            <w:pPr>
              <w:spacing w:line="360" w:lineRule="auto"/>
              <w:jc w:val="both"/>
              <w:rPr>
                <w:rFonts w:ascii="Arial" w:hAnsi="Arial"/>
                <w:b/>
                <w:bCs/>
                <w:sz w:val="26"/>
                <w:szCs w:val="26"/>
              </w:rPr>
            </w:pPr>
            <w:r w:rsidRPr="0014522B">
              <w:rPr>
                <w:rFonts w:ascii="Arial" w:hAnsi="Arial"/>
                <w:b/>
                <w:bCs/>
                <w:sz w:val="26"/>
                <w:szCs w:val="26"/>
                <w:rtl/>
              </w:rPr>
              <w:t>מדינת ישראל</w:t>
            </w:r>
          </w:p>
        </w:tc>
        <w:tc>
          <w:tcPr>
            <w:tcW w:w="3708" w:type="dxa"/>
            <w:tcBorders>
              <w:top w:val="nil"/>
              <w:left w:val="nil"/>
              <w:bottom w:val="nil"/>
              <w:right w:val="nil"/>
            </w:tcBorders>
            <w:shd w:val="clear" w:color="auto" w:fill="auto"/>
          </w:tcPr>
          <w:p w14:paraId="1E839C8E" w14:textId="77777777" w:rsidR="001B74FB" w:rsidRPr="0014522B" w:rsidRDefault="001B74FB" w:rsidP="0014522B">
            <w:pPr>
              <w:spacing w:line="360" w:lineRule="auto"/>
              <w:jc w:val="both"/>
              <w:rPr>
                <w:rFonts w:ascii="Arial" w:hAnsi="Arial"/>
                <w:b/>
                <w:bCs/>
                <w:sz w:val="26"/>
                <w:szCs w:val="26"/>
                <w:rtl/>
              </w:rPr>
            </w:pPr>
          </w:p>
          <w:p w14:paraId="3A19BE5D" w14:textId="77777777" w:rsidR="001B74FB" w:rsidRPr="0014522B" w:rsidRDefault="001B74FB" w:rsidP="0014522B">
            <w:pPr>
              <w:spacing w:line="360" w:lineRule="auto"/>
              <w:jc w:val="both"/>
              <w:rPr>
                <w:rFonts w:ascii="Arial" w:hAnsi="Arial"/>
                <w:b/>
                <w:bCs/>
                <w:sz w:val="26"/>
                <w:szCs w:val="26"/>
              </w:rPr>
            </w:pPr>
            <w:r w:rsidRPr="0014522B">
              <w:rPr>
                <w:rFonts w:ascii="Arial" w:hAnsi="Arial" w:hint="cs"/>
                <w:b/>
                <w:bCs/>
                <w:sz w:val="26"/>
                <w:szCs w:val="26"/>
                <w:rtl/>
              </w:rPr>
              <w:t>המאשימה</w:t>
            </w:r>
          </w:p>
        </w:tc>
      </w:tr>
      <w:bookmarkEnd w:id="1"/>
      <w:tr w:rsidR="001B74FB" w:rsidRPr="001B74FB" w14:paraId="419C8896" w14:textId="77777777">
        <w:trPr>
          <w:trHeight w:val="355"/>
          <w:jc w:val="center"/>
        </w:trPr>
        <w:tc>
          <w:tcPr>
            <w:tcW w:w="893" w:type="dxa"/>
            <w:tcBorders>
              <w:top w:val="nil"/>
              <w:left w:val="nil"/>
              <w:bottom w:val="nil"/>
              <w:right w:val="nil"/>
            </w:tcBorders>
            <w:shd w:val="clear" w:color="auto" w:fill="auto"/>
          </w:tcPr>
          <w:p w14:paraId="50CA2C6F" w14:textId="77777777" w:rsidR="001B74FB" w:rsidRPr="0014522B" w:rsidRDefault="001B74FB" w:rsidP="0014522B">
            <w:pPr>
              <w:spacing w:line="360" w:lineRule="auto"/>
              <w:jc w:val="both"/>
              <w:rPr>
                <w:rFonts w:ascii="Arial" w:hAnsi="Arial" w:cs="FrankRuehl"/>
                <w:b/>
                <w:bCs/>
                <w:sz w:val="28"/>
                <w:szCs w:val="28"/>
                <w:rtl/>
              </w:rPr>
            </w:pPr>
          </w:p>
        </w:tc>
        <w:tc>
          <w:tcPr>
            <w:tcW w:w="7927" w:type="dxa"/>
            <w:gridSpan w:val="2"/>
            <w:tcBorders>
              <w:top w:val="nil"/>
              <w:left w:val="nil"/>
              <w:bottom w:val="nil"/>
              <w:right w:val="nil"/>
            </w:tcBorders>
            <w:shd w:val="clear" w:color="auto" w:fill="auto"/>
          </w:tcPr>
          <w:p w14:paraId="77176DF8" w14:textId="77777777" w:rsidR="001B74FB" w:rsidRPr="0014522B" w:rsidRDefault="001B74FB" w:rsidP="0014522B">
            <w:pPr>
              <w:spacing w:line="360" w:lineRule="auto"/>
              <w:jc w:val="center"/>
              <w:rPr>
                <w:rFonts w:ascii="Arial" w:hAnsi="Arial"/>
                <w:b/>
                <w:bCs/>
                <w:sz w:val="26"/>
                <w:szCs w:val="26"/>
                <w:rtl/>
              </w:rPr>
            </w:pPr>
          </w:p>
          <w:p w14:paraId="58E2C684" w14:textId="77777777" w:rsidR="001B74FB" w:rsidRPr="0014522B" w:rsidRDefault="001B74FB" w:rsidP="0014522B">
            <w:pPr>
              <w:spacing w:line="360" w:lineRule="auto"/>
              <w:jc w:val="center"/>
              <w:rPr>
                <w:rFonts w:ascii="Arial" w:hAnsi="Arial"/>
                <w:b/>
                <w:bCs/>
                <w:sz w:val="26"/>
                <w:szCs w:val="26"/>
                <w:rtl/>
              </w:rPr>
            </w:pPr>
            <w:r w:rsidRPr="0014522B">
              <w:rPr>
                <w:rFonts w:ascii="Arial" w:hAnsi="Arial"/>
                <w:b/>
                <w:bCs/>
                <w:sz w:val="26"/>
                <w:szCs w:val="26"/>
                <w:rtl/>
              </w:rPr>
              <w:t>נגד</w:t>
            </w:r>
          </w:p>
          <w:p w14:paraId="0EE6A6E0" w14:textId="77777777" w:rsidR="001B74FB" w:rsidRPr="0014522B" w:rsidRDefault="001B74FB" w:rsidP="0014522B">
            <w:pPr>
              <w:spacing w:line="360" w:lineRule="auto"/>
              <w:jc w:val="both"/>
              <w:rPr>
                <w:rFonts w:ascii="Arial" w:hAnsi="Arial"/>
                <w:b/>
                <w:bCs/>
                <w:sz w:val="26"/>
                <w:szCs w:val="26"/>
              </w:rPr>
            </w:pPr>
          </w:p>
        </w:tc>
      </w:tr>
      <w:tr w:rsidR="001B74FB" w:rsidRPr="001B74FB" w14:paraId="029A32CC" w14:textId="77777777">
        <w:trPr>
          <w:trHeight w:val="355"/>
          <w:jc w:val="center"/>
        </w:trPr>
        <w:tc>
          <w:tcPr>
            <w:tcW w:w="893" w:type="dxa"/>
            <w:tcBorders>
              <w:top w:val="nil"/>
              <w:left w:val="nil"/>
              <w:bottom w:val="nil"/>
              <w:right w:val="nil"/>
            </w:tcBorders>
            <w:shd w:val="clear" w:color="auto" w:fill="auto"/>
          </w:tcPr>
          <w:p w14:paraId="2D30B896" w14:textId="77777777" w:rsidR="001B74FB" w:rsidRPr="0014522B" w:rsidRDefault="001B74FB" w:rsidP="0014522B">
            <w:pPr>
              <w:spacing w:line="360" w:lineRule="auto"/>
              <w:jc w:val="both"/>
              <w:rPr>
                <w:rFonts w:ascii="Arial" w:hAnsi="Arial" w:cs="FrankRuehl"/>
                <w:b/>
                <w:bCs/>
                <w:sz w:val="28"/>
                <w:szCs w:val="28"/>
                <w:rtl/>
              </w:rPr>
            </w:pPr>
          </w:p>
        </w:tc>
        <w:tc>
          <w:tcPr>
            <w:tcW w:w="4219" w:type="dxa"/>
            <w:tcBorders>
              <w:top w:val="nil"/>
              <w:left w:val="nil"/>
              <w:bottom w:val="nil"/>
              <w:right w:val="nil"/>
            </w:tcBorders>
            <w:shd w:val="clear" w:color="auto" w:fill="auto"/>
          </w:tcPr>
          <w:p w14:paraId="41262104" w14:textId="77777777" w:rsidR="001B74FB" w:rsidRPr="0014522B" w:rsidRDefault="001B74FB" w:rsidP="0014522B">
            <w:pPr>
              <w:spacing w:line="360" w:lineRule="auto"/>
              <w:jc w:val="both"/>
              <w:rPr>
                <w:b/>
                <w:bCs/>
                <w:sz w:val="26"/>
                <w:szCs w:val="26"/>
                <w:rtl/>
              </w:rPr>
            </w:pPr>
            <w:r w:rsidRPr="0014522B">
              <w:rPr>
                <w:rFonts w:ascii="Arial" w:hAnsi="Arial"/>
                <w:b/>
                <w:bCs/>
                <w:sz w:val="26"/>
                <w:szCs w:val="26"/>
                <w:rtl/>
              </w:rPr>
              <w:t>1.זור בכוראשוילי (עציר)</w:t>
            </w:r>
          </w:p>
          <w:p w14:paraId="6ECD7E14" w14:textId="77777777" w:rsidR="001B74FB" w:rsidRPr="0014522B" w:rsidRDefault="001B74FB" w:rsidP="0014522B">
            <w:pPr>
              <w:spacing w:line="360" w:lineRule="auto"/>
              <w:jc w:val="both"/>
              <w:rPr>
                <w:b/>
                <w:bCs/>
                <w:sz w:val="26"/>
                <w:szCs w:val="26"/>
                <w:rtl/>
              </w:rPr>
            </w:pPr>
            <w:r w:rsidRPr="0014522B">
              <w:rPr>
                <w:rFonts w:ascii="Arial" w:hAnsi="Arial"/>
                <w:b/>
                <w:bCs/>
                <w:sz w:val="26"/>
                <w:szCs w:val="26"/>
                <w:rtl/>
              </w:rPr>
              <w:t>2.ודים גיאסוב (עציר)</w:t>
            </w:r>
          </w:p>
        </w:tc>
        <w:tc>
          <w:tcPr>
            <w:tcW w:w="3708" w:type="dxa"/>
            <w:tcBorders>
              <w:top w:val="nil"/>
              <w:left w:val="nil"/>
              <w:bottom w:val="nil"/>
              <w:right w:val="nil"/>
            </w:tcBorders>
            <w:shd w:val="clear" w:color="auto" w:fill="auto"/>
          </w:tcPr>
          <w:p w14:paraId="5C6AA71F" w14:textId="77777777" w:rsidR="001B74FB" w:rsidRPr="0014522B" w:rsidRDefault="001B74FB" w:rsidP="0014522B">
            <w:pPr>
              <w:spacing w:line="360" w:lineRule="auto"/>
              <w:rPr>
                <w:rFonts w:ascii="Arial" w:hAnsi="Arial"/>
                <w:b/>
                <w:bCs/>
                <w:sz w:val="26"/>
                <w:szCs w:val="26"/>
              </w:rPr>
            </w:pPr>
            <w:r w:rsidRPr="0014522B">
              <w:rPr>
                <w:rFonts w:ascii="Arial" w:hAnsi="Arial" w:hint="cs"/>
                <w:b/>
                <w:bCs/>
                <w:sz w:val="26"/>
                <w:szCs w:val="26"/>
                <w:rtl/>
              </w:rPr>
              <w:t>הנאשמים</w:t>
            </w:r>
          </w:p>
        </w:tc>
      </w:tr>
    </w:tbl>
    <w:p w14:paraId="709B6A1D" w14:textId="77777777" w:rsidR="00C97BA3" w:rsidRDefault="00C97BA3">
      <w:pPr>
        <w:spacing w:line="360" w:lineRule="auto"/>
        <w:rPr>
          <w:rtl/>
        </w:rPr>
      </w:pPr>
      <w:bookmarkStart w:id="2" w:name="LawTable"/>
      <w:bookmarkEnd w:id="2"/>
    </w:p>
    <w:p w14:paraId="1542C89C" w14:textId="77777777" w:rsidR="00C97BA3" w:rsidRPr="00C97BA3" w:rsidRDefault="00C97BA3" w:rsidP="00C97BA3">
      <w:pPr>
        <w:spacing w:after="120" w:line="240" w:lineRule="exact"/>
        <w:ind w:left="283" w:hanging="283"/>
        <w:jc w:val="both"/>
        <w:rPr>
          <w:rFonts w:ascii="FrankRuehl" w:hAnsi="FrankRuehl" w:cs="FrankRuehl"/>
          <w:rtl/>
        </w:rPr>
      </w:pPr>
    </w:p>
    <w:p w14:paraId="3E16CCA2" w14:textId="77777777" w:rsidR="00C97BA3" w:rsidRPr="00C97BA3" w:rsidRDefault="00C97BA3" w:rsidP="00C97BA3">
      <w:pPr>
        <w:spacing w:after="120" w:line="240" w:lineRule="exact"/>
        <w:ind w:left="283" w:hanging="283"/>
        <w:jc w:val="both"/>
        <w:rPr>
          <w:rFonts w:ascii="FrankRuehl" w:hAnsi="FrankRuehl" w:cs="FrankRuehl"/>
          <w:rtl/>
        </w:rPr>
      </w:pPr>
      <w:r w:rsidRPr="00C97BA3">
        <w:rPr>
          <w:rFonts w:ascii="FrankRuehl" w:hAnsi="FrankRuehl" w:cs="FrankRuehl" w:hint="eastAsia"/>
          <w:rtl/>
        </w:rPr>
        <w:t>חקיקה</w:t>
      </w:r>
      <w:r w:rsidRPr="00C97BA3">
        <w:rPr>
          <w:rFonts w:ascii="FrankRuehl" w:hAnsi="FrankRuehl" w:cs="FrankRuehl"/>
          <w:rtl/>
        </w:rPr>
        <w:t xml:space="preserve"> </w:t>
      </w:r>
      <w:r w:rsidRPr="00C97BA3">
        <w:rPr>
          <w:rFonts w:ascii="FrankRuehl" w:hAnsi="FrankRuehl" w:cs="FrankRuehl" w:hint="eastAsia"/>
          <w:rtl/>
        </w:rPr>
        <w:t>שאוזכרה</w:t>
      </w:r>
      <w:r w:rsidRPr="00C97BA3">
        <w:rPr>
          <w:rFonts w:ascii="FrankRuehl" w:hAnsi="FrankRuehl" w:cs="FrankRuehl"/>
          <w:rtl/>
        </w:rPr>
        <w:t xml:space="preserve">: </w:t>
      </w:r>
    </w:p>
    <w:p w14:paraId="0BB53307" w14:textId="77777777" w:rsidR="00C97BA3" w:rsidRPr="00C97BA3" w:rsidRDefault="00C97BA3" w:rsidP="00C97BA3">
      <w:pPr>
        <w:spacing w:after="120" w:line="240" w:lineRule="exact"/>
        <w:ind w:left="283" w:hanging="283"/>
        <w:jc w:val="both"/>
        <w:rPr>
          <w:rFonts w:ascii="FrankRuehl" w:hAnsi="FrankRuehl" w:cs="FrankRuehl"/>
          <w:color w:val="0000FF"/>
          <w:u w:val="single"/>
          <w:rtl/>
        </w:rPr>
      </w:pPr>
      <w:hyperlink r:id="rId8" w:history="1">
        <w:r w:rsidRPr="00C97BA3">
          <w:rPr>
            <w:rStyle w:val="Hyperlink"/>
            <w:rFonts w:ascii="FrankRuehl" w:hAnsi="FrankRuehl" w:cs="FrankRuehl" w:hint="eastAsia"/>
            <w:rtl/>
          </w:rPr>
          <w:t>חוק</w:t>
        </w:r>
        <w:r w:rsidRPr="00C97BA3">
          <w:rPr>
            <w:rStyle w:val="Hyperlink"/>
            <w:rFonts w:ascii="FrankRuehl" w:hAnsi="FrankRuehl" w:cs="FrankRuehl"/>
            <w:rtl/>
          </w:rPr>
          <w:t xml:space="preserve"> </w:t>
        </w:r>
        <w:r w:rsidRPr="00C97BA3">
          <w:rPr>
            <w:rStyle w:val="Hyperlink"/>
            <w:rFonts w:ascii="FrankRuehl" w:hAnsi="FrankRuehl" w:cs="FrankRuehl" w:hint="eastAsia"/>
            <w:rtl/>
          </w:rPr>
          <w:t>העונשין</w:t>
        </w:r>
        <w:r w:rsidRPr="00C97BA3">
          <w:rPr>
            <w:rStyle w:val="Hyperlink"/>
            <w:rFonts w:ascii="FrankRuehl" w:hAnsi="FrankRuehl" w:cs="FrankRuehl"/>
            <w:rtl/>
          </w:rPr>
          <w:t xml:space="preserve">, </w:t>
        </w:r>
        <w:r w:rsidRPr="00C97BA3">
          <w:rPr>
            <w:rStyle w:val="Hyperlink"/>
            <w:rFonts w:ascii="FrankRuehl" w:hAnsi="FrankRuehl" w:cs="FrankRuehl" w:hint="eastAsia"/>
            <w:rtl/>
          </w:rPr>
          <w:t>תשל</w:t>
        </w:r>
        <w:r w:rsidRPr="00C97BA3">
          <w:rPr>
            <w:rStyle w:val="Hyperlink"/>
            <w:rFonts w:ascii="FrankRuehl" w:hAnsi="FrankRuehl" w:cs="FrankRuehl"/>
            <w:rtl/>
          </w:rPr>
          <w:t>"</w:t>
        </w:r>
        <w:r w:rsidRPr="00C97BA3">
          <w:rPr>
            <w:rStyle w:val="Hyperlink"/>
            <w:rFonts w:ascii="FrankRuehl" w:hAnsi="FrankRuehl" w:cs="FrankRuehl" w:hint="eastAsia"/>
            <w:rtl/>
          </w:rPr>
          <w:t>ז</w:t>
        </w:r>
        <w:r w:rsidRPr="00C97BA3">
          <w:rPr>
            <w:rStyle w:val="Hyperlink"/>
            <w:rFonts w:ascii="FrankRuehl" w:hAnsi="FrankRuehl" w:cs="FrankRuehl"/>
            <w:rtl/>
          </w:rPr>
          <w:t>-1977</w:t>
        </w:r>
      </w:hyperlink>
      <w:r w:rsidRPr="00C97BA3">
        <w:rPr>
          <w:rFonts w:ascii="FrankRuehl" w:hAnsi="FrankRuehl" w:cs="FrankRuehl"/>
          <w:color w:val="0000FF"/>
          <w:u w:val="single"/>
          <w:rtl/>
        </w:rPr>
        <w:t xml:space="preserve">: </w:t>
      </w:r>
      <w:r w:rsidRPr="00C97BA3">
        <w:rPr>
          <w:rFonts w:ascii="FrankRuehl" w:hAnsi="FrankRuehl" w:cs="FrankRuehl" w:hint="eastAsia"/>
          <w:color w:val="0000FF"/>
          <w:u w:val="single"/>
          <w:rtl/>
        </w:rPr>
        <w:t>סע</w:t>
      </w:r>
      <w:r w:rsidRPr="00C97BA3">
        <w:rPr>
          <w:rFonts w:ascii="FrankRuehl" w:hAnsi="FrankRuehl" w:cs="FrankRuehl"/>
          <w:color w:val="0000FF"/>
          <w:u w:val="single"/>
          <w:rtl/>
        </w:rPr>
        <w:t xml:space="preserve">'  </w:t>
      </w:r>
      <w:hyperlink r:id="rId9" w:history="1">
        <w:r w:rsidRPr="00C97BA3">
          <w:rPr>
            <w:rStyle w:val="Hyperlink"/>
            <w:rFonts w:ascii="FrankRuehl" w:hAnsi="FrankRuehl" w:cs="FrankRuehl"/>
          </w:rPr>
          <w:t>29</w:t>
        </w:r>
      </w:hyperlink>
      <w:r w:rsidRPr="00C97BA3">
        <w:rPr>
          <w:rFonts w:ascii="FrankRuehl" w:hAnsi="FrankRuehl" w:cs="FrankRuehl"/>
          <w:color w:val="0000FF"/>
          <w:u w:val="single"/>
          <w:rtl/>
        </w:rPr>
        <w:t xml:space="preserve">, </w:t>
      </w:r>
      <w:hyperlink r:id="rId10" w:history="1">
        <w:r w:rsidRPr="00C97BA3">
          <w:rPr>
            <w:rStyle w:val="Hyperlink"/>
            <w:rFonts w:ascii="FrankRuehl" w:hAnsi="FrankRuehl" w:cs="FrankRuehl"/>
          </w:rPr>
          <w:t>329(</w:t>
        </w:r>
        <w:r w:rsidRPr="00C97BA3">
          <w:rPr>
            <w:rStyle w:val="Hyperlink"/>
            <w:rFonts w:ascii="FrankRuehl" w:hAnsi="FrankRuehl" w:cs="FrankRuehl" w:hint="eastAsia"/>
            <w:rtl/>
          </w:rPr>
          <w:t>א</w:t>
        </w:r>
        <w:r w:rsidRPr="00C97BA3">
          <w:rPr>
            <w:rStyle w:val="Hyperlink"/>
            <w:rFonts w:ascii="FrankRuehl" w:hAnsi="FrankRuehl" w:cs="FrankRuehl"/>
            <w:rtl/>
          </w:rPr>
          <w:t>)(1</w:t>
        </w:r>
        <w:r w:rsidRPr="00C97BA3">
          <w:rPr>
            <w:rStyle w:val="Hyperlink"/>
            <w:rFonts w:ascii="FrankRuehl" w:hAnsi="FrankRuehl" w:cs="FrankRuehl"/>
          </w:rPr>
          <w:t>)</w:t>
        </w:r>
      </w:hyperlink>
      <w:r w:rsidRPr="00C97BA3">
        <w:rPr>
          <w:rFonts w:ascii="FrankRuehl" w:hAnsi="FrankRuehl" w:cs="FrankRuehl"/>
          <w:color w:val="0000FF"/>
          <w:u w:val="single"/>
          <w:rtl/>
        </w:rPr>
        <w:t xml:space="preserve">, </w:t>
      </w:r>
      <w:hyperlink r:id="rId11" w:history="1">
        <w:r w:rsidRPr="00C97BA3">
          <w:rPr>
            <w:rStyle w:val="Hyperlink"/>
            <w:rFonts w:ascii="FrankRuehl" w:hAnsi="FrankRuehl" w:cs="FrankRuehl"/>
          </w:rPr>
          <w:t>345(</w:t>
        </w:r>
        <w:r w:rsidRPr="00C97BA3">
          <w:rPr>
            <w:rStyle w:val="Hyperlink"/>
            <w:rFonts w:ascii="FrankRuehl" w:hAnsi="FrankRuehl" w:cs="FrankRuehl" w:hint="eastAsia"/>
            <w:rtl/>
          </w:rPr>
          <w:t>א</w:t>
        </w:r>
        <w:r w:rsidRPr="00C97BA3">
          <w:rPr>
            <w:rStyle w:val="Hyperlink"/>
            <w:rFonts w:ascii="FrankRuehl" w:hAnsi="FrankRuehl" w:cs="FrankRuehl"/>
            <w:rtl/>
          </w:rPr>
          <w:t>)(1</w:t>
        </w:r>
        <w:r w:rsidRPr="00C97BA3">
          <w:rPr>
            <w:rStyle w:val="Hyperlink"/>
            <w:rFonts w:ascii="FrankRuehl" w:hAnsi="FrankRuehl" w:cs="FrankRuehl"/>
          </w:rPr>
          <w:t>)</w:t>
        </w:r>
      </w:hyperlink>
      <w:r w:rsidRPr="00C97BA3">
        <w:rPr>
          <w:rFonts w:ascii="FrankRuehl" w:hAnsi="FrankRuehl" w:cs="FrankRuehl"/>
          <w:color w:val="0000FF"/>
          <w:u w:val="single"/>
          <w:rtl/>
        </w:rPr>
        <w:t xml:space="preserve">, </w:t>
      </w:r>
      <w:hyperlink r:id="rId12" w:history="1">
        <w:r w:rsidRPr="00C97BA3">
          <w:rPr>
            <w:rStyle w:val="Hyperlink"/>
            <w:rFonts w:ascii="FrankRuehl" w:hAnsi="FrankRuehl" w:cs="FrankRuehl"/>
          </w:rPr>
          <w:t>(4)</w:t>
        </w:r>
      </w:hyperlink>
      <w:r w:rsidRPr="00C97BA3">
        <w:rPr>
          <w:rFonts w:ascii="FrankRuehl" w:hAnsi="FrankRuehl" w:cs="FrankRuehl"/>
          <w:color w:val="0000FF"/>
          <w:u w:val="single"/>
          <w:rtl/>
        </w:rPr>
        <w:t xml:space="preserve">, </w:t>
      </w:r>
      <w:hyperlink r:id="rId13" w:history="1">
        <w:r w:rsidRPr="00C97BA3">
          <w:rPr>
            <w:rStyle w:val="Hyperlink"/>
            <w:rFonts w:ascii="FrankRuehl" w:hAnsi="FrankRuehl" w:cs="FrankRuehl"/>
          </w:rPr>
          <w:t>345(</w:t>
        </w:r>
        <w:r w:rsidRPr="00C97BA3">
          <w:rPr>
            <w:rStyle w:val="Hyperlink"/>
            <w:rFonts w:ascii="FrankRuehl" w:hAnsi="FrankRuehl" w:cs="FrankRuehl" w:hint="eastAsia"/>
            <w:rtl/>
          </w:rPr>
          <w:t>ב</w:t>
        </w:r>
        <w:r w:rsidRPr="00C97BA3">
          <w:rPr>
            <w:rStyle w:val="Hyperlink"/>
            <w:rFonts w:ascii="FrankRuehl" w:hAnsi="FrankRuehl" w:cs="FrankRuehl"/>
            <w:rtl/>
          </w:rPr>
          <w:t>)(3</w:t>
        </w:r>
        <w:r w:rsidRPr="00C97BA3">
          <w:rPr>
            <w:rStyle w:val="Hyperlink"/>
            <w:rFonts w:ascii="FrankRuehl" w:hAnsi="FrankRuehl" w:cs="FrankRuehl"/>
          </w:rPr>
          <w:t>)</w:t>
        </w:r>
      </w:hyperlink>
      <w:r w:rsidRPr="00C97BA3">
        <w:rPr>
          <w:rFonts w:ascii="FrankRuehl" w:hAnsi="FrankRuehl" w:cs="FrankRuehl"/>
          <w:color w:val="0000FF"/>
          <w:u w:val="single"/>
          <w:rtl/>
        </w:rPr>
        <w:t xml:space="preserve">, </w:t>
      </w:r>
      <w:hyperlink r:id="rId14" w:history="1">
        <w:r w:rsidRPr="00C97BA3">
          <w:rPr>
            <w:rStyle w:val="Hyperlink"/>
            <w:rFonts w:ascii="FrankRuehl" w:hAnsi="FrankRuehl" w:cs="FrankRuehl"/>
          </w:rPr>
          <w:t>345(</w:t>
        </w:r>
        <w:r w:rsidRPr="00C97BA3">
          <w:rPr>
            <w:rStyle w:val="Hyperlink"/>
            <w:rFonts w:ascii="FrankRuehl" w:hAnsi="FrankRuehl" w:cs="FrankRuehl" w:hint="eastAsia"/>
            <w:rtl/>
          </w:rPr>
          <w:t>ב</w:t>
        </w:r>
        <w:r w:rsidRPr="00C97BA3">
          <w:rPr>
            <w:rStyle w:val="Hyperlink"/>
            <w:rFonts w:ascii="FrankRuehl" w:hAnsi="FrankRuehl" w:cs="FrankRuehl"/>
            <w:rtl/>
          </w:rPr>
          <w:t>)(3)(4)(5</w:t>
        </w:r>
        <w:r w:rsidRPr="00C97BA3">
          <w:rPr>
            <w:rStyle w:val="Hyperlink"/>
            <w:rFonts w:ascii="FrankRuehl" w:hAnsi="FrankRuehl" w:cs="FrankRuehl"/>
          </w:rPr>
          <w:t>)</w:t>
        </w:r>
      </w:hyperlink>
      <w:r w:rsidRPr="00C97BA3">
        <w:rPr>
          <w:rFonts w:ascii="FrankRuehl" w:hAnsi="FrankRuehl" w:cs="FrankRuehl"/>
          <w:color w:val="0000FF"/>
          <w:u w:val="single"/>
          <w:rtl/>
        </w:rPr>
        <w:t xml:space="preserve">, </w:t>
      </w:r>
      <w:hyperlink r:id="rId15" w:history="1">
        <w:r w:rsidRPr="00C97BA3">
          <w:rPr>
            <w:rStyle w:val="Hyperlink"/>
            <w:rFonts w:ascii="FrankRuehl" w:hAnsi="FrankRuehl" w:cs="FrankRuehl"/>
          </w:rPr>
          <w:t>(4)</w:t>
        </w:r>
      </w:hyperlink>
      <w:r w:rsidRPr="00C97BA3">
        <w:rPr>
          <w:rFonts w:ascii="FrankRuehl" w:hAnsi="FrankRuehl" w:cs="FrankRuehl"/>
          <w:color w:val="0000FF"/>
          <w:u w:val="single"/>
          <w:rtl/>
        </w:rPr>
        <w:t xml:space="preserve">, </w:t>
      </w:r>
      <w:hyperlink r:id="rId16" w:history="1">
        <w:r w:rsidRPr="00C97BA3">
          <w:rPr>
            <w:rStyle w:val="Hyperlink"/>
            <w:rFonts w:ascii="FrankRuehl" w:hAnsi="FrankRuehl" w:cs="FrankRuehl"/>
          </w:rPr>
          <w:t>(5)</w:t>
        </w:r>
      </w:hyperlink>
      <w:r w:rsidRPr="00C97BA3">
        <w:rPr>
          <w:rFonts w:ascii="FrankRuehl" w:hAnsi="FrankRuehl" w:cs="FrankRuehl"/>
          <w:color w:val="0000FF"/>
          <w:u w:val="single"/>
          <w:rtl/>
        </w:rPr>
        <w:t xml:space="preserve">, </w:t>
      </w:r>
      <w:hyperlink r:id="rId17" w:history="1">
        <w:r w:rsidRPr="00C97BA3">
          <w:rPr>
            <w:rStyle w:val="Hyperlink"/>
            <w:rFonts w:ascii="FrankRuehl" w:hAnsi="FrankRuehl" w:cs="FrankRuehl"/>
          </w:rPr>
          <w:t>348(</w:t>
        </w:r>
        <w:r w:rsidRPr="00C97BA3">
          <w:rPr>
            <w:rStyle w:val="Hyperlink"/>
            <w:rFonts w:ascii="FrankRuehl" w:hAnsi="FrankRuehl" w:cs="FrankRuehl" w:hint="eastAsia"/>
            <w:rtl/>
          </w:rPr>
          <w:t>ב</w:t>
        </w:r>
        <w:r w:rsidRPr="00C97BA3">
          <w:rPr>
            <w:rStyle w:val="Hyperlink"/>
            <w:rFonts w:ascii="FrankRuehl" w:hAnsi="FrankRuehl" w:cs="FrankRuehl"/>
          </w:rPr>
          <w:t>)</w:t>
        </w:r>
      </w:hyperlink>
      <w:r w:rsidRPr="00C97BA3">
        <w:rPr>
          <w:rFonts w:ascii="FrankRuehl" w:hAnsi="FrankRuehl" w:cs="FrankRuehl"/>
          <w:color w:val="0000FF"/>
          <w:u w:val="single"/>
          <w:rtl/>
        </w:rPr>
        <w:t xml:space="preserve">, </w:t>
      </w:r>
      <w:hyperlink r:id="rId18" w:history="1">
        <w:r w:rsidRPr="00C97BA3">
          <w:rPr>
            <w:rStyle w:val="Hyperlink"/>
            <w:rFonts w:ascii="FrankRuehl" w:hAnsi="FrankRuehl" w:cs="FrankRuehl"/>
          </w:rPr>
          <w:t>34</w:t>
        </w:r>
        <w:r w:rsidRPr="00C97BA3">
          <w:rPr>
            <w:rStyle w:val="Hyperlink"/>
            <w:rFonts w:ascii="FrankRuehl" w:hAnsi="FrankRuehl" w:cs="FrankRuehl" w:hint="eastAsia"/>
            <w:rtl/>
          </w:rPr>
          <w:t>כד</w:t>
        </w:r>
        <w:r w:rsidRPr="00C97BA3">
          <w:rPr>
            <w:rStyle w:val="Hyperlink"/>
            <w:rFonts w:ascii="FrankRuehl" w:hAnsi="FrankRuehl" w:cs="FrankRuehl"/>
          </w:rPr>
          <w:t>'</w:t>
        </w:r>
      </w:hyperlink>
      <w:r w:rsidRPr="00C97BA3">
        <w:rPr>
          <w:rFonts w:ascii="FrankRuehl" w:hAnsi="FrankRuehl" w:cs="FrankRuehl"/>
          <w:color w:val="0000FF"/>
          <w:u w:val="single"/>
          <w:rtl/>
        </w:rPr>
        <w:t xml:space="preserve">, </w:t>
      </w:r>
      <w:hyperlink r:id="rId19" w:history="1">
        <w:r w:rsidRPr="00C97BA3">
          <w:rPr>
            <w:rStyle w:val="Hyperlink"/>
            <w:rFonts w:ascii="FrankRuehl" w:hAnsi="FrankRuehl" w:cs="FrankRuehl"/>
          </w:rPr>
          <w:t>402(</w:t>
        </w:r>
        <w:r w:rsidRPr="00C97BA3">
          <w:rPr>
            <w:rStyle w:val="Hyperlink"/>
            <w:rFonts w:ascii="FrankRuehl" w:hAnsi="FrankRuehl" w:cs="FrankRuehl" w:hint="eastAsia"/>
            <w:rtl/>
          </w:rPr>
          <w:t>ב</w:t>
        </w:r>
        <w:r w:rsidRPr="00C97BA3">
          <w:rPr>
            <w:rStyle w:val="Hyperlink"/>
            <w:rFonts w:ascii="FrankRuehl" w:hAnsi="FrankRuehl" w:cs="FrankRuehl"/>
          </w:rPr>
          <w:t>)</w:t>
        </w:r>
      </w:hyperlink>
      <w:r w:rsidRPr="00C97BA3">
        <w:rPr>
          <w:rFonts w:ascii="FrankRuehl" w:hAnsi="FrankRuehl" w:cs="FrankRuehl"/>
          <w:color w:val="0000FF"/>
          <w:u w:val="single"/>
          <w:rtl/>
        </w:rPr>
        <w:t xml:space="preserve">, </w:t>
      </w:r>
      <w:hyperlink r:id="rId20" w:history="1">
        <w:r w:rsidRPr="00C97BA3">
          <w:rPr>
            <w:rStyle w:val="Hyperlink"/>
            <w:rFonts w:ascii="FrankRuehl" w:hAnsi="FrankRuehl" w:cs="FrankRuehl"/>
          </w:rPr>
          <w:t>499(</w:t>
        </w:r>
        <w:r w:rsidRPr="00C97BA3">
          <w:rPr>
            <w:rStyle w:val="Hyperlink"/>
            <w:rFonts w:ascii="FrankRuehl" w:hAnsi="FrankRuehl" w:cs="FrankRuehl" w:hint="eastAsia"/>
            <w:rtl/>
          </w:rPr>
          <w:t>א</w:t>
        </w:r>
        <w:r w:rsidRPr="00C97BA3">
          <w:rPr>
            <w:rStyle w:val="Hyperlink"/>
            <w:rFonts w:ascii="FrankRuehl" w:hAnsi="FrankRuehl" w:cs="FrankRuehl"/>
            <w:rtl/>
          </w:rPr>
          <w:t>)(1</w:t>
        </w:r>
        <w:r w:rsidRPr="00C97BA3">
          <w:rPr>
            <w:rStyle w:val="Hyperlink"/>
            <w:rFonts w:ascii="FrankRuehl" w:hAnsi="FrankRuehl" w:cs="FrankRuehl"/>
          </w:rPr>
          <w:t>)</w:t>
        </w:r>
      </w:hyperlink>
    </w:p>
    <w:p w14:paraId="417354A8" w14:textId="77777777" w:rsidR="00C97BA3" w:rsidRPr="00C97BA3" w:rsidRDefault="00C97BA3" w:rsidP="00C97BA3">
      <w:pPr>
        <w:spacing w:after="120" w:line="240" w:lineRule="exact"/>
        <w:ind w:left="283" w:hanging="283"/>
        <w:jc w:val="both"/>
        <w:rPr>
          <w:rFonts w:ascii="FrankRuehl" w:hAnsi="FrankRuehl" w:cs="FrankRuehl"/>
          <w:color w:val="0000FF"/>
          <w:u w:val="single"/>
          <w:rtl/>
        </w:rPr>
      </w:pPr>
      <w:hyperlink r:id="rId21" w:history="1">
        <w:r w:rsidRPr="00C97BA3">
          <w:rPr>
            <w:rStyle w:val="Hyperlink"/>
            <w:rFonts w:ascii="FrankRuehl" w:hAnsi="FrankRuehl" w:cs="FrankRuehl" w:hint="eastAsia"/>
            <w:rtl/>
          </w:rPr>
          <w:t>חוק</w:t>
        </w:r>
        <w:r w:rsidRPr="00C97BA3">
          <w:rPr>
            <w:rStyle w:val="Hyperlink"/>
            <w:rFonts w:ascii="FrankRuehl" w:hAnsi="FrankRuehl" w:cs="FrankRuehl"/>
            <w:rtl/>
          </w:rPr>
          <w:t xml:space="preserve"> </w:t>
        </w:r>
        <w:r w:rsidRPr="00C97BA3">
          <w:rPr>
            <w:rStyle w:val="Hyperlink"/>
            <w:rFonts w:ascii="FrankRuehl" w:hAnsi="FrankRuehl" w:cs="FrankRuehl" w:hint="eastAsia"/>
            <w:rtl/>
          </w:rPr>
          <w:t>סדר</w:t>
        </w:r>
        <w:r w:rsidRPr="00C97BA3">
          <w:rPr>
            <w:rStyle w:val="Hyperlink"/>
            <w:rFonts w:ascii="FrankRuehl" w:hAnsi="FrankRuehl" w:cs="FrankRuehl"/>
            <w:rtl/>
          </w:rPr>
          <w:t xml:space="preserve"> </w:t>
        </w:r>
        <w:r w:rsidRPr="00C97BA3">
          <w:rPr>
            <w:rStyle w:val="Hyperlink"/>
            <w:rFonts w:ascii="FrankRuehl" w:hAnsi="FrankRuehl" w:cs="FrankRuehl" w:hint="eastAsia"/>
            <w:rtl/>
          </w:rPr>
          <w:t>הדין</w:t>
        </w:r>
        <w:r w:rsidRPr="00C97BA3">
          <w:rPr>
            <w:rStyle w:val="Hyperlink"/>
            <w:rFonts w:ascii="FrankRuehl" w:hAnsi="FrankRuehl" w:cs="FrankRuehl"/>
            <w:rtl/>
          </w:rPr>
          <w:t xml:space="preserve"> </w:t>
        </w:r>
        <w:r w:rsidRPr="00C97BA3">
          <w:rPr>
            <w:rStyle w:val="Hyperlink"/>
            <w:rFonts w:ascii="FrankRuehl" w:hAnsi="FrankRuehl" w:cs="FrankRuehl" w:hint="eastAsia"/>
            <w:rtl/>
          </w:rPr>
          <w:t>הפלילי</w:t>
        </w:r>
        <w:r w:rsidRPr="00C97BA3">
          <w:rPr>
            <w:rStyle w:val="Hyperlink"/>
            <w:rFonts w:ascii="FrankRuehl" w:hAnsi="FrankRuehl" w:cs="FrankRuehl"/>
            <w:rtl/>
          </w:rPr>
          <w:t xml:space="preserve"> [</w:t>
        </w:r>
        <w:r w:rsidRPr="00C97BA3">
          <w:rPr>
            <w:rStyle w:val="Hyperlink"/>
            <w:rFonts w:ascii="FrankRuehl" w:hAnsi="FrankRuehl" w:cs="FrankRuehl" w:hint="eastAsia"/>
            <w:rtl/>
          </w:rPr>
          <w:t>נוסח</w:t>
        </w:r>
        <w:r w:rsidRPr="00C97BA3">
          <w:rPr>
            <w:rStyle w:val="Hyperlink"/>
            <w:rFonts w:ascii="FrankRuehl" w:hAnsi="FrankRuehl" w:cs="FrankRuehl"/>
            <w:rtl/>
          </w:rPr>
          <w:t xml:space="preserve"> </w:t>
        </w:r>
        <w:r w:rsidRPr="00C97BA3">
          <w:rPr>
            <w:rStyle w:val="Hyperlink"/>
            <w:rFonts w:ascii="FrankRuehl" w:hAnsi="FrankRuehl" w:cs="FrankRuehl" w:hint="eastAsia"/>
            <w:rtl/>
          </w:rPr>
          <w:t>משולב</w:t>
        </w:r>
        <w:r w:rsidRPr="00C97BA3">
          <w:rPr>
            <w:rStyle w:val="Hyperlink"/>
            <w:rFonts w:ascii="FrankRuehl" w:hAnsi="FrankRuehl" w:cs="FrankRuehl"/>
            <w:rtl/>
          </w:rPr>
          <w:t xml:space="preserve">], </w:t>
        </w:r>
        <w:r w:rsidRPr="00C97BA3">
          <w:rPr>
            <w:rStyle w:val="Hyperlink"/>
            <w:rFonts w:ascii="FrankRuehl" w:hAnsi="FrankRuehl" w:cs="FrankRuehl" w:hint="eastAsia"/>
            <w:rtl/>
          </w:rPr>
          <w:t>תשמ</w:t>
        </w:r>
        <w:r w:rsidRPr="00C97BA3">
          <w:rPr>
            <w:rStyle w:val="Hyperlink"/>
            <w:rFonts w:ascii="FrankRuehl" w:hAnsi="FrankRuehl" w:cs="FrankRuehl"/>
            <w:rtl/>
          </w:rPr>
          <w:t>"</w:t>
        </w:r>
        <w:r w:rsidRPr="00C97BA3">
          <w:rPr>
            <w:rStyle w:val="Hyperlink"/>
            <w:rFonts w:ascii="FrankRuehl" w:hAnsi="FrankRuehl" w:cs="FrankRuehl" w:hint="eastAsia"/>
            <w:rtl/>
          </w:rPr>
          <w:t>ב</w:t>
        </w:r>
        <w:r w:rsidRPr="00C97BA3">
          <w:rPr>
            <w:rStyle w:val="Hyperlink"/>
            <w:rFonts w:ascii="FrankRuehl" w:hAnsi="FrankRuehl" w:cs="FrankRuehl"/>
            <w:rtl/>
          </w:rPr>
          <w:t>-1982</w:t>
        </w:r>
      </w:hyperlink>
      <w:r w:rsidRPr="00C97BA3">
        <w:rPr>
          <w:rFonts w:ascii="FrankRuehl" w:hAnsi="FrankRuehl" w:cs="FrankRuehl"/>
          <w:color w:val="0000FF"/>
          <w:u w:val="single"/>
          <w:rtl/>
        </w:rPr>
        <w:t xml:space="preserve">: </w:t>
      </w:r>
      <w:r w:rsidRPr="00C97BA3">
        <w:rPr>
          <w:rFonts w:ascii="FrankRuehl" w:hAnsi="FrankRuehl" w:cs="FrankRuehl" w:hint="eastAsia"/>
          <w:color w:val="0000FF"/>
          <w:u w:val="single"/>
          <w:rtl/>
        </w:rPr>
        <w:t>סע</w:t>
      </w:r>
      <w:r w:rsidRPr="00C97BA3">
        <w:rPr>
          <w:rFonts w:ascii="FrankRuehl" w:hAnsi="FrankRuehl" w:cs="FrankRuehl"/>
          <w:color w:val="0000FF"/>
          <w:u w:val="single"/>
          <w:rtl/>
        </w:rPr>
        <w:t xml:space="preserve">'  </w:t>
      </w:r>
      <w:hyperlink r:id="rId22" w:history="1">
        <w:r w:rsidRPr="00C97BA3">
          <w:rPr>
            <w:rStyle w:val="Hyperlink"/>
            <w:rFonts w:ascii="FrankRuehl" w:hAnsi="FrankRuehl" w:cs="FrankRuehl"/>
          </w:rPr>
          <w:t>143</w:t>
        </w:r>
        <w:r w:rsidRPr="00C97BA3">
          <w:rPr>
            <w:rStyle w:val="Hyperlink"/>
            <w:rFonts w:ascii="FrankRuehl" w:hAnsi="FrankRuehl" w:cs="FrankRuehl" w:hint="eastAsia"/>
            <w:rtl/>
          </w:rPr>
          <w:t>א</w:t>
        </w:r>
        <w:r w:rsidRPr="00C97BA3">
          <w:rPr>
            <w:rStyle w:val="Hyperlink"/>
            <w:rFonts w:ascii="FrankRuehl" w:hAnsi="FrankRuehl" w:cs="FrankRuehl"/>
            <w:rtl/>
          </w:rPr>
          <w:t xml:space="preserve"> (</w:t>
        </w:r>
        <w:r w:rsidRPr="00C97BA3">
          <w:rPr>
            <w:rStyle w:val="Hyperlink"/>
            <w:rFonts w:ascii="FrankRuehl" w:hAnsi="FrankRuehl" w:cs="FrankRuehl" w:hint="eastAsia"/>
            <w:rtl/>
          </w:rPr>
          <w:t>ב</w:t>
        </w:r>
        <w:r w:rsidRPr="00C97BA3">
          <w:rPr>
            <w:rStyle w:val="Hyperlink"/>
            <w:rFonts w:ascii="FrankRuehl" w:hAnsi="FrankRuehl" w:cs="FrankRuehl"/>
            <w:rtl/>
          </w:rPr>
          <w:t>)(1</w:t>
        </w:r>
        <w:r w:rsidRPr="00C97BA3">
          <w:rPr>
            <w:rStyle w:val="Hyperlink"/>
            <w:rFonts w:ascii="FrankRuehl" w:hAnsi="FrankRuehl" w:cs="FrankRuehl"/>
          </w:rPr>
          <w:t>)</w:t>
        </w:r>
      </w:hyperlink>
      <w:r w:rsidRPr="00C97BA3">
        <w:rPr>
          <w:rFonts w:ascii="FrankRuehl" w:hAnsi="FrankRuehl" w:cs="FrankRuehl"/>
          <w:color w:val="0000FF"/>
          <w:u w:val="single"/>
          <w:rtl/>
        </w:rPr>
        <w:t xml:space="preserve">, </w:t>
      </w:r>
      <w:hyperlink r:id="rId23" w:history="1">
        <w:r w:rsidRPr="00C97BA3">
          <w:rPr>
            <w:rStyle w:val="Hyperlink"/>
            <w:rFonts w:ascii="FrankRuehl" w:hAnsi="FrankRuehl" w:cs="FrankRuehl"/>
          </w:rPr>
          <w:t>144</w:t>
        </w:r>
      </w:hyperlink>
      <w:r w:rsidRPr="00C97BA3">
        <w:rPr>
          <w:rFonts w:ascii="FrankRuehl" w:hAnsi="FrankRuehl" w:cs="FrankRuehl"/>
          <w:color w:val="0000FF"/>
          <w:u w:val="single"/>
          <w:rtl/>
        </w:rPr>
        <w:t xml:space="preserve">, </w:t>
      </w:r>
      <w:hyperlink r:id="rId24" w:history="1">
        <w:r w:rsidRPr="00C97BA3">
          <w:rPr>
            <w:rStyle w:val="Hyperlink"/>
            <w:rFonts w:ascii="FrankRuehl" w:hAnsi="FrankRuehl" w:cs="FrankRuehl"/>
          </w:rPr>
          <w:t>184</w:t>
        </w:r>
      </w:hyperlink>
    </w:p>
    <w:p w14:paraId="008384F5" w14:textId="77777777" w:rsidR="00C97BA3" w:rsidRPr="00C97BA3" w:rsidRDefault="00C97BA3" w:rsidP="00C97BA3">
      <w:pPr>
        <w:spacing w:after="120" w:line="240" w:lineRule="exact"/>
        <w:ind w:left="283" w:hanging="283"/>
        <w:jc w:val="both"/>
        <w:rPr>
          <w:rFonts w:ascii="FrankRuehl" w:hAnsi="FrankRuehl" w:cs="FrankRuehl"/>
          <w:rtl/>
        </w:rPr>
      </w:pPr>
    </w:p>
    <w:p w14:paraId="509048E6" w14:textId="77777777" w:rsidR="00C97BA3" w:rsidRPr="00C97BA3" w:rsidRDefault="00C97BA3">
      <w:pPr>
        <w:spacing w:line="360" w:lineRule="auto"/>
        <w:rPr>
          <w:rtl/>
        </w:rPr>
      </w:pPr>
      <w:bookmarkStart w:id="3" w:name="LawTable_End"/>
      <w:bookmarkEnd w:id="3"/>
    </w:p>
    <w:p w14:paraId="4A498B9A" w14:textId="77777777" w:rsidR="00D447FF" w:rsidRPr="00D447FF" w:rsidRDefault="00D447FF">
      <w:pPr>
        <w:spacing w:line="360" w:lineRule="auto"/>
        <w:rPr>
          <w:rtl/>
        </w:rPr>
      </w:pPr>
    </w:p>
    <w:p w14:paraId="027D7568" w14:textId="77777777" w:rsidR="0014522B" w:rsidRPr="0014522B" w:rsidRDefault="0014522B">
      <w:pPr>
        <w:spacing w:line="360" w:lineRule="auto"/>
        <w:rPr>
          <w:rtl/>
        </w:rPr>
      </w:pPr>
      <w:r>
        <w:rPr>
          <w:rFonts w:hint="cs"/>
          <w:rtl/>
        </w:rPr>
        <w:t xml:space="preserve">   </w:t>
      </w:r>
    </w:p>
    <w:p w14:paraId="220DBDD2" w14:textId="77777777" w:rsidR="005644D6" w:rsidRPr="005644D6" w:rsidRDefault="005644D6">
      <w:pPr>
        <w:spacing w:line="360" w:lineRule="auto"/>
        <w:rPr>
          <w:rtl/>
        </w:rPr>
      </w:pPr>
    </w:p>
    <w:p w14:paraId="0437ED1F" w14:textId="77777777" w:rsidR="005644D6" w:rsidRPr="005644D6" w:rsidRDefault="005644D6">
      <w:pPr>
        <w:spacing w:line="360" w:lineRule="auto"/>
        <w:rPr>
          <w:rtl/>
        </w:rPr>
      </w:pPr>
    </w:p>
    <w:p w14:paraId="709081D8" w14:textId="77777777" w:rsidR="00C17DCE" w:rsidRPr="005644D6" w:rsidRDefault="00C17DCE">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17DCE" w14:paraId="055C51D7" w14:textId="77777777">
        <w:trPr>
          <w:trHeight w:val="355"/>
          <w:jc w:val="center"/>
        </w:trPr>
        <w:tc>
          <w:tcPr>
            <w:tcW w:w="8820" w:type="dxa"/>
            <w:tcBorders>
              <w:top w:val="nil"/>
              <w:left w:val="nil"/>
              <w:bottom w:val="nil"/>
              <w:right w:val="nil"/>
            </w:tcBorders>
            <w:shd w:val="clear" w:color="auto" w:fill="auto"/>
          </w:tcPr>
          <w:p w14:paraId="72D23586" w14:textId="77777777" w:rsidR="00C17DCE" w:rsidRPr="0014522B" w:rsidRDefault="001B74FB" w:rsidP="0014522B">
            <w:pPr>
              <w:spacing w:line="360" w:lineRule="auto"/>
              <w:jc w:val="center"/>
              <w:rPr>
                <w:rFonts w:ascii="Arial" w:hAnsi="Arial"/>
                <w:bCs/>
                <w:sz w:val="28"/>
                <w:szCs w:val="28"/>
                <w:u w:val="single"/>
                <w:rtl/>
              </w:rPr>
            </w:pPr>
            <w:bookmarkStart w:id="4" w:name="PsakDin" w:colFirst="0" w:colLast="0"/>
            <w:r w:rsidRPr="0014522B">
              <w:rPr>
                <w:rFonts w:ascii="Arial" w:hAnsi="Arial"/>
                <w:b/>
                <w:bCs/>
                <w:sz w:val="28"/>
                <w:szCs w:val="28"/>
                <w:u w:val="single"/>
                <w:rtl/>
              </w:rPr>
              <w:t>הכרעת דין</w:t>
            </w:r>
          </w:p>
        </w:tc>
      </w:tr>
      <w:bookmarkEnd w:id="4"/>
    </w:tbl>
    <w:p w14:paraId="41BC57D5" w14:textId="77777777" w:rsidR="00C17DCE" w:rsidRDefault="00C17DCE">
      <w:pPr>
        <w:spacing w:line="360" w:lineRule="auto"/>
        <w:rPr>
          <w:rFonts w:ascii="Arial" w:hAnsi="Arial" w:cs="FrankRuehl"/>
          <w:sz w:val="28"/>
          <w:szCs w:val="28"/>
          <w:rtl/>
        </w:rPr>
      </w:pPr>
    </w:p>
    <w:p w14:paraId="71825F17" w14:textId="77777777" w:rsidR="00C17DCE" w:rsidRDefault="00D759EB">
      <w:pPr>
        <w:spacing w:line="360" w:lineRule="auto"/>
        <w:jc w:val="both"/>
      </w:pPr>
      <w:bookmarkStart w:id="5" w:name="ABSTRACT_START"/>
      <w:bookmarkEnd w:id="5"/>
      <w:r>
        <w:rPr>
          <w:rFonts w:hint="cs"/>
          <w:rtl/>
        </w:rPr>
        <w:lastRenderedPageBreak/>
        <w:t>הכרעת הדין מתייחסת גם לעבירת אינוס ולדיונים שקוימו בדלתיים סגורות, אנו מתירים פרסום הכרעת הדין למעט שם המתלוננת וכל פרט שעלול להביא לזיהויה.</w:t>
      </w:r>
    </w:p>
    <w:p w14:paraId="3186F7F5" w14:textId="77777777" w:rsidR="00C17DCE" w:rsidRDefault="00C17DCE">
      <w:pPr>
        <w:spacing w:line="360" w:lineRule="auto"/>
        <w:ind w:left="720"/>
        <w:jc w:val="both"/>
        <w:rPr>
          <w:rtl/>
        </w:rPr>
      </w:pPr>
      <w:bookmarkStart w:id="6" w:name="ABSTRACT_END"/>
      <w:bookmarkEnd w:id="6"/>
    </w:p>
    <w:p w14:paraId="21E33C8F" w14:textId="77777777" w:rsidR="00C17DCE" w:rsidRDefault="00D759EB">
      <w:pPr>
        <w:spacing w:line="360" w:lineRule="auto"/>
        <w:jc w:val="both"/>
        <w:rPr>
          <w:b/>
          <w:bCs/>
          <w:u w:val="single"/>
          <w:rtl/>
        </w:rPr>
      </w:pPr>
      <w:r>
        <w:rPr>
          <w:rFonts w:hint="cs"/>
          <w:b/>
          <w:bCs/>
          <w:u w:val="single"/>
          <w:rtl/>
        </w:rPr>
        <w:t xml:space="preserve">השופט </w:t>
      </w:r>
      <w:smartTag w:uri="urn:schemas-microsoft-com:office:smarttags" w:element="PersonName">
        <w:smartTagPr>
          <w:attr w:name="ProductID" w:val="אברהם אליקים"/>
        </w:smartTagPr>
        <w:r>
          <w:rPr>
            <w:rFonts w:hint="cs"/>
            <w:b/>
            <w:bCs/>
            <w:u w:val="single"/>
            <w:rtl/>
          </w:rPr>
          <w:t>אברהם אליקים</w:t>
        </w:r>
      </w:smartTag>
      <w:r>
        <w:rPr>
          <w:rFonts w:hint="cs"/>
          <w:b/>
          <w:bCs/>
          <w:u w:val="single"/>
          <w:rtl/>
        </w:rPr>
        <w:t>:</w:t>
      </w:r>
    </w:p>
    <w:p w14:paraId="25970986" w14:textId="77777777" w:rsidR="00C17DCE" w:rsidRDefault="00C17DCE">
      <w:pPr>
        <w:jc w:val="both"/>
        <w:rPr>
          <w:b/>
          <w:bCs/>
          <w:u w:val="single"/>
          <w:rtl/>
        </w:rPr>
      </w:pPr>
    </w:p>
    <w:p w14:paraId="2E552FC6" w14:textId="77777777" w:rsidR="00C17DCE" w:rsidRDefault="00D759EB">
      <w:pPr>
        <w:spacing w:line="360" w:lineRule="auto"/>
        <w:jc w:val="both"/>
        <w:rPr>
          <w:u w:val="single"/>
          <w:rtl/>
        </w:rPr>
      </w:pPr>
      <w:r>
        <w:rPr>
          <w:rFonts w:hint="cs"/>
          <w:u w:val="single"/>
          <w:rtl/>
        </w:rPr>
        <w:t>מבוא</w:t>
      </w:r>
    </w:p>
    <w:p w14:paraId="15168D75" w14:textId="77777777" w:rsidR="00C17DCE" w:rsidRDefault="00D759EB">
      <w:pPr>
        <w:numPr>
          <w:ilvl w:val="0"/>
          <w:numId w:val="7"/>
        </w:numPr>
        <w:spacing w:line="360" w:lineRule="auto"/>
        <w:jc w:val="both"/>
        <w:rPr>
          <w:rtl/>
        </w:rPr>
      </w:pPr>
      <w:r>
        <w:rPr>
          <w:rFonts w:hint="cs"/>
          <w:rtl/>
        </w:rPr>
        <w:t>כמתואר בכתב האישום, ביום 20.6.2010 בסמוך לשעה 8:15, עת הגיעה המתלוננת לדלת דירתה הנמצאת בקומה השישית התנפלו עליה שני אנשים, הם פצעו אותה בצוותא חדא וגרמו לה חבלות חמורות. על פי כתב האישום, התוקפים גם אנסו את המתלוננת ושדדו באיומי סכין ובאלימות כ-30,000 יורו, שיקים ושני מכשירי טלפון ניידים שהיו בדירה.</w:t>
      </w:r>
    </w:p>
    <w:p w14:paraId="1D3D82C5" w14:textId="77777777" w:rsidR="00C17DCE" w:rsidRDefault="00C17DCE">
      <w:pPr>
        <w:spacing w:line="360" w:lineRule="auto"/>
        <w:jc w:val="both"/>
      </w:pPr>
    </w:p>
    <w:p w14:paraId="5BCE7B0F" w14:textId="77777777" w:rsidR="00C17DCE" w:rsidRDefault="00D759EB">
      <w:pPr>
        <w:numPr>
          <w:ilvl w:val="0"/>
          <w:numId w:val="7"/>
        </w:numPr>
        <w:spacing w:line="360" w:lineRule="auto"/>
        <w:jc w:val="both"/>
      </w:pPr>
      <w:r>
        <w:rPr>
          <w:rFonts w:hint="cs"/>
          <w:rtl/>
        </w:rPr>
        <w:t xml:space="preserve">המאשימה מייחסת את ביצוע המעשים הנ"ל לשני הנאשמים. על פי עובדות כתב האישום, הנאשמים קשרו קשר לביצוע מעשי שוד אלימות ואינוס. לשם קידום הקשר הצטיידו הנאשמים בכובעי גרב, בכפפות ובסכין וארבו למתלוננת ליד דלת דירתה. </w:t>
      </w:r>
    </w:p>
    <w:p w14:paraId="1B53D0D5" w14:textId="77777777" w:rsidR="00C17DCE" w:rsidRDefault="00C17DCE">
      <w:pPr>
        <w:spacing w:line="360" w:lineRule="auto"/>
        <w:jc w:val="both"/>
        <w:rPr>
          <w:rtl/>
        </w:rPr>
      </w:pPr>
    </w:p>
    <w:p w14:paraId="797F41CF" w14:textId="77777777" w:rsidR="00C17DCE" w:rsidRDefault="00D759EB">
      <w:pPr>
        <w:spacing w:line="360" w:lineRule="auto"/>
        <w:ind w:left="511"/>
        <w:jc w:val="both"/>
      </w:pPr>
      <w:r>
        <w:rPr>
          <w:rFonts w:hint="cs"/>
          <w:rtl/>
        </w:rPr>
        <w:t>כשהגיעה המתלוננת, התנפלו עליה הנאשמים, נאשם 1 אחז בסכין, חנק אותה בצווארה ושניהם גררו אותה לתוך הדירה. שם היכו את המתלוננת באכזריות בפלג גופה העליון, בפניה ובצלעותיה, עד אשר איבדה את הכרתה. עוד נטען כי בשלב מסויים הפשיטו הנאשמים את המתלוננת מבגדיה, הורידו את תחתוניה ובעלו אותה באופן שהחדירו את איבר מינם או חפץ לאיבר מינה וזאת שלא בהסכמתה החופשית תוך ניצול היותה בחוסר הכרה ותוך גרימת חבלות לאיבר מינה. לאחר מכן נטלו עימם הנאשמים כ-30,000 יורו, שיקים ושני מכשירי טלפון נייד שהיו בדירה.</w:t>
      </w:r>
    </w:p>
    <w:p w14:paraId="220C9883" w14:textId="77777777" w:rsidR="00C17DCE" w:rsidRDefault="00C17DCE">
      <w:pPr>
        <w:spacing w:line="360" w:lineRule="auto"/>
        <w:jc w:val="both"/>
      </w:pPr>
    </w:p>
    <w:p w14:paraId="5843AC3C" w14:textId="77777777" w:rsidR="00C17DCE" w:rsidRDefault="00D759EB">
      <w:pPr>
        <w:numPr>
          <w:ilvl w:val="0"/>
          <w:numId w:val="7"/>
        </w:numPr>
        <w:spacing w:line="360" w:lineRule="auto"/>
        <w:jc w:val="both"/>
        <w:rPr>
          <w:rtl/>
        </w:rPr>
      </w:pPr>
      <w:r>
        <w:rPr>
          <w:rFonts w:hint="cs"/>
          <w:rtl/>
        </w:rPr>
        <w:t xml:space="preserve">המתלוננת אושפזה בבית חולים רמב"ם עם חבלות מרובות בפנים עם דימומים תת-עוריים, המטומות שפשופים ושריטות בחלקי גוף שונים ובכלל זה שברים בצלעות 11-8 מימין ושברים בזיזים הרוחביים של החוליות המותניות </w:t>
      </w:r>
      <w:r>
        <w:rPr>
          <w:sz w:val="20"/>
          <w:szCs w:val="20"/>
        </w:rPr>
        <w:t xml:space="preserve">L1 </w:t>
      </w:r>
      <w:r>
        <w:rPr>
          <w:rFonts w:hint="cs"/>
          <w:sz w:val="20"/>
          <w:szCs w:val="20"/>
          <w:rtl/>
        </w:rPr>
        <w:t xml:space="preserve"> ו- </w:t>
      </w:r>
      <w:r>
        <w:rPr>
          <w:sz w:val="20"/>
          <w:szCs w:val="20"/>
        </w:rPr>
        <w:t>L2</w:t>
      </w:r>
      <w:r>
        <w:rPr>
          <w:rFonts w:hint="cs"/>
          <w:rtl/>
        </w:rPr>
        <w:t xml:space="preserve"> מימין, שבר באף וחבלות ושפשופים באיבר המין.</w:t>
      </w:r>
    </w:p>
    <w:p w14:paraId="3733610D" w14:textId="77777777" w:rsidR="00C17DCE" w:rsidRDefault="00C17DCE">
      <w:pPr>
        <w:spacing w:line="360" w:lineRule="auto"/>
        <w:jc w:val="both"/>
      </w:pPr>
    </w:p>
    <w:p w14:paraId="491EEEBD" w14:textId="77777777" w:rsidR="00C17DCE" w:rsidRDefault="00D759EB">
      <w:pPr>
        <w:numPr>
          <w:ilvl w:val="0"/>
          <w:numId w:val="7"/>
        </w:numPr>
        <w:spacing w:line="360" w:lineRule="auto"/>
        <w:jc w:val="both"/>
        <w:rPr>
          <w:rtl/>
        </w:rPr>
      </w:pPr>
      <w:r>
        <w:rPr>
          <w:rFonts w:hint="cs"/>
          <w:rtl/>
        </w:rPr>
        <w:t xml:space="preserve">הנאשמים הואשמו בביצוע עבירות של קשירת קשר לפשע, חבלה בכוונה מחמירה, שוד ואינוס, עבירות לפי </w:t>
      </w:r>
      <w:hyperlink r:id="rId25" w:history="1">
        <w:r w:rsidR="0014522B" w:rsidRPr="0014522B">
          <w:rPr>
            <w:rFonts w:hint="eastAsia"/>
            <w:color w:val="0000FF"/>
            <w:u w:val="single"/>
            <w:rtl/>
          </w:rPr>
          <w:t>סעיפים</w:t>
        </w:r>
        <w:r w:rsidR="0014522B" w:rsidRPr="0014522B">
          <w:rPr>
            <w:color w:val="0000FF"/>
            <w:u w:val="single"/>
            <w:rtl/>
          </w:rPr>
          <w:t xml:space="preserve"> 499(</w:t>
        </w:r>
        <w:r w:rsidR="0014522B" w:rsidRPr="0014522B">
          <w:rPr>
            <w:rFonts w:hint="eastAsia"/>
            <w:color w:val="0000FF"/>
            <w:u w:val="single"/>
            <w:rtl/>
          </w:rPr>
          <w:t>א</w:t>
        </w:r>
        <w:r w:rsidR="0014522B" w:rsidRPr="0014522B">
          <w:rPr>
            <w:color w:val="0000FF"/>
            <w:u w:val="single"/>
            <w:rtl/>
          </w:rPr>
          <w:t>)(1)</w:t>
        </w:r>
      </w:hyperlink>
      <w:r>
        <w:rPr>
          <w:rFonts w:hint="cs"/>
          <w:rtl/>
        </w:rPr>
        <w:t xml:space="preserve">, </w:t>
      </w:r>
      <w:hyperlink r:id="rId26" w:history="1">
        <w:r w:rsidR="0014522B" w:rsidRPr="0014522B">
          <w:rPr>
            <w:color w:val="0000FF"/>
            <w:u w:val="single"/>
            <w:rtl/>
          </w:rPr>
          <w:t>329(</w:t>
        </w:r>
        <w:r w:rsidR="0014522B" w:rsidRPr="0014522B">
          <w:rPr>
            <w:rFonts w:hint="eastAsia"/>
            <w:color w:val="0000FF"/>
            <w:u w:val="single"/>
            <w:rtl/>
          </w:rPr>
          <w:t>א</w:t>
        </w:r>
        <w:r w:rsidR="0014522B" w:rsidRPr="0014522B">
          <w:rPr>
            <w:color w:val="0000FF"/>
            <w:u w:val="single"/>
            <w:rtl/>
          </w:rPr>
          <w:t>)(1)</w:t>
        </w:r>
      </w:hyperlink>
      <w:r>
        <w:rPr>
          <w:rFonts w:hint="cs"/>
          <w:rtl/>
        </w:rPr>
        <w:t>+</w:t>
      </w:r>
      <w:hyperlink r:id="rId27" w:history="1">
        <w:r w:rsidR="0014522B" w:rsidRPr="0014522B">
          <w:rPr>
            <w:color w:val="0000FF"/>
            <w:u w:val="single"/>
            <w:rtl/>
          </w:rPr>
          <w:t>29</w:t>
        </w:r>
      </w:hyperlink>
      <w:r>
        <w:rPr>
          <w:rFonts w:hint="cs"/>
          <w:rtl/>
        </w:rPr>
        <w:t xml:space="preserve">, </w:t>
      </w:r>
      <w:hyperlink r:id="rId28" w:history="1">
        <w:r w:rsidR="0014522B" w:rsidRPr="0014522B">
          <w:rPr>
            <w:color w:val="0000FF"/>
            <w:u w:val="single"/>
            <w:rtl/>
          </w:rPr>
          <w:t>402(</w:t>
        </w:r>
        <w:r w:rsidR="0014522B" w:rsidRPr="0014522B">
          <w:rPr>
            <w:rFonts w:hint="eastAsia"/>
            <w:color w:val="0000FF"/>
            <w:u w:val="single"/>
            <w:rtl/>
          </w:rPr>
          <w:t>ב</w:t>
        </w:r>
        <w:r w:rsidR="0014522B" w:rsidRPr="0014522B">
          <w:rPr>
            <w:color w:val="0000FF"/>
            <w:u w:val="single"/>
            <w:rtl/>
          </w:rPr>
          <w:t>)</w:t>
        </w:r>
      </w:hyperlink>
      <w:r>
        <w:rPr>
          <w:rFonts w:hint="cs"/>
          <w:rtl/>
        </w:rPr>
        <w:t>+</w:t>
      </w:r>
      <w:hyperlink r:id="rId29" w:history="1">
        <w:r w:rsidR="0014522B" w:rsidRPr="0014522B">
          <w:rPr>
            <w:color w:val="0000FF"/>
            <w:u w:val="single"/>
            <w:rtl/>
          </w:rPr>
          <w:t>29</w:t>
        </w:r>
      </w:hyperlink>
      <w:r>
        <w:rPr>
          <w:rFonts w:hint="cs"/>
          <w:rtl/>
        </w:rPr>
        <w:t xml:space="preserve">, </w:t>
      </w:r>
      <w:hyperlink r:id="rId30" w:history="1">
        <w:r w:rsidR="0014522B" w:rsidRPr="0014522B">
          <w:rPr>
            <w:color w:val="0000FF"/>
            <w:u w:val="single"/>
            <w:rtl/>
          </w:rPr>
          <w:t>345(</w:t>
        </w:r>
        <w:r w:rsidR="0014522B" w:rsidRPr="0014522B">
          <w:rPr>
            <w:rFonts w:hint="eastAsia"/>
            <w:color w:val="0000FF"/>
            <w:u w:val="single"/>
            <w:rtl/>
          </w:rPr>
          <w:t>ב</w:t>
        </w:r>
        <w:r w:rsidR="0014522B" w:rsidRPr="0014522B">
          <w:rPr>
            <w:color w:val="0000FF"/>
            <w:u w:val="single"/>
            <w:rtl/>
          </w:rPr>
          <w:t>)(3)</w:t>
        </w:r>
      </w:hyperlink>
      <w:r>
        <w:rPr>
          <w:rFonts w:hint="cs"/>
          <w:rtl/>
        </w:rPr>
        <w:t>+</w:t>
      </w:r>
      <w:hyperlink r:id="rId31" w:history="1">
        <w:r w:rsidR="0014522B" w:rsidRPr="0014522B">
          <w:rPr>
            <w:color w:val="0000FF"/>
            <w:u w:val="single"/>
            <w:rtl/>
          </w:rPr>
          <w:t>(4)</w:t>
        </w:r>
      </w:hyperlink>
      <w:r>
        <w:rPr>
          <w:rFonts w:hint="cs"/>
          <w:rtl/>
        </w:rPr>
        <w:t>+</w:t>
      </w:r>
      <w:hyperlink r:id="rId32" w:history="1">
        <w:r w:rsidR="0014522B" w:rsidRPr="0014522B">
          <w:rPr>
            <w:color w:val="0000FF"/>
            <w:u w:val="single"/>
            <w:rtl/>
          </w:rPr>
          <w:t>(5)</w:t>
        </w:r>
      </w:hyperlink>
      <w:r>
        <w:rPr>
          <w:rFonts w:hint="cs"/>
          <w:rtl/>
        </w:rPr>
        <w:t xml:space="preserve"> בנסיבות ס'</w:t>
      </w:r>
      <w:hyperlink r:id="rId33" w:history="1">
        <w:r w:rsidR="0014522B" w:rsidRPr="0014522B">
          <w:rPr>
            <w:color w:val="0000FF"/>
            <w:u w:val="single"/>
            <w:rtl/>
          </w:rPr>
          <w:t xml:space="preserve"> 345(</w:t>
        </w:r>
        <w:r w:rsidR="0014522B" w:rsidRPr="0014522B">
          <w:rPr>
            <w:rFonts w:hint="eastAsia"/>
            <w:color w:val="0000FF"/>
            <w:u w:val="single"/>
            <w:rtl/>
          </w:rPr>
          <w:t>א</w:t>
        </w:r>
        <w:r w:rsidR="0014522B" w:rsidRPr="0014522B">
          <w:rPr>
            <w:color w:val="0000FF"/>
            <w:u w:val="single"/>
            <w:rtl/>
          </w:rPr>
          <w:t>)(1)</w:t>
        </w:r>
      </w:hyperlink>
      <w:r>
        <w:rPr>
          <w:rFonts w:hint="cs"/>
          <w:rtl/>
        </w:rPr>
        <w:t>+</w:t>
      </w:r>
      <w:hyperlink r:id="rId34" w:history="1">
        <w:r w:rsidR="00D447FF" w:rsidRPr="00D447FF">
          <w:rPr>
            <w:color w:val="0000FF"/>
            <w:u w:val="single"/>
            <w:rtl/>
          </w:rPr>
          <w:t>(4)</w:t>
        </w:r>
      </w:hyperlink>
      <w:r>
        <w:rPr>
          <w:rFonts w:hint="cs"/>
          <w:rtl/>
        </w:rPr>
        <w:t>+</w:t>
      </w:r>
      <w:hyperlink r:id="rId35" w:history="1">
        <w:r w:rsidR="00D447FF" w:rsidRPr="00D447FF">
          <w:rPr>
            <w:color w:val="0000FF"/>
            <w:u w:val="single"/>
            <w:rtl/>
          </w:rPr>
          <w:t>29</w:t>
        </w:r>
      </w:hyperlink>
      <w:r>
        <w:rPr>
          <w:rFonts w:hint="cs"/>
          <w:rtl/>
        </w:rPr>
        <w:t xml:space="preserve"> ל</w:t>
      </w:r>
      <w:hyperlink r:id="rId36" w:history="1">
        <w:r w:rsidR="005644D6" w:rsidRPr="005644D6">
          <w:rPr>
            <w:rStyle w:val="Hyperlink"/>
            <w:rFonts w:hint="eastAsia"/>
            <w:rtl/>
          </w:rPr>
          <w:t>חוק</w:t>
        </w:r>
        <w:r w:rsidR="005644D6" w:rsidRPr="005644D6">
          <w:rPr>
            <w:rStyle w:val="Hyperlink"/>
            <w:rtl/>
          </w:rPr>
          <w:t xml:space="preserve"> </w:t>
        </w:r>
        <w:r w:rsidR="005644D6" w:rsidRPr="005644D6">
          <w:rPr>
            <w:rStyle w:val="Hyperlink"/>
            <w:rFonts w:hint="eastAsia"/>
            <w:rtl/>
          </w:rPr>
          <w:t>העונשין</w:t>
        </w:r>
      </w:hyperlink>
      <w:r>
        <w:rPr>
          <w:rFonts w:hint="cs"/>
          <w:rtl/>
        </w:rPr>
        <w:t xml:space="preserve"> התשל"ז- 1977, (להלן: "</w:t>
      </w:r>
      <w:r>
        <w:rPr>
          <w:rFonts w:cs="Miriam" w:hint="cs"/>
          <w:rtl/>
        </w:rPr>
        <w:t>החוק</w:t>
      </w:r>
      <w:r>
        <w:rPr>
          <w:rFonts w:hint="cs"/>
          <w:rtl/>
        </w:rPr>
        <w:t>").</w:t>
      </w:r>
    </w:p>
    <w:p w14:paraId="42B99948" w14:textId="77777777" w:rsidR="00C17DCE" w:rsidRDefault="00C17DCE">
      <w:pPr>
        <w:spacing w:line="360" w:lineRule="auto"/>
        <w:jc w:val="both"/>
      </w:pPr>
    </w:p>
    <w:p w14:paraId="653A4A14" w14:textId="77777777" w:rsidR="00C17DCE" w:rsidRDefault="00D759EB">
      <w:pPr>
        <w:numPr>
          <w:ilvl w:val="0"/>
          <w:numId w:val="7"/>
        </w:numPr>
        <w:spacing w:line="360" w:lineRule="auto"/>
        <w:jc w:val="both"/>
      </w:pPr>
      <w:r>
        <w:rPr>
          <w:rFonts w:hint="cs"/>
          <w:rtl/>
        </w:rPr>
        <w:t xml:space="preserve">יובהר כבר עתה כי בפארק ציבורי בסמוך לזירת האירוע נמצאו שני כובעי גרב וזוג כפפות שעליהם סימני </w:t>
      </w:r>
      <w:r>
        <w:rPr>
          <w:sz w:val="20"/>
          <w:szCs w:val="20"/>
        </w:rPr>
        <w:t>DNA</w:t>
      </w:r>
      <w:r>
        <w:rPr>
          <w:rFonts w:hint="cs"/>
          <w:rtl/>
        </w:rPr>
        <w:t xml:space="preserve"> של שני הנאשמים, עובדה שבסופו של יום לא הוכחשה למעשה. </w:t>
      </w:r>
      <w:r>
        <w:rPr>
          <w:rFonts w:hint="cs"/>
          <w:rtl/>
        </w:rPr>
        <w:lastRenderedPageBreak/>
        <w:t>הסנגורים לא חלקו על חוות הדעת שהוגשה בנושא ע"י המאשימה (ת/31) וגם לא הוגשה מטעמם חוות דעת סותרת, אם כי לנאשם 2 טענות אחרות בנושא אליהן אתייחס בהמשך.</w:t>
      </w:r>
    </w:p>
    <w:p w14:paraId="0838C2D3" w14:textId="77777777" w:rsidR="00C17DCE" w:rsidRDefault="00C17DCE">
      <w:pPr>
        <w:spacing w:line="360" w:lineRule="auto"/>
        <w:jc w:val="both"/>
      </w:pPr>
    </w:p>
    <w:p w14:paraId="0496DF2A" w14:textId="77777777" w:rsidR="00C17DCE" w:rsidRDefault="00D759EB">
      <w:pPr>
        <w:numPr>
          <w:ilvl w:val="0"/>
          <w:numId w:val="7"/>
        </w:numPr>
        <w:spacing w:line="360" w:lineRule="auto"/>
        <w:jc w:val="both"/>
        <w:rPr>
          <w:rtl/>
        </w:rPr>
      </w:pPr>
      <w:r>
        <w:rPr>
          <w:rFonts w:hint="cs"/>
          <w:rtl/>
        </w:rPr>
        <w:t>נאשם 1 כפר במיוחס לו במהלך החקירות במשטרה, דבק בכפירתו בישיבת ההקראה (וחזר על כפירתו בישיבת 6.2.2011 עמ' 97 לפרוטוקול). רק במסגרת פרשת ההגנה הודה נאשם 1 בחקירה הראשית כי נכנס לדירת המתלוננת עם אחר לשם גניבת כספה כשבכיסו אחד מכובעי הגרב שנמצאו לאחר מכן. בדירה חבל במתלוננת, אך כפר בביצוע אונס ושוד. לטענתו מאחר ושתת דם עקב פגיעה שפגעה בו המתלוננת הסיר את בגדיה אותם לקח עימו, כדי להסתיר את סימני דמו שהיו עליהם.</w:t>
      </w:r>
    </w:p>
    <w:p w14:paraId="2AFBFED0" w14:textId="77777777" w:rsidR="00C17DCE" w:rsidRDefault="00C17DCE">
      <w:pPr>
        <w:spacing w:line="360" w:lineRule="auto"/>
        <w:jc w:val="both"/>
        <w:rPr>
          <w:rtl/>
        </w:rPr>
      </w:pPr>
    </w:p>
    <w:p w14:paraId="206B4004" w14:textId="77777777" w:rsidR="00C17DCE" w:rsidRDefault="00C17DCE">
      <w:pPr>
        <w:spacing w:line="360" w:lineRule="auto"/>
        <w:jc w:val="both"/>
        <w:rPr>
          <w:rtl/>
        </w:rPr>
      </w:pPr>
    </w:p>
    <w:p w14:paraId="4D8393BF" w14:textId="77777777" w:rsidR="00C17DCE" w:rsidRDefault="00C17DCE">
      <w:pPr>
        <w:spacing w:line="360" w:lineRule="auto"/>
        <w:jc w:val="both"/>
      </w:pPr>
    </w:p>
    <w:p w14:paraId="4BC7EC5D" w14:textId="77777777" w:rsidR="00C17DCE" w:rsidRDefault="00D759EB">
      <w:pPr>
        <w:numPr>
          <w:ilvl w:val="0"/>
          <w:numId w:val="7"/>
        </w:numPr>
        <w:spacing w:line="360" w:lineRule="auto"/>
        <w:jc w:val="both"/>
        <w:rPr>
          <w:rtl/>
        </w:rPr>
      </w:pPr>
      <w:r>
        <w:rPr>
          <w:rFonts w:hint="cs"/>
          <w:rtl/>
        </w:rPr>
        <w:t xml:space="preserve">נאשם 2 כפר במיוחס לו במהלך החקירות במשטרה ובתגובתו לכתב האישום, בפתח ישיבת ההוכחות החמישית ביום 6.2.2011 טען ב"כ נאשם 2 כי הנאשם </w:t>
      </w:r>
      <w:r>
        <w:rPr>
          <w:rFonts w:cs="Miriam" w:hint="cs"/>
          <w:rtl/>
        </w:rPr>
        <w:t>"סייע לאחר מעשה למי שנכח בזירת האירוע, הוא המתין בקירבת מקום והוא עזר במילוט מי שנכח בזירת האירוע והן בהשלכת אותם מוצגים שנתפסו"</w:t>
      </w:r>
      <w:r>
        <w:rPr>
          <w:rFonts w:hint="cs"/>
          <w:rtl/>
        </w:rPr>
        <w:t xml:space="preserve"> סנגורו הסביר באותה ישיבה כי </w:t>
      </w:r>
      <w:r>
        <w:rPr>
          <w:rFonts w:cs="Miriam" w:hint="cs"/>
          <w:rtl/>
        </w:rPr>
        <w:t>"גרסה זו מסבירה הן הימצאות הדי.אן.אי שלו על כובע הגרב והן על הכפפות"</w:t>
      </w:r>
      <w:r>
        <w:rPr>
          <w:rFonts w:hint="cs"/>
          <w:rtl/>
        </w:rPr>
        <w:t xml:space="preserve"> תוך הדגשה כי לא היה תכנון מוקדם משותף בינו לבין מבצעי העבירות. </w:t>
      </w:r>
    </w:p>
    <w:p w14:paraId="4FC38DCA" w14:textId="77777777" w:rsidR="00C17DCE" w:rsidRDefault="00C17DCE">
      <w:pPr>
        <w:jc w:val="both"/>
      </w:pPr>
    </w:p>
    <w:p w14:paraId="1C236EB4" w14:textId="77777777" w:rsidR="00C17DCE" w:rsidRDefault="00D759EB">
      <w:pPr>
        <w:numPr>
          <w:ilvl w:val="0"/>
          <w:numId w:val="7"/>
        </w:numPr>
        <w:spacing w:line="360" w:lineRule="auto"/>
        <w:jc w:val="both"/>
        <w:rPr>
          <w:rtl/>
        </w:rPr>
      </w:pPr>
      <w:r>
        <w:rPr>
          <w:rFonts w:hint="cs"/>
          <w:rtl/>
        </w:rPr>
        <w:t xml:space="preserve">לאחר מכן הוסיף הסנגור הסבר נוסף ואחר לאפשרות הימצאות סימני </w:t>
      </w:r>
      <w:r>
        <w:rPr>
          <w:sz w:val="20"/>
          <w:szCs w:val="20"/>
        </w:rPr>
        <w:t>DNA</w:t>
      </w:r>
      <w:r>
        <w:rPr>
          <w:rFonts w:hint="cs"/>
          <w:rtl/>
        </w:rPr>
        <w:t xml:space="preserve"> של נאשם 2 על הכפפות. לטענתו בשנת 2009 נערכה חקירה משטרתית, במהלכה נעצרו שני הנאשמים וברכבם נתפסו כפפות ויכול להיות כי </w:t>
      </w:r>
      <w:r>
        <w:rPr>
          <w:rFonts w:cs="Miriam" w:hint="cs"/>
          <w:rtl/>
        </w:rPr>
        <w:t>"...המוצגים נותרו עם מי מהנאשמים"</w:t>
      </w:r>
      <w:r>
        <w:rPr>
          <w:rFonts w:hint="cs"/>
          <w:rtl/>
        </w:rPr>
        <w:t xml:space="preserve"> (עמוד 79 לפרוטוקול שורה 25 ואילך) שנעשה בהם שימוש גם במקרה זה.  בהמשך חזר בו במידת מה מגרסה זו וטען כי טענה זו הועלתה </w:t>
      </w:r>
      <w:r>
        <w:rPr>
          <w:rFonts w:cs="Miriam" w:hint="cs"/>
          <w:rtl/>
        </w:rPr>
        <w:t>"בתור אפשרות תיאורטית שכן הנאשם אינו יודע בוודאות האם השתמש במוצגים האלה בעבר",</w:t>
      </w:r>
      <w:r>
        <w:rPr>
          <w:rFonts w:hint="cs"/>
          <w:rtl/>
        </w:rPr>
        <w:t xml:space="preserve"> (ראו סעיף 162 וסעיף 312 ואילך לסיכומי נאשם 2).</w:t>
      </w:r>
    </w:p>
    <w:p w14:paraId="165AAD95" w14:textId="77777777" w:rsidR="00C17DCE" w:rsidRDefault="00C17DCE">
      <w:pPr>
        <w:jc w:val="both"/>
      </w:pPr>
    </w:p>
    <w:p w14:paraId="2FC1FDD4" w14:textId="77777777" w:rsidR="00C17DCE" w:rsidRDefault="00D759EB">
      <w:pPr>
        <w:numPr>
          <w:ilvl w:val="0"/>
          <w:numId w:val="7"/>
        </w:numPr>
        <w:spacing w:line="360" w:lineRule="auto"/>
        <w:jc w:val="both"/>
        <w:rPr>
          <w:rtl/>
        </w:rPr>
      </w:pPr>
      <w:r>
        <w:rPr>
          <w:rFonts w:hint="cs"/>
          <w:rtl/>
        </w:rPr>
        <w:t xml:space="preserve">בסיכומיו טען ב"כ נאשם 2 למרבה התמיהה כי בישיבת יום ה-6.2.2011 חויב ע"י בית משפט בניגוד לרצונו לחשוף את קו הגנת הנאשם ולכן ביקש לראות בדבריו אמירות </w:t>
      </w:r>
      <w:r>
        <w:rPr>
          <w:rFonts w:cs="Miriam" w:hint="cs"/>
          <w:rtl/>
        </w:rPr>
        <w:t xml:space="preserve">"במובן הלשוני ולא המשפטי" </w:t>
      </w:r>
      <w:r>
        <w:rPr>
          <w:rFonts w:hint="cs"/>
          <w:rtl/>
        </w:rPr>
        <w:t>ולהסתמך על עדות נאשם 2 בה סיפר לראשונה כי המתין ברכב בסמוך לדירה על מנת להסיע את נאשם 1 ואדם נוסף לאחר סיום מעשיהם. משהגיע אליו אותו אדם כשהוא שותת דם ללא נאשם 1, והשאיר ברכבו את כובעי הגרב והכפפות, עזב נאשם 2 מיידית את הזירה לבדו ובדרך נסיעתו השליך בפארק ציבורי את כובעי הגרב והכפפות.</w:t>
      </w:r>
    </w:p>
    <w:p w14:paraId="4033798B" w14:textId="77777777" w:rsidR="00C17DCE" w:rsidRDefault="00C17DCE">
      <w:pPr>
        <w:jc w:val="both"/>
      </w:pPr>
    </w:p>
    <w:p w14:paraId="11CAA6EF" w14:textId="77777777" w:rsidR="00C17DCE" w:rsidRDefault="00D759EB">
      <w:pPr>
        <w:numPr>
          <w:ilvl w:val="0"/>
          <w:numId w:val="7"/>
        </w:numPr>
        <w:spacing w:line="360" w:lineRule="auto"/>
        <w:jc w:val="both"/>
      </w:pPr>
      <w:r>
        <w:rPr>
          <w:rFonts w:hint="cs"/>
          <w:rtl/>
        </w:rPr>
        <w:t xml:space="preserve">אבהיר כי לא הצלחתי להבין טענתו של הסנגור בנושא זה, בשתי ישיבות ההקראה (1.9.2010 ו-10.9.2010) ביקש סנגורו של נאשם 2 באותה עת למסור תגובה מפורטת לכתב האישום בכתב </w:t>
      </w:r>
      <w:r>
        <w:rPr>
          <w:rFonts w:hint="cs"/>
          <w:rtl/>
        </w:rPr>
        <w:lastRenderedPageBreak/>
        <w:t xml:space="preserve">תוך 14 יום ובקשתו נענתה. מסיבות השמורות עימו בחר הסנגור שלא לקיים את החלטות בית המשפט ולא למסור תגובה. בפתח ישיבת 6.2.2011 ביקשה ב"כ המאשימה הבהרות באשר לעמדות הנאשמים, בין השאר, כדי לדעת את מי מעדי התביעה עליה לזמן ולמרות שביקש הסנגור גם הפעם למסור תגובה בכתב בשלב מאוחר יותר הוא התבקש לעשות זאת באותה ישיבה. </w:t>
      </w:r>
    </w:p>
    <w:p w14:paraId="2672E5B5" w14:textId="77777777" w:rsidR="00C17DCE" w:rsidRDefault="00C17DCE">
      <w:pPr>
        <w:spacing w:line="360" w:lineRule="auto"/>
        <w:jc w:val="both"/>
        <w:rPr>
          <w:rtl/>
        </w:rPr>
      </w:pPr>
    </w:p>
    <w:p w14:paraId="20E32427" w14:textId="77777777" w:rsidR="00C17DCE" w:rsidRDefault="00D759EB">
      <w:pPr>
        <w:spacing w:line="360" w:lineRule="auto"/>
        <w:ind w:left="511"/>
        <w:jc w:val="both"/>
        <w:rPr>
          <w:rtl/>
        </w:rPr>
      </w:pPr>
      <w:r>
        <w:rPr>
          <w:rFonts w:hint="cs"/>
          <w:rtl/>
        </w:rPr>
        <w:t>מיותר לציין כי במסגרת סמכויותיה של הערכאה המבררת היא זכאית לברר עמדת הנאשם לעניין הודיה או כפירה בעובדות (</w:t>
      </w:r>
      <w:hyperlink r:id="rId37" w:history="1">
        <w:r w:rsidR="00D447FF" w:rsidRPr="00D447FF">
          <w:rPr>
            <w:rFonts w:hint="eastAsia"/>
            <w:color w:val="0000FF"/>
            <w:u w:val="single"/>
            <w:rtl/>
          </w:rPr>
          <w:t>סעיף</w:t>
        </w:r>
        <w:r w:rsidR="00D447FF" w:rsidRPr="00D447FF">
          <w:rPr>
            <w:color w:val="0000FF"/>
            <w:u w:val="single"/>
            <w:rtl/>
          </w:rPr>
          <w:t xml:space="preserve"> 143</w:t>
        </w:r>
        <w:r w:rsidR="00D447FF" w:rsidRPr="00D447FF">
          <w:rPr>
            <w:rFonts w:hint="eastAsia"/>
            <w:color w:val="0000FF"/>
            <w:u w:val="single"/>
            <w:rtl/>
          </w:rPr>
          <w:t>א</w:t>
        </w:r>
        <w:r w:rsidR="00D447FF" w:rsidRPr="00D447FF">
          <w:rPr>
            <w:color w:val="0000FF"/>
            <w:u w:val="single"/>
            <w:rtl/>
          </w:rPr>
          <w:t xml:space="preserve"> (</w:t>
        </w:r>
        <w:r w:rsidR="00D447FF" w:rsidRPr="00D447FF">
          <w:rPr>
            <w:rFonts w:hint="eastAsia"/>
            <w:color w:val="0000FF"/>
            <w:u w:val="single"/>
            <w:rtl/>
          </w:rPr>
          <w:t>ב</w:t>
        </w:r>
        <w:r w:rsidR="00D447FF" w:rsidRPr="00D447FF">
          <w:rPr>
            <w:color w:val="0000FF"/>
            <w:u w:val="single"/>
            <w:rtl/>
          </w:rPr>
          <w:t>)(1)</w:t>
        </w:r>
      </w:hyperlink>
      <w:r>
        <w:rPr>
          <w:rFonts w:hint="cs"/>
          <w:rtl/>
        </w:rPr>
        <w:t xml:space="preserve"> ל</w:t>
      </w:r>
      <w:hyperlink r:id="rId38" w:history="1">
        <w:r w:rsidR="005644D6" w:rsidRPr="005644D6">
          <w:rPr>
            <w:rStyle w:val="Hyperlink"/>
            <w:rFonts w:hint="eastAsia"/>
            <w:rtl/>
          </w:rPr>
          <w:t>חוק</w:t>
        </w:r>
        <w:r w:rsidR="005644D6" w:rsidRPr="005644D6">
          <w:rPr>
            <w:rStyle w:val="Hyperlink"/>
            <w:rtl/>
          </w:rPr>
          <w:t xml:space="preserve"> </w:t>
        </w:r>
        <w:r w:rsidR="005644D6" w:rsidRPr="005644D6">
          <w:rPr>
            <w:rStyle w:val="Hyperlink"/>
            <w:rFonts w:hint="eastAsia"/>
            <w:rtl/>
          </w:rPr>
          <w:t>סדר</w:t>
        </w:r>
        <w:r w:rsidR="005644D6" w:rsidRPr="005644D6">
          <w:rPr>
            <w:rStyle w:val="Hyperlink"/>
            <w:rtl/>
          </w:rPr>
          <w:t xml:space="preserve"> </w:t>
        </w:r>
        <w:r w:rsidR="005644D6" w:rsidRPr="005644D6">
          <w:rPr>
            <w:rStyle w:val="Hyperlink"/>
            <w:rFonts w:hint="eastAsia"/>
            <w:rtl/>
          </w:rPr>
          <w:t>הדין</w:t>
        </w:r>
        <w:r w:rsidR="005644D6" w:rsidRPr="005644D6">
          <w:rPr>
            <w:rStyle w:val="Hyperlink"/>
            <w:rtl/>
          </w:rPr>
          <w:t xml:space="preserve"> </w:t>
        </w:r>
        <w:r w:rsidR="005644D6" w:rsidRPr="005644D6">
          <w:rPr>
            <w:rStyle w:val="Hyperlink"/>
            <w:rFonts w:hint="eastAsia"/>
            <w:rtl/>
          </w:rPr>
          <w:t>הפלילי</w:t>
        </w:r>
      </w:hyperlink>
      <w:r w:rsidR="001B74FB" w:rsidRPr="00C76660">
        <w:rPr>
          <w:color w:val="000000"/>
          <w:rtl/>
        </w:rPr>
        <w:t xml:space="preserve"> [נוסח משולב]</w:t>
      </w:r>
      <w:r>
        <w:rPr>
          <w:rFonts w:hint="cs"/>
          <w:rtl/>
        </w:rPr>
        <w:t xml:space="preserve">, התשמ"ב-1982 </w:t>
      </w:r>
      <w:r>
        <w:rPr>
          <w:rFonts w:cs="Miriam" w:hint="cs"/>
          <w:rtl/>
        </w:rPr>
        <w:t>"ובכל שלב של הדיון"</w:t>
      </w:r>
      <w:r>
        <w:rPr>
          <w:rFonts w:hint="cs"/>
          <w:rtl/>
        </w:rPr>
        <w:t xml:space="preserve"> רשאי בית משפט לברר הסכמת הנאשם וסנגורו לשאלות שבעובדה ולקבילות מסמכים (</w:t>
      </w:r>
      <w:hyperlink r:id="rId39" w:history="1">
        <w:r w:rsidR="00D447FF" w:rsidRPr="00D447FF">
          <w:rPr>
            <w:rFonts w:hint="eastAsia"/>
            <w:color w:val="0000FF"/>
            <w:u w:val="single"/>
            <w:rtl/>
          </w:rPr>
          <w:t>סעיף</w:t>
        </w:r>
        <w:r w:rsidR="00D447FF" w:rsidRPr="00D447FF">
          <w:rPr>
            <w:color w:val="0000FF"/>
            <w:u w:val="single"/>
            <w:rtl/>
          </w:rPr>
          <w:t xml:space="preserve"> 144</w:t>
        </w:r>
      </w:hyperlink>
      <w:r>
        <w:rPr>
          <w:rFonts w:hint="cs"/>
          <w:rtl/>
        </w:rPr>
        <w:t xml:space="preserve"> לחוק סדר הדין הפלילי).  </w:t>
      </w:r>
    </w:p>
    <w:p w14:paraId="44EEA603" w14:textId="77777777" w:rsidR="00C17DCE" w:rsidRDefault="00D759EB">
      <w:pPr>
        <w:numPr>
          <w:ilvl w:val="0"/>
          <w:numId w:val="7"/>
        </w:numPr>
        <w:spacing w:line="360" w:lineRule="auto"/>
        <w:jc w:val="both"/>
        <w:rPr>
          <w:rtl/>
        </w:rPr>
      </w:pPr>
      <w:r>
        <w:rPr>
          <w:rFonts w:hint="cs"/>
          <w:rtl/>
        </w:rPr>
        <w:t>תמהני הכיצד פניית בית משפט לסנגור בישיבת 6.2.2011 פגעה בהגנת הנאשם כנטען בסעיף 175 לסיכומיו. הסנגור היה זה שבחר את תוכן תשובתו שבוודאי היתה חייבת להיות ידועה לו בחלוף 8 ישיבות שהתקיימו מתחילת המשפט, לא היתה כל מניעה כי ימשיך לדבוק בכפירה כללית אם סבר שזו התשובה הראויה.</w:t>
      </w:r>
    </w:p>
    <w:p w14:paraId="1263A3A0" w14:textId="77777777" w:rsidR="00C17DCE" w:rsidRDefault="00C17DCE">
      <w:pPr>
        <w:jc w:val="both"/>
      </w:pPr>
    </w:p>
    <w:p w14:paraId="1388DF22" w14:textId="77777777" w:rsidR="00C17DCE" w:rsidRDefault="00D759EB">
      <w:pPr>
        <w:numPr>
          <w:ilvl w:val="0"/>
          <w:numId w:val="7"/>
        </w:numPr>
        <w:spacing w:line="360" w:lineRule="auto"/>
        <w:jc w:val="both"/>
        <w:rPr>
          <w:rtl/>
        </w:rPr>
      </w:pPr>
      <w:r>
        <w:rPr>
          <w:rFonts w:hint="cs"/>
          <w:rtl/>
        </w:rPr>
        <w:t xml:space="preserve">לבקשת הצדדים בתום שמיעת הראיות הוגשו סיכומים בכתב. אקדים ואבהיר כי סיכומי נאשם 2 שנועדו לסייע לבית המשפט משיגים מטרה הפוכה לא רק בשל אורכם (118 עמודים) אלא בעיקר בשל תוכנם. סיכומים לא באו כדי לאפשר לעורך הדין להעיד (ראו למשל עמוד 49 פיסקה אחרונה או סעיף 205 לסיכומיו), לתאר עובדות שלא הוצגו כחלק מהראיות (ראו למשל סעיף  126 או סעיף 326), לנתח טענות מתחום המומחיות מבלי שהוגשה חוות דעת לתמיכה בטענות אלו, לצטט ציטוטים לא מדויקים או לטעון בניגוד לאמור בפרוטוקול במעין בקשה משתמעת לתיקון פרוטוקול, (ראו עמוד 48 לסיכומיו פיסקה רביעית, סעיף 196 פיסקה שנייה, סעיף 227 וסעיף 264). </w:t>
      </w:r>
    </w:p>
    <w:p w14:paraId="04E4E310" w14:textId="77777777" w:rsidR="00C17DCE" w:rsidRDefault="00C17DCE">
      <w:pPr>
        <w:jc w:val="both"/>
        <w:rPr>
          <w:rtl/>
        </w:rPr>
      </w:pPr>
    </w:p>
    <w:p w14:paraId="5BE789C5" w14:textId="77777777" w:rsidR="00C17DCE" w:rsidRDefault="00D759EB">
      <w:pPr>
        <w:spacing w:line="360" w:lineRule="auto"/>
        <w:ind w:firstLine="511"/>
        <w:jc w:val="both"/>
        <w:rPr>
          <w:rtl/>
        </w:rPr>
      </w:pPr>
      <w:r>
        <w:rPr>
          <w:rFonts w:hint="cs"/>
          <w:u w:val="single"/>
          <w:rtl/>
        </w:rPr>
        <w:t>השאלות שבמחלוקת</w:t>
      </w:r>
    </w:p>
    <w:p w14:paraId="5C9D23CE" w14:textId="77777777" w:rsidR="00C17DCE" w:rsidRDefault="00D759EB">
      <w:pPr>
        <w:numPr>
          <w:ilvl w:val="0"/>
          <w:numId w:val="7"/>
        </w:numPr>
        <w:spacing w:line="360" w:lineRule="auto"/>
        <w:jc w:val="both"/>
      </w:pPr>
      <w:r>
        <w:rPr>
          <w:rFonts w:hint="cs"/>
          <w:rtl/>
        </w:rPr>
        <w:t>לאור הודאת נאשם 1 בעצם נוכחותו בדירה עם אחר, בפציעתה ובחבלתה של המתלוננת ובקשירת קשר לפשע, יש לברר לגביו ביצוע עבירות אינוס, שוד ושימוש בסכין. יובהר כי לגבי החבלות טוען נאשם 1 כי לא הוכחה עבירה של חבלה חמורה ולא הוכח כי התוקפים גרמו למתלוננת כוויה באמצעות סיגריה. בנושא השוד לטענתו יש להרשיעו בניסיון לביצוע שוד.</w:t>
      </w:r>
    </w:p>
    <w:p w14:paraId="13737C7E" w14:textId="77777777" w:rsidR="00C17DCE" w:rsidRDefault="00C17DCE">
      <w:pPr>
        <w:jc w:val="both"/>
      </w:pPr>
    </w:p>
    <w:p w14:paraId="507B9B67" w14:textId="77777777" w:rsidR="00C17DCE" w:rsidRDefault="00D759EB">
      <w:pPr>
        <w:numPr>
          <w:ilvl w:val="0"/>
          <w:numId w:val="7"/>
        </w:numPr>
        <w:spacing w:line="360" w:lineRule="auto"/>
        <w:jc w:val="both"/>
      </w:pPr>
      <w:r>
        <w:rPr>
          <w:rFonts w:hint="cs"/>
          <w:rtl/>
        </w:rPr>
        <w:t>לאור הודאת נאשם 2 בנוכחות בסמוך לדירה והימצאות</w:t>
      </w:r>
      <w:r>
        <w:rPr>
          <w:rFonts w:hint="cs"/>
        </w:rPr>
        <w:t xml:space="preserve"> </w:t>
      </w:r>
      <w:r>
        <w:rPr>
          <w:sz w:val="20"/>
          <w:szCs w:val="20"/>
        </w:rPr>
        <w:t xml:space="preserve">DNA </w:t>
      </w:r>
      <w:r>
        <w:t xml:space="preserve"> </w:t>
      </w:r>
      <w:r>
        <w:rPr>
          <w:rFonts w:hint="cs"/>
          <w:rtl/>
        </w:rPr>
        <w:t xml:space="preserve">שלו על כובע הגרב והכפפות, יש לבחון האם הוכחה מעורבותו של הנאשם 2 בקשירת קשר לפשע, נוכחותו בתוך הדירה ומעורבות  בחבלת המתלוננת, באינוס ובשוד. יובהר כי בסיכומיו חזר בו נאשם 2 במידה מסוימת מההודאה כי סימני </w:t>
      </w:r>
      <w:r>
        <w:rPr>
          <w:sz w:val="20"/>
          <w:szCs w:val="20"/>
        </w:rPr>
        <w:t>DNA</w:t>
      </w:r>
      <w:r>
        <w:rPr>
          <w:rFonts w:hint="cs"/>
          <w:rtl/>
        </w:rPr>
        <w:t xml:space="preserve"> שלו נמצאו על כובע הגרב והכפפות ויש לנתח טענותיו והנתונים בהתאם.</w:t>
      </w:r>
    </w:p>
    <w:p w14:paraId="3105B003" w14:textId="77777777" w:rsidR="00C17DCE" w:rsidRDefault="00C17DCE">
      <w:pPr>
        <w:jc w:val="both"/>
        <w:rPr>
          <w:rtl/>
        </w:rPr>
      </w:pPr>
    </w:p>
    <w:p w14:paraId="423E24A7" w14:textId="77777777" w:rsidR="00C17DCE" w:rsidRDefault="00D759EB">
      <w:pPr>
        <w:numPr>
          <w:ilvl w:val="0"/>
          <w:numId w:val="7"/>
        </w:numPr>
        <w:spacing w:line="360" w:lineRule="auto"/>
        <w:jc w:val="both"/>
        <w:rPr>
          <w:rtl/>
        </w:rPr>
      </w:pPr>
      <w:r>
        <w:rPr>
          <w:rFonts w:hint="cs"/>
          <w:rtl/>
        </w:rPr>
        <w:t xml:space="preserve">יש לבחון את הטענה החלופית שהעלתה המאשימה בסיכומיה, למקרה בו ייקבע כי לא הוכחה עבירת האינוס. לפיה יש למצער, להרשיע את הנאשמים בעבירה של מעשה מגונה, לפי </w:t>
      </w:r>
      <w:hyperlink r:id="rId40" w:history="1">
        <w:r w:rsidR="00D447FF" w:rsidRPr="00D447FF">
          <w:rPr>
            <w:rFonts w:hint="eastAsia"/>
            <w:color w:val="0000FF"/>
            <w:u w:val="single"/>
            <w:rtl/>
          </w:rPr>
          <w:t>סעיף</w:t>
        </w:r>
        <w:r w:rsidR="00D447FF" w:rsidRPr="00D447FF">
          <w:rPr>
            <w:color w:val="0000FF"/>
            <w:u w:val="single"/>
            <w:rtl/>
          </w:rPr>
          <w:t xml:space="preserve"> 348(</w:t>
        </w:r>
        <w:r w:rsidR="00D447FF" w:rsidRPr="00D447FF">
          <w:rPr>
            <w:rFonts w:hint="eastAsia"/>
            <w:color w:val="0000FF"/>
            <w:u w:val="single"/>
            <w:rtl/>
          </w:rPr>
          <w:t>ב</w:t>
        </w:r>
        <w:r w:rsidR="00D447FF" w:rsidRPr="00D447FF">
          <w:rPr>
            <w:color w:val="0000FF"/>
            <w:u w:val="single"/>
            <w:rtl/>
          </w:rPr>
          <w:t>)</w:t>
        </w:r>
      </w:hyperlink>
      <w:r>
        <w:rPr>
          <w:rFonts w:hint="cs"/>
          <w:rtl/>
        </w:rPr>
        <w:t xml:space="preserve"> ל</w:t>
      </w:r>
      <w:hyperlink r:id="rId41" w:history="1">
        <w:r w:rsidR="005644D6" w:rsidRPr="005644D6">
          <w:rPr>
            <w:rStyle w:val="Hyperlink"/>
            <w:rFonts w:hint="eastAsia"/>
            <w:rtl/>
          </w:rPr>
          <w:t>חוק</w:t>
        </w:r>
        <w:r w:rsidR="005644D6" w:rsidRPr="005644D6">
          <w:rPr>
            <w:rStyle w:val="Hyperlink"/>
            <w:rtl/>
          </w:rPr>
          <w:t xml:space="preserve"> </w:t>
        </w:r>
        <w:r w:rsidR="005644D6" w:rsidRPr="005644D6">
          <w:rPr>
            <w:rStyle w:val="Hyperlink"/>
            <w:rFonts w:hint="eastAsia"/>
            <w:rtl/>
          </w:rPr>
          <w:t>העונשין</w:t>
        </w:r>
      </w:hyperlink>
      <w:r>
        <w:rPr>
          <w:rFonts w:hint="cs"/>
          <w:rtl/>
        </w:rPr>
        <w:t xml:space="preserve">, בנסיבות </w:t>
      </w:r>
      <w:hyperlink r:id="rId42" w:history="1">
        <w:r w:rsidR="00D447FF" w:rsidRPr="00D447FF">
          <w:rPr>
            <w:rFonts w:hint="eastAsia"/>
            <w:color w:val="0000FF"/>
            <w:u w:val="single"/>
            <w:rtl/>
          </w:rPr>
          <w:t>סעיף</w:t>
        </w:r>
        <w:r w:rsidR="00D447FF" w:rsidRPr="00D447FF">
          <w:rPr>
            <w:color w:val="0000FF"/>
            <w:u w:val="single"/>
            <w:rtl/>
          </w:rPr>
          <w:t xml:space="preserve"> 345(</w:t>
        </w:r>
        <w:r w:rsidR="00D447FF" w:rsidRPr="00D447FF">
          <w:rPr>
            <w:rFonts w:hint="eastAsia"/>
            <w:color w:val="0000FF"/>
            <w:u w:val="single"/>
            <w:rtl/>
          </w:rPr>
          <w:t>ב</w:t>
        </w:r>
        <w:r w:rsidR="00D447FF" w:rsidRPr="00D447FF">
          <w:rPr>
            <w:color w:val="0000FF"/>
            <w:u w:val="single"/>
            <w:rtl/>
          </w:rPr>
          <w:t>)(3)(4)(5)</w:t>
        </w:r>
      </w:hyperlink>
      <w:r>
        <w:rPr>
          <w:rFonts w:hint="cs"/>
          <w:rtl/>
        </w:rPr>
        <w:t xml:space="preserve"> בשל הורדת  בגדיה של המתלוננת וזאת מכח </w:t>
      </w:r>
      <w:hyperlink r:id="rId43" w:history="1">
        <w:r w:rsidR="00D447FF" w:rsidRPr="00D447FF">
          <w:rPr>
            <w:rFonts w:hint="eastAsia"/>
            <w:color w:val="0000FF"/>
            <w:u w:val="single"/>
            <w:rtl/>
          </w:rPr>
          <w:t>סעיף</w:t>
        </w:r>
        <w:r w:rsidR="00D447FF" w:rsidRPr="00D447FF">
          <w:rPr>
            <w:color w:val="0000FF"/>
            <w:u w:val="single"/>
            <w:rtl/>
          </w:rPr>
          <w:t xml:space="preserve"> 184</w:t>
        </w:r>
      </w:hyperlink>
      <w:r>
        <w:rPr>
          <w:rFonts w:hint="cs"/>
          <w:rtl/>
        </w:rPr>
        <w:t xml:space="preserve"> ל</w:t>
      </w:r>
      <w:hyperlink r:id="rId44" w:history="1">
        <w:r w:rsidR="005644D6" w:rsidRPr="005644D6">
          <w:rPr>
            <w:rStyle w:val="Hyperlink"/>
            <w:rFonts w:hint="eastAsia"/>
            <w:rtl/>
          </w:rPr>
          <w:t>חוק</w:t>
        </w:r>
        <w:r w:rsidR="005644D6" w:rsidRPr="005644D6">
          <w:rPr>
            <w:rStyle w:val="Hyperlink"/>
            <w:rtl/>
          </w:rPr>
          <w:t xml:space="preserve"> </w:t>
        </w:r>
        <w:r w:rsidR="005644D6" w:rsidRPr="005644D6">
          <w:rPr>
            <w:rStyle w:val="Hyperlink"/>
            <w:rFonts w:hint="eastAsia"/>
            <w:rtl/>
          </w:rPr>
          <w:t>סדר</w:t>
        </w:r>
        <w:r w:rsidR="005644D6" w:rsidRPr="005644D6">
          <w:rPr>
            <w:rStyle w:val="Hyperlink"/>
            <w:rtl/>
          </w:rPr>
          <w:t xml:space="preserve"> </w:t>
        </w:r>
        <w:r w:rsidR="005644D6" w:rsidRPr="005644D6">
          <w:rPr>
            <w:rStyle w:val="Hyperlink"/>
            <w:rFonts w:hint="eastAsia"/>
            <w:rtl/>
          </w:rPr>
          <w:t>הדין</w:t>
        </w:r>
        <w:r w:rsidR="005644D6" w:rsidRPr="005644D6">
          <w:rPr>
            <w:rStyle w:val="Hyperlink"/>
            <w:rtl/>
          </w:rPr>
          <w:t xml:space="preserve"> </w:t>
        </w:r>
        <w:r w:rsidR="005644D6" w:rsidRPr="005644D6">
          <w:rPr>
            <w:rStyle w:val="Hyperlink"/>
            <w:rFonts w:hint="eastAsia"/>
            <w:rtl/>
          </w:rPr>
          <w:t>הפלילי</w:t>
        </w:r>
      </w:hyperlink>
      <w:r w:rsidR="001B74FB" w:rsidRPr="00C76660">
        <w:rPr>
          <w:color w:val="000000"/>
          <w:rtl/>
        </w:rPr>
        <w:t xml:space="preserve"> [נוסח משולב]</w:t>
      </w:r>
      <w:r>
        <w:rPr>
          <w:rFonts w:hint="cs"/>
          <w:rtl/>
        </w:rPr>
        <w:t>, התשמ"ב-1982.</w:t>
      </w:r>
    </w:p>
    <w:p w14:paraId="6510F208" w14:textId="77777777" w:rsidR="00C17DCE" w:rsidRDefault="00C17DCE">
      <w:pPr>
        <w:jc w:val="both"/>
        <w:rPr>
          <w:rtl/>
        </w:rPr>
      </w:pPr>
    </w:p>
    <w:p w14:paraId="5622152A" w14:textId="77777777" w:rsidR="00C17DCE" w:rsidRDefault="00C17DCE">
      <w:pPr>
        <w:jc w:val="both"/>
        <w:rPr>
          <w:rtl/>
        </w:rPr>
      </w:pPr>
    </w:p>
    <w:p w14:paraId="7492DA8D" w14:textId="77777777" w:rsidR="00C17DCE" w:rsidRDefault="00C17DCE">
      <w:pPr>
        <w:jc w:val="both"/>
      </w:pPr>
    </w:p>
    <w:p w14:paraId="40D73B73" w14:textId="77777777" w:rsidR="00C17DCE" w:rsidRDefault="00D759EB">
      <w:pPr>
        <w:numPr>
          <w:ilvl w:val="0"/>
          <w:numId w:val="7"/>
        </w:numPr>
        <w:spacing w:line="360" w:lineRule="auto"/>
        <w:jc w:val="both"/>
        <w:rPr>
          <w:u w:val="single"/>
          <w:rtl/>
        </w:rPr>
      </w:pPr>
      <w:r>
        <w:rPr>
          <w:rFonts w:hint="cs"/>
          <w:rtl/>
        </w:rPr>
        <w:t xml:space="preserve">בשלב ראשון אנתח את הממצאים האובייקטיבים: ממצאי </w:t>
      </w:r>
      <w:r>
        <w:rPr>
          <w:sz w:val="20"/>
          <w:szCs w:val="20"/>
        </w:rPr>
        <w:t>DNA</w:t>
      </w:r>
      <w:r>
        <w:rPr>
          <w:rFonts w:hint="cs"/>
          <w:rtl/>
        </w:rPr>
        <w:t xml:space="preserve"> ומחקרי התקשורת.    בהתאם לכך יש לקבוע מי נכח בדירה בעת ביצוע העבירות. אם ייקבע כי שני הנאשמים נכחו בדירה, ומאחר ואין מחלוקת כי שני מבצעי העבירה פעלו בצוותא חדא, תבחן הוכחת העבירות במשותף לגבי שניהם. כמובן שאם ייקבע כי נאשם 2 לא נכח בדירה ייבחן חלקו של כל נאשם בהתאם לראיות שהוצגו. </w:t>
      </w:r>
    </w:p>
    <w:p w14:paraId="1C1077BB" w14:textId="77777777" w:rsidR="00C17DCE" w:rsidRDefault="00C17DCE">
      <w:pPr>
        <w:jc w:val="both"/>
      </w:pPr>
    </w:p>
    <w:p w14:paraId="3ECE0951" w14:textId="77777777" w:rsidR="00C17DCE" w:rsidRDefault="00D759EB">
      <w:pPr>
        <w:spacing w:line="360" w:lineRule="auto"/>
        <w:ind w:firstLine="511"/>
        <w:jc w:val="both"/>
        <w:rPr>
          <w:u w:val="single"/>
          <w:rtl/>
        </w:rPr>
      </w:pPr>
      <w:r>
        <w:rPr>
          <w:rFonts w:hint="cs"/>
          <w:u w:val="single"/>
          <w:rtl/>
        </w:rPr>
        <w:t>כובעי הגרב והכפפות</w:t>
      </w:r>
    </w:p>
    <w:p w14:paraId="01482DBD" w14:textId="77777777" w:rsidR="00C17DCE" w:rsidRDefault="00D759EB">
      <w:pPr>
        <w:numPr>
          <w:ilvl w:val="0"/>
          <w:numId w:val="7"/>
        </w:numPr>
        <w:spacing w:line="360" w:lineRule="auto"/>
        <w:jc w:val="both"/>
      </w:pPr>
      <w:r>
        <w:rPr>
          <w:rFonts w:hint="cs"/>
          <w:rtl/>
        </w:rPr>
        <w:t>ביום 21.6.2010 בפארק ציבורי, בסמוך לבית המתלוננת מצא עובר אורח שני כובעי גרב ושתי כפפות כשהם צמודים אחד לשני, (ראו תמונות ת/1, ת/2, מפת האזור ת/3 ועמוד 10 לפרוטוקול שורה 21).</w:t>
      </w:r>
    </w:p>
    <w:p w14:paraId="490F5FCF" w14:textId="77777777" w:rsidR="00C17DCE" w:rsidRDefault="00C17DCE">
      <w:pPr>
        <w:jc w:val="both"/>
      </w:pPr>
    </w:p>
    <w:p w14:paraId="6DDB7239" w14:textId="77777777" w:rsidR="00C17DCE" w:rsidRDefault="00D759EB">
      <w:pPr>
        <w:numPr>
          <w:ilvl w:val="0"/>
          <w:numId w:val="7"/>
        </w:numPr>
        <w:spacing w:line="360" w:lineRule="auto"/>
        <w:jc w:val="both"/>
      </w:pPr>
      <w:r>
        <w:rPr>
          <w:rFonts w:hint="cs"/>
          <w:rtl/>
        </w:rPr>
        <w:t>לכובע גרב אחד פתח גדול אחד באזור הפנים (ת/33 ותמונה ת/31ח') ועל כן כונה "הכובע הפתוח" ולכובע השני שלושה חורים (שניים לעיניים ואחד לפה), ועל כן כונה "הכובע הסגור", (ראו ת/33א, תמונה ת/31ח, הכפפות סומנו ת/34).</w:t>
      </w:r>
    </w:p>
    <w:p w14:paraId="16B9DAD6" w14:textId="77777777" w:rsidR="00C17DCE" w:rsidRDefault="00C17DCE">
      <w:pPr>
        <w:jc w:val="both"/>
      </w:pPr>
    </w:p>
    <w:p w14:paraId="730D0D65" w14:textId="77777777" w:rsidR="00C17DCE" w:rsidRDefault="00D759EB">
      <w:pPr>
        <w:numPr>
          <w:ilvl w:val="0"/>
          <w:numId w:val="7"/>
        </w:numPr>
        <w:spacing w:line="360" w:lineRule="auto"/>
        <w:jc w:val="both"/>
        <w:rPr>
          <w:rtl/>
        </w:rPr>
      </w:pPr>
      <w:r>
        <w:rPr>
          <w:rFonts w:hint="cs"/>
          <w:rtl/>
        </w:rPr>
        <w:t>לימור ויינרב מהמעבדה הביולוגית במטה הארצי בדקה את הכובעים, הכפפות ואת חזיית המתלוננת שנמצאה בדירה, (ת/35). בפתח עדותה הסבירה המומחית את שיטת העבודה שלה על מנת למנוע טעויות ולדבריה "</w:t>
      </w:r>
      <w:r>
        <w:rPr>
          <w:rFonts w:cs="Miriam" w:hint="cs"/>
          <w:rtl/>
        </w:rPr>
        <w:t>למעשה, החשודים נדגמו שלוש פעמים בצורה בלתי תלויה אחד בשני"</w:t>
      </w:r>
      <w:r>
        <w:rPr>
          <w:rFonts w:hint="cs"/>
          <w:rtl/>
        </w:rPr>
        <w:t xml:space="preserve">, (עמוד 73 שורה 30) וכי </w:t>
      </w:r>
      <w:r>
        <w:rPr>
          <w:rFonts w:cs="Miriam" w:hint="cs"/>
          <w:rtl/>
        </w:rPr>
        <w:t>"כאשר מגיע מוצג, אני הופכת אותו על מנת לדגום את האיזור הפנימי"</w:t>
      </w:r>
      <w:r>
        <w:rPr>
          <w:rFonts w:hint="cs"/>
          <w:rtl/>
        </w:rPr>
        <w:t>, (עמוד 74 שורה 6 לפרוטוקול), בהמשך תארה גם דגימה מהחלק החיצוני של הכובע (עמוד 81 שורה 19 לפרוטוקול).</w:t>
      </w:r>
    </w:p>
    <w:p w14:paraId="56C7CABC" w14:textId="77777777" w:rsidR="00C17DCE" w:rsidRDefault="00C17DCE">
      <w:pPr>
        <w:jc w:val="both"/>
      </w:pPr>
    </w:p>
    <w:p w14:paraId="49B96FA1" w14:textId="77777777" w:rsidR="00C17DCE" w:rsidRDefault="00D759EB">
      <w:pPr>
        <w:numPr>
          <w:ilvl w:val="0"/>
          <w:numId w:val="7"/>
        </w:numPr>
        <w:spacing w:line="360" w:lineRule="auto"/>
        <w:jc w:val="both"/>
        <w:rPr>
          <w:rtl/>
        </w:rPr>
      </w:pPr>
      <w:r>
        <w:rPr>
          <w:rFonts w:hint="cs"/>
          <w:rtl/>
        </w:rPr>
        <w:t>בבדיקה ביוכימית שערכה המומחית "</w:t>
      </w:r>
      <w:r>
        <w:rPr>
          <w:rFonts w:cs="Miriam" w:hint="cs"/>
          <w:rtl/>
        </w:rPr>
        <w:t>לנוכחות חומר חשוד כדם סמוי מהעין (</w:t>
      </w:r>
      <w:r>
        <w:rPr>
          <w:rFonts w:cs="Miriam"/>
        </w:rPr>
        <w:t>blue star</w:t>
      </w:r>
      <w:r>
        <w:rPr>
          <w:rFonts w:cs="Miriam" w:hint="cs"/>
          <w:rtl/>
        </w:rPr>
        <w:t>), שנערכה על הצד החיצוני של כובעי הצמר והכפפות נתגלה דם סמוי"</w:t>
      </w:r>
      <w:r>
        <w:rPr>
          <w:rFonts w:hint="cs"/>
          <w:rtl/>
        </w:rPr>
        <w:t xml:space="preserve">, (ת/31ה' סעיף 1 עמ' 4). בדיקת הפרופיל הגנטי שלו הראתה כי על כובע הגרב  "הפתוח" ועל כל אחת מהכפפות נמצאו סימני </w:t>
      </w:r>
      <w:r>
        <w:rPr>
          <w:sz w:val="20"/>
          <w:szCs w:val="20"/>
        </w:rPr>
        <w:t>DNA</w:t>
      </w:r>
      <w:r>
        <w:rPr>
          <w:rFonts w:hint="cs"/>
          <w:rtl/>
        </w:rPr>
        <w:t xml:space="preserve"> של המתלוננת בהסתברות של אחד ליותר ממיליארד פרטים (ת/31ה, סעיף 1.2.1 עמ' 5, סעיף 3.1.1, סעיף 4.1.1 עמוד 6 ועמוד 8 לחוות הדעת ועמוד 77 לפרוטוקול שורה 12). משכך מסקנתי הינה-כובעי הגרב והכפפות שימשו את מבצעי העבירות בדירת המתלוננת.</w:t>
      </w:r>
    </w:p>
    <w:p w14:paraId="69FC4B74" w14:textId="77777777" w:rsidR="00C17DCE" w:rsidRDefault="00C17DCE">
      <w:pPr>
        <w:spacing w:line="360" w:lineRule="auto"/>
        <w:jc w:val="both"/>
        <w:rPr>
          <w:rtl/>
        </w:rPr>
      </w:pPr>
    </w:p>
    <w:p w14:paraId="0EE7846D" w14:textId="77777777" w:rsidR="00C17DCE" w:rsidRDefault="00D759EB">
      <w:pPr>
        <w:numPr>
          <w:ilvl w:val="0"/>
          <w:numId w:val="7"/>
        </w:numPr>
        <w:spacing w:line="360" w:lineRule="auto"/>
        <w:jc w:val="both"/>
      </w:pPr>
      <w:r>
        <w:rPr>
          <w:rFonts w:hint="cs"/>
          <w:rtl/>
        </w:rPr>
        <w:t xml:space="preserve">בנוסף, בדיקת כובע הגרב הפתוח הראתה כי "הפרופיל הבולט בתערובת תואם את פרופיל  </w:t>
      </w:r>
      <w:r>
        <w:rPr>
          <w:rtl/>
        </w:rPr>
        <w:br/>
      </w:r>
      <w:r>
        <w:rPr>
          <w:rFonts w:hint="cs"/>
          <w:rtl/>
        </w:rPr>
        <w:t>ה-</w:t>
      </w:r>
      <w:r>
        <w:rPr>
          <w:sz w:val="20"/>
          <w:szCs w:val="20"/>
        </w:rPr>
        <w:t>DNA</w:t>
      </w:r>
      <w:r>
        <w:rPr>
          <w:rFonts w:hint="cs"/>
          <w:rtl/>
        </w:rPr>
        <w:t xml:space="preserve"> המיוחס" לנאשם 1 או לכל אדם אחר בעל פרופיל זה בשכיחות של אחד ליותר ממיליארד פרטים, (סעיפים 1.1 ו-6 לחוות הדעת, ת/31ה' עמודים 6-5). </w:t>
      </w:r>
    </w:p>
    <w:p w14:paraId="62CFF08F" w14:textId="77777777" w:rsidR="00C17DCE" w:rsidRDefault="00D759EB">
      <w:pPr>
        <w:spacing w:line="360" w:lineRule="auto"/>
        <w:ind w:left="585"/>
        <w:jc w:val="both"/>
        <w:rPr>
          <w:rtl/>
        </w:rPr>
      </w:pPr>
      <w:r>
        <w:rPr>
          <w:rFonts w:hint="cs"/>
          <w:rtl/>
        </w:rPr>
        <w:t>אזכיר כי נאשם 1 מודה כי נכח בדירה וכי הגיע לדירה עם כובע גרב אותו חבש בשלב מסוים, המתלוננת זיהתה במסדר תמונות ובבית המשפט את נאשם 1 כאחד מתוקפיה. כך שניתן לקבוע כי נאשם 1 נכח בדירה ועשה שימוש בכובע הגרב הפתוח עליו נמצאו סימני דם של המתלוננת.</w:t>
      </w:r>
    </w:p>
    <w:p w14:paraId="5E4C892C" w14:textId="77777777" w:rsidR="00C17DCE" w:rsidRDefault="00C17DCE">
      <w:pPr>
        <w:spacing w:line="360" w:lineRule="auto"/>
        <w:jc w:val="both"/>
      </w:pPr>
    </w:p>
    <w:p w14:paraId="3937340D" w14:textId="77777777" w:rsidR="00C17DCE" w:rsidRDefault="00D759EB">
      <w:pPr>
        <w:numPr>
          <w:ilvl w:val="0"/>
          <w:numId w:val="7"/>
        </w:numPr>
        <w:spacing w:line="360" w:lineRule="auto"/>
        <w:jc w:val="both"/>
        <w:rPr>
          <w:rtl/>
        </w:rPr>
      </w:pPr>
      <w:r>
        <w:rPr>
          <w:rFonts w:hint="cs"/>
          <w:rtl/>
        </w:rPr>
        <w:t xml:space="preserve">בדיקת כובע הגרב הסגור הראתה כי "בחומר שנדגם מאזור פנים הכובע, אזורים 1,2 התקבל פרופיל </w:t>
      </w:r>
      <w:r>
        <w:rPr>
          <w:sz w:val="20"/>
          <w:szCs w:val="20"/>
        </w:rPr>
        <w:t>DNA</w:t>
      </w:r>
      <w:r>
        <w:rPr>
          <w:rFonts w:hint="cs"/>
          <w:rtl/>
        </w:rPr>
        <w:t xml:space="preserve"> זהה התואם את פרופיל ה-</w:t>
      </w:r>
      <w:r>
        <w:rPr>
          <w:sz w:val="20"/>
          <w:szCs w:val="20"/>
        </w:rPr>
        <w:t>DNA</w:t>
      </w:r>
      <w:r>
        <w:rPr>
          <w:rFonts w:hint="cs"/>
          <w:rtl/>
        </w:rPr>
        <w:t xml:space="preserve">" של נאשם 2 או כל אדם אחר בעל פרופיל זה וההערכה הסטטיסטית היא סיכוי של יותר מאחד ממיליארד פרטים לקיומו של אדם אחר שכזה (ת/31ה' סעיפים 2.1 ו-6 עמוד 6-5), יובהר כי אזורים 1,2 כמתואר בתרשים ת/31ד' הם באיזור הפנימי של הפתח המיועד לפה. </w:t>
      </w:r>
    </w:p>
    <w:p w14:paraId="15D4B31D" w14:textId="77777777" w:rsidR="00C17DCE" w:rsidRDefault="00C17DCE">
      <w:pPr>
        <w:jc w:val="both"/>
      </w:pPr>
    </w:p>
    <w:p w14:paraId="1BE81197" w14:textId="77777777" w:rsidR="00C17DCE" w:rsidRDefault="00D759EB">
      <w:pPr>
        <w:numPr>
          <w:ilvl w:val="0"/>
          <w:numId w:val="7"/>
        </w:numPr>
        <w:spacing w:line="360" w:lineRule="auto"/>
        <w:jc w:val="both"/>
      </w:pPr>
      <w:r>
        <w:rPr>
          <w:rFonts w:hint="cs"/>
          <w:rtl/>
        </w:rPr>
        <w:t>דגימה באזור 3, איזור פנימי של הפתחים המיועדים לעיניים הראתה כי "לא ניתן לשלול" תרומתו של נאשם 2 למדגם, המומחית לימור ויינרב הסבירה זאת בעדותה:</w:t>
      </w:r>
    </w:p>
    <w:p w14:paraId="30F78E38" w14:textId="77777777" w:rsidR="00C17DCE" w:rsidRDefault="00C17DCE">
      <w:pPr>
        <w:jc w:val="both"/>
        <w:rPr>
          <w:rtl/>
        </w:rPr>
      </w:pPr>
    </w:p>
    <w:p w14:paraId="2417D54F" w14:textId="77777777" w:rsidR="00C17DCE" w:rsidRDefault="00D759EB">
      <w:pPr>
        <w:ind w:left="945" w:right="1080"/>
        <w:jc w:val="both"/>
        <w:rPr>
          <w:rFonts w:cs="Miriam"/>
        </w:rPr>
      </w:pPr>
      <w:r>
        <w:rPr>
          <w:rFonts w:hint="cs"/>
          <w:rtl/>
        </w:rPr>
        <w:t>"</w:t>
      </w:r>
      <w:r>
        <w:rPr>
          <w:rFonts w:cs="Miriam" w:hint="cs"/>
          <w:rtl/>
        </w:rPr>
        <w:t>ואכן, בשני צידי האזור הפתוח למטה, כנראה מאזור הפה, התקבל פרופיל די.אן.אי   התואם לנאשם 2 בסטטיסטיקה של 1 למיליארד. ....</w:t>
      </w:r>
    </w:p>
    <w:p w14:paraId="415EFECE" w14:textId="77777777" w:rsidR="00C17DCE" w:rsidRDefault="00D759EB">
      <w:pPr>
        <w:ind w:left="945" w:right="1080"/>
        <w:jc w:val="both"/>
        <w:rPr>
          <w:rFonts w:cs="Miriam"/>
        </w:rPr>
      </w:pPr>
      <w:r>
        <w:rPr>
          <w:rFonts w:cs="Miriam" w:hint="cs"/>
          <w:rtl/>
        </w:rPr>
        <w:t xml:space="preserve">ש. באזורים אלה של הפה, האם מצאת אינדיקציה לאדם נוסף? </w:t>
      </w:r>
    </w:p>
    <w:p w14:paraId="74620D22" w14:textId="77777777" w:rsidR="00C17DCE" w:rsidRDefault="00D759EB">
      <w:pPr>
        <w:ind w:left="945" w:right="1080"/>
        <w:jc w:val="both"/>
        <w:rPr>
          <w:rtl/>
        </w:rPr>
      </w:pPr>
      <w:r>
        <w:rPr>
          <w:rFonts w:cs="Miriam" w:hint="cs"/>
          <w:rtl/>
        </w:rPr>
        <w:t>ת. באזורים שאני דגמתי, לא מצאתי אינדיקציה לפרט נוסף"</w:t>
      </w:r>
      <w:r>
        <w:rPr>
          <w:rFonts w:hint="cs"/>
          <w:rtl/>
        </w:rPr>
        <w:t xml:space="preserve"> (עמוד 74 לפרוטוקול שורה 24).</w:t>
      </w:r>
    </w:p>
    <w:p w14:paraId="709ECB8F" w14:textId="77777777" w:rsidR="00C17DCE" w:rsidRDefault="00C17DCE">
      <w:pPr>
        <w:ind w:left="1080"/>
        <w:jc w:val="both"/>
        <w:rPr>
          <w:rtl/>
        </w:rPr>
      </w:pPr>
    </w:p>
    <w:p w14:paraId="16F410AE" w14:textId="77777777" w:rsidR="00C17DCE" w:rsidRDefault="00D759EB">
      <w:pPr>
        <w:numPr>
          <w:ilvl w:val="0"/>
          <w:numId w:val="7"/>
        </w:numPr>
        <w:spacing w:line="360" w:lineRule="auto"/>
        <w:jc w:val="both"/>
        <w:rPr>
          <w:rFonts w:cs="Miriam"/>
          <w:rtl/>
        </w:rPr>
      </w:pPr>
      <w:r>
        <w:rPr>
          <w:rFonts w:hint="cs"/>
          <w:rtl/>
        </w:rPr>
        <w:t xml:space="preserve">אין מחלוקת כי באיזור 3 נמצאו ממצאי </w:t>
      </w:r>
      <w:r>
        <w:rPr>
          <w:sz w:val="20"/>
          <w:szCs w:val="20"/>
        </w:rPr>
        <w:t>DNA</w:t>
      </w:r>
      <w:r>
        <w:rPr>
          <w:rFonts w:hint="cs"/>
          <w:rtl/>
        </w:rPr>
        <w:t xml:space="preserve"> רק ב-2 אתרים מתוך 10, המומחית הסבירה (עמוד 81 לפרוטוקול שורה 24) כי לא היה באיזור 3 מספיק חומר לאפיון פרופיל מלא או לבצוע השוואה. זו קביעת המומחית ואין חוות דעת של מומחה אחר. למרות זאת ב"כ נאשם 2 מנסה בסיכומיו (עמוד 16 פיסקה ראשונה) לבצע כ</w:t>
      </w:r>
      <w:r>
        <w:rPr>
          <w:rFonts w:cs="Miriam" w:hint="cs"/>
          <w:rtl/>
        </w:rPr>
        <w:t xml:space="preserve">"מומחה" </w:t>
      </w:r>
      <w:r>
        <w:rPr>
          <w:rFonts w:hint="cs"/>
          <w:rtl/>
        </w:rPr>
        <w:t xml:space="preserve">השוואה במקום בו אין די נתונים ומגיע למסקנה </w:t>
      </w:r>
      <w:r>
        <w:rPr>
          <w:rFonts w:cs="Miriam" w:hint="cs"/>
          <w:rtl/>
        </w:rPr>
        <w:t xml:space="preserve">"אדם אחר שאינו הנאשם הותיר חומר גנטי באיזור זה...". </w:t>
      </w:r>
    </w:p>
    <w:p w14:paraId="2C30B40F" w14:textId="77777777" w:rsidR="00C17DCE" w:rsidRDefault="00C17DCE">
      <w:pPr>
        <w:jc w:val="both"/>
      </w:pPr>
    </w:p>
    <w:p w14:paraId="63787CE9" w14:textId="77777777" w:rsidR="00C17DCE" w:rsidRDefault="00D759EB">
      <w:pPr>
        <w:spacing w:line="360" w:lineRule="auto"/>
        <w:ind w:left="511"/>
        <w:jc w:val="both"/>
        <w:rPr>
          <w:rtl/>
        </w:rPr>
      </w:pPr>
      <w:r>
        <w:rPr>
          <w:rFonts w:hint="cs"/>
          <w:rtl/>
        </w:rPr>
        <w:t xml:space="preserve">לא רק שב"כ הנאשם 2 אינו יכול להעיד בסיכומיו כמומחה ולהסיק מסקנות גם כשחסר הפרט הסטטיסטי באשר למשמעות קיום נתונים רק ב-2 אתרים מתוך 10. הנתונים שמציג ב"כ נאשם 2 בעמ' 16 לסיכומיו שגויים. שני האתרים בהם נמצא ממצא באזור 3 הם:        </w:t>
      </w:r>
      <w:r>
        <w:rPr>
          <w:sz w:val="20"/>
          <w:szCs w:val="20"/>
        </w:rPr>
        <w:t>D16S539 D8S1179</w:t>
      </w:r>
      <w:r>
        <w:t xml:space="preserve">  </w:t>
      </w:r>
      <w:r>
        <w:rPr>
          <w:rFonts w:hint="cs"/>
          <w:rtl/>
        </w:rPr>
        <w:t xml:space="preserve"> (ראו טבלה בעמוד 10 לחוות הדעת) ובניגוד לנטען בסיכומיו, נתוני נאשם 2 תואמים לחלוטין את הממצאים בשני אתרים אלו (ראו שורה אחרונה לטבלה בעמוד 12), עובדה שהביאה את המומחית למסקנה כי לא ניתן לשלול כי נאשם 2 הוא המקור לאותם נתונים גם באיזור 3.</w:t>
      </w:r>
    </w:p>
    <w:p w14:paraId="205CF234" w14:textId="77777777" w:rsidR="00C17DCE" w:rsidRDefault="00C17DCE">
      <w:pPr>
        <w:spacing w:line="360" w:lineRule="auto"/>
        <w:ind w:left="511"/>
        <w:jc w:val="both"/>
      </w:pPr>
    </w:p>
    <w:p w14:paraId="28C47C86" w14:textId="77777777" w:rsidR="00C17DCE" w:rsidRDefault="00D759EB">
      <w:pPr>
        <w:numPr>
          <w:ilvl w:val="0"/>
          <w:numId w:val="7"/>
        </w:numPr>
        <w:spacing w:line="360" w:lineRule="auto"/>
        <w:jc w:val="both"/>
        <w:rPr>
          <w:rtl/>
        </w:rPr>
      </w:pPr>
      <w:r>
        <w:rPr>
          <w:rFonts w:hint="cs"/>
          <w:rtl/>
        </w:rPr>
        <w:t>המומחית בדקה את הכובע גם באזור הקודקוד, אזור מס' 4, לגביו התקבלה "</w:t>
      </w:r>
      <w:r>
        <w:rPr>
          <w:rFonts w:cs="Miriam" w:hint="cs"/>
          <w:rtl/>
        </w:rPr>
        <w:t>תערובת של פרופילים, המשמעות היא שכמה פרטים השאירו חומר ביולוגי על איזור זה</w:t>
      </w:r>
      <w:r>
        <w:rPr>
          <w:rFonts w:hint="cs"/>
          <w:rtl/>
        </w:rPr>
        <w:t>", (עמוד 75 לפרוטוקול שורה 3), תוך הדגשה כי לאדם אחד היה פרופיל בולט שתרם חומר ל-9 מתוך 10 אתרים והוסיפה "</w:t>
      </w:r>
      <w:r>
        <w:rPr>
          <w:rFonts w:ascii="Courier" w:hAnsi="Courier" w:cs="Miriam"/>
          <w:rtl/>
        </w:rPr>
        <w:t>הפרופיל ב- 9 מתוך 10 אתרים, פרופיל זהה לזה של הנאשם 2</w:t>
      </w:r>
      <w:r>
        <w:rPr>
          <w:rFonts w:hint="cs"/>
          <w:rtl/>
        </w:rPr>
        <w:t>", (עמוד 75 לפרוטוקול שורה 20)  וכי די בקבלת פרופיל ב-8 אתרים כדי להגיע לאותו גילוי לגבי נאשם 2, (עמוד 83 לפרוטוקול שורה 6). [ב"כ נאשם 2 בעמוד 13 לסיכומיו מתעלם משום מה מממצאים אלו].</w:t>
      </w:r>
    </w:p>
    <w:p w14:paraId="14E9ED09" w14:textId="77777777" w:rsidR="00C17DCE" w:rsidRDefault="00C17DCE">
      <w:pPr>
        <w:spacing w:line="360" w:lineRule="auto"/>
        <w:jc w:val="both"/>
      </w:pPr>
    </w:p>
    <w:p w14:paraId="6D372944" w14:textId="77777777" w:rsidR="00C17DCE" w:rsidRDefault="00D759EB">
      <w:pPr>
        <w:numPr>
          <w:ilvl w:val="0"/>
          <w:numId w:val="7"/>
        </w:numPr>
        <w:spacing w:line="360" w:lineRule="auto"/>
        <w:jc w:val="both"/>
        <w:rPr>
          <w:rtl/>
        </w:rPr>
      </w:pPr>
      <w:r>
        <w:rPr>
          <w:rFonts w:hint="cs"/>
          <w:rtl/>
        </w:rPr>
        <w:t xml:space="preserve">בדיקת כפפת הצמר הראשונה בחלקה הפנימי הראתה כי "לא ניתן לשלול תרומתו" של נאשם 2 לממצאים באזור פנימי 3 (אזור פרק היד), (ראו תרשים ת/31ד וחוות הדעת ת/31ה' סעיף 3.2.1). בדיקת כפפת הצמר השנייה בחלקה  הפנימי הראתה כי </w:t>
      </w:r>
      <w:r>
        <w:rPr>
          <w:rFonts w:cs="Miriam" w:hint="cs"/>
          <w:rtl/>
        </w:rPr>
        <w:t>"לא ניתן לשלול או לחייב את תרומתו של נאשם 2 לממצאים באזור פנימי 2"</w:t>
      </w:r>
      <w:r>
        <w:rPr>
          <w:rFonts w:hint="cs"/>
          <w:rtl/>
        </w:rPr>
        <w:t>, (המגע של קצה האצבע הפנימי עם הכפפה, ראו תרשים ת/31ד וחוות הדעת ת/31 ה' סעיף 4.2.2 וסעיף 2 עמ' 8).</w:t>
      </w:r>
    </w:p>
    <w:p w14:paraId="7836FBFA" w14:textId="77777777" w:rsidR="00C17DCE" w:rsidRDefault="00C17DCE">
      <w:pPr>
        <w:spacing w:line="360" w:lineRule="auto"/>
        <w:jc w:val="both"/>
      </w:pPr>
    </w:p>
    <w:p w14:paraId="706DA3C6" w14:textId="77777777" w:rsidR="00C17DCE" w:rsidRDefault="00D759EB">
      <w:pPr>
        <w:numPr>
          <w:ilvl w:val="0"/>
          <w:numId w:val="7"/>
        </w:numPr>
        <w:spacing w:line="360" w:lineRule="auto"/>
        <w:jc w:val="both"/>
        <w:rPr>
          <w:rtl/>
        </w:rPr>
      </w:pPr>
      <w:r>
        <w:rPr>
          <w:rFonts w:hint="cs"/>
          <w:rtl/>
        </w:rPr>
        <w:t>בעדותה הסבירה מומחית המעבדה הביולוגית את מהותה של המסקנה "לא ניתן לשלול" כך ש"</w:t>
      </w:r>
      <w:r>
        <w:rPr>
          <w:rFonts w:cs="Miriam" w:hint="cs"/>
          <w:rtl/>
        </w:rPr>
        <w:t>לפי ניתוח התערובת, לא יכולתי לשלול אותו אבל אני גם לא יכולה להגיד בוודאות בסטטיסטיקה שהוא שם</w:t>
      </w:r>
      <w:r>
        <w:rPr>
          <w:rFonts w:hint="cs"/>
          <w:rtl/>
        </w:rPr>
        <w:t>", (עמוד 83 לפרוטוקול שורה 26).</w:t>
      </w:r>
    </w:p>
    <w:p w14:paraId="3930C9CF" w14:textId="77777777" w:rsidR="00C17DCE" w:rsidRDefault="00C17DCE">
      <w:pPr>
        <w:spacing w:line="360" w:lineRule="auto"/>
        <w:jc w:val="both"/>
      </w:pPr>
    </w:p>
    <w:p w14:paraId="1FBACCD0" w14:textId="77777777" w:rsidR="00C17DCE" w:rsidRDefault="00D759EB">
      <w:pPr>
        <w:numPr>
          <w:ilvl w:val="0"/>
          <w:numId w:val="7"/>
        </w:numPr>
        <w:spacing w:line="360" w:lineRule="auto"/>
        <w:jc w:val="both"/>
      </w:pPr>
      <w:r>
        <w:rPr>
          <w:rFonts w:hint="cs"/>
          <w:rtl/>
        </w:rPr>
        <w:t xml:space="preserve">המומחית ערכה בדיקה נוספת לאפיון המרכיב הזכרי בתערובת באופן של בידוד כרומוזום </w:t>
      </w:r>
      <w:r>
        <w:t>Y</w:t>
      </w:r>
      <w:r>
        <w:rPr>
          <w:rFonts w:hint="cs"/>
          <w:rtl/>
        </w:rPr>
        <w:t xml:space="preserve">, פעולה הנעשית במקרה שבו מופיעים שני פרופילים אחד נקבי ואחד זכרי ובבדיקה זו מבודדים את הפרופיל הזכרי. ככל שמדובר בבדיקה הספציפית של כרומוזום </w:t>
      </w:r>
      <w:r>
        <w:t>Y</w:t>
      </w:r>
      <w:r>
        <w:rPr>
          <w:rFonts w:hint="cs"/>
          <w:rtl/>
        </w:rPr>
        <w:t xml:space="preserve">, נמצא כי ב-16 אתרים מתוך 17, קיימת זהות לנתוני נאשם 2 (ראו טבלה עמ' 13 לחוות הדעת ת/31ה) ומדובר בממצא שנדגם מאזור הפנימי 2 של הכפפה (קצה האצבע). אפנה להסברה של העדה לימור וינריב: </w:t>
      </w:r>
    </w:p>
    <w:p w14:paraId="5C500D65" w14:textId="77777777" w:rsidR="00C17DCE" w:rsidRDefault="00C17DCE">
      <w:pPr>
        <w:spacing w:line="360" w:lineRule="auto"/>
        <w:jc w:val="both"/>
        <w:rPr>
          <w:rtl/>
        </w:rPr>
      </w:pPr>
    </w:p>
    <w:p w14:paraId="061EC0A0" w14:textId="77777777" w:rsidR="00C17DCE" w:rsidRDefault="00D759EB">
      <w:pPr>
        <w:ind w:left="765" w:right="1080"/>
        <w:jc w:val="both"/>
      </w:pPr>
      <w:r>
        <w:rPr>
          <w:rFonts w:cs="Miriam" w:hint="cs"/>
          <w:rtl/>
        </w:rPr>
        <w:t xml:space="preserve">"וב- 16 אתרים הפרופיל הנ"ל כפי שניתן לראות בחוו"ד תואם לכל המאפיינים שאפיינתי מנאשם 2 גם אותו מכרומוזום </w:t>
      </w:r>
      <w:r>
        <w:rPr>
          <w:rFonts w:cs="Miriam"/>
          <w:sz w:val="20"/>
          <w:szCs w:val="20"/>
        </w:rPr>
        <w:t>Y</w:t>
      </w:r>
      <w:r>
        <w:rPr>
          <w:rFonts w:cs="Miriam" w:hint="cs"/>
          <w:rtl/>
        </w:rPr>
        <w:t xml:space="preserve">. אבל, המשמעות של כרומוזום </w:t>
      </w:r>
      <w:r>
        <w:rPr>
          <w:rFonts w:cs="Miriam"/>
          <w:sz w:val="20"/>
          <w:szCs w:val="20"/>
        </w:rPr>
        <w:t>Y</w:t>
      </w:r>
      <w:r>
        <w:rPr>
          <w:rFonts w:cs="Miriam" w:hint="cs"/>
          <w:sz w:val="20"/>
          <w:szCs w:val="20"/>
          <w:rtl/>
        </w:rPr>
        <w:t xml:space="preserve"> </w:t>
      </w:r>
      <w:r>
        <w:rPr>
          <w:rFonts w:cs="Miriam" w:hint="cs"/>
          <w:rtl/>
        </w:rPr>
        <w:t xml:space="preserve">אומרת שפרופיל זה יכול להיות משותף לכל שושלת האבהית, כלומר, הפרופיל הזה יכול להיות תואם גם לאח שלו, בן דוד, דוד, לאבא שלו וזה מכיוון שכרומוזום </w:t>
      </w:r>
      <w:r>
        <w:rPr>
          <w:rFonts w:cs="Miriam"/>
          <w:sz w:val="20"/>
          <w:szCs w:val="20"/>
        </w:rPr>
        <w:t>Y</w:t>
      </w:r>
      <w:r>
        <w:rPr>
          <w:rFonts w:cs="Miriam" w:hint="cs"/>
          <w:rtl/>
        </w:rPr>
        <w:t xml:space="preserve"> עובר מאב לבנים, לאורך כל השושלת. וזה מאפיין את השושלת האבהית זה לא חזק כמו פרופיל די.אן.אי גנומי", </w:t>
      </w:r>
      <w:r>
        <w:rPr>
          <w:rFonts w:hint="cs"/>
          <w:rtl/>
        </w:rPr>
        <w:t>(עמוד 77 לפרוטוקול שורה אחרונה ואילך)</w:t>
      </w:r>
      <w:r>
        <w:rPr>
          <w:rFonts w:cs="Miriam" w:hint="cs"/>
          <w:rtl/>
        </w:rPr>
        <w:t xml:space="preserve"> </w:t>
      </w:r>
      <w:r>
        <w:rPr>
          <w:rFonts w:hint="cs"/>
          <w:rtl/>
        </w:rPr>
        <w:t>ובהשוואה למדגם נוסף</w:t>
      </w:r>
      <w:r>
        <w:rPr>
          <w:rFonts w:cs="Miriam" w:hint="cs"/>
          <w:rtl/>
        </w:rPr>
        <w:t xml:space="preserve"> "נמצאה התאמה אחת נוספת לפרופיל</w:t>
      </w:r>
      <w:r>
        <w:rPr>
          <w:rFonts w:hint="cs"/>
          <w:rtl/>
        </w:rPr>
        <w:t xml:space="preserve"> </w:t>
      </w:r>
      <w:r>
        <w:rPr>
          <w:rFonts w:cs="Miriam" w:hint="cs"/>
          <w:rtl/>
        </w:rPr>
        <w:t>מכפפה</w:t>
      </w:r>
      <w:r>
        <w:rPr>
          <w:rFonts w:hint="cs"/>
          <w:rtl/>
        </w:rPr>
        <w:t>", ת/31ה סעיף 4 עמ' 9.</w:t>
      </w:r>
    </w:p>
    <w:p w14:paraId="64D060F0" w14:textId="77777777" w:rsidR="00C17DCE" w:rsidRDefault="00C17DCE">
      <w:pPr>
        <w:spacing w:line="360" w:lineRule="auto"/>
        <w:ind w:left="1080" w:right="360"/>
        <w:jc w:val="both"/>
        <w:rPr>
          <w:rtl/>
        </w:rPr>
      </w:pPr>
    </w:p>
    <w:p w14:paraId="2923B47A" w14:textId="77777777" w:rsidR="00C17DCE" w:rsidRDefault="00D759EB">
      <w:pPr>
        <w:numPr>
          <w:ilvl w:val="0"/>
          <w:numId w:val="7"/>
        </w:numPr>
        <w:spacing w:line="360" w:lineRule="auto"/>
        <w:jc w:val="both"/>
      </w:pPr>
      <w:r>
        <w:rPr>
          <w:rFonts w:hint="cs"/>
          <w:rtl/>
        </w:rPr>
        <w:t>ב"כ נאשם 2 בעמוד 18 לסיכומיו קובע כי המומחית וינריב דגמה את החלקים החיצוניים של הכפפות בעודה סבורה שמדובר בחלקים הפנימיים, מסקנתו אינה מתיישבת עם עדות המומחית שהבהירה מפורשות כי הבדיקה נעשית באיזור הפנימי או כדבריה:</w:t>
      </w:r>
    </w:p>
    <w:p w14:paraId="59CF6544" w14:textId="77777777" w:rsidR="00C17DCE" w:rsidRDefault="00C17DCE">
      <w:pPr>
        <w:spacing w:line="360" w:lineRule="auto"/>
        <w:jc w:val="both"/>
        <w:rPr>
          <w:rtl/>
        </w:rPr>
      </w:pPr>
    </w:p>
    <w:p w14:paraId="046CBD58" w14:textId="77777777" w:rsidR="00C17DCE" w:rsidRDefault="00D759EB">
      <w:pPr>
        <w:ind w:left="945" w:right="1080"/>
        <w:jc w:val="both"/>
        <w:rPr>
          <w:rFonts w:cs="Miriam"/>
        </w:rPr>
      </w:pPr>
      <w:r>
        <w:rPr>
          <w:rFonts w:cs="Miriam" w:hint="cs"/>
          <w:rtl/>
        </w:rPr>
        <w:t xml:space="preserve">"ש. האם העובדה שהאזרח שמצא את הכפפות וכובעי הגרב ציין שהכפפות היו הפוכות, לזה יש השפעה , הצד הפנימי שלהן היה בחוץ? </w:t>
      </w:r>
    </w:p>
    <w:p w14:paraId="5AA89210" w14:textId="77777777" w:rsidR="00C17DCE" w:rsidRDefault="00D759EB">
      <w:pPr>
        <w:ind w:left="945" w:right="1080"/>
        <w:jc w:val="both"/>
        <w:rPr>
          <w:rtl/>
        </w:rPr>
      </w:pPr>
      <w:r>
        <w:rPr>
          <w:rFonts w:cs="Miriam" w:hint="cs"/>
          <w:rtl/>
        </w:rPr>
        <w:t xml:space="preserve">  ת. עדיין אין לכך משמעות לגבי הבדיקה. מכיוון שמוצגים שבד"כ לובשים אותם, כפפות או גרביים, אנחנו תמיד, ברוב הפעמים, בודקים את האזור הפנימי, האזור שבא במגע עם הגוף", </w:t>
      </w:r>
      <w:r>
        <w:rPr>
          <w:rFonts w:hint="cs"/>
          <w:rtl/>
        </w:rPr>
        <w:t xml:space="preserve">(עמוד 79 לפרוטוקול שורה 16). </w:t>
      </w:r>
    </w:p>
    <w:p w14:paraId="0FF85964" w14:textId="77777777" w:rsidR="00C17DCE" w:rsidRDefault="00C17DCE">
      <w:pPr>
        <w:spacing w:line="360" w:lineRule="auto"/>
        <w:jc w:val="both"/>
        <w:rPr>
          <w:rtl/>
        </w:rPr>
      </w:pPr>
    </w:p>
    <w:p w14:paraId="458A022E" w14:textId="77777777" w:rsidR="00C17DCE" w:rsidRDefault="00D759EB">
      <w:pPr>
        <w:numPr>
          <w:ilvl w:val="0"/>
          <w:numId w:val="7"/>
        </w:numPr>
        <w:spacing w:line="360" w:lineRule="auto"/>
        <w:jc w:val="both"/>
      </w:pPr>
      <w:r>
        <w:rPr>
          <w:rFonts w:hint="cs"/>
          <w:rtl/>
        </w:rPr>
        <w:t xml:space="preserve">זה השלב לבחון הסתייגויות נוספות של ב"כ נאשם 2 בסיכומיו. פרק נרחב הקדיש ב"כ נאשם 2 ל"זיהום הראיות" ע"י האזרח ניקי וייט שמצא את הכובעים והכפפות, אלא שלכל היותר יכול היה מר וויט להוסיף סימני </w:t>
      </w:r>
      <w:r>
        <w:rPr>
          <w:sz w:val="20"/>
          <w:szCs w:val="20"/>
        </w:rPr>
        <w:t>DNA</w:t>
      </w:r>
      <w:r>
        <w:rPr>
          <w:rFonts w:hint="cs"/>
          <w:rtl/>
        </w:rPr>
        <w:t xml:space="preserve"> של עצמו, אך הוא לא יכול היה לייצר ממצאים מגופו של נאשם 2 ו"להשתילם" על המוצגים, וכפי שהראתה המומחית ממצאי </w:t>
      </w:r>
      <w:r>
        <w:rPr>
          <w:sz w:val="20"/>
          <w:szCs w:val="20"/>
        </w:rPr>
        <w:t>DNA</w:t>
      </w:r>
      <w:r>
        <w:rPr>
          <w:rFonts w:hint="cs"/>
          <w:rtl/>
        </w:rPr>
        <w:t xml:space="preserve"> של נאשם 2 נמצאו על אותם מוצגים.</w:t>
      </w:r>
    </w:p>
    <w:p w14:paraId="5A828908" w14:textId="77777777" w:rsidR="00C17DCE" w:rsidRDefault="00C17DCE">
      <w:pPr>
        <w:spacing w:line="360" w:lineRule="auto"/>
        <w:jc w:val="both"/>
      </w:pPr>
    </w:p>
    <w:p w14:paraId="5CCFEE71" w14:textId="77777777" w:rsidR="00C17DCE" w:rsidRDefault="00D759EB">
      <w:pPr>
        <w:spacing w:line="360" w:lineRule="auto"/>
        <w:ind w:left="511"/>
        <w:jc w:val="both"/>
        <w:rPr>
          <w:rtl/>
        </w:rPr>
      </w:pPr>
      <w:r>
        <w:rPr>
          <w:rFonts w:hint="cs"/>
          <w:rtl/>
        </w:rPr>
        <w:t>ב"כ נאשם 2 בסיכומיו (החל מעמוד 10) מעלה אפשרויות תיאורטיות באשר לזליגת חומר ממוצג אחד לשני או מצידו החיצוני אל צידו הפנימי, או מציג טענות עובדתיות ומקצועיות מבלי להסתמך על ראיה כל שהיא מהראיות שהוגשו (ראו למשל עמוד 11 לסיכומי נאשם 2 פיסקה שנייה). נושא זה הינו מתחום הדורש מומחיות ולא ניתן להסתפק בתיאוריות שמפתח ב"כ נאשם 2. נאשם 2 גם לא יכול להיבנות  מתשובות המומחית וינריב ששבה והדגישה בתשובותיה כי אינה מומחית לנושא זה והיא עונה כהדיוט או כמו כל אדם בר דעת הנמצא באולם, או כדבריה "</w:t>
      </w:r>
      <w:r>
        <w:rPr>
          <w:rFonts w:cs="Miriam" w:hint="cs"/>
          <w:rtl/>
        </w:rPr>
        <w:t>אך אני שוב מדגישה, כל הספקולציות האלה, אני יכולה לענות כמו כל אחד היושב באולם</w:t>
      </w:r>
      <w:r>
        <w:rPr>
          <w:rFonts w:hint="cs"/>
          <w:rtl/>
        </w:rPr>
        <w:t xml:space="preserve">", (עמוד 76 לפרוטוקול שורה 8). </w:t>
      </w:r>
    </w:p>
    <w:p w14:paraId="2FFB4C87" w14:textId="77777777" w:rsidR="00C17DCE" w:rsidRDefault="00C17DCE">
      <w:pPr>
        <w:ind w:left="511"/>
        <w:jc w:val="both"/>
      </w:pPr>
    </w:p>
    <w:p w14:paraId="56B3AAF6" w14:textId="77777777" w:rsidR="00C17DCE" w:rsidRDefault="00D759EB">
      <w:pPr>
        <w:ind w:left="1440" w:right="1080" w:hanging="334"/>
        <w:jc w:val="both"/>
        <w:rPr>
          <w:rFonts w:cs="Miriam"/>
        </w:rPr>
      </w:pPr>
      <w:r>
        <w:rPr>
          <w:rFonts w:cs="Miriam" w:hint="cs"/>
          <w:rtl/>
        </w:rPr>
        <w:t xml:space="preserve">"ש.נניח שהיה נוזל על כובע הגרב, ויש מתחתיו כובע גרב נוסף, האם הנוזל יכול לזרום לכובע השני אם שוכב עליו שעות ? </w:t>
      </w:r>
    </w:p>
    <w:p w14:paraId="45B289FD" w14:textId="77777777" w:rsidR="00C17DCE" w:rsidRDefault="00D759EB">
      <w:pPr>
        <w:ind w:left="1440" w:right="1080" w:hanging="334"/>
        <w:jc w:val="both"/>
        <w:rPr>
          <w:rFonts w:cs="Miriam"/>
        </w:rPr>
      </w:pPr>
      <w:r>
        <w:rPr>
          <w:rFonts w:cs="Miriam" w:hint="cs"/>
          <w:rtl/>
        </w:rPr>
        <w:t xml:space="preserve"> ת. אני יכולה להשיב כמו כל אדם שמעיד בבית המשפט, שלדעתי כן. אבל זה לא תחום המומחיות שלי", </w:t>
      </w:r>
      <w:r>
        <w:rPr>
          <w:rFonts w:hint="cs"/>
          <w:rtl/>
        </w:rPr>
        <w:t>(עמוד 81 לפרוטוקול שורה 3).</w:t>
      </w:r>
      <w:r>
        <w:rPr>
          <w:rFonts w:cs="Miriam" w:hint="cs"/>
          <w:rtl/>
        </w:rPr>
        <w:t xml:space="preserve"> </w:t>
      </w:r>
    </w:p>
    <w:p w14:paraId="6D649AF4" w14:textId="77777777" w:rsidR="00C17DCE" w:rsidRDefault="00C17DCE">
      <w:pPr>
        <w:ind w:left="1440" w:hanging="334"/>
        <w:rPr>
          <w:rFonts w:cs="Miriam"/>
          <w:rtl/>
        </w:rPr>
      </w:pPr>
    </w:p>
    <w:p w14:paraId="47997FFF" w14:textId="77777777" w:rsidR="00C17DCE" w:rsidRDefault="00D759EB">
      <w:pPr>
        <w:spacing w:line="360" w:lineRule="auto"/>
        <w:ind w:left="511"/>
        <w:jc w:val="both"/>
        <w:rPr>
          <w:rtl/>
        </w:rPr>
      </w:pPr>
      <w:r>
        <w:rPr>
          <w:rFonts w:hint="cs"/>
          <w:rtl/>
        </w:rPr>
        <w:t>הנושא אינו בתחום ידיעתו השיפוטית של בית המשפט ובהסתמך על השערות או ספקולציות מפי הסנגור לא ניתן לקבוע ממצאים בנושא מעבר או זליגת חומר. מיותר לציין כי נטל הוכחת הטענה כי חומר זלג - למצער ברמת נטל "הבאת הראיות" מוטל על הטוען את הטענה - קרי נאשם 2- ואשר בחר משיקוליו שלו שלא להציג חוות דעת מומחה בנושא זה.</w:t>
      </w:r>
    </w:p>
    <w:p w14:paraId="66D02F21" w14:textId="77777777" w:rsidR="00C17DCE" w:rsidRDefault="00C17DCE">
      <w:pPr>
        <w:spacing w:line="360" w:lineRule="auto"/>
        <w:jc w:val="both"/>
      </w:pPr>
    </w:p>
    <w:p w14:paraId="5BACE87E" w14:textId="77777777" w:rsidR="00C17DCE" w:rsidRDefault="00D759EB">
      <w:pPr>
        <w:numPr>
          <w:ilvl w:val="0"/>
          <w:numId w:val="7"/>
        </w:numPr>
        <w:spacing w:line="360" w:lineRule="auto"/>
        <w:jc w:val="both"/>
      </w:pPr>
      <w:r>
        <w:rPr>
          <w:rFonts w:hint="cs"/>
          <w:rtl/>
        </w:rPr>
        <w:t xml:space="preserve">האמור בחוות דעתה של לימור וינרב הוכח ע"י המאשימה ועמדתה לא השתנתה גם לאחר חקירתה הנגדית כך שלאור האמור לעיל, ניתן לקבוע כי נאשם 2 או אדם אחר, ברמה הסתברותית של אחד למיליארד, חבש את הכובע הסגור והותיר סימני </w:t>
      </w:r>
      <w:r>
        <w:rPr>
          <w:sz w:val="20"/>
          <w:szCs w:val="20"/>
        </w:rPr>
        <w:t>DNA</w:t>
      </w:r>
      <w:r>
        <w:rPr>
          <w:rFonts w:hint="cs"/>
          <w:rtl/>
        </w:rPr>
        <w:t xml:space="preserve"> באזור הפה, ניתן לייחס לו את המרכיב הבולט שנמצא באזור הקודקוד של הכובע ולא ניתן לשלול מגע שלו גם באזור העיניים. בנוסף, ברמה לא וודאית, אך כראיה נסיבתית לבש נאשם 2 את שתי הכפפות, עליהן גם נמצא דמה של המתלוננת. לכך אוסיף כי כפי שצוטט מפי המומחית לעיל, ניתן לקבוע גם כי אין אינדיקציה לכך שאדם אחר-זולת נאשם 2- חבש את הכובע הסגור ורק נאשם 2 הותיר סימני </w:t>
      </w:r>
      <w:r>
        <w:t xml:space="preserve">DNA </w:t>
      </w:r>
      <w:r>
        <w:rPr>
          <w:rFonts w:hint="cs"/>
          <w:rtl/>
        </w:rPr>
        <w:t xml:space="preserve"> בחלק הפנימי של כובע זה באזור הפה.</w:t>
      </w:r>
    </w:p>
    <w:p w14:paraId="13600C02" w14:textId="77777777" w:rsidR="00C17DCE" w:rsidRDefault="00C17DCE">
      <w:pPr>
        <w:spacing w:line="360" w:lineRule="auto"/>
        <w:jc w:val="both"/>
      </w:pPr>
    </w:p>
    <w:p w14:paraId="66B96138" w14:textId="77777777" w:rsidR="00C17DCE" w:rsidRDefault="00D759EB">
      <w:pPr>
        <w:numPr>
          <w:ilvl w:val="0"/>
          <w:numId w:val="7"/>
        </w:numPr>
        <w:spacing w:line="360" w:lineRule="auto"/>
        <w:jc w:val="both"/>
      </w:pPr>
      <w:r>
        <w:rPr>
          <w:rFonts w:hint="cs"/>
          <w:rtl/>
        </w:rPr>
        <w:t>[אציין כי</w:t>
      </w:r>
      <w:r>
        <w:rPr>
          <w:rFonts w:hint="cs"/>
          <w:b/>
          <w:bCs/>
          <w:rtl/>
        </w:rPr>
        <w:t xml:space="preserve"> </w:t>
      </w:r>
      <w:r>
        <w:rPr>
          <w:rFonts w:hint="cs"/>
          <w:rtl/>
        </w:rPr>
        <w:t xml:space="preserve">בפתח ישיבת 8.9.2011, (כמתואר בעמוד 384 שורה 6 לפרוטוקול), נענתה בקשת הסנגור והתאפשר לנאשם 2 לבחון את הכפפות וכובע הגרב שנמצאו בסמוך לזירה- לאחר הבדיקות שערך בצנעה עם הנאשם, לא מסר הסנגור הודעה כל שהיא- משמע, הכפפות והכובע תואמים לגופו של נאשם 2. אפנה לדרך בה מתקבלת מסקנה הכרחית זו לע"פ </w:t>
      </w:r>
      <w:r>
        <w:rPr>
          <w:rFonts w:cs="Arial (W1)"/>
          <w:cs/>
        </w:rPr>
        <w:t>‎</w:t>
      </w:r>
      <w:r>
        <w:rPr>
          <w:sz w:val="20"/>
          <w:szCs w:val="20"/>
        </w:rPr>
        <w:t>728/84</w:t>
      </w:r>
      <w:r>
        <w:rPr>
          <w:rFonts w:hint="cs"/>
          <w:rtl/>
        </w:rPr>
        <w:t xml:space="preserve"> </w:t>
      </w:r>
      <w:r>
        <w:rPr>
          <w:rFonts w:hint="cs"/>
          <w:b/>
          <w:bCs/>
          <w:rtl/>
        </w:rPr>
        <w:t xml:space="preserve">חרמון נ' מדינת ישראל </w:t>
      </w:r>
      <w:r>
        <w:rPr>
          <w:rFonts w:hint="cs"/>
          <w:rtl/>
        </w:rPr>
        <w:t xml:space="preserve">וכן ראו פסק דינו של בית המשפט העליון מיום 28.12.11 </w:t>
      </w:r>
      <w:r w:rsidR="001B74FB" w:rsidRPr="00C76660">
        <w:rPr>
          <w:color w:val="000000"/>
          <w:rtl/>
        </w:rPr>
        <w:t>ע"פ 2098/08</w:t>
      </w:r>
      <w:r>
        <w:rPr>
          <w:rFonts w:hint="cs"/>
          <w:rtl/>
        </w:rPr>
        <w:t xml:space="preserve"> </w:t>
      </w:r>
      <w:r>
        <w:rPr>
          <w:rFonts w:hint="cs"/>
          <w:b/>
          <w:bCs/>
          <w:rtl/>
        </w:rPr>
        <w:t>אוסאמה פרעוני נגד מדינת ישראל</w:t>
      </w:r>
      <w:r>
        <w:rPr>
          <w:rFonts w:hint="cs"/>
          <w:rtl/>
        </w:rPr>
        <w:t>].</w:t>
      </w:r>
    </w:p>
    <w:p w14:paraId="70D39FE5" w14:textId="77777777" w:rsidR="00C17DCE" w:rsidRDefault="00C17DCE">
      <w:pPr>
        <w:spacing w:line="360" w:lineRule="auto"/>
        <w:jc w:val="both"/>
      </w:pPr>
    </w:p>
    <w:p w14:paraId="01AA0C61" w14:textId="77777777" w:rsidR="00C17DCE" w:rsidRDefault="00D759EB">
      <w:pPr>
        <w:numPr>
          <w:ilvl w:val="0"/>
          <w:numId w:val="7"/>
        </w:numPr>
        <w:spacing w:line="360" w:lineRule="auto"/>
        <w:jc w:val="both"/>
      </w:pPr>
      <w:r>
        <w:rPr>
          <w:rFonts w:hint="cs"/>
          <w:rtl/>
        </w:rPr>
        <w:t xml:space="preserve">באשר למהותה של ראיה זו </w:t>
      </w:r>
      <w:r>
        <w:rPr>
          <w:rFonts w:ascii="Times New Roman" w:hAnsi="Times New Roman" w:hint="cs"/>
          <w:rtl/>
        </w:rPr>
        <w:t>כבר ב</w:t>
      </w:r>
      <w:hyperlink r:id="rId45" w:history="1">
        <w:r w:rsidR="005644D6" w:rsidRPr="005644D6">
          <w:rPr>
            <w:rStyle w:val="Hyperlink"/>
            <w:rFonts w:ascii="Times New Roman" w:hAnsi="Times New Roman"/>
            <w:rtl/>
          </w:rPr>
          <w:t>ע"פ 9724/02</w:t>
        </w:r>
      </w:hyperlink>
      <w:r>
        <w:rPr>
          <w:rFonts w:ascii="Times New Roman" w:hAnsi="Times New Roman" w:hint="cs"/>
          <w:rtl/>
        </w:rPr>
        <w:t xml:space="preserve"> </w:t>
      </w:r>
      <w:r>
        <w:rPr>
          <w:rFonts w:ascii="Times New Roman" w:hAnsi="Times New Roman" w:hint="cs"/>
          <w:b/>
          <w:bCs/>
          <w:rtl/>
        </w:rPr>
        <w:t>מוראד אבו-חמאד נ' מדינת ישראל</w:t>
      </w:r>
      <w:r>
        <w:rPr>
          <w:rFonts w:ascii="Times New Roman" w:hAnsi="Times New Roman" w:hint="cs"/>
          <w:rtl/>
        </w:rPr>
        <w:t xml:space="preserve"> נקבע כי בדיקת </w:t>
      </w:r>
      <w:r>
        <w:rPr>
          <w:rFonts w:ascii="Times New Roman" w:hAnsi="Times New Roman"/>
        </w:rPr>
        <w:t>DNA</w:t>
      </w:r>
      <w:r>
        <w:rPr>
          <w:rFonts w:ascii="Times New Roman" w:hAnsi="Times New Roman" w:hint="cs"/>
          <w:rtl/>
        </w:rPr>
        <w:t xml:space="preserve"> הינה בדיקה מוכרת ומקובלת בקהילה המדעית וניתן לקבלה כראיה קבילה במשפט הפלילי: </w:t>
      </w:r>
    </w:p>
    <w:p w14:paraId="73A9A633" w14:textId="77777777" w:rsidR="00C17DCE" w:rsidRDefault="00C17DCE">
      <w:pPr>
        <w:jc w:val="both"/>
      </w:pPr>
    </w:p>
    <w:p w14:paraId="4E59DEE0" w14:textId="77777777" w:rsidR="00C17DCE" w:rsidRDefault="00D759EB">
      <w:pPr>
        <w:ind w:left="945" w:right="1080"/>
        <w:jc w:val="both"/>
        <w:rPr>
          <w:rFonts w:ascii="Times New Roman" w:hAnsi="Times New Roman"/>
          <w:rtl/>
        </w:rPr>
      </w:pPr>
      <w:r>
        <w:rPr>
          <w:rFonts w:ascii="Times New Roman" w:hAnsi="Times New Roman" w:cs="Miriam" w:hint="cs"/>
          <w:rtl/>
        </w:rPr>
        <w:t>"בדיקת דנ"א בהסתברות סטטיסטית גבוהה (ובלא שנכריע במידתו של אותו גובה) ראויה היא שדינה יהא כראיה של טביעת אצבעות. ובהיעדר הסבר סביר - הסבר העשוי לעורר ספק בלב בית-המשפט - ניתן יהא להרשיע נאשם אך על-פי ראיה זו".</w:t>
      </w:r>
    </w:p>
    <w:p w14:paraId="68C80F6A" w14:textId="77777777" w:rsidR="00C17DCE" w:rsidRDefault="00C17DCE">
      <w:pPr>
        <w:spacing w:line="360" w:lineRule="auto"/>
        <w:ind w:left="720" w:right="540"/>
        <w:jc w:val="both"/>
        <w:rPr>
          <w:rFonts w:ascii="Times New Roman" w:hAnsi="Times New Roman"/>
        </w:rPr>
      </w:pPr>
    </w:p>
    <w:p w14:paraId="5E043FC1" w14:textId="77777777" w:rsidR="00C17DCE" w:rsidRDefault="00D759EB">
      <w:pPr>
        <w:spacing w:line="360" w:lineRule="auto"/>
        <w:ind w:left="511" w:right="540" w:firstLine="60"/>
        <w:jc w:val="both"/>
        <w:rPr>
          <w:rFonts w:ascii="Arial" w:hAnsi="Arial"/>
          <w:rtl/>
        </w:rPr>
      </w:pPr>
      <w:r>
        <w:rPr>
          <w:rFonts w:ascii="Times New Roman" w:hAnsi="Times New Roman" w:hint="cs"/>
          <w:rtl/>
        </w:rPr>
        <w:t>בדיון נוסף שנערך לאחר מכן קבע בית המשפט העליון כי סטטיסטיקה של מעל  למיליארד מספיקה לקבוע חד משמעיות, (</w:t>
      </w:r>
      <w:hyperlink r:id="rId46" w:history="1">
        <w:r w:rsidR="005644D6" w:rsidRPr="005644D6">
          <w:rPr>
            <w:rStyle w:val="Hyperlink"/>
            <w:rFonts w:ascii="Times New Roman" w:hAnsi="Times New Roman"/>
            <w:rtl/>
          </w:rPr>
          <w:t>דנ"פ 9903/03</w:t>
        </w:r>
      </w:hyperlink>
      <w:r>
        <w:rPr>
          <w:rFonts w:ascii="Times New Roman" w:hAnsi="Times New Roman" w:hint="cs"/>
          <w:rtl/>
        </w:rPr>
        <w:t>).</w:t>
      </w:r>
    </w:p>
    <w:p w14:paraId="640EBEAE" w14:textId="77777777" w:rsidR="00C17DCE" w:rsidRDefault="00C17DCE">
      <w:pPr>
        <w:spacing w:line="360" w:lineRule="auto"/>
        <w:jc w:val="both"/>
      </w:pPr>
    </w:p>
    <w:p w14:paraId="24B604CF" w14:textId="77777777" w:rsidR="00C17DCE" w:rsidRDefault="00D759EB">
      <w:pPr>
        <w:spacing w:line="360" w:lineRule="auto"/>
        <w:ind w:left="511"/>
        <w:jc w:val="both"/>
        <w:rPr>
          <w:rtl/>
        </w:rPr>
      </w:pPr>
      <w:r>
        <w:rPr>
          <w:rFonts w:ascii="Times New Roman" w:hAnsi="Times New Roman" w:hint="cs"/>
          <w:rtl/>
        </w:rPr>
        <w:t xml:space="preserve">כיום, בחלוף יותר מ-8 שנים מקביעת בית המשפט העליון בענין </w:t>
      </w:r>
      <w:r>
        <w:rPr>
          <w:rFonts w:ascii="Times New Roman" w:hAnsi="Times New Roman" w:hint="cs"/>
          <w:b/>
          <w:bCs/>
          <w:rtl/>
        </w:rPr>
        <w:t>אבו-חמאד</w:t>
      </w:r>
      <w:r>
        <w:rPr>
          <w:rFonts w:ascii="Times New Roman" w:hAnsi="Times New Roman" w:hint="cs"/>
          <w:rtl/>
        </w:rPr>
        <w:t xml:space="preserve">, לא רק שלא הופרכה השיטה אלא שהנושא התבסס והפך להיות חלק מקובל ושכיח בדיני הראיות, (ראו למשל </w:t>
      </w:r>
      <w:hyperlink r:id="rId47" w:history="1">
        <w:r w:rsidR="005644D6" w:rsidRPr="005644D6">
          <w:rPr>
            <w:rStyle w:val="Hyperlink"/>
            <w:rFonts w:ascii="Times New Roman" w:hAnsi="Times New Roman"/>
            <w:rtl/>
          </w:rPr>
          <w:t>ע"פ 8387/99</w:t>
        </w:r>
      </w:hyperlink>
      <w:r>
        <w:rPr>
          <w:rFonts w:ascii="Times New Roman" w:hAnsi="Times New Roman" w:hint="cs"/>
          <w:rtl/>
        </w:rPr>
        <w:t xml:space="preserve"> </w:t>
      </w:r>
      <w:r>
        <w:rPr>
          <w:rFonts w:ascii="Times New Roman" w:hAnsi="Times New Roman" w:hint="cs"/>
          <w:b/>
          <w:bCs/>
          <w:rtl/>
        </w:rPr>
        <w:t>מוראד מסארווה נגד מדינת ישראל</w:t>
      </w:r>
      <w:r>
        <w:rPr>
          <w:rFonts w:hint="cs"/>
          <w:rtl/>
        </w:rPr>
        <w:t>).</w:t>
      </w:r>
    </w:p>
    <w:p w14:paraId="75E34CBE" w14:textId="77777777" w:rsidR="00C17DCE" w:rsidRDefault="00C17DCE">
      <w:pPr>
        <w:spacing w:line="360" w:lineRule="auto"/>
        <w:jc w:val="both"/>
      </w:pPr>
    </w:p>
    <w:p w14:paraId="2C04032B" w14:textId="77777777" w:rsidR="00C17DCE" w:rsidRDefault="00D759EB">
      <w:pPr>
        <w:numPr>
          <w:ilvl w:val="0"/>
          <w:numId w:val="7"/>
        </w:numPr>
        <w:spacing w:line="360" w:lineRule="auto"/>
        <w:jc w:val="both"/>
        <w:rPr>
          <w:rtl/>
        </w:rPr>
      </w:pPr>
      <w:r>
        <w:rPr>
          <w:rFonts w:hint="cs"/>
          <w:rtl/>
        </w:rPr>
        <w:t xml:space="preserve">כעת, כל שנותר לבחון האם לנאשם 2 הסבר סביר המעורר ספק, אך חשוב להדגיש בטרם בחינת הסברו כי הפרופיל הגנטי של נאשם 2 נמצא בחלק הפנימי של הכובע ליד הפה, כך שלא מדובר בסימני </w:t>
      </w:r>
      <w:r>
        <w:rPr>
          <w:sz w:val="20"/>
          <w:szCs w:val="20"/>
        </w:rPr>
        <w:t>DNA</w:t>
      </w:r>
      <w:r>
        <w:rPr>
          <w:rFonts w:hint="cs"/>
          <w:rtl/>
        </w:rPr>
        <w:t xml:space="preserve"> שהושארו על החלק החיצוני של הכובע בעת אחיזתו, אלא בעת חבישת הכובע והשארת סימני רוק בחלקו הפנימי כפי שהעריכה המומחית, (עמוד 74 לפרוטוקול שורות 15-6 ועמוד 76 שורות 23-9). </w:t>
      </w:r>
    </w:p>
    <w:p w14:paraId="30FA6310" w14:textId="77777777" w:rsidR="00C17DCE" w:rsidRDefault="00C17DCE">
      <w:pPr>
        <w:spacing w:line="360" w:lineRule="auto"/>
        <w:jc w:val="both"/>
      </w:pPr>
    </w:p>
    <w:p w14:paraId="10B71982" w14:textId="77777777" w:rsidR="00C17DCE" w:rsidRDefault="00D759EB">
      <w:pPr>
        <w:spacing w:line="360" w:lineRule="auto"/>
        <w:ind w:left="360" w:firstLine="206"/>
        <w:jc w:val="both"/>
        <w:rPr>
          <w:u w:val="single"/>
          <w:rtl/>
        </w:rPr>
      </w:pPr>
      <w:r>
        <w:rPr>
          <w:rFonts w:hint="cs"/>
          <w:u w:val="single"/>
          <w:rtl/>
        </w:rPr>
        <w:t>הסברי נאשם 2</w:t>
      </w:r>
    </w:p>
    <w:p w14:paraId="5B5A48A5" w14:textId="77777777" w:rsidR="00C17DCE" w:rsidRDefault="00D759EB">
      <w:pPr>
        <w:numPr>
          <w:ilvl w:val="0"/>
          <w:numId w:val="7"/>
        </w:numPr>
        <w:spacing w:line="360" w:lineRule="auto"/>
        <w:jc w:val="both"/>
      </w:pPr>
      <w:r>
        <w:rPr>
          <w:rFonts w:hint="cs"/>
          <w:rtl/>
        </w:rPr>
        <w:t xml:space="preserve">במהלך החקירה המשטרתית, הליכי המעצר והתגובה לכתב האישום, בחר נאשם 2 לשתוק (ראו ארבע הודעותיו ת/52, ת/53, ת/54, ת/55). בפתח המשפט כפר ללא מסירת גרסה כל שהיא. בישיבת 14.9.2010 ניתנה אורכה של 14 יום לבקשת בא כוחו למסור תגובתו לכתב האישום. חלפו חודשים ונאשם 2 בחר שלא למסור גרסה כל שהיא, לאט לאט ובשלבים החל נאשם 2 לספק הסברים. </w:t>
      </w:r>
    </w:p>
    <w:p w14:paraId="31A1D987" w14:textId="77777777" w:rsidR="00C17DCE" w:rsidRDefault="00C17DCE">
      <w:pPr>
        <w:spacing w:line="360" w:lineRule="auto"/>
        <w:jc w:val="both"/>
      </w:pPr>
    </w:p>
    <w:p w14:paraId="2922E5FD" w14:textId="77777777" w:rsidR="00C17DCE" w:rsidRDefault="00D759EB">
      <w:pPr>
        <w:spacing w:line="360" w:lineRule="auto"/>
        <w:ind w:left="511"/>
        <w:jc w:val="both"/>
        <w:rPr>
          <w:rtl/>
        </w:rPr>
      </w:pPr>
      <w:r>
        <w:rPr>
          <w:rFonts w:hint="cs"/>
          <w:rtl/>
        </w:rPr>
        <w:t>רק בחלוף 5 ישיבות הוכחות בהן העידו 17 עדי תביעה, בעקבות פניית ב"כ המאשימה (ישיבת 6.2.2011) טען ב"כ נאשם 2 לראשונה כי הנאשם סייע לאחר המעשה "</w:t>
      </w:r>
      <w:r>
        <w:rPr>
          <w:rFonts w:cs="Miriam" w:hint="cs"/>
          <w:rtl/>
        </w:rPr>
        <w:t xml:space="preserve">בהשלכת אותם מוצגים שנתפסו" </w:t>
      </w:r>
      <w:r>
        <w:rPr>
          <w:rFonts w:hint="cs"/>
          <w:rtl/>
        </w:rPr>
        <w:t>וכי</w:t>
      </w:r>
      <w:r>
        <w:rPr>
          <w:rFonts w:cs="Miriam" w:hint="cs"/>
          <w:rtl/>
        </w:rPr>
        <w:t xml:space="preserve"> "גרסה זו מסבירה הן הימצאות הדי.אן.אי שלו על כובע הגרב והן על הכפפות</w:t>
      </w:r>
      <w:r>
        <w:rPr>
          <w:rFonts w:hint="cs"/>
          <w:rtl/>
        </w:rPr>
        <w:t>". לא היה בתיאור כללי זה כדי להסביר כיצד הגיע הפרופיל הגנטי של נאשם  לחלק הפנימי של הכובע והכפפות.</w:t>
      </w:r>
    </w:p>
    <w:p w14:paraId="3ADDDB80" w14:textId="77777777" w:rsidR="00C17DCE" w:rsidRDefault="00C17DCE">
      <w:pPr>
        <w:spacing w:line="360" w:lineRule="auto"/>
        <w:jc w:val="both"/>
      </w:pPr>
    </w:p>
    <w:p w14:paraId="6C3A8701" w14:textId="77777777" w:rsidR="00C17DCE" w:rsidRDefault="00D759EB">
      <w:pPr>
        <w:numPr>
          <w:ilvl w:val="0"/>
          <w:numId w:val="7"/>
        </w:numPr>
        <w:spacing w:line="360" w:lineRule="auto"/>
        <w:jc w:val="both"/>
        <w:rPr>
          <w:rtl/>
        </w:rPr>
      </w:pPr>
      <w:r>
        <w:rPr>
          <w:rFonts w:hint="cs"/>
          <w:rtl/>
        </w:rPr>
        <w:t>בהמשך - עדיין מפי הסנגור-הועלתה אפשרות אחרת לפיה במהלך שנת 2009 נעצרו שני הנאשמים ביחד עם אחר ברכב ובו נתפסו גם כפפות, (נ/7 ועמ' 79 לפרוטוקול שורה 25 ואילך ראו גם דברי הסנגור בעמוד 98 שורה 7 ואילך), לגרסתו הפרופיל הגנטי של נאשם 2  נותר על אותן כפפות ומבצעי העבירות בתיק זה עשו באותן כפפות שימוש חוזר ומכאן ההסבר להימצאות הפרופיל הגנטי של נאשם 2. הסבר זה בלתי אפשרי ויש לדחותו על הסף, לא רק משום שאין בו כדי להסביר הימצאות פרופיל גנטי על כובע הגרב, ואין מחלוקת כי בתיק משנת 2009 לא נמצא כובע גרב, אלא משום שהוכח כי הכפפות שנתפסו בתיק משנת 2009 נותרו בחזקת המשטרה עד היום (או למצער עד ליום 20.6.10 מועד בו בוצעו העבירות, ראו ת/107), כך שמדובר בשתי זוגות כפפות שונים ולא ניתן היה לעשות שימוש חוזר בכפפות משנת 2009. (אולי זו הסיבה שהסנגור בשלב הסיכומים כינה הטענה כאפשרות תיאורטית בלבד, סעיפים 162, 312 ו-325 לסיכומי נאשם 2).</w:t>
      </w:r>
    </w:p>
    <w:p w14:paraId="1C5A1279" w14:textId="77777777" w:rsidR="00C17DCE" w:rsidRDefault="00C17DCE">
      <w:pPr>
        <w:spacing w:line="360" w:lineRule="auto"/>
        <w:jc w:val="both"/>
      </w:pPr>
    </w:p>
    <w:p w14:paraId="46836F05" w14:textId="77777777" w:rsidR="00C17DCE" w:rsidRDefault="00D759EB">
      <w:pPr>
        <w:numPr>
          <w:ilvl w:val="0"/>
          <w:numId w:val="7"/>
        </w:numPr>
        <w:spacing w:line="360" w:lineRule="auto"/>
        <w:jc w:val="both"/>
        <w:rPr>
          <w:rtl/>
        </w:rPr>
      </w:pPr>
      <w:r>
        <w:rPr>
          <w:rFonts w:hint="cs"/>
          <w:rtl/>
        </w:rPr>
        <w:t>בעדותו בבית המשפט אמור היה נאשם 2 לספק פרטים נוספים באשר לחלקו בתיק זה,  אך עד מהרה הסתבר כי ככל שהמשיך נאשם 2 להעיד כך התגלה כי הוא מסתיר יותר ויותר פרטים ומשאיר את גרסתו הבלתי סבירה לכשעצמה, נקובה ככברה, כשאת החורים בה הוא עושה בעצמו.</w:t>
      </w:r>
    </w:p>
    <w:p w14:paraId="3B46DC19" w14:textId="77777777" w:rsidR="00C17DCE" w:rsidRDefault="00C17DCE">
      <w:pPr>
        <w:spacing w:line="360" w:lineRule="auto"/>
        <w:jc w:val="both"/>
      </w:pPr>
    </w:p>
    <w:p w14:paraId="28767749" w14:textId="77777777" w:rsidR="00C17DCE" w:rsidRDefault="00D759EB">
      <w:pPr>
        <w:numPr>
          <w:ilvl w:val="0"/>
          <w:numId w:val="7"/>
        </w:numPr>
        <w:spacing w:line="360" w:lineRule="auto"/>
        <w:jc w:val="both"/>
        <w:rPr>
          <w:rtl/>
        </w:rPr>
      </w:pPr>
      <w:r>
        <w:rPr>
          <w:rFonts w:hint="cs"/>
          <w:rtl/>
        </w:rPr>
        <w:t xml:space="preserve">גרסתו בתמציתיות (עמ' 389 לפרוטוקול) הינה כי בבוקר האירוע בין השעה חמש לבין השעה שש, צלצל אליו אדם שאת פרטיו הוא מסרב למסור. בעת השיחה הוא ישב עם חברים שאת פרטיהם הוא מסרב למסור, אותו אדם ביקש את עזרתו לאסוף שני אנשים באמצעות רכב מזירת האירוע. נאשם 2 נענה לבקשה, אך מאחר ואין לו רכב, הוא לקח רכב מאדם שאת פרטיו הוא מסרב למסור, כמו גם את פרטי הרכב. הוא ידע את זהות שני האנשים שעליו לאסוף, אחד מהם נאשם 1 ואת פרטי האדם הנוסף הוא מסרב למסור. זו גרסתו הבסיסית של נאשם 2 ודי בתיאורו נעדר הפרטים כדי לדחותה על הסף. </w:t>
      </w:r>
    </w:p>
    <w:p w14:paraId="63CAFAF1" w14:textId="77777777" w:rsidR="00C17DCE" w:rsidRDefault="00C17DCE">
      <w:pPr>
        <w:spacing w:line="360" w:lineRule="auto"/>
        <w:jc w:val="both"/>
      </w:pPr>
    </w:p>
    <w:p w14:paraId="7D09DE11" w14:textId="77777777" w:rsidR="00C17DCE" w:rsidRDefault="00D759EB">
      <w:pPr>
        <w:numPr>
          <w:ilvl w:val="0"/>
          <w:numId w:val="7"/>
        </w:numPr>
        <w:spacing w:line="360" w:lineRule="auto"/>
        <w:jc w:val="both"/>
        <w:rPr>
          <w:rtl/>
        </w:rPr>
      </w:pPr>
      <w:r>
        <w:rPr>
          <w:rFonts w:hint="cs"/>
          <w:rtl/>
        </w:rPr>
        <w:t>לשם המחשת חוסר אמינותו אפנה לתשובות הנאשם 2 בדיון:</w:t>
      </w:r>
    </w:p>
    <w:p w14:paraId="7E992F4D" w14:textId="77777777" w:rsidR="00C17DCE" w:rsidRDefault="00D759EB">
      <w:pPr>
        <w:ind w:left="945" w:right="900"/>
        <w:jc w:val="both"/>
        <w:rPr>
          <w:rFonts w:cs="Miriam"/>
        </w:rPr>
      </w:pPr>
      <w:bookmarkStart w:id="7" w:name="A000003833259"/>
      <w:bookmarkEnd w:id="7"/>
      <w:r>
        <w:rPr>
          <w:rFonts w:cs="Miriam" w:hint="cs"/>
          <w:u w:val="single"/>
          <w:rtl/>
        </w:rPr>
        <w:t>"השופט אלרון:</w:t>
      </w:r>
      <w:r w:rsidR="005644D6">
        <w:rPr>
          <w:rFonts w:cs="Miriam" w:hint="cs"/>
          <w:rtl/>
        </w:rPr>
        <w:t xml:space="preserve">  </w:t>
      </w:r>
    </w:p>
    <w:p w14:paraId="55B8AA5D" w14:textId="77777777" w:rsidR="00C17DCE" w:rsidRDefault="00D759EB">
      <w:pPr>
        <w:ind w:left="945" w:right="900"/>
        <w:jc w:val="both"/>
        <w:rPr>
          <w:rFonts w:cs="Miriam"/>
        </w:rPr>
      </w:pPr>
      <w:r>
        <w:rPr>
          <w:rFonts w:cs="Miriam" w:hint="cs"/>
          <w:rtl/>
        </w:rPr>
        <w:t>תראה ואדים, אתה לא רוצה להגיד לנו מי התקשר אליך ואמר לך להיות במקום, אתה לא רוצה לומר לנו של מי האוטו שהשאיל אותו לך ואתה לא רוצה להגיד לנו מי החברים שהיית איתם באותו ערב והסתובבת איתם. ...</w:t>
      </w:r>
      <w:bookmarkStart w:id="8" w:name="A000003870446"/>
      <w:bookmarkEnd w:id="8"/>
      <w:r>
        <w:rPr>
          <w:rFonts w:cs="Miriam" w:hint="cs"/>
          <w:rtl/>
        </w:rPr>
        <w:t xml:space="preserve">ולא רצית להשיב לגבי הבעלים של הרכב שהשאיל לו, לגבי הזהות של הבן אדם ששלח אותו למקום ולא של אותם חברים שהוא הסתובב איתם באוטו כפי שהוא נשאל ע"י הגברת באותו ערב. </w:t>
      </w:r>
    </w:p>
    <w:p w14:paraId="286C8256" w14:textId="77777777" w:rsidR="00C17DCE" w:rsidRDefault="00D759EB">
      <w:pPr>
        <w:ind w:left="945" w:right="900"/>
        <w:jc w:val="both"/>
        <w:rPr>
          <w:rFonts w:cs="Miriam"/>
          <w:rtl/>
        </w:rPr>
      </w:pPr>
      <w:bookmarkStart w:id="9" w:name="A000003896152"/>
      <w:bookmarkEnd w:id="9"/>
      <w:r>
        <w:rPr>
          <w:rFonts w:cs="Miriam" w:hint="cs"/>
          <w:u w:val="single"/>
          <w:rtl/>
        </w:rPr>
        <w:t>עד, מר גיאסוב:</w:t>
      </w:r>
      <w:r w:rsidR="005644D6">
        <w:rPr>
          <w:rFonts w:cs="Miriam" w:hint="cs"/>
          <w:rtl/>
        </w:rPr>
        <w:t xml:space="preserve"> </w:t>
      </w:r>
    </w:p>
    <w:p w14:paraId="65D0DAD5" w14:textId="77777777" w:rsidR="00C17DCE" w:rsidRDefault="00D759EB">
      <w:pPr>
        <w:ind w:left="945" w:right="900"/>
        <w:jc w:val="both"/>
        <w:rPr>
          <w:rFonts w:cs="Miriam"/>
          <w:rtl/>
        </w:rPr>
      </w:pPr>
      <w:r>
        <w:rPr>
          <w:rFonts w:cs="Miriam" w:hint="cs"/>
          <w:rtl/>
        </w:rPr>
        <w:t xml:space="preserve">לחברים, </w:t>
      </w:r>
      <w:r>
        <w:rPr>
          <w:rFonts w:cs="Miriam" w:hint="cs"/>
          <w:b/>
          <w:bCs/>
          <w:rtl/>
        </w:rPr>
        <w:t>אני לא יכול לזכור עכשיו</w:t>
      </w:r>
      <w:r>
        <w:rPr>
          <w:rFonts w:cs="Miriam" w:hint="cs"/>
          <w:rtl/>
        </w:rPr>
        <w:t xml:space="preserve"> מגוחך מי היו החברים שהייתי איתם. </w:t>
      </w:r>
    </w:p>
    <w:p w14:paraId="1868030F" w14:textId="77777777" w:rsidR="00C17DCE" w:rsidRDefault="00D759EB">
      <w:pPr>
        <w:ind w:left="945" w:right="900"/>
        <w:jc w:val="both"/>
        <w:rPr>
          <w:rFonts w:cs="Miriam"/>
          <w:rtl/>
        </w:rPr>
      </w:pPr>
      <w:bookmarkStart w:id="10" w:name="A000003901108"/>
      <w:bookmarkEnd w:id="10"/>
      <w:r>
        <w:rPr>
          <w:rFonts w:cs="Miriam" w:hint="cs"/>
          <w:u w:val="single"/>
          <w:rtl/>
        </w:rPr>
        <w:t>השופט אלרון:</w:t>
      </w:r>
      <w:r w:rsidR="005644D6">
        <w:rPr>
          <w:rFonts w:cs="Miriam" w:hint="cs"/>
          <w:rtl/>
        </w:rPr>
        <w:t xml:space="preserve">  </w:t>
      </w:r>
    </w:p>
    <w:p w14:paraId="694A1C94" w14:textId="77777777" w:rsidR="00C17DCE" w:rsidRDefault="00D759EB">
      <w:pPr>
        <w:ind w:left="945" w:right="900"/>
        <w:jc w:val="both"/>
        <w:rPr>
          <w:rFonts w:cs="Miriam"/>
          <w:rtl/>
        </w:rPr>
      </w:pPr>
      <w:r>
        <w:rPr>
          <w:rFonts w:cs="Miriam" w:hint="cs"/>
          <w:rtl/>
        </w:rPr>
        <w:t xml:space="preserve">אה, או.קיי. </w:t>
      </w:r>
    </w:p>
    <w:p w14:paraId="5B375A91" w14:textId="77777777" w:rsidR="00C17DCE" w:rsidRDefault="00D759EB">
      <w:pPr>
        <w:ind w:left="945" w:right="900"/>
        <w:jc w:val="both"/>
        <w:rPr>
          <w:rFonts w:cs="Miriam"/>
          <w:rtl/>
        </w:rPr>
      </w:pPr>
      <w:bookmarkStart w:id="11" w:name="A000003903985"/>
      <w:bookmarkEnd w:id="11"/>
      <w:r>
        <w:rPr>
          <w:rFonts w:cs="Miriam" w:hint="cs"/>
          <w:rtl/>
        </w:rPr>
        <w:t>ת:</w:t>
      </w:r>
      <w:r w:rsidR="005644D6">
        <w:rPr>
          <w:rFonts w:cs="Miriam" w:hint="cs"/>
          <w:rtl/>
        </w:rPr>
        <w:t xml:space="preserve">  </w:t>
      </w:r>
      <w:r>
        <w:rPr>
          <w:rFonts w:cs="Miriam" w:hint="cs"/>
          <w:rtl/>
        </w:rPr>
        <w:t>והאוטו שלקחתי אני פשוט לא יכול, אני לא יכול להגיד את שמו כי יש לו משפחה וילדים ו, הבן אדם שלקחתי ממנו את האוטו.</w:t>
      </w:r>
      <w:bookmarkStart w:id="12" w:name="A000003915148"/>
      <w:bookmarkEnd w:id="12"/>
    </w:p>
    <w:p w14:paraId="759A4FBA" w14:textId="77777777" w:rsidR="00C17DCE" w:rsidRDefault="00D759EB">
      <w:pPr>
        <w:ind w:left="945" w:right="900"/>
        <w:jc w:val="both"/>
        <w:rPr>
          <w:rFonts w:cs="Miriam"/>
          <w:rtl/>
        </w:rPr>
      </w:pPr>
      <w:r>
        <w:rPr>
          <w:rFonts w:cs="Miriam" w:hint="cs"/>
          <w:rtl/>
        </w:rPr>
        <w:t xml:space="preserve"> ש:</w:t>
      </w:r>
      <w:r w:rsidR="005644D6">
        <w:rPr>
          <w:rFonts w:cs="Miriam" w:hint="cs"/>
          <w:rtl/>
        </w:rPr>
        <w:t xml:space="preserve">  </w:t>
      </w:r>
      <w:r>
        <w:rPr>
          <w:rFonts w:cs="Miriam" w:hint="cs"/>
          <w:rtl/>
        </w:rPr>
        <w:t xml:space="preserve">אבל למה, הוא, אתו אחד, </w:t>
      </w:r>
    </w:p>
    <w:p w14:paraId="3BF197B8" w14:textId="77777777" w:rsidR="00C17DCE" w:rsidRDefault="00D759EB">
      <w:pPr>
        <w:ind w:left="945" w:right="900"/>
        <w:jc w:val="both"/>
        <w:rPr>
          <w:rFonts w:cs="Miriam"/>
          <w:rtl/>
        </w:rPr>
      </w:pPr>
      <w:bookmarkStart w:id="13" w:name="A000003918079"/>
      <w:bookmarkEnd w:id="13"/>
      <w:r>
        <w:rPr>
          <w:rFonts w:cs="Miriam" w:hint="cs"/>
          <w:rtl/>
        </w:rPr>
        <w:t xml:space="preserve"> ת:</w:t>
      </w:r>
      <w:r w:rsidR="005644D6">
        <w:rPr>
          <w:rFonts w:cs="Miriam" w:hint="cs"/>
          <w:rtl/>
        </w:rPr>
        <w:t xml:space="preserve">  </w:t>
      </w:r>
      <w:r>
        <w:rPr>
          <w:rFonts w:cs="Miriam" w:hint="cs"/>
          <w:rtl/>
        </w:rPr>
        <w:t xml:space="preserve">אני יכול לעשות לבן אדם בעיות פשוט, </w:t>
      </w:r>
    </w:p>
    <w:p w14:paraId="3E563F24" w14:textId="77777777" w:rsidR="00C17DCE" w:rsidRDefault="00D759EB">
      <w:pPr>
        <w:ind w:left="945" w:right="900"/>
        <w:jc w:val="both"/>
        <w:rPr>
          <w:rFonts w:cs="Miriam"/>
          <w:rtl/>
        </w:rPr>
      </w:pPr>
      <w:bookmarkStart w:id="14" w:name="A000003919553"/>
      <w:bookmarkEnd w:id="14"/>
      <w:r>
        <w:rPr>
          <w:rFonts w:cs="Miriam" w:hint="cs"/>
          <w:rtl/>
        </w:rPr>
        <w:t xml:space="preserve"> ש:</w:t>
      </w:r>
      <w:r w:rsidR="005644D6">
        <w:rPr>
          <w:rFonts w:cs="Miriam" w:hint="cs"/>
          <w:rtl/>
        </w:rPr>
        <w:t xml:space="preserve">  </w:t>
      </w:r>
      <w:r>
        <w:rPr>
          <w:rFonts w:cs="Miriam" w:hint="cs"/>
          <w:rtl/>
        </w:rPr>
        <w:t xml:space="preserve">למה אתה צריך, אתה לא צריך לעשות שום בעיות, אותו בן אדם השאיל לך את האוטו בתמימות, נתן לך את האוטו בתמימות, הוא לא מעורב בכלל בסיפור הזה. </w:t>
      </w:r>
    </w:p>
    <w:p w14:paraId="0DC124FE" w14:textId="77777777" w:rsidR="00C17DCE" w:rsidRDefault="00D759EB">
      <w:pPr>
        <w:ind w:left="945" w:right="900"/>
        <w:jc w:val="both"/>
        <w:rPr>
          <w:rtl/>
        </w:rPr>
      </w:pPr>
      <w:bookmarkStart w:id="15" w:name="A000003939961"/>
      <w:bookmarkEnd w:id="15"/>
      <w:r>
        <w:rPr>
          <w:rFonts w:cs="Miriam" w:hint="cs"/>
          <w:rtl/>
        </w:rPr>
        <w:t xml:space="preserve"> ת:</w:t>
      </w:r>
      <w:r w:rsidR="005644D6">
        <w:rPr>
          <w:rFonts w:cs="Miriam" w:hint="cs"/>
          <w:rtl/>
        </w:rPr>
        <w:t xml:space="preserve">  </w:t>
      </w:r>
      <w:r>
        <w:rPr>
          <w:rFonts w:cs="Miriam" w:hint="cs"/>
          <w:rtl/>
        </w:rPr>
        <w:t xml:space="preserve">אני לא יכול להגיד את זה" </w:t>
      </w:r>
      <w:r>
        <w:rPr>
          <w:rFonts w:hint="cs"/>
          <w:rtl/>
        </w:rPr>
        <w:t>(עמוד 406 לפרוטוקול שורה 15 ואילך).</w:t>
      </w:r>
    </w:p>
    <w:p w14:paraId="45B4E0BE" w14:textId="77777777" w:rsidR="00C17DCE" w:rsidRDefault="00C17DCE">
      <w:pPr>
        <w:spacing w:line="360" w:lineRule="auto"/>
        <w:ind w:left="720" w:firstLine="720"/>
        <w:rPr>
          <w:rtl/>
        </w:rPr>
      </w:pPr>
    </w:p>
    <w:p w14:paraId="471EA2E7" w14:textId="77777777" w:rsidR="00C17DCE" w:rsidRDefault="00D759EB">
      <w:pPr>
        <w:numPr>
          <w:ilvl w:val="0"/>
          <w:numId w:val="7"/>
        </w:numPr>
        <w:spacing w:line="360" w:lineRule="auto"/>
        <w:jc w:val="both"/>
        <w:rPr>
          <w:rtl/>
        </w:rPr>
      </w:pPr>
      <w:r>
        <w:rPr>
          <w:rFonts w:hint="cs"/>
          <w:rtl/>
        </w:rPr>
        <w:t>חזקה על הנאשם 2 כי לו גרסתו אמת ולו אחד מאותם חמישה (או יותר) אנשים מסתוריים המוזכרים בעדותו, קיים במציאות ותומך בגרסתו הוא היה מוסר פרטיו ומביאו לעדות ולו את העדים התמימים לכאורה שאינם קשורים באירוע כמו החברים שישבו עימו בעת קבלת השיחה הראשונה, או בעל הרכב שהשאיל לו את רכבו לכאורה.</w:t>
      </w:r>
    </w:p>
    <w:p w14:paraId="7D5C5580" w14:textId="77777777" w:rsidR="00C17DCE" w:rsidRDefault="00D759EB">
      <w:pPr>
        <w:spacing w:line="360" w:lineRule="auto"/>
        <w:ind w:firstLine="511"/>
        <w:jc w:val="both"/>
        <w:rPr>
          <w:rtl/>
        </w:rPr>
      </w:pPr>
      <w:r>
        <w:rPr>
          <w:rFonts w:hint="cs"/>
          <w:rtl/>
        </w:rPr>
        <w:t>אזכיר את הכלל כפי שנקבע למשל  ב</w:t>
      </w:r>
      <w:hyperlink r:id="rId48" w:history="1">
        <w:r w:rsidR="005644D6" w:rsidRPr="005644D6">
          <w:rPr>
            <w:rStyle w:val="Hyperlink"/>
            <w:rFonts w:hint="eastAsia"/>
            <w:rtl/>
          </w:rPr>
          <w:t>ע</w:t>
        </w:r>
        <w:r w:rsidR="005644D6" w:rsidRPr="005644D6">
          <w:rPr>
            <w:rStyle w:val="Hyperlink"/>
            <w:rtl/>
          </w:rPr>
          <w:t>"</w:t>
        </w:r>
        <w:r w:rsidR="005644D6" w:rsidRPr="005644D6">
          <w:rPr>
            <w:rStyle w:val="Hyperlink"/>
            <w:rFonts w:hint="eastAsia"/>
            <w:rtl/>
          </w:rPr>
          <w:t>פ</w:t>
        </w:r>
        <w:r w:rsidR="005644D6" w:rsidRPr="005644D6">
          <w:rPr>
            <w:rStyle w:val="Hyperlink"/>
            <w:rtl/>
          </w:rPr>
          <w:t xml:space="preserve"> 9409/09</w:t>
        </w:r>
      </w:hyperlink>
      <w:r>
        <w:rPr>
          <w:rFonts w:hint="cs"/>
          <w:rtl/>
        </w:rPr>
        <w:t>:</w:t>
      </w:r>
    </w:p>
    <w:p w14:paraId="5A490AAE" w14:textId="77777777" w:rsidR="00C17DCE" w:rsidRDefault="00C17DCE">
      <w:pPr>
        <w:ind w:firstLine="511"/>
        <w:jc w:val="both"/>
        <w:rPr>
          <w:rtl/>
        </w:rPr>
      </w:pPr>
    </w:p>
    <w:p w14:paraId="3F2BA6BA" w14:textId="77777777" w:rsidR="00C17DCE" w:rsidRDefault="00D759EB">
      <w:pPr>
        <w:ind w:left="1080" w:right="900"/>
        <w:jc w:val="both"/>
      </w:pPr>
      <w:r>
        <w:rPr>
          <w:rFonts w:hint="cs"/>
          <w:rtl/>
        </w:rPr>
        <w:t>"</w:t>
      </w:r>
      <w:r>
        <w:rPr>
          <w:rFonts w:cs="Miriam" w:hint="cs"/>
          <w:rtl/>
        </w:rPr>
        <w:t>הלכה ידועה היא, כי אם נמנע בעל דין מהצגת ראיה רלבנטית שבהישג ידו, ללא הסבר סביר, ניתן להסיק שאילו הובאה הראיה, היתה פועלת כנגדו (</w:t>
      </w:r>
      <w:hyperlink r:id="rId49" w:history="1">
        <w:r w:rsidR="005644D6" w:rsidRPr="005644D6">
          <w:rPr>
            <w:rStyle w:val="Hyperlink"/>
            <w:rFonts w:cs="Miriam" w:hint="eastAsia"/>
            <w:rtl/>
          </w:rPr>
          <w:t>ע</w:t>
        </w:r>
        <w:r w:rsidR="005644D6" w:rsidRPr="005644D6">
          <w:rPr>
            <w:rStyle w:val="Hyperlink"/>
            <w:rFonts w:cs="Miriam"/>
            <w:rtl/>
          </w:rPr>
          <w:t>"</w:t>
        </w:r>
        <w:r w:rsidR="005644D6" w:rsidRPr="005644D6">
          <w:rPr>
            <w:rStyle w:val="Hyperlink"/>
            <w:rFonts w:cs="Miriam" w:hint="eastAsia"/>
            <w:rtl/>
          </w:rPr>
          <w:t>פ</w:t>
        </w:r>
        <w:r w:rsidR="005644D6" w:rsidRPr="005644D6">
          <w:rPr>
            <w:rStyle w:val="Hyperlink"/>
            <w:rFonts w:cs="Miriam"/>
            <w:rtl/>
          </w:rPr>
          <w:t xml:space="preserve"> 11331/03 </w:t>
        </w:r>
        <w:r w:rsidR="005644D6" w:rsidRPr="005644D6">
          <w:rPr>
            <w:rStyle w:val="Hyperlink"/>
            <w:rFonts w:cs="Miriam" w:hint="eastAsia"/>
            <w:rtl/>
          </w:rPr>
          <w:t>קיס</w:t>
        </w:r>
        <w:r w:rsidR="005644D6" w:rsidRPr="005644D6">
          <w:rPr>
            <w:rStyle w:val="Hyperlink"/>
            <w:rFonts w:cs="Miriam"/>
            <w:rtl/>
          </w:rPr>
          <w:t xml:space="preserve"> </w:t>
        </w:r>
        <w:r w:rsidR="005644D6" w:rsidRPr="005644D6">
          <w:rPr>
            <w:rStyle w:val="Hyperlink"/>
            <w:rFonts w:cs="Miriam" w:hint="eastAsia"/>
            <w:rtl/>
          </w:rPr>
          <w:t>נ</w:t>
        </w:r>
        <w:r w:rsidR="005644D6" w:rsidRPr="005644D6">
          <w:rPr>
            <w:rStyle w:val="Hyperlink"/>
            <w:rFonts w:cs="Miriam"/>
            <w:rtl/>
          </w:rPr>
          <w:t xml:space="preserve">' </w:t>
        </w:r>
        <w:r w:rsidR="005644D6" w:rsidRPr="005644D6">
          <w:rPr>
            <w:rStyle w:val="Hyperlink"/>
            <w:rFonts w:cs="Miriam" w:hint="eastAsia"/>
            <w:rtl/>
          </w:rPr>
          <w:t>מדינת</w:t>
        </w:r>
        <w:r w:rsidR="005644D6" w:rsidRPr="005644D6">
          <w:rPr>
            <w:rStyle w:val="Hyperlink"/>
            <w:rFonts w:cs="Miriam"/>
            <w:rtl/>
          </w:rPr>
          <w:t xml:space="preserve"> </w:t>
        </w:r>
        <w:r w:rsidR="005644D6" w:rsidRPr="005644D6">
          <w:rPr>
            <w:rStyle w:val="Hyperlink"/>
            <w:rFonts w:cs="Miriam" w:hint="eastAsia"/>
            <w:rtl/>
          </w:rPr>
          <w:t>ישראל</w:t>
        </w:r>
        <w:r w:rsidR="005644D6" w:rsidRPr="005644D6">
          <w:rPr>
            <w:rStyle w:val="Hyperlink"/>
            <w:rFonts w:cs="Miriam"/>
            <w:rtl/>
          </w:rPr>
          <w:t xml:space="preserve">, </w:t>
        </w:r>
        <w:r w:rsidR="005644D6" w:rsidRPr="005644D6">
          <w:rPr>
            <w:rStyle w:val="Hyperlink"/>
            <w:rFonts w:cs="Miriam" w:hint="eastAsia"/>
            <w:rtl/>
          </w:rPr>
          <w:t>פ</w:t>
        </w:r>
        <w:r w:rsidR="005644D6" w:rsidRPr="005644D6">
          <w:rPr>
            <w:rStyle w:val="Hyperlink"/>
            <w:rFonts w:cs="Miriam"/>
            <w:rtl/>
          </w:rPr>
          <w:t>"</w:t>
        </w:r>
        <w:r w:rsidR="005644D6" w:rsidRPr="005644D6">
          <w:rPr>
            <w:rStyle w:val="Hyperlink"/>
            <w:rFonts w:cs="Miriam" w:hint="eastAsia"/>
            <w:rtl/>
          </w:rPr>
          <w:t>ד</w:t>
        </w:r>
        <w:r w:rsidR="005644D6" w:rsidRPr="005644D6">
          <w:rPr>
            <w:rStyle w:val="Hyperlink"/>
            <w:rFonts w:cs="Miriam"/>
            <w:rtl/>
          </w:rPr>
          <w:t xml:space="preserve"> </w:t>
        </w:r>
        <w:r w:rsidR="005644D6" w:rsidRPr="005644D6">
          <w:rPr>
            <w:rStyle w:val="Hyperlink"/>
            <w:rFonts w:cs="Miriam" w:hint="eastAsia"/>
            <w:rtl/>
          </w:rPr>
          <w:t>נט</w:t>
        </w:r>
      </w:hyperlink>
      <w:r>
        <w:rPr>
          <w:rFonts w:cs="Miriam" w:hint="cs"/>
          <w:rtl/>
        </w:rPr>
        <w:t>(3) 453)",</w:t>
      </w:r>
      <w:r>
        <w:rPr>
          <w:rFonts w:hint="cs"/>
          <w:rtl/>
        </w:rPr>
        <w:t xml:space="preserve"> </w:t>
      </w:r>
      <w:hyperlink r:id="rId50" w:history="1">
        <w:r w:rsidR="005644D6" w:rsidRPr="005644D6">
          <w:rPr>
            <w:rStyle w:val="Hyperlink"/>
            <w:rFonts w:hint="eastAsia"/>
            <w:rtl/>
          </w:rPr>
          <w:t>ע</w:t>
        </w:r>
        <w:r w:rsidR="005644D6" w:rsidRPr="005644D6">
          <w:rPr>
            <w:rStyle w:val="Hyperlink"/>
            <w:rtl/>
          </w:rPr>
          <w:t>"</w:t>
        </w:r>
        <w:r w:rsidR="005644D6" w:rsidRPr="005644D6">
          <w:rPr>
            <w:rStyle w:val="Hyperlink"/>
            <w:rFonts w:hint="eastAsia"/>
            <w:rtl/>
          </w:rPr>
          <w:t>פ</w:t>
        </w:r>
        <w:r w:rsidR="005644D6" w:rsidRPr="005644D6">
          <w:rPr>
            <w:rStyle w:val="Hyperlink"/>
            <w:rtl/>
          </w:rPr>
          <w:t xml:space="preserve"> 9409/09</w:t>
        </w:r>
      </w:hyperlink>
      <w:r>
        <w:rPr>
          <w:rFonts w:hint="cs"/>
          <w:rtl/>
        </w:rPr>
        <w:t xml:space="preserve"> </w:t>
      </w:r>
      <w:r>
        <w:rPr>
          <w:rFonts w:hint="cs"/>
          <w:b/>
          <w:bCs/>
          <w:rtl/>
        </w:rPr>
        <w:t>משה בן יהודה נגד מדינת ישראל</w:t>
      </w:r>
      <w:r>
        <w:rPr>
          <w:rFonts w:hint="cs"/>
          <w:rtl/>
        </w:rPr>
        <w:t xml:space="preserve">. </w:t>
      </w:r>
    </w:p>
    <w:p w14:paraId="08A80E88" w14:textId="77777777" w:rsidR="00C17DCE" w:rsidRDefault="00C17DCE">
      <w:pPr>
        <w:spacing w:line="360" w:lineRule="auto"/>
        <w:ind w:left="1080" w:right="720"/>
        <w:jc w:val="both"/>
        <w:rPr>
          <w:rtl/>
        </w:rPr>
      </w:pPr>
    </w:p>
    <w:p w14:paraId="32422C88" w14:textId="77777777" w:rsidR="00C17DCE" w:rsidRDefault="00D759EB">
      <w:pPr>
        <w:spacing w:line="360" w:lineRule="auto"/>
        <w:ind w:left="511"/>
        <w:jc w:val="both"/>
      </w:pPr>
      <w:r>
        <w:rPr>
          <w:rFonts w:hint="cs"/>
          <w:rtl/>
        </w:rPr>
        <w:t>המסקנה אותה ניתן להסיק מדרך ראייתית זו, היא כי הבאת העדים היתה מחזקת את עמדת המאשימה ומערערת את גרסת ההגנה של נאשם 2 אשר כפי שיפורט להלן הוכח כי הינה חסרת כל בסיס עובדתי בשאלות שבמחלוקת.</w:t>
      </w:r>
    </w:p>
    <w:p w14:paraId="2FB32EEE" w14:textId="77777777" w:rsidR="00C17DCE" w:rsidRDefault="00C17DCE">
      <w:pPr>
        <w:spacing w:line="360" w:lineRule="auto"/>
        <w:jc w:val="both"/>
      </w:pPr>
    </w:p>
    <w:p w14:paraId="081C2BEB" w14:textId="77777777" w:rsidR="00C17DCE" w:rsidRDefault="00D759EB">
      <w:pPr>
        <w:numPr>
          <w:ilvl w:val="0"/>
          <w:numId w:val="7"/>
        </w:numPr>
        <w:spacing w:line="360" w:lineRule="auto"/>
        <w:jc w:val="both"/>
      </w:pPr>
      <w:r>
        <w:rPr>
          <w:rFonts w:hint="cs"/>
          <w:rtl/>
        </w:rPr>
        <w:t>בעדותו עשה נאשם 2 רושם בלתי מהימן, לא היו לו תשובות לשאלות מהותיות והוא בחר להסתתר מאחורי חצאי אמיתות או להשיב תשובות מתחמקות. כך למשל, בעוד שבא כוח הנאשם טען בשמו כי הוא "סייע לאחר מעשה למי שנכח בזירת האירוע, הוא המתין בקרבת מקום והוא עזר במילוט מי שנכח בזירת האירוע והן בהשלכת אותם מוצגים שנתפסו", הנאשם 2 בעדותו טען טענה עובדתית שונה לחלוטין ולפיה לא עזר למלט את מבצעי העבירה למרות שלגרסתו פגש את אחד מהם ואף שוחח עימו. (ראו עדותו עמוד 415 לפרוטוקול שורה 29 ואילך), גם באשר לסיוע לאחר מעשה כדברי בא כוחו,  המעיט חלקו רק לתפקיד של "לאסוף אנשים".</w:t>
      </w:r>
    </w:p>
    <w:p w14:paraId="3BCD867A" w14:textId="77777777" w:rsidR="00C17DCE" w:rsidRDefault="00C17DCE">
      <w:pPr>
        <w:spacing w:line="360" w:lineRule="auto"/>
        <w:jc w:val="both"/>
      </w:pPr>
    </w:p>
    <w:p w14:paraId="56ACC153" w14:textId="77777777" w:rsidR="00C17DCE" w:rsidRDefault="00D759EB">
      <w:pPr>
        <w:numPr>
          <w:ilvl w:val="0"/>
          <w:numId w:val="7"/>
        </w:numPr>
        <w:spacing w:line="360" w:lineRule="auto"/>
        <w:jc w:val="both"/>
        <w:rPr>
          <w:rtl/>
        </w:rPr>
      </w:pPr>
      <w:r>
        <w:rPr>
          <w:rFonts w:hint="cs"/>
          <w:rtl/>
        </w:rPr>
        <w:t>לנאשם 2 לא היה הסבר מדוע כבש גרסתו עד לתחילת פרשת ההגנה שלו. טענתו כי לא חשב שיאמינו לו בחקירה, אינה מתיישבת עם כבישת הגרסה גם בשלב הבאתו בפני שופט המעצרים ובעיקר עם כבישתה במהלך הדיון בפנינו, (ר' התפתלותו במהלך החקירה  הנגדית בנושא זה, עמוד 396 לפרוטוקול שורה 22, עמוד 398 שורה 5 והסברו הסותר כי שתק לא מחוסר אמון אלא מפחד, עמוד 413 שורה 22). גם טענתו הכבושה כי שמר על זכות השתיקה כי נחקר בשפה העברית ללא מתורגמן, (עמ' 399 לפרוטוקול שורה 18), נסתרה מכל וכל מצפייה בתקליטורים (ת/52א, ת/53א ת/54א ת/55א). כל ארבעת ההודעות תועדו, ניתן להתרשם מצפייה בהן כי במהלך החקירות נעשה תרגום מלא לשפה הרוסית כאשר החוקר מאיר קנדרו מקפיד כי כל מילה תתורגם, (ראו ת/52א למשל דקה 1:35 או 6:58), מה עוד שמהתיעוד מתקבל הרושם כי הנאשם מבין עברית (ראו למשל דקה 19:04 בת/52א, עדות החוקר מאיר קנדרו בנושא זה, עמוד 466 לפרוטוקול שורה 30 ושיחת נאשם 2 עם חברתו מרינה שכולה בעברית ת/96).</w:t>
      </w:r>
    </w:p>
    <w:p w14:paraId="3C81602C" w14:textId="77777777" w:rsidR="00C17DCE" w:rsidRDefault="00C17DCE">
      <w:pPr>
        <w:spacing w:line="360" w:lineRule="auto"/>
        <w:jc w:val="both"/>
      </w:pPr>
    </w:p>
    <w:p w14:paraId="4A535BB7" w14:textId="77777777" w:rsidR="00C17DCE" w:rsidRDefault="00D759EB">
      <w:pPr>
        <w:numPr>
          <w:ilvl w:val="0"/>
          <w:numId w:val="7"/>
        </w:numPr>
        <w:spacing w:line="360" w:lineRule="auto"/>
        <w:jc w:val="both"/>
        <w:rPr>
          <w:rtl/>
        </w:rPr>
      </w:pPr>
      <w:r>
        <w:rPr>
          <w:rFonts w:hint="cs"/>
          <w:rtl/>
        </w:rPr>
        <w:t xml:space="preserve">בנושא זה אזכיר כי </w:t>
      </w:r>
      <w:r>
        <w:rPr>
          <w:rFonts w:ascii="Times New Roman" w:hAnsi="Times New Roman" w:hint="cs"/>
          <w:rtl/>
        </w:rPr>
        <w:t xml:space="preserve">הכחשה גורפת פועלת לחובתו של נאשם כאשר מתברר באמצעות ראיות אחרות כי מדובר היה בהכחשה שקרית ומופרכת הנסתרת בראיות אחרות (ראו </w:t>
      </w:r>
      <w:hyperlink r:id="rId51" w:history="1">
        <w:r w:rsidR="005644D6" w:rsidRPr="005644D6">
          <w:rPr>
            <w:rStyle w:val="Hyperlink"/>
            <w:rFonts w:ascii="Times New Roman" w:hAnsi="Times New Roman"/>
            <w:rtl/>
          </w:rPr>
          <w:t>ע"פ 814/81 אל שבאב נ' מדינת ישראל, פ"ד לו</w:t>
        </w:r>
      </w:hyperlink>
      <w:r>
        <w:rPr>
          <w:rFonts w:ascii="Times New Roman" w:hAnsi="Times New Roman" w:hint="cs"/>
          <w:rtl/>
        </w:rPr>
        <w:t xml:space="preserve">(2) 826, 833-832). </w:t>
      </w:r>
    </w:p>
    <w:p w14:paraId="7AF24C40" w14:textId="77777777" w:rsidR="00C17DCE" w:rsidRDefault="00C17DCE">
      <w:pPr>
        <w:spacing w:line="360" w:lineRule="auto"/>
        <w:jc w:val="both"/>
      </w:pPr>
    </w:p>
    <w:p w14:paraId="3C642C1C" w14:textId="77777777" w:rsidR="00C17DCE" w:rsidRDefault="00D759EB">
      <w:pPr>
        <w:numPr>
          <w:ilvl w:val="0"/>
          <w:numId w:val="7"/>
        </w:numPr>
        <w:spacing w:line="360" w:lineRule="auto"/>
        <w:jc w:val="both"/>
        <w:rPr>
          <w:rtl/>
        </w:rPr>
      </w:pPr>
      <w:r>
        <w:rPr>
          <w:rFonts w:hint="cs"/>
          <w:rtl/>
        </w:rPr>
        <w:t xml:space="preserve">בעדותו העלה גם טענה סתמית כי לא השיב לשאלות בחקירה משום </w:t>
      </w:r>
      <w:r>
        <w:rPr>
          <w:rFonts w:cs="Miriam" w:hint="cs"/>
          <w:rtl/>
        </w:rPr>
        <w:t>"שאני לא מאמין לאף מילה של המשטרה ואני חושב שיש להם כעס נגדי אישי...ועוינות אישית"</w:t>
      </w:r>
      <w:r>
        <w:rPr>
          <w:rFonts w:hint="cs"/>
          <w:rtl/>
        </w:rPr>
        <w:t xml:space="preserve"> (עמוד 404 לפרוטוקול שורה 6).</w:t>
      </w:r>
    </w:p>
    <w:p w14:paraId="69FD078F" w14:textId="77777777" w:rsidR="00C17DCE" w:rsidRDefault="00C17DCE">
      <w:pPr>
        <w:spacing w:line="360" w:lineRule="auto"/>
        <w:jc w:val="both"/>
      </w:pPr>
    </w:p>
    <w:p w14:paraId="2B17ED8A" w14:textId="77777777" w:rsidR="00C17DCE" w:rsidRDefault="00D759EB">
      <w:pPr>
        <w:numPr>
          <w:ilvl w:val="0"/>
          <w:numId w:val="7"/>
        </w:numPr>
        <w:spacing w:line="360" w:lineRule="auto"/>
        <w:jc w:val="both"/>
      </w:pPr>
      <w:r>
        <w:rPr>
          <w:rFonts w:hint="cs"/>
          <w:rtl/>
        </w:rPr>
        <w:t>הנאשם 2 בחקירתו הסתבך בגרסאותיו ולפתע טען כי גם כובע הגרב מקורו ממעורבות קודמת:</w:t>
      </w:r>
    </w:p>
    <w:p w14:paraId="500092E2" w14:textId="77777777" w:rsidR="00C17DCE" w:rsidRDefault="00C17DCE">
      <w:pPr>
        <w:jc w:val="both"/>
        <w:rPr>
          <w:rtl/>
        </w:rPr>
      </w:pPr>
    </w:p>
    <w:p w14:paraId="410FDA71" w14:textId="77777777" w:rsidR="00C17DCE" w:rsidRDefault="00D759EB">
      <w:pPr>
        <w:ind w:left="1125" w:right="900" w:hanging="334"/>
        <w:jc w:val="both"/>
        <w:rPr>
          <w:rFonts w:cs="Miriam"/>
        </w:rPr>
      </w:pPr>
      <w:r>
        <w:rPr>
          <w:rFonts w:cs="Miriam" w:hint="cs"/>
          <w:rtl/>
        </w:rPr>
        <w:t>"ש:</w:t>
      </w:r>
      <w:r w:rsidR="005644D6">
        <w:rPr>
          <w:rFonts w:cs="Miriam" w:hint="cs"/>
          <w:rtl/>
        </w:rPr>
        <w:t xml:space="preserve"> </w:t>
      </w:r>
      <w:r>
        <w:rPr>
          <w:rFonts w:cs="Miriam" w:hint="cs"/>
          <w:rtl/>
        </w:rPr>
        <w:t xml:space="preserve">איך אתה מסביר שמוצאים על אחד הכובעים בחלק הפנימי באזור של הפה סימנים שטוענים שהם שלך, די.אן.איי. </w:t>
      </w:r>
      <w:bookmarkStart w:id="16" w:name="A000005310008"/>
      <w:bookmarkEnd w:id="16"/>
    </w:p>
    <w:p w14:paraId="183C01F0" w14:textId="77777777" w:rsidR="00C17DCE" w:rsidRDefault="00D759EB">
      <w:pPr>
        <w:ind w:left="1125" w:right="900" w:hanging="334"/>
        <w:jc w:val="both"/>
      </w:pPr>
      <w:r>
        <w:rPr>
          <w:rFonts w:cs="Miriam" w:hint="cs"/>
          <w:rtl/>
        </w:rPr>
        <w:t>ת:</w:t>
      </w:r>
      <w:r w:rsidR="005644D6">
        <w:rPr>
          <w:rFonts w:cs="Miriam" w:hint="cs"/>
          <w:rtl/>
        </w:rPr>
        <w:t xml:space="preserve">  </w:t>
      </w:r>
      <w:r>
        <w:rPr>
          <w:rFonts w:cs="Miriam" w:hint="cs"/>
          <w:rtl/>
        </w:rPr>
        <w:t xml:space="preserve">אני חושב שזה היה מפעם, מהעניינים שהיו קודם. זה פשוט נשאר שמה בכובע הזה, הסימנים האלה", </w:t>
      </w:r>
      <w:r>
        <w:rPr>
          <w:rFonts w:hint="cs"/>
          <w:rtl/>
        </w:rPr>
        <w:t xml:space="preserve">(עמ' 417 לפרוטוקול שורה 9). </w:t>
      </w:r>
    </w:p>
    <w:p w14:paraId="51230258" w14:textId="77777777" w:rsidR="00C17DCE" w:rsidRDefault="00C17DCE">
      <w:pPr>
        <w:spacing w:line="360" w:lineRule="auto"/>
        <w:ind w:left="1440" w:hanging="334"/>
        <w:rPr>
          <w:rtl/>
        </w:rPr>
      </w:pPr>
    </w:p>
    <w:p w14:paraId="471DBF9D" w14:textId="77777777" w:rsidR="00C17DCE" w:rsidRDefault="00D759EB">
      <w:pPr>
        <w:spacing w:line="360" w:lineRule="auto"/>
        <w:ind w:left="511" w:firstLine="55"/>
        <w:jc w:val="both"/>
        <w:rPr>
          <w:rtl/>
        </w:rPr>
      </w:pPr>
      <w:r>
        <w:rPr>
          <w:rFonts w:hint="cs"/>
          <w:rtl/>
        </w:rPr>
        <w:t>מה ששכח נאשם 2 כי "העניינים שהיו קודם" תועדו בת/97 ובו אין זכר לכובע גרב. נאשם 1 בגרסתו הבהיר כי לא עשה שימוש בכובע גרב או כפפות שהביא מהבית אלא הוא קיבל כובעים חדשים, לא שלו, ביום בו נשלח לבצע העבירה, (עמוד 354 לפרוטוקול שורה 23 ואילך). כשהועמד נאשם 2 על הבעייתיות בגרסה, הוא העלה גרסה חדשה, כי "</w:t>
      </w:r>
      <w:r>
        <w:rPr>
          <w:rFonts w:cs="Miriam" w:hint="cs"/>
          <w:rtl/>
        </w:rPr>
        <w:t>יכול להיות שאני השארתי את הכובעים האלה שאני השתמשתי כבר, יכול להיות שהשארתי את זה אצל הבן אדם הזה כי אני הכרתי אותו, הוא היה חבר שלי",(</w:t>
      </w:r>
      <w:r>
        <w:rPr>
          <w:rFonts w:hint="cs"/>
          <w:rtl/>
        </w:rPr>
        <w:t xml:space="preserve">עמוד 421 לפרוטוקול) ואזכיר כי אותו אדם מסתורי לא הוזכר כלל עד לאותו דיון ופרטיו נשארו עלומים. </w:t>
      </w:r>
    </w:p>
    <w:p w14:paraId="5B4CB51D" w14:textId="77777777" w:rsidR="00C17DCE" w:rsidRDefault="00C17DCE">
      <w:pPr>
        <w:spacing w:line="360" w:lineRule="auto"/>
        <w:ind w:left="511" w:firstLine="55"/>
        <w:jc w:val="both"/>
        <w:rPr>
          <w:rtl/>
        </w:rPr>
      </w:pPr>
    </w:p>
    <w:p w14:paraId="28CCF387" w14:textId="77777777" w:rsidR="00C17DCE" w:rsidRDefault="00D759EB">
      <w:pPr>
        <w:numPr>
          <w:ilvl w:val="0"/>
          <w:numId w:val="7"/>
        </w:numPr>
        <w:spacing w:line="360" w:lineRule="auto"/>
        <w:jc w:val="both"/>
        <w:rPr>
          <w:rtl/>
        </w:rPr>
      </w:pPr>
      <w:r>
        <w:rPr>
          <w:rFonts w:hint="cs"/>
          <w:rtl/>
        </w:rPr>
        <w:t>גם תיאור מעשיו בזירת האירוע, הינו תאור בלתי מהימן ובלתי סביר. מתיעוד מצולם של זירת האירוע שהוגש ע"י נאשם 2, (נ/19) ניתן לראות כי לבנין בו מתגוררת המתלוננת שתי כניסות, כניסה ראשית להולכי רגל וכניסה אחורית המובילה למגרש החנייה של הבניין. מי שנמצא במגרש החניה האחורי לא יכול לראות את הכניסה לבנין ואת היוצאים ממנו ולהיפך, מי שיורד במדרגות הבניין ויוצא מהכניסה הראשית לא יכול לראות את מגרש החניה האחורי ובהעדר ידיעה מוקדמת כי מי שהוא מחכה לו לא ילך כלל לאותו מגרש חניה אחורי.</w:t>
      </w:r>
    </w:p>
    <w:p w14:paraId="59A73B49" w14:textId="77777777" w:rsidR="00C17DCE" w:rsidRDefault="00C17DCE">
      <w:pPr>
        <w:spacing w:line="360" w:lineRule="auto"/>
        <w:jc w:val="both"/>
        <w:rPr>
          <w:rtl/>
        </w:rPr>
      </w:pPr>
    </w:p>
    <w:p w14:paraId="7F9A5707" w14:textId="77777777" w:rsidR="00C17DCE" w:rsidRDefault="00C17DCE">
      <w:pPr>
        <w:spacing w:line="360" w:lineRule="auto"/>
        <w:jc w:val="both"/>
      </w:pPr>
    </w:p>
    <w:p w14:paraId="5F099CE1" w14:textId="77777777" w:rsidR="00C17DCE" w:rsidRDefault="00D759EB">
      <w:pPr>
        <w:spacing w:line="360" w:lineRule="auto"/>
        <w:ind w:left="511"/>
        <w:jc w:val="both"/>
        <w:rPr>
          <w:rtl/>
        </w:rPr>
      </w:pPr>
      <w:r>
        <w:rPr>
          <w:rFonts w:hint="cs"/>
          <w:rtl/>
        </w:rPr>
        <w:t>הנאשם 2 טוען כי לא תאם מראש עם שני האנשים שהיו בדירה את דבר הגעתו או את מקום איסופם, הוא אף מציין כי לא המתין במקום מסוים שנקבע מראש אלא להיפך, בתחילה המתין מול הכניסה הראשית לבנין ואחר כך על דעת עצמו עבר להמתין בחניה הנמצאת בחלק האחורי של הבניין. לגרסתו, בעודו ממתין בחלק האחורי הגיע אליו אותו שותף מסתורי של נאשם 1 כשהוא שותת דם. הכיצד ידע השותף המסתורי להגיע לאותו מקום, אין לנאשם הסבר ולאור הנתונים שמסר גם לא יכול להיות הסבר אמיתי.</w:t>
      </w:r>
    </w:p>
    <w:p w14:paraId="0ED44EF7" w14:textId="77777777" w:rsidR="00C17DCE" w:rsidRDefault="00C17DCE">
      <w:pPr>
        <w:jc w:val="both"/>
      </w:pPr>
    </w:p>
    <w:p w14:paraId="01E60A70" w14:textId="77777777" w:rsidR="00C17DCE" w:rsidRDefault="00D759EB">
      <w:pPr>
        <w:numPr>
          <w:ilvl w:val="0"/>
          <w:numId w:val="7"/>
        </w:numPr>
        <w:spacing w:line="360" w:lineRule="auto"/>
        <w:jc w:val="both"/>
      </w:pPr>
      <w:r>
        <w:rPr>
          <w:rFonts w:hint="cs"/>
          <w:rtl/>
        </w:rPr>
        <w:t>זה השלב להבהיר כי גרסת נאשם 1 אותו לכ</w:t>
      </w:r>
      <w:smartTag w:uri="urn:schemas-microsoft-com:office:smarttags" w:element="PersonName">
        <w:r>
          <w:rPr>
            <w:rFonts w:hint="cs"/>
            <w:rtl/>
          </w:rPr>
          <w:t>אורה</w:t>
        </w:r>
      </w:smartTag>
      <w:r>
        <w:rPr>
          <w:rFonts w:hint="cs"/>
          <w:rtl/>
        </w:rPr>
        <w:t xml:space="preserve"> היה צריך לאסוף נאשם 2 שונה לחלוטין:  </w:t>
      </w:r>
    </w:p>
    <w:p w14:paraId="712B20B5" w14:textId="77777777" w:rsidR="00C17DCE" w:rsidRDefault="00C17DCE">
      <w:pPr>
        <w:jc w:val="both"/>
      </w:pPr>
    </w:p>
    <w:p w14:paraId="1E92BE8A" w14:textId="77777777" w:rsidR="00C17DCE" w:rsidRDefault="00D759EB">
      <w:pPr>
        <w:ind w:left="720" w:right="1080" w:firstLine="720"/>
        <w:jc w:val="both"/>
        <w:rPr>
          <w:rFonts w:cs="Miriam"/>
        </w:rPr>
      </w:pPr>
      <w:r>
        <w:rPr>
          <w:rFonts w:cs="Miriam" w:hint="cs"/>
          <w:rtl/>
        </w:rPr>
        <w:t>"ש:</w:t>
      </w:r>
      <w:r w:rsidR="005644D6">
        <w:rPr>
          <w:rFonts w:cs="Miriam" w:hint="cs"/>
          <w:rtl/>
        </w:rPr>
        <w:t xml:space="preserve"> </w:t>
      </w:r>
      <w:r>
        <w:rPr>
          <w:rFonts w:cs="Miriam" w:hint="cs"/>
          <w:rtl/>
        </w:rPr>
        <w:t xml:space="preserve"> אוקי. ואותו רכב שהוא יצא לה היה נכון?</w:t>
      </w:r>
    </w:p>
    <w:p w14:paraId="7EA46535" w14:textId="77777777" w:rsidR="00C17DCE" w:rsidRDefault="00D759EB">
      <w:pPr>
        <w:ind w:left="720" w:right="1080" w:firstLine="720"/>
        <w:jc w:val="both"/>
        <w:rPr>
          <w:rFonts w:cs="Miriam"/>
        </w:rPr>
      </w:pPr>
      <w:r>
        <w:rPr>
          <w:rFonts w:cs="Miriam" w:hint="cs"/>
          <w:rtl/>
        </w:rPr>
        <w:t xml:space="preserve"> ת:</w:t>
      </w:r>
      <w:r w:rsidR="005644D6">
        <w:rPr>
          <w:rFonts w:cs="Miriam" w:hint="cs"/>
          <w:rtl/>
        </w:rPr>
        <w:t xml:space="preserve">  </w:t>
      </w:r>
      <w:r>
        <w:rPr>
          <w:rFonts w:cs="Miriam" w:hint="cs"/>
          <w:rtl/>
        </w:rPr>
        <w:t xml:space="preserve">לא חיכינו לשום רכב. </w:t>
      </w:r>
    </w:p>
    <w:p w14:paraId="03CBA17C" w14:textId="77777777" w:rsidR="00C17DCE" w:rsidRDefault="00D759EB">
      <w:pPr>
        <w:ind w:left="720" w:right="1080" w:firstLine="720"/>
        <w:jc w:val="both"/>
        <w:rPr>
          <w:rFonts w:cs="Miriam"/>
          <w:rtl/>
        </w:rPr>
      </w:pPr>
      <w:r>
        <w:rPr>
          <w:rFonts w:cs="Miriam" w:hint="cs"/>
          <w:rtl/>
        </w:rPr>
        <w:t xml:space="preserve"> ש:</w:t>
      </w:r>
      <w:r w:rsidR="005644D6">
        <w:rPr>
          <w:rFonts w:cs="Miriam" w:hint="cs"/>
          <w:rtl/>
        </w:rPr>
        <w:t xml:space="preserve">  </w:t>
      </w:r>
      <w:r>
        <w:rPr>
          <w:rFonts w:cs="Miriam" w:hint="cs"/>
          <w:rtl/>
        </w:rPr>
        <w:t>בעצם נהג הרכב, רק שם אותם במקום והוא יצא לדרכו. נכון?</w:t>
      </w:r>
    </w:p>
    <w:p w14:paraId="35FED602" w14:textId="77777777" w:rsidR="00C17DCE" w:rsidRDefault="00D759EB">
      <w:pPr>
        <w:ind w:left="720" w:right="1080" w:firstLine="720"/>
        <w:jc w:val="both"/>
        <w:rPr>
          <w:rFonts w:cs="Miriam"/>
          <w:rtl/>
        </w:rPr>
      </w:pPr>
      <w:r>
        <w:rPr>
          <w:rFonts w:cs="Miriam" w:hint="cs"/>
          <w:rtl/>
        </w:rPr>
        <w:t xml:space="preserve"> ת:</w:t>
      </w:r>
      <w:r w:rsidR="005644D6">
        <w:rPr>
          <w:rFonts w:cs="Miriam" w:hint="cs"/>
          <w:rtl/>
        </w:rPr>
        <w:t xml:space="preserve">  </w:t>
      </w:r>
      <w:r>
        <w:rPr>
          <w:rFonts w:cs="Miriam" w:hint="cs"/>
          <w:rtl/>
        </w:rPr>
        <w:t xml:space="preserve">כן" </w:t>
      </w:r>
      <w:r>
        <w:rPr>
          <w:rFonts w:hint="cs"/>
          <w:rtl/>
        </w:rPr>
        <w:t>(עמוד 372 שורה  19 וראו גם עמוד 364 שורה 19).</w:t>
      </w:r>
    </w:p>
    <w:p w14:paraId="0C64DAE7" w14:textId="77777777" w:rsidR="00C17DCE" w:rsidRDefault="00C17DCE">
      <w:pPr>
        <w:ind w:left="720" w:right="1080" w:firstLine="720"/>
        <w:rPr>
          <w:rFonts w:cs="Miriam"/>
          <w:rtl/>
        </w:rPr>
      </w:pPr>
    </w:p>
    <w:p w14:paraId="142E9109" w14:textId="77777777" w:rsidR="00C17DCE" w:rsidRDefault="00D759EB">
      <w:pPr>
        <w:ind w:left="1440" w:right="1080"/>
        <w:rPr>
          <w:rFonts w:cs="Miriam"/>
          <w:rtl/>
        </w:rPr>
      </w:pPr>
      <w:r>
        <w:rPr>
          <w:rFonts w:cs="Miriam" w:hint="cs"/>
          <w:rtl/>
        </w:rPr>
        <w:t xml:space="preserve"> "...זה שהסיע אותך לאירוע לא המתין לך כדי לקחת אותך משם.</w:t>
      </w:r>
    </w:p>
    <w:p w14:paraId="597EB3D3" w14:textId="77777777" w:rsidR="00C17DCE" w:rsidRDefault="00D759EB">
      <w:pPr>
        <w:ind w:left="2006" w:right="1080" w:hanging="540"/>
        <w:rPr>
          <w:rFonts w:cs="Miriam"/>
          <w:rtl/>
        </w:rPr>
      </w:pPr>
      <w:r>
        <w:rPr>
          <w:rFonts w:cs="Miriam" w:hint="cs"/>
          <w:rtl/>
        </w:rPr>
        <w:t>ת:</w:t>
      </w:r>
      <w:r w:rsidR="005644D6">
        <w:rPr>
          <w:rFonts w:cs="Miriam" w:hint="cs"/>
          <w:rtl/>
        </w:rPr>
        <w:t xml:space="preserve"> </w:t>
      </w:r>
      <w:r>
        <w:rPr>
          <w:rFonts w:cs="Miriam" w:hint="cs"/>
          <w:rtl/>
        </w:rPr>
        <w:t xml:space="preserve"> אף אחד לא חיכה לי אחרי האירוע. אם היו מחכים לי אולי </w:t>
      </w:r>
    </w:p>
    <w:p w14:paraId="6CC59046" w14:textId="77777777" w:rsidR="00C17DCE" w:rsidRDefault="00D759EB">
      <w:pPr>
        <w:ind w:left="2006" w:right="1080" w:hanging="540"/>
        <w:rPr>
          <w:rFonts w:cs="Miriam"/>
          <w:rtl/>
        </w:rPr>
      </w:pPr>
      <w:r>
        <w:rPr>
          <w:rFonts w:cs="Miriam" w:hint="cs"/>
          <w:rtl/>
        </w:rPr>
        <w:t xml:space="preserve">     לא היה צורך לזרוק משהו, וגם לא היו מוצאים אותי 100 </w:t>
      </w:r>
    </w:p>
    <w:p w14:paraId="723CB979" w14:textId="77777777" w:rsidR="00C17DCE" w:rsidRDefault="00D759EB">
      <w:pPr>
        <w:ind w:left="2006" w:right="1080" w:hanging="540"/>
        <w:rPr>
          <w:rtl/>
        </w:rPr>
      </w:pPr>
      <w:r>
        <w:rPr>
          <w:rFonts w:cs="Miriam" w:hint="cs"/>
          <w:rtl/>
        </w:rPr>
        <w:t xml:space="preserve">     שנה", </w:t>
      </w:r>
      <w:r>
        <w:rPr>
          <w:rFonts w:hint="cs"/>
          <w:rtl/>
        </w:rPr>
        <w:t>(עמוד 377 לפרוטוקול שורה 7).</w:t>
      </w:r>
    </w:p>
    <w:p w14:paraId="1EA45477" w14:textId="77777777" w:rsidR="00C17DCE" w:rsidRDefault="00C17DCE">
      <w:pPr>
        <w:spacing w:line="360" w:lineRule="auto"/>
        <w:ind w:left="2006" w:hanging="540"/>
        <w:jc w:val="both"/>
        <w:rPr>
          <w:rFonts w:cs="Miriam"/>
          <w:rtl/>
        </w:rPr>
      </w:pPr>
    </w:p>
    <w:p w14:paraId="2149164D" w14:textId="77777777" w:rsidR="00C17DCE" w:rsidRDefault="00D759EB">
      <w:pPr>
        <w:ind w:firstLine="720"/>
        <w:jc w:val="both"/>
        <w:rPr>
          <w:rtl/>
        </w:rPr>
      </w:pPr>
      <w:r>
        <w:rPr>
          <w:rFonts w:hint="cs"/>
          <w:rtl/>
        </w:rPr>
        <w:t>וגם בעניין זה אין לנאשם 2 הסבר מספק:</w:t>
      </w:r>
    </w:p>
    <w:p w14:paraId="0BE93CE0" w14:textId="77777777" w:rsidR="00C17DCE" w:rsidRDefault="00C17DCE">
      <w:pPr>
        <w:ind w:firstLine="720"/>
        <w:jc w:val="both"/>
        <w:rPr>
          <w:rtl/>
        </w:rPr>
      </w:pPr>
    </w:p>
    <w:p w14:paraId="0DD119FF" w14:textId="77777777" w:rsidR="00C17DCE" w:rsidRDefault="00D759EB">
      <w:pPr>
        <w:ind w:left="1466" w:right="900" w:hanging="360"/>
        <w:jc w:val="both"/>
        <w:rPr>
          <w:rFonts w:cs="Miriam"/>
          <w:rtl/>
        </w:rPr>
      </w:pPr>
      <w:r>
        <w:rPr>
          <w:rFonts w:cs="Miriam" w:hint="cs"/>
          <w:rtl/>
        </w:rPr>
        <w:t xml:space="preserve">"ש: זורב אומר בעדותו כאן בבית המשפט ששום רכב לא חיכה לו ביציאה. מה יש לך לומר על זה? </w:t>
      </w:r>
      <w:bookmarkStart w:id="17" w:name="A000002101178"/>
      <w:bookmarkEnd w:id="17"/>
    </w:p>
    <w:p w14:paraId="29DEFD17" w14:textId="77777777" w:rsidR="00C17DCE" w:rsidRDefault="00D759EB">
      <w:pPr>
        <w:ind w:left="1466" w:right="900" w:hanging="360"/>
        <w:jc w:val="both"/>
        <w:rPr>
          <w:rtl/>
        </w:rPr>
      </w:pPr>
      <w:r>
        <w:rPr>
          <w:rFonts w:cs="Miriam" w:hint="cs"/>
          <w:rtl/>
        </w:rPr>
        <w:t xml:space="preserve">  ת:</w:t>
      </w:r>
      <w:r w:rsidR="005644D6">
        <w:rPr>
          <w:rFonts w:cs="Miriam" w:hint="cs"/>
          <w:rtl/>
        </w:rPr>
        <w:t xml:space="preserve"> </w:t>
      </w:r>
      <w:r>
        <w:rPr>
          <w:rFonts w:cs="Miriam" w:hint="cs"/>
          <w:rtl/>
        </w:rPr>
        <w:t>אני חושב שבאותו רגע הוא אפילו לא ידע שמישהו צריך לחכות לו שם ואני חושב שהבן אדם שצלצל אלי שהוא פשוט ניצל אותי, את זורב ואת הבן אדם השלישי, שפשוט ניצל אותנו וניצל את הטלפונים שלנו והשיחות בטלפון הוא פשוט ניצל אותנו. אני ידעתי עליהם והוא, יכול להיות שזורב לא ידע על הקיום שלנו, שאנחנו צריכים להיות שם</w:t>
      </w:r>
      <w:r>
        <w:rPr>
          <w:rFonts w:hint="cs"/>
          <w:rtl/>
        </w:rPr>
        <w:t xml:space="preserve">", (עמוד 395 לפרוטוקול שורה 26). </w:t>
      </w:r>
    </w:p>
    <w:p w14:paraId="6AA030B2" w14:textId="77777777" w:rsidR="00C17DCE" w:rsidRDefault="00C17DCE">
      <w:pPr>
        <w:spacing w:line="360" w:lineRule="auto"/>
        <w:ind w:left="1080"/>
        <w:jc w:val="both"/>
        <w:rPr>
          <w:rtl/>
        </w:rPr>
      </w:pPr>
    </w:p>
    <w:p w14:paraId="1E791899" w14:textId="77777777" w:rsidR="00C17DCE" w:rsidRDefault="00D759EB">
      <w:pPr>
        <w:spacing w:line="360" w:lineRule="auto"/>
        <w:ind w:left="1080" w:firstLine="30"/>
        <w:jc w:val="both"/>
        <w:rPr>
          <w:rtl/>
        </w:rPr>
      </w:pPr>
      <w:r>
        <w:rPr>
          <w:rFonts w:hint="cs"/>
          <w:rtl/>
        </w:rPr>
        <w:t xml:space="preserve">אם נאשם 1 לא ידע על קיום נאשם 2 במקום ולא ידע כי מישהו עומד לחלצו מזירת האירוע, כיצד היה מצליח נאשם 1 להגיע לרכב בו המתין נאשם 2  במיוחד שהרכב נמצא במקום שאינו נראה לעינו של מי שיוצא מהבניין?!. </w:t>
      </w:r>
    </w:p>
    <w:p w14:paraId="26B169B2" w14:textId="77777777" w:rsidR="00C17DCE" w:rsidRDefault="00C17DCE">
      <w:pPr>
        <w:ind w:left="1080" w:firstLine="30"/>
        <w:jc w:val="both"/>
        <w:rPr>
          <w:rtl/>
        </w:rPr>
      </w:pPr>
    </w:p>
    <w:p w14:paraId="7F308968" w14:textId="77777777" w:rsidR="00C17DCE" w:rsidRDefault="00D759EB">
      <w:pPr>
        <w:numPr>
          <w:ilvl w:val="0"/>
          <w:numId w:val="7"/>
        </w:numPr>
        <w:jc w:val="both"/>
      </w:pPr>
      <w:r>
        <w:rPr>
          <w:rFonts w:hint="cs"/>
          <w:rtl/>
        </w:rPr>
        <w:t>נאשם 2 ממשיך בסיפורו:</w:t>
      </w:r>
    </w:p>
    <w:p w14:paraId="04146062" w14:textId="77777777" w:rsidR="00C17DCE" w:rsidRDefault="00C17DCE">
      <w:pPr>
        <w:jc w:val="both"/>
        <w:rPr>
          <w:rtl/>
        </w:rPr>
      </w:pPr>
    </w:p>
    <w:p w14:paraId="1CC23DFC" w14:textId="77777777" w:rsidR="00C17DCE" w:rsidRDefault="00D759EB">
      <w:pPr>
        <w:ind w:left="1035" w:right="1080"/>
        <w:jc w:val="both"/>
        <w:rPr>
          <w:rtl/>
        </w:rPr>
      </w:pPr>
      <w:bookmarkStart w:id="18" w:name="A000004581642"/>
      <w:bookmarkStart w:id="19" w:name="A000001024340"/>
      <w:bookmarkStart w:id="20" w:name="A000003443085"/>
      <w:bookmarkStart w:id="21" w:name="A000003455942"/>
      <w:bookmarkStart w:id="22" w:name="A000003519564"/>
      <w:bookmarkStart w:id="23" w:name="A000001381672"/>
      <w:bookmarkEnd w:id="18"/>
      <w:bookmarkEnd w:id="19"/>
      <w:bookmarkEnd w:id="20"/>
      <w:bookmarkEnd w:id="21"/>
      <w:bookmarkEnd w:id="22"/>
      <w:bookmarkEnd w:id="23"/>
      <w:r>
        <w:rPr>
          <w:rFonts w:hint="cs"/>
          <w:rtl/>
        </w:rPr>
        <w:t>"</w:t>
      </w:r>
      <w:smartTag w:uri="urn:schemas-microsoft-com:office:smarttags" w:element="PersonName">
        <w:smartTagPr>
          <w:attr w:name="ProductID" w:val="אני באתי"/>
        </w:smartTagPr>
        <w:r>
          <w:rPr>
            <w:rFonts w:cs="Miriam" w:hint="cs"/>
            <w:rtl/>
          </w:rPr>
          <w:t>אני באתי</w:t>
        </w:r>
      </w:smartTag>
      <w:r>
        <w:rPr>
          <w:rFonts w:cs="Miriam" w:hint="cs"/>
          <w:rtl/>
        </w:rPr>
        <w:t xml:space="preserve"> עם האוטו, התקרבתי עם האוטו, יצא בן אדם שני, לא זורב, היה עליו דם, לא ציפיתי למצב כזה, הייתי בהלם ואפילו קצת פחדתי ופחדתי שקרה משהו לזורב ובאותו רגע שהוא התקרב לאוטו שאני ישבתי בו לא ראיתי מה הוא זרק לתוך האוטו מהחלון האחורי, משהו זרק משהו לאוטו ולא ראיתי מה זה היה. שאלתי אותו איפה זורב, עכשיו זה לא חשוב הוא ענה לי ואני אמרתי לו אתה לא תשב באוטו שלי ונסעתי. נסעתי כמה מטרים ואז אני נזכרתי שהוא זרק משהו לתוך האוטו שהייתי בו. יצאתי מהאוטו, פתחתי את הדלת האחורית ולקחתי את החלק הזה. הוצאתי משהו שאחר כך הבנתי שזה כובעים",</w:t>
      </w:r>
      <w:r>
        <w:rPr>
          <w:rFonts w:hint="cs"/>
          <w:rtl/>
        </w:rPr>
        <w:t xml:space="preserve"> (עמ' 391 לפרוטוקול שורה 23).</w:t>
      </w:r>
    </w:p>
    <w:p w14:paraId="62D0B0BB" w14:textId="77777777" w:rsidR="00C17DCE" w:rsidRDefault="00C17DCE">
      <w:pPr>
        <w:spacing w:line="360" w:lineRule="auto"/>
        <w:ind w:left="1035"/>
        <w:jc w:val="both"/>
        <w:rPr>
          <w:rtl/>
        </w:rPr>
      </w:pPr>
    </w:p>
    <w:p w14:paraId="7B18DB02" w14:textId="77777777" w:rsidR="00C17DCE" w:rsidRDefault="00D759EB">
      <w:pPr>
        <w:numPr>
          <w:ilvl w:val="0"/>
          <w:numId w:val="7"/>
        </w:numPr>
        <w:spacing w:line="360" w:lineRule="auto"/>
        <w:jc w:val="both"/>
        <w:rPr>
          <w:rtl/>
        </w:rPr>
      </w:pPr>
      <w:r>
        <w:rPr>
          <w:rFonts w:hint="cs"/>
          <w:rtl/>
        </w:rPr>
        <w:t>נאשם 2 נטש ברחוב את מי שהוגדר על ידו כחבר למרות שהוא שותת דם ולמרות שמטרת שהייתו במקום על פי טענתו היתה לאסוף אותו או לסייע לאותו אחר להימלט מהמקום. הוא מתאר כי פחד "</w:t>
      </w:r>
      <w:r>
        <w:rPr>
          <w:rFonts w:cs="Miriam" w:hint="cs"/>
          <w:rtl/>
        </w:rPr>
        <w:t>שקרה משהו לזורב</w:t>
      </w:r>
      <w:r>
        <w:rPr>
          <w:rFonts w:hint="cs"/>
          <w:rtl/>
        </w:rPr>
        <w:t>" - נאשם 1, אבל הוא לא ממתין לנאשם 1 ואפילו לא מתקשר אליו בסמוך לאחר מכן, הייתכן?</w:t>
      </w:r>
      <w:r>
        <w:rPr>
          <w:rFonts w:hint="cs"/>
        </w:rPr>
        <w:t xml:space="preserve"> </w:t>
      </w:r>
      <w:r>
        <w:rPr>
          <w:rFonts w:hint="cs"/>
          <w:rtl/>
        </w:rPr>
        <w:t xml:space="preserve"> (ראו הסברו הסתמי בעמוד 415 לפרוטוקול).</w:t>
      </w:r>
    </w:p>
    <w:p w14:paraId="0396DD35" w14:textId="77777777" w:rsidR="00C17DCE" w:rsidRDefault="00C17DCE">
      <w:pPr>
        <w:spacing w:line="360" w:lineRule="auto"/>
        <w:jc w:val="both"/>
      </w:pPr>
    </w:p>
    <w:p w14:paraId="4DB0E8EF" w14:textId="77777777" w:rsidR="00C17DCE" w:rsidRDefault="00D759EB">
      <w:pPr>
        <w:spacing w:line="360" w:lineRule="auto"/>
        <w:ind w:left="511"/>
        <w:jc w:val="both"/>
        <w:rPr>
          <w:rtl/>
        </w:rPr>
      </w:pPr>
      <w:bookmarkStart w:id="24" w:name="A000005013585"/>
      <w:bookmarkStart w:id="25" w:name="A000005019701"/>
      <w:bookmarkEnd w:id="24"/>
      <w:bookmarkEnd w:id="25"/>
      <w:r>
        <w:rPr>
          <w:rFonts w:hint="cs"/>
          <w:rtl/>
        </w:rPr>
        <w:t xml:space="preserve">בנוסף לא הצלחתי להבין כיצד ניתן "לזרוק" לרכב "משהו" כדברי נאשם 2 בנסיבות אלו, מדוע דווקא לרכב ומדוע לא התפטר נאשם 2 מאותו "משהו" בדרך של השלכתו לפח האשפה הנראה בתמונות בפתח מגרש  החניה, (ראו דקה 3:02 בדיסק נ/19) אלא הוא נוסע </w:t>
      </w:r>
      <w:smartTag w:uri="urn:schemas-microsoft-com:office:smarttags" w:element="metricconverter">
        <w:smartTagPr>
          <w:attr w:name="ProductID" w:val="30 מטר"/>
        </w:smartTagPr>
        <w:r>
          <w:rPr>
            <w:rFonts w:hint="cs"/>
            <w:rtl/>
          </w:rPr>
          <w:t>30 מטר</w:t>
        </w:r>
      </w:smartTag>
      <w:r>
        <w:rPr>
          <w:rFonts w:hint="cs"/>
          <w:rtl/>
        </w:rPr>
        <w:t xml:space="preserve"> כדבריו נכנס לפארק ציבורי ומשליך אותו שם, (ראו עדותו עמ' 417 לפרוטוקול שורה 22). בהעדר מעורבות לכאורה לא היה לנאשם 2 אינטרס להתאמץ ולהסתיר את אותו "משהו".</w:t>
      </w:r>
    </w:p>
    <w:p w14:paraId="16E4F8E3" w14:textId="77777777" w:rsidR="00C17DCE" w:rsidRDefault="00C17DCE">
      <w:pPr>
        <w:spacing w:line="360" w:lineRule="auto"/>
        <w:ind w:left="511"/>
        <w:jc w:val="both"/>
        <w:rPr>
          <w:rtl/>
        </w:rPr>
      </w:pPr>
    </w:p>
    <w:p w14:paraId="692CCAB2" w14:textId="77777777" w:rsidR="00C17DCE" w:rsidRDefault="00D759EB">
      <w:pPr>
        <w:spacing w:line="360" w:lineRule="auto"/>
        <w:ind w:left="511"/>
        <w:jc w:val="both"/>
      </w:pPr>
      <w:r>
        <w:rPr>
          <w:rFonts w:hint="cs"/>
          <w:rtl/>
        </w:rPr>
        <w:t>לגרסת נאשם 2 הוא השליך את החבילה ובה שני כובעי גרב  וכפפות של מבצעי העבירות, אותה קבל מהשותף המסתורי שהגיע לבדו אל הרכב, אין לו הסבר סביר לשאלה הכיצד כובע הגרב של נאשם 1 הגיע לאותה חבילה מבלי שנאשם 1 הופיע כלל בשום שלב.</w:t>
      </w:r>
    </w:p>
    <w:p w14:paraId="7668EB46" w14:textId="77777777" w:rsidR="00C17DCE" w:rsidRDefault="00C17DCE">
      <w:pPr>
        <w:spacing w:line="360" w:lineRule="auto"/>
        <w:jc w:val="both"/>
      </w:pPr>
    </w:p>
    <w:p w14:paraId="3216C9C0" w14:textId="77777777" w:rsidR="00C17DCE" w:rsidRDefault="00D759EB">
      <w:pPr>
        <w:spacing w:line="360" w:lineRule="auto"/>
        <w:ind w:left="511"/>
        <w:jc w:val="both"/>
      </w:pPr>
      <w:r>
        <w:rPr>
          <w:rFonts w:hint="cs"/>
          <w:rtl/>
        </w:rPr>
        <w:t>גם הסברו כי נרתם לביצוע המשימה, נעדר מעבודתו לשם כך, הסתייע ברכב של חבר מבלי שהוא מקבל תמורה כל שהיא, הינו הסבר בלתי סביר, (ראו הסברו בעמוד 414 לפרוטוקול שורה 19 והטענה כי התקשר לנאשם 1 רק בשעה 12:00 או 13:00, עמוד 418 לפרוטוקול שורה 29).</w:t>
      </w:r>
    </w:p>
    <w:p w14:paraId="2F46A531" w14:textId="77777777" w:rsidR="00C17DCE" w:rsidRDefault="00C17DCE">
      <w:pPr>
        <w:spacing w:line="360" w:lineRule="auto"/>
        <w:jc w:val="both"/>
      </w:pPr>
    </w:p>
    <w:p w14:paraId="443C057E" w14:textId="77777777" w:rsidR="00C17DCE" w:rsidRDefault="00D759EB">
      <w:pPr>
        <w:numPr>
          <w:ilvl w:val="0"/>
          <w:numId w:val="7"/>
        </w:numPr>
        <w:spacing w:line="360" w:lineRule="auto"/>
        <w:jc w:val="both"/>
        <w:rPr>
          <w:rtl/>
        </w:rPr>
      </w:pPr>
      <w:r>
        <w:rPr>
          <w:rFonts w:hint="cs"/>
          <w:rtl/>
        </w:rPr>
        <w:t>בטרם סיום פרק זה אבהיר כי שני הנאשמים מעדו בלשונם ולמעשה חיזקו את הקביעה כי פעלו במשותף בעת ביצעו העבירות.</w:t>
      </w:r>
    </w:p>
    <w:p w14:paraId="4DAB918F" w14:textId="77777777" w:rsidR="00C17DCE" w:rsidRDefault="00C17DCE">
      <w:pPr>
        <w:spacing w:line="360" w:lineRule="auto"/>
        <w:jc w:val="both"/>
      </w:pPr>
    </w:p>
    <w:p w14:paraId="49FBEC2C" w14:textId="77777777" w:rsidR="00C17DCE" w:rsidRDefault="00D759EB">
      <w:pPr>
        <w:numPr>
          <w:ilvl w:val="0"/>
          <w:numId w:val="7"/>
        </w:numPr>
        <w:spacing w:line="360" w:lineRule="auto"/>
        <w:jc w:val="both"/>
      </w:pPr>
      <w:r>
        <w:rPr>
          <w:rFonts w:hint="cs"/>
          <w:rtl/>
        </w:rPr>
        <w:t>נאשם 1 בחקירתו הנגדית סרב למעשה לשלול את מעורבותו של נאשם 2 בביצוע המעשים יחד עימו. נאשם 2 ביקש להסביר מדוע ותשובתו מדברת בעד עצמה "</w:t>
      </w:r>
      <w:r>
        <w:rPr>
          <w:rFonts w:cs="Miriam" w:hint="cs"/>
          <w:rtl/>
        </w:rPr>
        <w:t>הוא חשב שהוא יכול להפיל אותי</w:t>
      </w:r>
      <w:r>
        <w:rPr>
          <w:rFonts w:hint="cs"/>
          <w:rtl/>
        </w:rPr>
        <w:t>", (עמוד 401 לפרוטוקול שורה 32), גם בתיאור מעשיו כשל נאשם 1 בלשונו:</w:t>
      </w:r>
    </w:p>
    <w:p w14:paraId="60A029ED" w14:textId="77777777" w:rsidR="00C17DCE" w:rsidRDefault="00C17DCE">
      <w:pPr>
        <w:jc w:val="both"/>
        <w:rPr>
          <w:rtl/>
        </w:rPr>
      </w:pPr>
    </w:p>
    <w:p w14:paraId="7B75500C" w14:textId="77777777" w:rsidR="00C17DCE" w:rsidRDefault="00D759EB">
      <w:pPr>
        <w:ind w:left="1080" w:right="1080"/>
        <w:jc w:val="both"/>
      </w:pPr>
      <w:r>
        <w:rPr>
          <w:rFonts w:hint="cs"/>
          <w:rtl/>
        </w:rPr>
        <w:t>"</w:t>
      </w:r>
      <w:r>
        <w:rPr>
          <w:rFonts w:cs="Miriam" w:hint="cs"/>
          <w:rtl/>
        </w:rPr>
        <w:t>כובע גרב אני כמעט ולא השתמשתי בה, אני רק מדדתי על עצמי ובסוף אנחנו זרקנו אותם וזהו</w:t>
      </w:r>
      <w:r>
        <w:rPr>
          <w:rFonts w:hint="cs"/>
          <w:rtl/>
        </w:rPr>
        <w:t xml:space="preserve">", (עמוד 336 לפרוטוקול שורה 1). </w:t>
      </w:r>
    </w:p>
    <w:p w14:paraId="5E8CCC3A" w14:textId="77777777" w:rsidR="00C17DCE" w:rsidRDefault="00C17DCE">
      <w:pPr>
        <w:ind w:left="1080"/>
        <w:jc w:val="both"/>
        <w:rPr>
          <w:rtl/>
        </w:rPr>
      </w:pPr>
    </w:p>
    <w:p w14:paraId="5A83AE40" w14:textId="77777777" w:rsidR="00C17DCE" w:rsidRDefault="00D759EB">
      <w:pPr>
        <w:spacing w:line="360" w:lineRule="auto"/>
        <w:ind w:left="720"/>
        <w:jc w:val="both"/>
      </w:pPr>
      <w:r>
        <w:rPr>
          <w:rFonts w:hint="cs"/>
          <w:rtl/>
        </w:rPr>
        <w:t>השימוש בלשון רבים "זרקנו" והעובדה כי כובע הגרב שעליו פרופיל גנטי של נאשם 1 נמצא בצמוד לכובע הגרב שעליו פרופיל גנטי של נאשם 2, משמעם אחד - שני הנאשמים זרקו יחדיו את הכובעים ויש בכך כדי לסתור גרסת נאשם 2 לפיה, פעל לבדו בעת זריקת שני הכובעים.</w:t>
      </w:r>
    </w:p>
    <w:p w14:paraId="08C0BDA5" w14:textId="77777777" w:rsidR="00C17DCE" w:rsidRDefault="00C17DCE">
      <w:pPr>
        <w:ind w:left="720"/>
        <w:jc w:val="both"/>
        <w:rPr>
          <w:rtl/>
        </w:rPr>
      </w:pPr>
    </w:p>
    <w:p w14:paraId="65382819" w14:textId="77777777" w:rsidR="00C17DCE" w:rsidRDefault="00D759EB">
      <w:pPr>
        <w:numPr>
          <w:ilvl w:val="0"/>
          <w:numId w:val="7"/>
        </w:numPr>
        <w:spacing w:line="360" w:lineRule="auto"/>
        <w:jc w:val="both"/>
      </w:pPr>
      <w:r>
        <w:rPr>
          <w:rFonts w:hint="cs"/>
          <w:rtl/>
        </w:rPr>
        <w:t xml:space="preserve">נאשם 2 עשה בעדותו רושם לא אמין, הוא הגיע לדיון עם גרסה כבושה, נעדרת פרטים חיוניים ולא הצליח לשכנע באמיתות גרסתו או לעורר ספק סביר לגבי אשמתו, גרסה זו נסתרה גם ע"י ממצאים אובייקטיביים חד משמעים כגון הימצאות הפרופיל הגנטי שלו בחלק הפנימי של כובע הגרב, (בשני אזורים שונים ליד הפתח המיועד לפה ובסימני </w:t>
      </w:r>
      <w:r>
        <w:rPr>
          <w:sz w:val="20"/>
          <w:szCs w:val="20"/>
        </w:rPr>
        <w:t>DNA</w:t>
      </w:r>
      <w:r>
        <w:rPr>
          <w:rFonts w:hint="cs"/>
          <w:rtl/>
        </w:rPr>
        <w:t xml:space="preserve"> של נאשם 2 על הכפפות). הסבריו בדבר שימוש חוזר בכפפות אחרות הוכחו כלא נכונים וכבלתי אפשריים. </w:t>
      </w:r>
    </w:p>
    <w:p w14:paraId="36673A06" w14:textId="77777777" w:rsidR="00C17DCE" w:rsidRDefault="00C17DCE">
      <w:pPr>
        <w:spacing w:line="360" w:lineRule="auto"/>
        <w:jc w:val="both"/>
        <w:rPr>
          <w:rtl/>
        </w:rPr>
      </w:pPr>
    </w:p>
    <w:p w14:paraId="3129C415" w14:textId="77777777" w:rsidR="00C17DCE" w:rsidRDefault="00D759EB">
      <w:pPr>
        <w:spacing w:line="360" w:lineRule="auto"/>
        <w:ind w:left="511"/>
        <w:jc w:val="both"/>
      </w:pPr>
      <w:r>
        <w:rPr>
          <w:rFonts w:hint="cs"/>
          <w:rtl/>
        </w:rPr>
        <w:t>אין לתת אימון בנאשם 2 ששינה גרסותיו משלב לשלב, תוך ניסיון להתאים כל פעם הגרסה החדשה לראיות שהוצגו עד לאותו מועד.</w:t>
      </w:r>
    </w:p>
    <w:p w14:paraId="2A54338B" w14:textId="77777777" w:rsidR="00C17DCE" w:rsidRDefault="00C17DCE">
      <w:pPr>
        <w:jc w:val="both"/>
      </w:pPr>
    </w:p>
    <w:p w14:paraId="7B4A3422" w14:textId="77777777" w:rsidR="00C17DCE" w:rsidRDefault="00D759EB">
      <w:pPr>
        <w:numPr>
          <w:ilvl w:val="0"/>
          <w:numId w:val="7"/>
        </w:numPr>
        <w:spacing w:line="360" w:lineRule="auto"/>
        <w:jc w:val="both"/>
        <w:rPr>
          <w:rtl/>
        </w:rPr>
      </w:pPr>
      <w:r>
        <w:rPr>
          <w:rFonts w:hint="cs"/>
          <w:rtl/>
        </w:rPr>
        <w:t>לאחר בחינת הראיות הפורנזיות, הסבריו של נאשם 2 והודאת נאשם 1 אני קובע כי שני הנאשמים נכחו בזירת האירוע, בשלב מסוים הם חבשו כובעי גרב, נאשם 2 לבש כפפות. המכות האכזריות שהוכתה המתלוננת השאירו את סימני דמה על גבי הכפפות והכובעים.</w:t>
      </w:r>
    </w:p>
    <w:p w14:paraId="68BEF7FB" w14:textId="77777777" w:rsidR="00C17DCE" w:rsidRDefault="00C17DCE">
      <w:pPr>
        <w:jc w:val="both"/>
      </w:pPr>
    </w:p>
    <w:p w14:paraId="013C4D4D" w14:textId="77777777" w:rsidR="00C17DCE" w:rsidRDefault="00D759EB">
      <w:pPr>
        <w:spacing w:line="360" w:lineRule="auto"/>
        <w:ind w:left="360"/>
        <w:jc w:val="both"/>
        <w:rPr>
          <w:u w:val="single"/>
          <w:rtl/>
        </w:rPr>
      </w:pPr>
      <w:r>
        <w:rPr>
          <w:rFonts w:hint="cs"/>
          <w:rtl/>
        </w:rPr>
        <w:t xml:space="preserve">   </w:t>
      </w:r>
      <w:r>
        <w:rPr>
          <w:rFonts w:hint="cs"/>
          <w:u w:val="single"/>
          <w:rtl/>
        </w:rPr>
        <w:t>איכוני המכשירים הניידים</w:t>
      </w:r>
    </w:p>
    <w:p w14:paraId="016E32C8" w14:textId="77777777" w:rsidR="00C17DCE" w:rsidRDefault="00D759EB">
      <w:pPr>
        <w:numPr>
          <w:ilvl w:val="0"/>
          <w:numId w:val="7"/>
        </w:numPr>
        <w:spacing w:line="360" w:lineRule="auto"/>
        <w:jc w:val="both"/>
      </w:pPr>
      <w:r>
        <w:rPr>
          <w:rFonts w:hint="cs"/>
          <w:rtl/>
        </w:rPr>
        <w:t xml:space="preserve">אין מחלוקת בין הצדדים באשר למכשיר בו עשה שימוש כל אחד מהנאשמים ביום האירוע. נאשם 1 השתמש במכשיר שמספרו 0527750824 (עמוד 98 לפרוטוקול) ונאשם 2 השתמש במכשיר שמספרו 0502256175 (עמוד  98 לפרוטוקול, עמוד 407 שורה 27, עמוד 408 שורה 1 ועמוד 409 שורה 8). בחוות דעת אינג' רוני אברהמי מסלקום (ת/37) מפורטים פרטי השיחות ומיקום האתרים, על פי ס' 4 בוססו התנאים כי מדובר ברשומה מוסדית ונתוני התקשורת מפורטים בת/45. </w:t>
      </w:r>
    </w:p>
    <w:p w14:paraId="7B9ED1C9" w14:textId="77777777" w:rsidR="00C17DCE" w:rsidRDefault="00C17DCE">
      <w:pPr>
        <w:jc w:val="both"/>
      </w:pPr>
    </w:p>
    <w:p w14:paraId="16E2FB07" w14:textId="77777777" w:rsidR="00C17DCE" w:rsidRDefault="00D759EB">
      <w:pPr>
        <w:numPr>
          <w:ilvl w:val="0"/>
          <w:numId w:val="7"/>
        </w:numPr>
        <w:spacing w:line="360" w:lineRule="auto"/>
        <w:jc w:val="both"/>
      </w:pPr>
      <w:r>
        <w:rPr>
          <w:rFonts w:hint="cs"/>
          <w:rtl/>
        </w:rPr>
        <w:t xml:space="preserve">בטרם אנתח את הנתונים חשוב לזכור כי הנתונים מצביעים על אתר דרכו נעשה השימוש בעת ההתקשרות. אתר מכסה שטח מסוים ולא נקודה, כך שלכל היותר ניתן להניח כי המתקשר היה בתוך האתר אבל לא בנקודה אחת. </w:t>
      </w:r>
    </w:p>
    <w:p w14:paraId="1CC4EF2C" w14:textId="77777777" w:rsidR="00C17DCE" w:rsidRDefault="00C17DCE">
      <w:pPr>
        <w:spacing w:line="360" w:lineRule="auto"/>
        <w:jc w:val="both"/>
      </w:pPr>
    </w:p>
    <w:p w14:paraId="4A18243B" w14:textId="77777777" w:rsidR="00C17DCE" w:rsidRDefault="00C17DCE">
      <w:pPr>
        <w:spacing w:line="360" w:lineRule="auto"/>
        <w:ind w:left="511"/>
        <w:jc w:val="both"/>
        <w:rPr>
          <w:rtl/>
        </w:rPr>
      </w:pPr>
    </w:p>
    <w:p w14:paraId="1B32BC95" w14:textId="77777777" w:rsidR="00C17DCE" w:rsidRDefault="00C17DCE">
      <w:pPr>
        <w:spacing w:line="360" w:lineRule="auto"/>
        <w:ind w:left="511"/>
        <w:jc w:val="both"/>
        <w:rPr>
          <w:rtl/>
        </w:rPr>
      </w:pPr>
    </w:p>
    <w:p w14:paraId="04796F1B" w14:textId="77777777" w:rsidR="00C17DCE" w:rsidRDefault="00D759EB">
      <w:pPr>
        <w:spacing w:line="360" w:lineRule="auto"/>
        <w:ind w:left="511"/>
        <w:jc w:val="both"/>
      </w:pPr>
      <w:r>
        <w:rPr>
          <w:rFonts w:hint="cs"/>
          <w:rtl/>
        </w:rPr>
        <w:t>בנוסף, ניתן לראות על פי ת/45 כי המידע על פיו מתקבל רק בעת שנוצרת שיחה (יוצאת או נכנסת). למשל, ביום האירוע מקבל נאשם 2 שיחה בשעה 5:40 והקשר הראשון לאחר מכן נעשה בשעה 8:22, כך שאין מידע מנתוני התקשורת היכן שהה נאשם 2 במהלך אותן 3 שעות בהן לא יצר קשר.</w:t>
      </w:r>
    </w:p>
    <w:p w14:paraId="41A82385" w14:textId="77777777" w:rsidR="00C17DCE" w:rsidRDefault="00C17DCE">
      <w:pPr>
        <w:spacing w:line="360" w:lineRule="auto"/>
        <w:jc w:val="both"/>
      </w:pPr>
    </w:p>
    <w:p w14:paraId="6A676E72" w14:textId="77777777" w:rsidR="00C17DCE" w:rsidRDefault="00D759EB">
      <w:pPr>
        <w:numPr>
          <w:ilvl w:val="0"/>
          <w:numId w:val="7"/>
        </w:numPr>
        <w:spacing w:line="360" w:lineRule="auto"/>
        <w:jc w:val="both"/>
        <w:rPr>
          <w:u w:val="single"/>
          <w:rtl/>
        </w:rPr>
      </w:pPr>
      <w:r>
        <w:rPr>
          <w:rFonts w:hint="cs"/>
          <w:rtl/>
        </w:rPr>
        <w:t xml:space="preserve">אציג ריכוז נתונים בטבלה נכון ליום האירוע 20.6.10 </w:t>
      </w:r>
    </w:p>
    <w:p w14:paraId="1D04F00C" w14:textId="77777777" w:rsidR="00C17DCE" w:rsidRDefault="00D759EB">
      <w:pPr>
        <w:spacing w:line="360" w:lineRule="auto"/>
        <w:ind w:left="720"/>
        <w:jc w:val="both"/>
        <w:rPr>
          <w:u w:val="single"/>
        </w:rPr>
      </w:pPr>
      <w:r>
        <w:rPr>
          <w:rFonts w:hint="cs"/>
          <w:rtl/>
        </w:rPr>
        <w:t xml:space="preserve">        </w:t>
      </w:r>
      <w:r>
        <w:rPr>
          <w:rFonts w:hint="cs"/>
          <w:u w:val="single"/>
          <w:rtl/>
        </w:rPr>
        <w:t xml:space="preserve"> נאשם 2 (ת/45 עמ' 35)</w:t>
      </w:r>
    </w:p>
    <w:tbl>
      <w:tblPr>
        <w:tblpPr w:leftFromText="180" w:rightFromText="180" w:vertAnchor="text" w:horzAnchor="margin" w:tblpXSpec="center" w:tblpY="137"/>
        <w:tblOverlap w:val="never"/>
        <w:bidiVisual/>
        <w:tblW w:w="5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2841"/>
        <w:gridCol w:w="2019"/>
      </w:tblGrid>
      <w:tr w:rsidR="00C17DCE" w14:paraId="64A9C4E6" w14:textId="77777777">
        <w:tc>
          <w:tcPr>
            <w:tcW w:w="1080" w:type="dxa"/>
            <w:tcBorders>
              <w:top w:val="single" w:sz="4" w:space="0" w:color="auto"/>
              <w:left w:val="single" w:sz="4" w:space="0" w:color="auto"/>
              <w:bottom w:val="single" w:sz="4" w:space="0" w:color="auto"/>
              <w:right w:val="single" w:sz="4" w:space="0" w:color="auto"/>
            </w:tcBorders>
            <w:shd w:val="clear" w:color="auto" w:fill="auto"/>
          </w:tcPr>
          <w:p w14:paraId="6179ADA9" w14:textId="77777777" w:rsidR="00C17DCE" w:rsidRPr="0014522B" w:rsidRDefault="00D759EB" w:rsidP="0014522B">
            <w:pPr>
              <w:spacing w:line="360" w:lineRule="auto"/>
              <w:jc w:val="both"/>
              <w:rPr>
                <w:rFonts w:ascii="Arial" w:hAnsi="Arial"/>
                <w:b/>
                <w:bCs/>
              </w:rPr>
            </w:pPr>
            <w:r w:rsidRPr="0014522B">
              <w:rPr>
                <w:rFonts w:hint="cs"/>
                <w:b/>
                <w:bCs/>
                <w:rtl/>
              </w:rPr>
              <w:t>שעה</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14081A2B" w14:textId="77777777" w:rsidR="00C17DCE" w:rsidRPr="0014522B" w:rsidRDefault="00D759EB" w:rsidP="0014522B">
            <w:pPr>
              <w:spacing w:line="360" w:lineRule="auto"/>
              <w:jc w:val="both"/>
              <w:rPr>
                <w:rFonts w:ascii="Arial" w:hAnsi="Arial"/>
                <w:b/>
                <w:bCs/>
              </w:rPr>
            </w:pPr>
            <w:r w:rsidRPr="0014522B">
              <w:rPr>
                <w:rFonts w:hint="cs"/>
                <w:b/>
                <w:bCs/>
                <w:rtl/>
              </w:rPr>
              <w:t>מיקום</w:t>
            </w:r>
          </w:p>
        </w:tc>
        <w:tc>
          <w:tcPr>
            <w:tcW w:w="2019" w:type="dxa"/>
            <w:tcBorders>
              <w:top w:val="single" w:sz="4" w:space="0" w:color="auto"/>
              <w:left w:val="single" w:sz="4" w:space="0" w:color="auto"/>
              <w:bottom w:val="single" w:sz="4" w:space="0" w:color="auto"/>
              <w:right w:val="single" w:sz="4" w:space="0" w:color="auto"/>
            </w:tcBorders>
            <w:shd w:val="clear" w:color="auto" w:fill="auto"/>
          </w:tcPr>
          <w:p w14:paraId="15E09B12" w14:textId="77777777" w:rsidR="00C17DCE" w:rsidRPr="0014522B" w:rsidRDefault="00D759EB" w:rsidP="0014522B">
            <w:pPr>
              <w:spacing w:line="360" w:lineRule="auto"/>
              <w:jc w:val="both"/>
              <w:rPr>
                <w:rFonts w:ascii="Arial" w:hAnsi="Arial"/>
                <w:b/>
                <w:bCs/>
              </w:rPr>
            </w:pPr>
            <w:r w:rsidRPr="0014522B">
              <w:rPr>
                <w:rFonts w:hint="cs"/>
                <w:b/>
                <w:bCs/>
                <w:rtl/>
              </w:rPr>
              <w:t>אופי ומשך השיחה</w:t>
            </w:r>
          </w:p>
        </w:tc>
      </w:tr>
      <w:tr w:rsidR="00C17DCE" w14:paraId="16680D32" w14:textId="77777777">
        <w:tc>
          <w:tcPr>
            <w:tcW w:w="1080" w:type="dxa"/>
            <w:tcBorders>
              <w:top w:val="single" w:sz="4" w:space="0" w:color="auto"/>
              <w:left w:val="single" w:sz="4" w:space="0" w:color="auto"/>
              <w:bottom w:val="single" w:sz="4" w:space="0" w:color="auto"/>
              <w:right w:val="single" w:sz="4" w:space="0" w:color="auto"/>
            </w:tcBorders>
            <w:shd w:val="clear" w:color="auto" w:fill="auto"/>
          </w:tcPr>
          <w:p w14:paraId="5FF390B5" w14:textId="77777777" w:rsidR="00C17DCE" w:rsidRPr="0014522B" w:rsidRDefault="00D759EB" w:rsidP="0014522B">
            <w:pPr>
              <w:spacing w:line="360" w:lineRule="auto"/>
              <w:jc w:val="both"/>
              <w:rPr>
                <w:rFonts w:ascii="Arial" w:hAnsi="Arial"/>
              </w:rPr>
            </w:pPr>
            <w:r>
              <w:rPr>
                <w:rFonts w:hint="cs"/>
                <w:rtl/>
              </w:rPr>
              <w:t>5:40</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1E0351D6" w14:textId="77777777" w:rsidR="00C17DCE" w:rsidRPr="0014522B" w:rsidRDefault="00D759EB" w:rsidP="0014522B">
            <w:pPr>
              <w:spacing w:line="360" w:lineRule="auto"/>
              <w:jc w:val="both"/>
              <w:rPr>
                <w:rFonts w:ascii="Arial" w:hAnsi="Arial"/>
              </w:rPr>
            </w:pPr>
            <w:r>
              <w:rPr>
                <w:rFonts w:hint="cs"/>
                <w:rtl/>
              </w:rPr>
              <w:t>קבוץ יגור</w:t>
            </w:r>
          </w:p>
        </w:tc>
        <w:tc>
          <w:tcPr>
            <w:tcW w:w="2019" w:type="dxa"/>
            <w:tcBorders>
              <w:top w:val="single" w:sz="4" w:space="0" w:color="auto"/>
              <w:left w:val="single" w:sz="4" w:space="0" w:color="auto"/>
              <w:bottom w:val="single" w:sz="4" w:space="0" w:color="auto"/>
              <w:right w:val="single" w:sz="4" w:space="0" w:color="auto"/>
            </w:tcBorders>
            <w:shd w:val="clear" w:color="auto" w:fill="auto"/>
          </w:tcPr>
          <w:p w14:paraId="00674FAB" w14:textId="77777777" w:rsidR="00C17DCE" w:rsidRPr="0014522B" w:rsidRDefault="00D759EB" w:rsidP="0014522B">
            <w:pPr>
              <w:spacing w:line="360" w:lineRule="auto"/>
              <w:jc w:val="both"/>
              <w:rPr>
                <w:rFonts w:ascii="Arial" w:hAnsi="Arial"/>
              </w:rPr>
            </w:pPr>
            <w:r>
              <w:rPr>
                <w:rFonts w:hint="cs"/>
                <w:rtl/>
              </w:rPr>
              <w:t>נכנסת- 13 שניות</w:t>
            </w:r>
          </w:p>
        </w:tc>
      </w:tr>
      <w:tr w:rsidR="00C17DCE" w14:paraId="2CA219C5" w14:textId="77777777">
        <w:tc>
          <w:tcPr>
            <w:tcW w:w="1080" w:type="dxa"/>
            <w:tcBorders>
              <w:top w:val="single" w:sz="4" w:space="0" w:color="auto"/>
              <w:left w:val="single" w:sz="4" w:space="0" w:color="auto"/>
              <w:bottom w:val="single" w:sz="4" w:space="0" w:color="auto"/>
              <w:right w:val="single" w:sz="4" w:space="0" w:color="auto"/>
            </w:tcBorders>
            <w:shd w:val="clear" w:color="auto" w:fill="auto"/>
          </w:tcPr>
          <w:p w14:paraId="30CEE1E0" w14:textId="77777777" w:rsidR="00C17DCE" w:rsidRPr="0014522B" w:rsidRDefault="00D759EB" w:rsidP="0014522B">
            <w:pPr>
              <w:spacing w:line="360" w:lineRule="auto"/>
              <w:jc w:val="both"/>
              <w:rPr>
                <w:rFonts w:ascii="Arial" w:hAnsi="Arial"/>
                <w:b/>
                <w:bCs/>
              </w:rPr>
            </w:pPr>
            <w:r w:rsidRPr="0014522B">
              <w:rPr>
                <w:rFonts w:hint="cs"/>
                <w:b/>
                <w:bCs/>
                <w:rtl/>
              </w:rPr>
              <w:t>8:22</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0BBC24C1" w14:textId="77777777" w:rsidR="00C17DCE" w:rsidRPr="0014522B" w:rsidRDefault="00D759EB" w:rsidP="0014522B">
            <w:pPr>
              <w:spacing w:line="360" w:lineRule="auto"/>
              <w:jc w:val="both"/>
              <w:rPr>
                <w:rFonts w:ascii="Arial" w:hAnsi="Arial"/>
                <w:b/>
                <w:bCs/>
                <w:rtl/>
              </w:rPr>
            </w:pPr>
            <w:r w:rsidRPr="0014522B">
              <w:rPr>
                <w:rFonts w:hint="cs"/>
                <w:b/>
                <w:bCs/>
                <w:rtl/>
              </w:rPr>
              <w:t>שד' בן גוריון קרית מוצקין.</w:t>
            </w:r>
          </w:p>
          <w:p w14:paraId="4BDAA5A7" w14:textId="77777777" w:rsidR="00C17DCE" w:rsidRPr="0014522B" w:rsidRDefault="00D759EB" w:rsidP="0014522B">
            <w:pPr>
              <w:spacing w:line="360" w:lineRule="auto"/>
              <w:jc w:val="both"/>
              <w:rPr>
                <w:rFonts w:ascii="Arial" w:hAnsi="Arial"/>
                <w:b/>
                <w:bCs/>
              </w:rPr>
            </w:pPr>
            <w:r w:rsidRPr="0014522B">
              <w:rPr>
                <w:rFonts w:hint="cs"/>
                <w:b/>
                <w:bCs/>
                <w:rtl/>
              </w:rPr>
              <w:t>לפי ת/37 סעיף 3-אזור דירת המתלוננת</w:t>
            </w:r>
          </w:p>
        </w:tc>
        <w:tc>
          <w:tcPr>
            <w:tcW w:w="2019" w:type="dxa"/>
            <w:tcBorders>
              <w:top w:val="single" w:sz="4" w:space="0" w:color="auto"/>
              <w:left w:val="single" w:sz="4" w:space="0" w:color="auto"/>
              <w:bottom w:val="single" w:sz="4" w:space="0" w:color="auto"/>
              <w:right w:val="single" w:sz="4" w:space="0" w:color="auto"/>
            </w:tcBorders>
            <w:shd w:val="clear" w:color="auto" w:fill="auto"/>
          </w:tcPr>
          <w:p w14:paraId="1E11D196" w14:textId="77777777" w:rsidR="00C17DCE" w:rsidRPr="0014522B" w:rsidRDefault="00D759EB" w:rsidP="0014522B">
            <w:pPr>
              <w:spacing w:line="360" w:lineRule="auto"/>
              <w:jc w:val="both"/>
              <w:rPr>
                <w:rFonts w:ascii="Arial" w:hAnsi="Arial"/>
              </w:rPr>
            </w:pPr>
            <w:r>
              <w:rPr>
                <w:rFonts w:hint="cs"/>
                <w:rtl/>
              </w:rPr>
              <w:t>נכנסת- 9 שניות</w:t>
            </w:r>
          </w:p>
        </w:tc>
      </w:tr>
      <w:tr w:rsidR="00C17DCE" w14:paraId="7A78A542" w14:textId="77777777">
        <w:tc>
          <w:tcPr>
            <w:tcW w:w="1080" w:type="dxa"/>
            <w:tcBorders>
              <w:top w:val="single" w:sz="4" w:space="0" w:color="auto"/>
              <w:left w:val="single" w:sz="4" w:space="0" w:color="auto"/>
              <w:bottom w:val="single" w:sz="4" w:space="0" w:color="auto"/>
              <w:right w:val="single" w:sz="4" w:space="0" w:color="auto"/>
            </w:tcBorders>
            <w:shd w:val="clear" w:color="auto" w:fill="auto"/>
          </w:tcPr>
          <w:p w14:paraId="61C36FD5" w14:textId="77777777" w:rsidR="00C17DCE" w:rsidRPr="0014522B" w:rsidRDefault="00D759EB" w:rsidP="0014522B">
            <w:pPr>
              <w:spacing w:line="360" w:lineRule="auto"/>
              <w:jc w:val="both"/>
              <w:rPr>
                <w:rFonts w:ascii="Arial" w:hAnsi="Arial"/>
              </w:rPr>
            </w:pPr>
            <w:r>
              <w:rPr>
                <w:rFonts w:hint="cs"/>
                <w:rtl/>
              </w:rPr>
              <w:t>8:48</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21A63358" w14:textId="77777777" w:rsidR="00C17DCE" w:rsidRPr="0014522B" w:rsidRDefault="00D759EB" w:rsidP="0014522B">
            <w:pPr>
              <w:spacing w:line="360" w:lineRule="auto"/>
              <w:jc w:val="both"/>
              <w:rPr>
                <w:rFonts w:ascii="Arial" w:hAnsi="Arial"/>
              </w:rPr>
            </w:pPr>
            <w:r>
              <w:rPr>
                <w:rFonts w:hint="cs"/>
                <w:rtl/>
              </w:rPr>
              <w:t>אצטדיון קרית חיים</w:t>
            </w:r>
          </w:p>
        </w:tc>
        <w:tc>
          <w:tcPr>
            <w:tcW w:w="2019" w:type="dxa"/>
            <w:tcBorders>
              <w:top w:val="single" w:sz="4" w:space="0" w:color="auto"/>
              <w:left w:val="single" w:sz="4" w:space="0" w:color="auto"/>
              <w:bottom w:val="single" w:sz="4" w:space="0" w:color="auto"/>
              <w:right w:val="single" w:sz="4" w:space="0" w:color="auto"/>
            </w:tcBorders>
            <w:shd w:val="clear" w:color="auto" w:fill="auto"/>
          </w:tcPr>
          <w:p w14:paraId="000C7F34" w14:textId="77777777" w:rsidR="00C17DCE" w:rsidRPr="0014522B" w:rsidRDefault="00D759EB" w:rsidP="0014522B">
            <w:pPr>
              <w:spacing w:line="360" w:lineRule="auto"/>
              <w:jc w:val="both"/>
              <w:rPr>
                <w:rFonts w:ascii="Arial" w:hAnsi="Arial"/>
              </w:rPr>
            </w:pPr>
            <w:r>
              <w:rPr>
                <w:rFonts w:hint="cs"/>
                <w:rtl/>
              </w:rPr>
              <w:t>יוצאת- 39 שניות</w:t>
            </w:r>
          </w:p>
        </w:tc>
      </w:tr>
      <w:tr w:rsidR="00C17DCE" w14:paraId="6BC4C502" w14:textId="77777777">
        <w:tc>
          <w:tcPr>
            <w:tcW w:w="1080" w:type="dxa"/>
            <w:tcBorders>
              <w:top w:val="single" w:sz="4" w:space="0" w:color="auto"/>
              <w:left w:val="single" w:sz="4" w:space="0" w:color="auto"/>
              <w:bottom w:val="single" w:sz="4" w:space="0" w:color="auto"/>
              <w:right w:val="single" w:sz="4" w:space="0" w:color="auto"/>
            </w:tcBorders>
            <w:shd w:val="clear" w:color="auto" w:fill="auto"/>
          </w:tcPr>
          <w:p w14:paraId="0168DE1A" w14:textId="77777777" w:rsidR="00C17DCE" w:rsidRPr="0014522B" w:rsidRDefault="00D759EB" w:rsidP="0014522B">
            <w:pPr>
              <w:spacing w:line="360" w:lineRule="auto"/>
              <w:jc w:val="both"/>
              <w:rPr>
                <w:rFonts w:ascii="Arial" w:hAnsi="Arial"/>
              </w:rPr>
            </w:pPr>
            <w:r>
              <w:rPr>
                <w:rFonts w:hint="cs"/>
                <w:rtl/>
              </w:rPr>
              <w:t>9:11</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2F1D35C8" w14:textId="77777777" w:rsidR="00C17DCE" w:rsidRPr="0014522B" w:rsidRDefault="00D759EB" w:rsidP="0014522B">
            <w:pPr>
              <w:spacing w:line="360" w:lineRule="auto"/>
              <w:jc w:val="both"/>
              <w:rPr>
                <w:rFonts w:ascii="Arial" w:hAnsi="Arial"/>
              </w:rPr>
            </w:pPr>
            <w:r>
              <w:rPr>
                <w:rFonts w:hint="cs"/>
                <w:rtl/>
              </w:rPr>
              <w:t>צומת צבר</w:t>
            </w:r>
          </w:p>
        </w:tc>
        <w:tc>
          <w:tcPr>
            <w:tcW w:w="2019" w:type="dxa"/>
            <w:tcBorders>
              <w:top w:val="single" w:sz="4" w:space="0" w:color="auto"/>
              <w:left w:val="single" w:sz="4" w:space="0" w:color="auto"/>
              <w:bottom w:val="single" w:sz="4" w:space="0" w:color="auto"/>
              <w:right w:val="single" w:sz="4" w:space="0" w:color="auto"/>
            </w:tcBorders>
            <w:shd w:val="clear" w:color="auto" w:fill="auto"/>
          </w:tcPr>
          <w:p w14:paraId="0EA50530" w14:textId="77777777" w:rsidR="00C17DCE" w:rsidRPr="0014522B" w:rsidRDefault="00D759EB" w:rsidP="0014522B">
            <w:pPr>
              <w:spacing w:line="360" w:lineRule="auto"/>
              <w:jc w:val="both"/>
              <w:rPr>
                <w:rFonts w:ascii="Arial" w:hAnsi="Arial"/>
              </w:rPr>
            </w:pPr>
            <w:r>
              <w:rPr>
                <w:rFonts w:hint="cs"/>
                <w:rtl/>
              </w:rPr>
              <w:t>יוצאת-34 שניות</w:t>
            </w:r>
          </w:p>
        </w:tc>
      </w:tr>
      <w:tr w:rsidR="00C17DCE" w14:paraId="521D9268" w14:textId="77777777">
        <w:tc>
          <w:tcPr>
            <w:tcW w:w="1080" w:type="dxa"/>
            <w:tcBorders>
              <w:top w:val="single" w:sz="4" w:space="0" w:color="auto"/>
              <w:left w:val="single" w:sz="4" w:space="0" w:color="auto"/>
              <w:bottom w:val="single" w:sz="4" w:space="0" w:color="auto"/>
              <w:right w:val="single" w:sz="4" w:space="0" w:color="auto"/>
            </w:tcBorders>
            <w:shd w:val="clear" w:color="auto" w:fill="auto"/>
          </w:tcPr>
          <w:p w14:paraId="76C6D99E" w14:textId="77777777" w:rsidR="00C17DCE" w:rsidRPr="0014522B" w:rsidRDefault="00D759EB" w:rsidP="0014522B">
            <w:pPr>
              <w:spacing w:line="360" w:lineRule="auto"/>
              <w:jc w:val="both"/>
              <w:rPr>
                <w:rFonts w:ascii="Arial" w:hAnsi="Arial"/>
              </w:rPr>
            </w:pPr>
            <w:r>
              <w:rPr>
                <w:rFonts w:hint="cs"/>
                <w:rtl/>
              </w:rPr>
              <w:t>9:22</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45977C9B" w14:textId="77777777" w:rsidR="00C17DCE" w:rsidRPr="0014522B" w:rsidRDefault="00D759EB" w:rsidP="0014522B">
            <w:pPr>
              <w:spacing w:line="360" w:lineRule="auto"/>
              <w:jc w:val="both"/>
              <w:rPr>
                <w:rFonts w:ascii="Arial" w:hAnsi="Arial"/>
              </w:rPr>
            </w:pPr>
            <w:r>
              <w:rPr>
                <w:rFonts w:hint="cs"/>
                <w:rtl/>
              </w:rPr>
              <w:t>קריון</w:t>
            </w:r>
          </w:p>
        </w:tc>
        <w:tc>
          <w:tcPr>
            <w:tcW w:w="2019" w:type="dxa"/>
            <w:tcBorders>
              <w:top w:val="single" w:sz="4" w:space="0" w:color="auto"/>
              <w:left w:val="single" w:sz="4" w:space="0" w:color="auto"/>
              <w:bottom w:val="single" w:sz="4" w:space="0" w:color="auto"/>
              <w:right w:val="single" w:sz="4" w:space="0" w:color="auto"/>
            </w:tcBorders>
            <w:shd w:val="clear" w:color="auto" w:fill="auto"/>
          </w:tcPr>
          <w:p w14:paraId="5F942A09" w14:textId="77777777" w:rsidR="00C17DCE" w:rsidRPr="0014522B" w:rsidRDefault="00D759EB" w:rsidP="0014522B">
            <w:pPr>
              <w:spacing w:line="360" w:lineRule="auto"/>
              <w:jc w:val="both"/>
              <w:rPr>
                <w:rFonts w:ascii="Arial" w:hAnsi="Arial"/>
              </w:rPr>
            </w:pPr>
            <w:r>
              <w:rPr>
                <w:rFonts w:hint="cs"/>
                <w:rtl/>
              </w:rPr>
              <w:t>נכנסת- 28 שניות</w:t>
            </w:r>
          </w:p>
        </w:tc>
      </w:tr>
      <w:tr w:rsidR="00C17DCE" w14:paraId="75A81FD5" w14:textId="77777777">
        <w:tc>
          <w:tcPr>
            <w:tcW w:w="1080" w:type="dxa"/>
            <w:tcBorders>
              <w:top w:val="single" w:sz="4" w:space="0" w:color="auto"/>
              <w:left w:val="single" w:sz="4" w:space="0" w:color="auto"/>
              <w:bottom w:val="single" w:sz="4" w:space="0" w:color="auto"/>
              <w:right w:val="single" w:sz="4" w:space="0" w:color="auto"/>
            </w:tcBorders>
            <w:shd w:val="clear" w:color="auto" w:fill="auto"/>
          </w:tcPr>
          <w:p w14:paraId="53867247" w14:textId="77777777" w:rsidR="00C17DCE" w:rsidRPr="0014522B" w:rsidRDefault="00D759EB" w:rsidP="0014522B">
            <w:pPr>
              <w:spacing w:line="360" w:lineRule="auto"/>
              <w:jc w:val="both"/>
              <w:rPr>
                <w:rFonts w:ascii="Arial" w:hAnsi="Arial"/>
              </w:rPr>
            </w:pPr>
            <w:r>
              <w:rPr>
                <w:rFonts w:hint="cs"/>
                <w:rtl/>
              </w:rPr>
              <w:t>10:00</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67DAE71B" w14:textId="77777777" w:rsidR="00C17DCE" w:rsidRPr="0014522B" w:rsidRDefault="00D759EB" w:rsidP="0014522B">
            <w:pPr>
              <w:spacing w:line="360" w:lineRule="auto"/>
              <w:jc w:val="both"/>
              <w:rPr>
                <w:rFonts w:ascii="Arial" w:hAnsi="Arial"/>
              </w:rPr>
            </w:pPr>
            <w:r>
              <w:rPr>
                <w:rFonts w:hint="cs"/>
                <w:rtl/>
              </w:rPr>
              <w:t>צומת זבולון</w:t>
            </w:r>
          </w:p>
        </w:tc>
        <w:tc>
          <w:tcPr>
            <w:tcW w:w="2019" w:type="dxa"/>
            <w:tcBorders>
              <w:top w:val="single" w:sz="4" w:space="0" w:color="auto"/>
              <w:left w:val="single" w:sz="4" w:space="0" w:color="auto"/>
              <w:bottom w:val="single" w:sz="4" w:space="0" w:color="auto"/>
              <w:right w:val="single" w:sz="4" w:space="0" w:color="auto"/>
            </w:tcBorders>
            <w:shd w:val="clear" w:color="auto" w:fill="auto"/>
          </w:tcPr>
          <w:p w14:paraId="53E0E46E" w14:textId="77777777" w:rsidR="00C17DCE" w:rsidRPr="0014522B" w:rsidRDefault="00D759EB" w:rsidP="0014522B">
            <w:pPr>
              <w:spacing w:line="360" w:lineRule="auto"/>
              <w:jc w:val="both"/>
              <w:rPr>
                <w:rFonts w:ascii="Arial" w:hAnsi="Arial"/>
              </w:rPr>
            </w:pPr>
            <w:r>
              <w:rPr>
                <w:rFonts w:hint="cs"/>
                <w:rtl/>
              </w:rPr>
              <w:t>יוצאת- 205 שניות</w:t>
            </w:r>
          </w:p>
        </w:tc>
      </w:tr>
      <w:tr w:rsidR="00C17DCE" w14:paraId="2C466FE0" w14:textId="77777777">
        <w:tc>
          <w:tcPr>
            <w:tcW w:w="1080" w:type="dxa"/>
            <w:tcBorders>
              <w:top w:val="single" w:sz="4" w:space="0" w:color="auto"/>
              <w:left w:val="single" w:sz="4" w:space="0" w:color="auto"/>
              <w:bottom w:val="single" w:sz="4" w:space="0" w:color="auto"/>
              <w:right w:val="single" w:sz="4" w:space="0" w:color="auto"/>
            </w:tcBorders>
            <w:shd w:val="clear" w:color="auto" w:fill="auto"/>
          </w:tcPr>
          <w:p w14:paraId="4DDA2058" w14:textId="77777777" w:rsidR="00C17DCE" w:rsidRPr="0014522B" w:rsidRDefault="00D759EB" w:rsidP="0014522B">
            <w:pPr>
              <w:spacing w:line="360" w:lineRule="auto"/>
              <w:jc w:val="both"/>
              <w:rPr>
                <w:rFonts w:ascii="Arial" w:hAnsi="Arial"/>
              </w:rPr>
            </w:pPr>
            <w:r>
              <w:rPr>
                <w:rFonts w:hint="cs"/>
                <w:rtl/>
              </w:rPr>
              <w:t>10:22</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4417B473" w14:textId="77777777" w:rsidR="00C17DCE" w:rsidRPr="0014522B" w:rsidRDefault="00D759EB" w:rsidP="0014522B">
            <w:pPr>
              <w:spacing w:line="360" w:lineRule="auto"/>
              <w:jc w:val="both"/>
              <w:rPr>
                <w:rFonts w:ascii="Arial" w:hAnsi="Arial"/>
              </w:rPr>
            </w:pPr>
            <w:r>
              <w:rPr>
                <w:rFonts w:hint="cs"/>
                <w:rtl/>
              </w:rPr>
              <w:t>צומת זבולון</w:t>
            </w:r>
          </w:p>
        </w:tc>
        <w:tc>
          <w:tcPr>
            <w:tcW w:w="2019" w:type="dxa"/>
            <w:tcBorders>
              <w:top w:val="single" w:sz="4" w:space="0" w:color="auto"/>
              <w:left w:val="single" w:sz="4" w:space="0" w:color="auto"/>
              <w:bottom w:val="single" w:sz="4" w:space="0" w:color="auto"/>
              <w:right w:val="single" w:sz="4" w:space="0" w:color="auto"/>
            </w:tcBorders>
            <w:shd w:val="clear" w:color="auto" w:fill="auto"/>
          </w:tcPr>
          <w:p w14:paraId="5C726981" w14:textId="77777777" w:rsidR="00C17DCE" w:rsidRPr="0014522B" w:rsidRDefault="00D759EB" w:rsidP="0014522B">
            <w:pPr>
              <w:spacing w:line="360" w:lineRule="auto"/>
              <w:jc w:val="both"/>
              <w:rPr>
                <w:rFonts w:ascii="Arial" w:hAnsi="Arial"/>
              </w:rPr>
            </w:pPr>
            <w:r>
              <w:rPr>
                <w:rFonts w:hint="cs"/>
                <w:rtl/>
              </w:rPr>
              <w:t>נכנסת-37 שניות</w:t>
            </w:r>
          </w:p>
        </w:tc>
      </w:tr>
      <w:tr w:rsidR="00C17DCE" w14:paraId="7E286364" w14:textId="77777777">
        <w:tc>
          <w:tcPr>
            <w:tcW w:w="1080" w:type="dxa"/>
            <w:tcBorders>
              <w:top w:val="single" w:sz="4" w:space="0" w:color="auto"/>
              <w:left w:val="single" w:sz="4" w:space="0" w:color="auto"/>
              <w:bottom w:val="single" w:sz="4" w:space="0" w:color="auto"/>
              <w:right w:val="single" w:sz="4" w:space="0" w:color="auto"/>
            </w:tcBorders>
            <w:shd w:val="clear" w:color="auto" w:fill="auto"/>
          </w:tcPr>
          <w:p w14:paraId="253EC170" w14:textId="77777777" w:rsidR="00C17DCE" w:rsidRPr="0014522B" w:rsidRDefault="00D759EB" w:rsidP="0014522B">
            <w:pPr>
              <w:spacing w:line="360" w:lineRule="auto"/>
              <w:jc w:val="both"/>
              <w:rPr>
                <w:rFonts w:ascii="Arial" w:hAnsi="Arial"/>
              </w:rPr>
            </w:pPr>
            <w:r>
              <w:rPr>
                <w:rFonts w:hint="cs"/>
                <w:rtl/>
              </w:rPr>
              <w:t xml:space="preserve">10:35 </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738FB017" w14:textId="77777777" w:rsidR="00C17DCE" w:rsidRPr="0014522B" w:rsidRDefault="00D759EB" w:rsidP="0014522B">
            <w:pPr>
              <w:spacing w:line="360" w:lineRule="auto"/>
              <w:jc w:val="both"/>
              <w:rPr>
                <w:rFonts w:ascii="Arial" w:hAnsi="Arial"/>
              </w:rPr>
            </w:pPr>
            <w:r>
              <w:rPr>
                <w:rFonts w:hint="cs"/>
                <w:rtl/>
              </w:rPr>
              <w:t>צומת יגור</w:t>
            </w:r>
          </w:p>
        </w:tc>
        <w:tc>
          <w:tcPr>
            <w:tcW w:w="2019" w:type="dxa"/>
            <w:tcBorders>
              <w:top w:val="single" w:sz="4" w:space="0" w:color="auto"/>
              <w:left w:val="single" w:sz="4" w:space="0" w:color="auto"/>
              <w:bottom w:val="single" w:sz="4" w:space="0" w:color="auto"/>
              <w:right w:val="single" w:sz="4" w:space="0" w:color="auto"/>
            </w:tcBorders>
            <w:shd w:val="clear" w:color="auto" w:fill="auto"/>
          </w:tcPr>
          <w:p w14:paraId="6A634A5B" w14:textId="77777777" w:rsidR="00C17DCE" w:rsidRPr="0014522B" w:rsidRDefault="00D759EB" w:rsidP="0014522B">
            <w:pPr>
              <w:spacing w:line="360" w:lineRule="auto"/>
              <w:jc w:val="both"/>
              <w:rPr>
                <w:rFonts w:ascii="Arial" w:hAnsi="Arial"/>
              </w:rPr>
            </w:pPr>
            <w:r>
              <w:rPr>
                <w:rFonts w:hint="cs"/>
                <w:rtl/>
              </w:rPr>
              <w:t>נכנסת 31 שניות</w:t>
            </w:r>
          </w:p>
        </w:tc>
      </w:tr>
      <w:tr w:rsidR="00C17DCE" w14:paraId="277A8044" w14:textId="77777777">
        <w:tc>
          <w:tcPr>
            <w:tcW w:w="1080" w:type="dxa"/>
            <w:tcBorders>
              <w:top w:val="single" w:sz="4" w:space="0" w:color="auto"/>
              <w:left w:val="single" w:sz="4" w:space="0" w:color="auto"/>
              <w:bottom w:val="single" w:sz="4" w:space="0" w:color="auto"/>
              <w:right w:val="single" w:sz="4" w:space="0" w:color="auto"/>
            </w:tcBorders>
            <w:shd w:val="clear" w:color="auto" w:fill="auto"/>
          </w:tcPr>
          <w:p w14:paraId="6E79E777" w14:textId="77777777" w:rsidR="00C17DCE" w:rsidRPr="0014522B" w:rsidRDefault="00D759EB" w:rsidP="0014522B">
            <w:pPr>
              <w:spacing w:line="360" w:lineRule="auto"/>
              <w:jc w:val="both"/>
              <w:rPr>
                <w:rFonts w:ascii="Arial" w:hAnsi="Arial"/>
              </w:rPr>
            </w:pPr>
            <w:r>
              <w:rPr>
                <w:rFonts w:hint="cs"/>
                <w:rtl/>
              </w:rPr>
              <w:t>10:48</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55B1AF0C" w14:textId="77777777" w:rsidR="00C17DCE" w:rsidRPr="0014522B" w:rsidRDefault="00D759EB" w:rsidP="0014522B">
            <w:pPr>
              <w:spacing w:line="360" w:lineRule="auto"/>
              <w:jc w:val="both"/>
              <w:rPr>
                <w:rFonts w:ascii="Arial" w:hAnsi="Arial"/>
              </w:rPr>
            </w:pPr>
            <w:r>
              <w:rPr>
                <w:rFonts w:hint="cs"/>
                <w:rtl/>
              </w:rPr>
              <w:t>צומת זבולון</w:t>
            </w:r>
          </w:p>
        </w:tc>
        <w:tc>
          <w:tcPr>
            <w:tcW w:w="2019" w:type="dxa"/>
            <w:tcBorders>
              <w:top w:val="single" w:sz="4" w:space="0" w:color="auto"/>
              <w:left w:val="single" w:sz="4" w:space="0" w:color="auto"/>
              <w:bottom w:val="single" w:sz="4" w:space="0" w:color="auto"/>
              <w:right w:val="single" w:sz="4" w:space="0" w:color="auto"/>
            </w:tcBorders>
            <w:shd w:val="clear" w:color="auto" w:fill="auto"/>
          </w:tcPr>
          <w:p w14:paraId="1C955214" w14:textId="77777777" w:rsidR="00C17DCE" w:rsidRPr="0014522B" w:rsidRDefault="00D759EB" w:rsidP="0014522B">
            <w:pPr>
              <w:spacing w:line="360" w:lineRule="auto"/>
              <w:jc w:val="both"/>
              <w:rPr>
                <w:rFonts w:ascii="Arial" w:hAnsi="Arial"/>
              </w:rPr>
            </w:pPr>
            <w:r>
              <w:rPr>
                <w:rFonts w:hint="cs"/>
                <w:rtl/>
              </w:rPr>
              <w:t>יוצאת- 50 שניות</w:t>
            </w:r>
          </w:p>
        </w:tc>
      </w:tr>
      <w:tr w:rsidR="00C17DCE" w14:paraId="2F474182" w14:textId="77777777">
        <w:tc>
          <w:tcPr>
            <w:tcW w:w="1080" w:type="dxa"/>
            <w:tcBorders>
              <w:top w:val="single" w:sz="4" w:space="0" w:color="auto"/>
              <w:left w:val="single" w:sz="4" w:space="0" w:color="auto"/>
              <w:bottom w:val="single" w:sz="4" w:space="0" w:color="auto"/>
              <w:right w:val="single" w:sz="4" w:space="0" w:color="auto"/>
            </w:tcBorders>
            <w:shd w:val="clear" w:color="auto" w:fill="auto"/>
          </w:tcPr>
          <w:p w14:paraId="2197709F" w14:textId="77777777" w:rsidR="00C17DCE" w:rsidRPr="0014522B" w:rsidRDefault="00D759EB" w:rsidP="0014522B">
            <w:pPr>
              <w:spacing w:line="360" w:lineRule="auto"/>
              <w:jc w:val="both"/>
              <w:rPr>
                <w:rFonts w:ascii="Arial" w:hAnsi="Arial"/>
              </w:rPr>
            </w:pPr>
            <w:r>
              <w:rPr>
                <w:rFonts w:hint="cs"/>
                <w:rtl/>
              </w:rPr>
              <w:t>12:09</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49C834EA" w14:textId="77777777" w:rsidR="00C17DCE" w:rsidRPr="0014522B" w:rsidRDefault="00D759EB" w:rsidP="0014522B">
            <w:pPr>
              <w:spacing w:line="360" w:lineRule="auto"/>
              <w:jc w:val="both"/>
              <w:rPr>
                <w:rFonts w:ascii="Arial" w:hAnsi="Arial"/>
                <w:rtl/>
              </w:rPr>
            </w:pPr>
            <w:r>
              <w:rPr>
                <w:rFonts w:hint="cs"/>
                <w:rtl/>
              </w:rPr>
              <w:t>צומת אחיהוד</w:t>
            </w:r>
          </w:p>
          <w:p w14:paraId="20A2D4D8" w14:textId="77777777" w:rsidR="00C17DCE" w:rsidRPr="0014522B" w:rsidRDefault="00D759EB" w:rsidP="0014522B">
            <w:pPr>
              <w:spacing w:line="360" w:lineRule="auto"/>
              <w:jc w:val="both"/>
              <w:rPr>
                <w:rFonts w:ascii="Arial" w:hAnsi="Arial"/>
                <w:b/>
                <w:bCs/>
              </w:rPr>
            </w:pPr>
            <w:r w:rsidRPr="0014522B">
              <w:rPr>
                <w:rFonts w:hint="cs"/>
                <w:b/>
                <w:bCs/>
                <w:rtl/>
              </w:rPr>
              <w:t>שיחה עם נאשם 1</w:t>
            </w:r>
          </w:p>
        </w:tc>
        <w:tc>
          <w:tcPr>
            <w:tcW w:w="2019" w:type="dxa"/>
            <w:tcBorders>
              <w:top w:val="single" w:sz="4" w:space="0" w:color="auto"/>
              <w:left w:val="single" w:sz="4" w:space="0" w:color="auto"/>
              <w:bottom w:val="single" w:sz="4" w:space="0" w:color="auto"/>
              <w:right w:val="single" w:sz="4" w:space="0" w:color="auto"/>
            </w:tcBorders>
            <w:shd w:val="clear" w:color="auto" w:fill="auto"/>
          </w:tcPr>
          <w:p w14:paraId="21CC2229" w14:textId="77777777" w:rsidR="00C17DCE" w:rsidRPr="0014522B" w:rsidRDefault="00D759EB" w:rsidP="0014522B">
            <w:pPr>
              <w:spacing w:line="360" w:lineRule="auto"/>
              <w:jc w:val="both"/>
              <w:rPr>
                <w:rFonts w:ascii="Arial" w:hAnsi="Arial"/>
              </w:rPr>
            </w:pPr>
            <w:r>
              <w:rPr>
                <w:rFonts w:hint="cs"/>
                <w:rtl/>
              </w:rPr>
              <w:t>יוצאת -61 שניות</w:t>
            </w:r>
          </w:p>
        </w:tc>
      </w:tr>
    </w:tbl>
    <w:p w14:paraId="5BA8DE0F" w14:textId="77777777" w:rsidR="00C17DCE" w:rsidRDefault="00D759EB">
      <w:pPr>
        <w:jc w:val="both"/>
        <w:rPr>
          <w:rFonts w:ascii="Arial" w:hAnsi="Arial"/>
        </w:rPr>
      </w:pPr>
      <w:r>
        <w:rPr>
          <w:rFonts w:hint="cs"/>
          <w:rtl/>
        </w:rPr>
        <w:br w:type="textWrapping" w:clear="all"/>
      </w:r>
      <w:r>
        <w:rPr>
          <w:rFonts w:hint="cs"/>
          <w:rtl/>
        </w:rPr>
        <w:tab/>
      </w:r>
      <w:r>
        <w:rPr>
          <w:rFonts w:hint="cs"/>
          <w:rtl/>
        </w:rPr>
        <w:tab/>
      </w:r>
    </w:p>
    <w:p w14:paraId="785BCA60" w14:textId="77777777" w:rsidR="00C17DCE" w:rsidRDefault="00D759EB">
      <w:pPr>
        <w:ind w:left="720" w:firstLine="206"/>
        <w:jc w:val="both"/>
        <w:rPr>
          <w:u w:val="single"/>
          <w:rtl/>
        </w:rPr>
      </w:pPr>
      <w:r>
        <w:rPr>
          <w:rFonts w:hint="cs"/>
          <w:u w:val="single"/>
          <w:rtl/>
        </w:rPr>
        <w:t>נאשם 1 (ת/45 עמ' 13)</w:t>
      </w:r>
    </w:p>
    <w:p w14:paraId="746FB869" w14:textId="77777777" w:rsidR="00C17DCE" w:rsidRDefault="00C17DCE">
      <w:pPr>
        <w:jc w:val="both"/>
        <w:rPr>
          <w:rtl/>
        </w:rPr>
      </w:pPr>
    </w:p>
    <w:tbl>
      <w:tblPr>
        <w:bidiVisual/>
        <w:tblW w:w="5620" w:type="dxa"/>
        <w:tblInd w:w="1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2841"/>
        <w:gridCol w:w="1699"/>
      </w:tblGrid>
      <w:tr w:rsidR="00C17DCE" w14:paraId="4912FCD5" w14:textId="77777777">
        <w:tc>
          <w:tcPr>
            <w:tcW w:w="1080" w:type="dxa"/>
            <w:tcBorders>
              <w:top w:val="single" w:sz="4" w:space="0" w:color="auto"/>
              <w:left w:val="single" w:sz="4" w:space="0" w:color="auto"/>
              <w:bottom w:val="single" w:sz="4" w:space="0" w:color="auto"/>
              <w:right w:val="single" w:sz="4" w:space="0" w:color="auto"/>
            </w:tcBorders>
            <w:shd w:val="clear" w:color="auto" w:fill="auto"/>
          </w:tcPr>
          <w:p w14:paraId="7D0297F1" w14:textId="77777777" w:rsidR="00C17DCE" w:rsidRPr="0014522B" w:rsidRDefault="00D759EB" w:rsidP="0014522B">
            <w:pPr>
              <w:spacing w:line="360" w:lineRule="auto"/>
              <w:jc w:val="both"/>
              <w:rPr>
                <w:rFonts w:ascii="Arial" w:hAnsi="Arial"/>
              </w:rPr>
            </w:pPr>
            <w:r>
              <w:rPr>
                <w:rFonts w:hint="cs"/>
                <w:rtl/>
              </w:rPr>
              <w:t>שעה</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678BE5DE" w14:textId="77777777" w:rsidR="00C17DCE" w:rsidRPr="0014522B" w:rsidRDefault="00D759EB" w:rsidP="0014522B">
            <w:pPr>
              <w:spacing w:line="360" w:lineRule="auto"/>
              <w:jc w:val="both"/>
              <w:rPr>
                <w:rFonts w:ascii="Arial" w:hAnsi="Arial"/>
              </w:rPr>
            </w:pPr>
            <w:r>
              <w:rPr>
                <w:rFonts w:hint="cs"/>
                <w:rtl/>
              </w:rPr>
              <w:t>מיקום</w:t>
            </w:r>
          </w:p>
        </w:tc>
        <w:tc>
          <w:tcPr>
            <w:tcW w:w="1699" w:type="dxa"/>
            <w:tcBorders>
              <w:top w:val="single" w:sz="4" w:space="0" w:color="auto"/>
              <w:left w:val="single" w:sz="4" w:space="0" w:color="auto"/>
              <w:bottom w:val="single" w:sz="4" w:space="0" w:color="auto"/>
              <w:right w:val="single" w:sz="4" w:space="0" w:color="auto"/>
            </w:tcBorders>
            <w:shd w:val="clear" w:color="auto" w:fill="auto"/>
          </w:tcPr>
          <w:p w14:paraId="7CFE7672" w14:textId="77777777" w:rsidR="00C17DCE" w:rsidRPr="0014522B" w:rsidRDefault="00D759EB" w:rsidP="0014522B">
            <w:pPr>
              <w:spacing w:line="360" w:lineRule="auto"/>
              <w:jc w:val="both"/>
              <w:rPr>
                <w:rFonts w:ascii="Arial" w:hAnsi="Arial"/>
              </w:rPr>
            </w:pPr>
            <w:r>
              <w:rPr>
                <w:rFonts w:hint="cs"/>
                <w:rtl/>
              </w:rPr>
              <w:t>אופי השיחה</w:t>
            </w:r>
          </w:p>
        </w:tc>
      </w:tr>
      <w:tr w:rsidR="00C17DCE" w14:paraId="31779F39" w14:textId="77777777">
        <w:tc>
          <w:tcPr>
            <w:tcW w:w="1080" w:type="dxa"/>
            <w:tcBorders>
              <w:top w:val="single" w:sz="4" w:space="0" w:color="auto"/>
              <w:left w:val="single" w:sz="4" w:space="0" w:color="auto"/>
              <w:bottom w:val="single" w:sz="4" w:space="0" w:color="auto"/>
              <w:right w:val="single" w:sz="4" w:space="0" w:color="auto"/>
            </w:tcBorders>
            <w:shd w:val="clear" w:color="auto" w:fill="auto"/>
          </w:tcPr>
          <w:p w14:paraId="787A564F" w14:textId="77777777" w:rsidR="00C17DCE" w:rsidRPr="0014522B" w:rsidRDefault="00D759EB" w:rsidP="0014522B">
            <w:pPr>
              <w:spacing w:line="360" w:lineRule="auto"/>
              <w:jc w:val="both"/>
              <w:rPr>
                <w:rFonts w:ascii="Arial" w:hAnsi="Arial"/>
              </w:rPr>
            </w:pPr>
            <w:r>
              <w:rPr>
                <w:rFonts w:hint="cs"/>
                <w:rtl/>
              </w:rPr>
              <w:t>5:33</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084E1A3A" w14:textId="77777777" w:rsidR="00C17DCE" w:rsidRPr="0014522B" w:rsidRDefault="00D759EB" w:rsidP="0014522B">
            <w:pPr>
              <w:spacing w:line="360" w:lineRule="auto"/>
              <w:jc w:val="both"/>
              <w:rPr>
                <w:rFonts w:ascii="Arial" w:hAnsi="Arial"/>
              </w:rPr>
            </w:pPr>
            <w:r>
              <w:rPr>
                <w:rFonts w:hint="cs"/>
                <w:rtl/>
              </w:rPr>
              <w:t>צומת זבולון</w:t>
            </w:r>
          </w:p>
        </w:tc>
        <w:tc>
          <w:tcPr>
            <w:tcW w:w="1699" w:type="dxa"/>
            <w:tcBorders>
              <w:top w:val="single" w:sz="4" w:space="0" w:color="auto"/>
              <w:left w:val="single" w:sz="4" w:space="0" w:color="auto"/>
              <w:bottom w:val="single" w:sz="4" w:space="0" w:color="auto"/>
              <w:right w:val="single" w:sz="4" w:space="0" w:color="auto"/>
            </w:tcBorders>
            <w:shd w:val="clear" w:color="auto" w:fill="auto"/>
          </w:tcPr>
          <w:p w14:paraId="3750CA8F" w14:textId="77777777" w:rsidR="00C17DCE" w:rsidRPr="0014522B" w:rsidRDefault="00D759EB" w:rsidP="0014522B">
            <w:pPr>
              <w:spacing w:line="360" w:lineRule="auto"/>
              <w:jc w:val="both"/>
              <w:rPr>
                <w:rFonts w:ascii="Arial" w:hAnsi="Arial"/>
              </w:rPr>
            </w:pPr>
            <w:r>
              <w:rPr>
                <w:rFonts w:hint="cs"/>
                <w:rtl/>
              </w:rPr>
              <w:t>נכנסת- 9 שניות</w:t>
            </w:r>
          </w:p>
        </w:tc>
      </w:tr>
      <w:tr w:rsidR="00C17DCE" w14:paraId="0FFF9396" w14:textId="77777777">
        <w:tc>
          <w:tcPr>
            <w:tcW w:w="1080" w:type="dxa"/>
            <w:tcBorders>
              <w:top w:val="single" w:sz="4" w:space="0" w:color="auto"/>
              <w:left w:val="single" w:sz="4" w:space="0" w:color="auto"/>
              <w:bottom w:val="single" w:sz="4" w:space="0" w:color="auto"/>
              <w:right w:val="single" w:sz="4" w:space="0" w:color="auto"/>
            </w:tcBorders>
            <w:shd w:val="clear" w:color="auto" w:fill="auto"/>
          </w:tcPr>
          <w:p w14:paraId="55242E4A" w14:textId="77777777" w:rsidR="00C17DCE" w:rsidRPr="0014522B" w:rsidRDefault="00D759EB" w:rsidP="0014522B">
            <w:pPr>
              <w:spacing w:line="360" w:lineRule="auto"/>
              <w:jc w:val="both"/>
              <w:rPr>
                <w:rFonts w:ascii="Arial" w:hAnsi="Arial"/>
              </w:rPr>
            </w:pPr>
            <w:r>
              <w:rPr>
                <w:rFonts w:hint="cs"/>
                <w:rtl/>
              </w:rPr>
              <w:t>5:46</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6810ABE4" w14:textId="77777777" w:rsidR="00C17DCE" w:rsidRPr="0014522B" w:rsidRDefault="00D759EB" w:rsidP="0014522B">
            <w:pPr>
              <w:spacing w:line="360" w:lineRule="auto"/>
              <w:jc w:val="both"/>
              <w:rPr>
                <w:rFonts w:ascii="Arial" w:hAnsi="Arial"/>
              </w:rPr>
            </w:pPr>
            <w:r>
              <w:rPr>
                <w:rFonts w:hint="cs"/>
                <w:rtl/>
              </w:rPr>
              <w:t>כפר ביאליק</w:t>
            </w:r>
          </w:p>
        </w:tc>
        <w:tc>
          <w:tcPr>
            <w:tcW w:w="1699" w:type="dxa"/>
            <w:tcBorders>
              <w:top w:val="single" w:sz="4" w:space="0" w:color="auto"/>
              <w:left w:val="single" w:sz="4" w:space="0" w:color="auto"/>
              <w:bottom w:val="single" w:sz="4" w:space="0" w:color="auto"/>
              <w:right w:val="single" w:sz="4" w:space="0" w:color="auto"/>
            </w:tcBorders>
            <w:shd w:val="clear" w:color="auto" w:fill="auto"/>
          </w:tcPr>
          <w:p w14:paraId="629F2FF4" w14:textId="77777777" w:rsidR="00C17DCE" w:rsidRPr="0014522B" w:rsidRDefault="00D759EB" w:rsidP="0014522B">
            <w:pPr>
              <w:spacing w:line="360" w:lineRule="auto"/>
              <w:jc w:val="both"/>
              <w:rPr>
                <w:rFonts w:ascii="Arial" w:hAnsi="Arial"/>
              </w:rPr>
            </w:pPr>
            <w:r>
              <w:rPr>
                <w:rFonts w:hint="cs"/>
                <w:rtl/>
              </w:rPr>
              <w:t>נכנסת -6 שניות</w:t>
            </w:r>
          </w:p>
        </w:tc>
      </w:tr>
      <w:tr w:rsidR="00C17DCE" w14:paraId="139E6AF9" w14:textId="77777777">
        <w:tc>
          <w:tcPr>
            <w:tcW w:w="1080" w:type="dxa"/>
            <w:tcBorders>
              <w:top w:val="single" w:sz="4" w:space="0" w:color="auto"/>
              <w:left w:val="single" w:sz="4" w:space="0" w:color="auto"/>
              <w:bottom w:val="single" w:sz="4" w:space="0" w:color="auto"/>
              <w:right w:val="single" w:sz="4" w:space="0" w:color="auto"/>
            </w:tcBorders>
            <w:shd w:val="clear" w:color="auto" w:fill="auto"/>
          </w:tcPr>
          <w:p w14:paraId="5ACDA334" w14:textId="77777777" w:rsidR="00C17DCE" w:rsidRPr="0014522B" w:rsidRDefault="00D759EB" w:rsidP="0014522B">
            <w:pPr>
              <w:spacing w:line="360" w:lineRule="auto"/>
              <w:jc w:val="both"/>
              <w:rPr>
                <w:rFonts w:ascii="Arial" w:hAnsi="Arial"/>
              </w:rPr>
            </w:pPr>
            <w:r>
              <w:rPr>
                <w:rFonts w:hint="cs"/>
                <w:rtl/>
              </w:rPr>
              <w:t>7:39</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1DFAE732" w14:textId="77777777" w:rsidR="00C17DCE" w:rsidRPr="0014522B" w:rsidRDefault="00D759EB" w:rsidP="0014522B">
            <w:pPr>
              <w:spacing w:line="360" w:lineRule="auto"/>
              <w:jc w:val="both"/>
              <w:rPr>
                <w:rFonts w:ascii="Arial" w:hAnsi="Arial"/>
              </w:rPr>
            </w:pPr>
            <w:r>
              <w:rPr>
                <w:rFonts w:hint="cs"/>
                <w:rtl/>
              </w:rPr>
              <w:t>שכון עממי</w:t>
            </w:r>
          </w:p>
        </w:tc>
        <w:tc>
          <w:tcPr>
            <w:tcW w:w="1699" w:type="dxa"/>
            <w:tcBorders>
              <w:top w:val="single" w:sz="4" w:space="0" w:color="auto"/>
              <w:left w:val="single" w:sz="4" w:space="0" w:color="auto"/>
              <w:bottom w:val="single" w:sz="4" w:space="0" w:color="auto"/>
              <w:right w:val="single" w:sz="4" w:space="0" w:color="auto"/>
            </w:tcBorders>
            <w:shd w:val="clear" w:color="auto" w:fill="auto"/>
          </w:tcPr>
          <w:p w14:paraId="3D8432D2" w14:textId="77777777" w:rsidR="00C17DCE" w:rsidRPr="0014522B" w:rsidRDefault="00D759EB" w:rsidP="0014522B">
            <w:pPr>
              <w:spacing w:line="360" w:lineRule="auto"/>
              <w:jc w:val="both"/>
              <w:rPr>
                <w:rFonts w:ascii="Arial" w:hAnsi="Arial"/>
              </w:rPr>
            </w:pPr>
            <w:r>
              <w:rPr>
                <w:rFonts w:hint="cs"/>
                <w:rtl/>
              </w:rPr>
              <w:t>יוצאת-32 שניות</w:t>
            </w:r>
          </w:p>
        </w:tc>
      </w:tr>
      <w:tr w:rsidR="00C17DCE" w14:paraId="66314221" w14:textId="77777777">
        <w:tc>
          <w:tcPr>
            <w:tcW w:w="1080" w:type="dxa"/>
            <w:tcBorders>
              <w:top w:val="single" w:sz="4" w:space="0" w:color="auto"/>
              <w:left w:val="single" w:sz="4" w:space="0" w:color="auto"/>
              <w:bottom w:val="single" w:sz="4" w:space="0" w:color="auto"/>
              <w:right w:val="single" w:sz="4" w:space="0" w:color="auto"/>
            </w:tcBorders>
            <w:shd w:val="clear" w:color="auto" w:fill="auto"/>
          </w:tcPr>
          <w:p w14:paraId="3F7A8D47" w14:textId="77777777" w:rsidR="00C17DCE" w:rsidRPr="0014522B" w:rsidRDefault="00D759EB" w:rsidP="0014522B">
            <w:pPr>
              <w:spacing w:line="360" w:lineRule="auto"/>
              <w:jc w:val="both"/>
              <w:rPr>
                <w:rFonts w:ascii="Arial" w:hAnsi="Arial"/>
              </w:rPr>
            </w:pPr>
            <w:r>
              <w:rPr>
                <w:rFonts w:hint="cs"/>
                <w:rtl/>
              </w:rPr>
              <w:t>7:44</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5B8AA6D2" w14:textId="77777777" w:rsidR="00C17DCE" w:rsidRPr="0014522B" w:rsidRDefault="00D759EB" w:rsidP="0014522B">
            <w:pPr>
              <w:spacing w:line="360" w:lineRule="auto"/>
              <w:jc w:val="both"/>
              <w:rPr>
                <w:rFonts w:ascii="Arial" w:hAnsi="Arial"/>
                <w:rtl/>
              </w:rPr>
            </w:pPr>
            <w:r>
              <w:rPr>
                <w:rFonts w:hint="cs"/>
                <w:rtl/>
              </w:rPr>
              <w:t>עמיגור קרית מוצקין</w:t>
            </w:r>
          </w:p>
          <w:p w14:paraId="712EB1CF" w14:textId="77777777" w:rsidR="00C17DCE" w:rsidRPr="0014522B" w:rsidRDefault="00D759EB" w:rsidP="0014522B">
            <w:pPr>
              <w:spacing w:line="360" w:lineRule="auto"/>
              <w:jc w:val="both"/>
              <w:rPr>
                <w:rFonts w:ascii="Arial" w:hAnsi="Arial"/>
                <w:b/>
                <w:bCs/>
              </w:rPr>
            </w:pPr>
            <w:r w:rsidRPr="0014522B">
              <w:rPr>
                <w:rFonts w:hint="cs"/>
                <w:b/>
                <w:bCs/>
                <w:rtl/>
              </w:rPr>
              <w:t>איזור דירת המתלוננת</w:t>
            </w:r>
          </w:p>
        </w:tc>
        <w:tc>
          <w:tcPr>
            <w:tcW w:w="1699" w:type="dxa"/>
            <w:tcBorders>
              <w:top w:val="single" w:sz="4" w:space="0" w:color="auto"/>
              <w:left w:val="single" w:sz="4" w:space="0" w:color="auto"/>
              <w:bottom w:val="single" w:sz="4" w:space="0" w:color="auto"/>
              <w:right w:val="single" w:sz="4" w:space="0" w:color="auto"/>
            </w:tcBorders>
            <w:shd w:val="clear" w:color="auto" w:fill="auto"/>
          </w:tcPr>
          <w:p w14:paraId="27684524" w14:textId="77777777" w:rsidR="00C17DCE" w:rsidRPr="0014522B" w:rsidRDefault="00D759EB" w:rsidP="0014522B">
            <w:pPr>
              <w:spacing w:line="360" w:lineRule="auto"/>
              <w:jc w:val="both"/>
              <w:rPr>
                <w:rFonts w:ascii="Arial" w:hAnsi="Arial"/>
              </w:rPr>
            </w:pPr>
            <w:r>
              <w:rPr>
                <w:rFonts w:hint="cs"/>
                <w:rtl/>
              </w:rPr>
              <w:t>נכנסת- 5 שניות</w:t>
            </w:r>
          </w:p>
        </w:tc>
      </w:tr>
      <w:tr w:rsidR="00C17DCE" w14:paraId="22ED6EC8" w14:textId="77777777">
        <w:tc>
          <w:tcPr>
            <w:tcW w:w="1080" w:type="dxa"/>
            <w:tcBorders>
              <w:top w:val="single" w:sz="4" w:space="0" w:color="auto"/>
              <w:left w:val="single" w:sz="4" w:space="0" w:color="auto"/>
              <w:bottom w:val="single" w:sz="4" w:space="0" w:color="auto"/>
              <w:right w:val="single" w:sz="4" w:space="0" w:color="auto"/>
            </w:tcBorders>
            <w:shd w:val="clear" w:color="auto" w:fill="auto"/>
          </w:tcPr>
          <w:p w14:paraId="0AC2D3D8" w14:textId="77777777" w:rsidR="00C17DCE" w:rsidRPr="0014522B" w:rsidRDefault="00D759EB" w:rsidP="0014522B">
            <w:pPr>
              <w:spacing w:line="360" w:lineRule="auto"/>
              <w:jc w:val="both"/>
              <w:rPr>
                <w:rFonts w:ascii="Arial" w:hAnsi="Arial"/>
              </w:rPr>
            </w:pPr>
            <w:r>
              <w:rPr>
                <w:rFonts w:hint="cs"/>
                <w:rtl/>
              </w:rPr>
              <w:t>8:03</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6F45AF80" w14:textId="77777777" w:rsidR="00C17DCE" w:rsidRPr="0014522B" w:rsidRDefault="00D759EB" w:rsidP="0014522B">
            <w:pPr>
              <w:spacing w:line="360" w:lineRule="auto"/>
              <w:jc w:val="both"/>
              <w:rPr>
                <w:rFonts w:ascii="Arial" w:hAnsi="Arial"/>
                <w:rtl/>
              </w:rPr>
            </w:pPr>
            <w:r>
              <w:rPr>
                <w:rFonts w:hint="cs"/>
                <w:rtl/>
              </w:rPr>
              <w:t>עמיגור קרית מוצקין</w:t>
            </w:r>
          </w:p>
          <w:p w14:paraId="5F6ABDE1" w14:textId="77777777" w:rsidR="00C17DCE" w:rsidRPr="0014522B" w:rsidRDefault="00D759EB" w:rsidP="0014522B">
            <w:pPr>
              <w:spacing w:line="360" w:lineRule="auto"/>
              <w:jc w:val="both"/>
              <w:rPr>
                <w:rFonts w:ascii="Arial" w:hAnsi="Arial"/>
              </w:rPr>
            </w:pPr>
            <w:r>
              <w:rPr>
                <w:rFonts w:hint="cs"/>
                <w:rtl/>
              </w:rPr>
              <w:t>איזור דירת המתלוננת</w:t>
            </w:r>
          </w:p>
        </w:tc>
        <w:tc>
          <w:tcPr>
            <w:tcW w:w="1699" w:type="dxa"/>
            <w:tcBorders>
              <w:top w:val="single" w:sz="4" w:space="0" w:color="auto"/>
              <w:left w:val="single" w:sz="4" w:space="0" w:color="auto"/>
              <w:bottom w:val="single" w:sz="4" w:space="0" w:color="auto"/>
              <w:right w:val="single" w:sz="4" w:space="0" w:color="auto"/>
            </w:tcBorders>
            <w:shd w:val="clear" w:color="auto" w:fill="auto"/>
          </w:tcPr>
          <w:p w14:paraId="1D034EA9" w14:textId="77777777" w:rsidR="00C17DCE" w:rsidRPr="0014522B" w:rsidRDefault="00D759EB" w:rsidP="0014522B">
            <w:pPr>
              <w:spacing w:line="360" w:lineRule="auto"/>
              <w:jc w:val="both"/>
              <w:rPr>
                <w:rFonts w:ascii="Arial" w:hAnsi="Arial"/>
              </w:rPr>
            </w:pPr>
            <w:r>
              <w:rPr>
                <w:rFonts w:hint="cs"/>
                <w:rtl/>
              </w:rPr>
              <w:t>יוצאת -84 שניות</w:t>
            </w:r>
          </w:p>
        </w:tc>
      </w:tr>
      <w:tr w:rsidR="00C17DCE" w14:paraId="59592A18" w14:textId="77777777">
        <w:tc>
          <w:tcPr>
            <w:tcW w:w="1080" w:type="dxa"/>
            <w:tcBorders>
              <w:top w:val="single" w:sz="4" w:space="0" w:color="auto"/>
              <w:left w:val="single" w:sz="4" w:space="0" w:color="auto"/>
              <w:bottom w:val="single" w:sz="4" w:space="0" w:color="auto"/>
              <w:right w:val="single" w:sz="4" w:space="0" w:color="auto"/>
            </w:tcBorders>
            <w:shd w:val="clear" w:color="auto" w:fill="auto"/>
          </w:tcPr>
          <w:p w14:paraId="09BFA9C7" w14:textId="77777777" w:rsidR="00C17DCE" w:rsidRPr="0014522B" w:rsidRDefault="00D759EB" w:rsidP="0014522B">
            <w:pPr>
              <w:spacing w:line="360" w:lineRule="auto"/>
              <w:jc w:val="both"/>
              <w:rPr>
                <w:rFonts w:ascii="Arial" w:hAnsi="Arial"/>
              </w:rPr>
            </w:pPr>
            <w:r>
              <w:rPr>
                <w:rFonts w:hint="cs"/>
                <w:rtl/>
              </w:rPr>
              <w:t>8:14</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18E0F6D6" w14:textId="77777777" w:rsidR="00C17DCE" w:rsidRPr="0014522B" w:rsidRDefault="00D759EB" w:rsidP="0014522B">
            <w:pPr>
              <w:spacing w:line="360" w:lineRule="auto"/>
              <w:jc w:val="both"/>
              <w:rPr>
                <w:rFonts w:ascii="Arial" w:hAnsi="Arial"/>
                <w:rtl/>
              </w:rPr>
            </w:pPr>
            <w:r>
              <w:rPr>
                <w:rFonts w:hint="cs"/>
                <w:rtl/>
              </w:rPr>
              <w:t>עמיגור קרית מוצקין</w:t>
            </w:r>
          </w:p>
          <w:p w14:paraId="096A246C" w14:textId="77777777" w:rsidR="00C17DCE" w:rsidRPr="0014522B" w:rsidRDefault="00D759EB" w:rsidP="0014522B">
            <w:pPr>
              <w:spacing w:line="360" w:lineRule="auto"/>
              <w:jc w:val="both"/>
              <w:rPr>
                <w:rFonts w:ascii="Arial" w:hAnsi="Arial"/>
                <w:b/>
                <w:bCs/>
              </w:rPr>
            </w:pPr>
            <w:r w:rsidRPr="0014522B">
              <w:rPr>
                <w:rFonts w:hint="cs"/>
                <w:b/>
                <w:bCs/>
                <w:rtl/>
              </w:rPr>
              <w:t>איזור דירת המתלוננת</w:t>
            </w:r>
          </w:p>
        </w:tc>
        <w:tc>
          <w:tcPr>
            <w:tcW w:w="1699" w:type="dxa"/>
            <w:tcBorders>
              <w:top w:val="single" w:sz="4" w:space="0" w:color="auto"/>
              <w:left w:val="single" w:sz="4" w:space="0" w:color="auto"/>
              <w:bottom w:val="single" w:sz="4" w:space="0" w:color="auto"/>
              <w:right w:val="single" w:sz="4" w:space="0" w:color="auto"/>
            </w:tcBorders>
            <w:shd w:val="clear" w:color="auto" w:fill="auto"/>
          </w:tcPr>
          <w:p w14:paraId="4803EAF2" w14:textId="77777777" w:rsidR="00C17DCE" w:rsidRPr="0014522B" w:rsidRDefault="00D759EB" w:rsidP="0014522B">
            <w:pPr>
              <w:spacing w:line="360" w:lineRule="auto"/>
              <w:jc w:val="both"/>
              <w:rPr>
                <w:rFonts w:ascii="Arial" w:hAnsi="Arial"/>
              </w:rPr>
            </w:pPr>
            <w:r>
              <w:rPr>
                <w:rFonts w:hint="cs"/>
                <w:rtl/>
              </w:rPr>
              <w:t>יוצאת- 29 שניות</w:t>
            </w:r>
          </w:p>
        </w:tc>
      </w:tr>
      <w:tr w:rsidR="00C17DCE" w14:paraId="7131FB2F" w14:textId="77777777">
        <w:tc>
          <w:tcPr>
            <w:tcW w:w="1080" w:type="dxa"/>
            <w:tcBorders>
              <w:top w:val="single" w:sz="4" w:space="0" w:color="auto"/>
              <w:left w:val="single" w:sz="4" w:space="0" w:color="auto"/>
              <w:bottom w:val="single" w:sz="4" w:space="0" w:color="auto"/>
              <w:right w:val="single" w:sz="4" w:space="0" w:color="auto"/>
            </w:tcBorders>
            <w:shd w:val="clear" w:color="auto" w:fill="auto"/>
          </w:tcPr>
          <w:p w14:paraId="4CB0AEF0" w14:textId="77777777" w:rsidR="00C17DCE" w:rsidRPr="0014522B" w:rsidRDefault="00D759EB" w:rsidP="0014522B">
            <w:pPr>
              <w:spacing w:line="360" w:lineRule="auto"/>
              <w:jc w:val="both"/>
              <w:rPr>
                <w:rFonts w:ascii="Arial" w:hAnsi="Arial"/>
              </w:rPr>
            </w:pPr>
            <w:r>
              <w:rPr>
                <w:rFonts w:hint="cs"/>
                <w:rtl/>
              </w:rPr>
              <w:t>8:57</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31340D52" w14:textId="77777777" w:rsidR="00C17DCE" w:rsidRPr="0014522B" w:rsidRDefault="00D759EB" w:rsidP="0014522B">
            <w:pPr>
              <w:spacing w:line="360" w:lineRule="auto"/>
              <w:jc w:val="both"/>
              <w:rPr>
                <w:rFonts w:ascii="Arial" w:hAnsi="Arial"/>
              </w:rPr>
            </w:pPr>
            <w:r>
              <w:rPr>
                <w:rFonts w:hint="cs"/>
                <w:rtl/>
              </w:rPr>
              <w:t>קריון</w:t>
            </w:r>
          </w:p>
        </w:tc>
        <w:tc>
          <w:tcPr>
            <w:tcW w:w="1699" w:type="dxa"/>
            <w:tcBorders>
              <w:top w:val="single" w:sz="4" w:space="0" w:color="auto"/>
              <w:left w:val="single" w:sz="4" w:space="0" w:color="auto"/>
              <w:bottom w:val="single" w:sz="4" w:space="0" w:color="auto"/>
              <w:right w:val="single" w:sz="4" w:space="0" w:color="auto"/>
            </w:tcBorders>
            <w:shd w:val="clear" w:color="auto" w:fill="auto"/>
          </w:tcPr>
          <w:p w14:paraId="34EFDE5A" w14:textId="77777777" w:rsidR="00C17DCE" w:rsidRPr="0014522B" w:rsidRDefault="00D759EB" w:rsidP="0014522B">
            <w:pPr>
              <w:spacing w:line="360" w:lineRule="auto"/>
              <w:jc w:val="both"/>
              <w:rPr>
                <w:rFonts w:ascii="Arial" w:hAnsi="Arial"/>
              </w:rPr>
            </w:pPr>
            <w:r>
              <w:rPr>
                <w:rFonts w:hint="cs"/>
                <w:rtl/>
              </w:rPr>
              <w:t>יוצאת-31 שניות</w:t>
            </w:r>
          </w:p>
        </w:tc>
      </w:tr>
      <w:tr w:rsidR="00C17DCE" w14:paraId="5D0F750D" w14:textId="77777777">
        <w:tc>
          <w:tcPr>
            <w:tcW w:w="1080" w:type="dxa"/>
            <w:tcBorders>
              <w:top w:val="single" w:sz="4" w:space="0" w:color="auto"/>
              <w:left w:val="single" w:sz="4" w:space="0" w:color="auto"/>
              <w:bottom w:val="single" w:sz="4" w:space="0" w:color="auto"/>
              <w:right w:val="single" w:sz="4" w:space="0" w:color="auto"/>
            </w:tcBorders>
            <w:shd w:val="clear" w:color="auto" w:fill="auto"/>
          </w:tcPr>
          <w:p w14:paraId="257E27C5" w14:textId="77777777" w:rsidR="00C17DCE" w:rsidRPr="0014522B" w:rsidRDefault="00D759EB" w:rsidP="0014522B">
            <w:pPr>
              <w:spacing w:line="360" w:lineRule="auto"/>
              <w:jc w:val="both"/>
              <w:rPr>
                <w:rFonts w:ascii="Arial" w:hAnsi="Arial"/>
              </w:rPr>
            </w:pPr>
            <w:r>
              <w:rPr>
                <w:rFonts w:hint="cs"/>
                <w:rtl/>
              </w:rPr>
              <w:t>9:05</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73C88768" w14:textId="77777777" w:rsidR="00C17DCE" w:rsidRPr="0014522B" w:rsidRDefault="00D759EB" w:rsidP="0014522B">
            <w:pPr>
              <w:spacing w:line="360" w:lineRule="auto"/>
              <w:jc w:val="both"/>
              <w:rPr>
                <w:rFonts w:ascii="Arial" w:hAnsi="Arial"/>
              </w:rPr>
            </w:pPr>
            <w:r>
              <w:rPr>
                <w:rFonts w:hint="cs"/>
                <w:rtl/>
              </w:rPr>
              <w:t>שיכון עממי קרית מוצקין</w:t>
            </w:r>
          </w:p>
        </w:tc>
        <w:tc>
          <w:tcPr>
            <w:tcW w:w="1699" w:type="dxa"/>
            <w:tcBorders>
              <w:top w:val="single" w:sz="4" w:space="0" w:color="auto"/>
              <w:left w:val="single" w:sz="4" w:space="0" w:color="auto"/>
              <w:bottom w:val="single" w:sz="4" w:space="0" w:color="auto"/>
              <w:right w:val="single" w:sz="4" w:space="0" w:color="auto"/>
            </w:tcBorders>
            <w:shd w:val="clear" w:color="auto" w:fill="auto"/>
          </w:tcPr>
          <w:p w14:paraId="6EFF8EA0" w14:textId="77777777" w:rsidR="00C17DCE" w:rsidRPr="0014522B" w:rsidRDefault="00D759EB" w:rsidP="0014522B">
            <w:pPr>
              <w:spacing w:line="360" w:lineRule="auto"/>
              <w:jc w:val="both"/>
              <w:rPr>
                <w:rFonts w:ascii="Arial" w:hAnsi="Arial"/>
              </w:rPr>
            </w:pPr>
            <w:r>
              <w:rPr>
                <w:rFonts w:hint="cs"/>
                <w:rtl/>
              </w:rPr>
              <w:t>יוצאת- 21 שניות</w:t>
            </w:r>
          </w:p>
        </w:tc>
      </w:tr>
      <w:tr w:rsidR="00C17DCE" w14:paraId="0835053E" w14:textId="77777777">
        <w:tc>
          <w:tcPr>
            <w:tcW w:w="1080" w:type="dxa"/>
            <w:tcBorders>
              <w:top w:val="single" w:sz="4" w:space="0" w:color="auto"/>
              <w:left w:val="single" w:sz="4" w:space="0" w:color="auto"/>
              <w:bottom w:val="single" w:sz="4" w:space="0" w:color="auto"/>
              <w:right w:val="single" w:sz="4" w:space="0" w:color="auto"/>
            </w:tcBorders>
            <w:shd w:val="clear" w:color="auto" w:fill="auto"/>
          </w:tcPr>
          <w:p w14:paraId="350A6757" w14:textId="77777777" w:rsidR="00C17DCE" w:rsidRPr="0014522B" w:rsidRDefault="00D759EB" w:rsidP="0014522B">
            <w:pPr>
              <w:spacing w:line="360" w:lineRule="auto"/>
              <w:jc w:val="both"/>
              <w:rPr>
                <w:rFonts w:ascii="Arial" w:hAnsi="Arial"/>
              </w:rPr>
            </w:pPr>
            <w:r>
              <w:rPr>
                <w:rFonts w:hint="cs"/>
                <w:rtl/>
              </w:rPr>
              <w:t>9:06</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6B2B327E" w14:textId="77777777" w:rsidR="00C17DCE" w:rsidRPr="0014522B" w:rsidRDefault="00D759EB" w:rsidP="0014522B">
            <w:pPr>
              <w:spacing w:line="360" w:lineRule="auto"/>
              <w:jc w:val="both"/>
              <w:rPr>
                <w:rFonts w:ascii="Arial" w:hAnsi="Arial"/>
              </w:rPr>
            </w:pPr>
            <w:r>
              <w:rPr>
                <w:rFonts w:hint="cs"/>
                <w:rtl/>
              </w:rPr>
              <w:t>שיכון עממי קרית מוצקין</w:t>
            </w:r>
          </w:p>
        </w:tc>
        <w:tc>
          <w:tcPr>
            <w:tcW w:w="1699" w:type="dxa"/>
            <w:tcBorders>
              <w:top w:val="single" w:sz="4" w:space="0" w:color="auto"/>
              <w:left w:val="single" w:sz="4" w:space="0" w:color="auto"/>
              <w:bottom w:val="single" w:sz="4" w:space="0" w:color="auto"/>
              <w:right w:val="single" w:sz="4" w:space="0" w:color="auto"/>
            </w:tcBorders>
            <w:shd w:val="clear" w:color="auto" w:fill="auto"/>
          </w:tcPr>
          <w:p w14:paraId="733D0D52" w14:textId="77777777" w:rsidR="00C17DCE" w:rsidRPr="0014522B" w:rsidRDefault="00D759EB" w:rsidP="0014522B">
            <w:pPr>
              <w:spacing w:line="360" w:lineRule="auto"/>
              <w:jc w:val="both"/>
              <w:rPr>
                <w:rFonts w:ascii="Arial" w:hAnsi="Arial"/>
              </w:rPr>
            </w:pPr>
            <w:r>
              <w:rPr>
                <w:rFonts w:hint="cs"/>
                <w:rtl/>
              </w:rPr>
              <w:t>נכנסת- 72 שניות</w:t>
            </w:r>
          </w:p>
        </w:tc>
      </w:tr>
      <w:tr w:rsidR="00C17DCE" w14:paraId="20B57F57" w14:textId="77777777">
        <w:tc>
          <w:tcPr>
            <w:tcW w:w="1080" w:type="dxa"/>
            <w:tcBorders>
              <w:top w:val="single" w:sz="4" w:space="0" w:color="auto"/>
              <w:left w:val="single" w:sz="4" w:space="0" w:color="auto"/>
              <w:bottom w:val="single" w:sz="4" w:space="0" w:color="auto"/>
              <w:right w:val="single" w:sz="4" w:space="0" w:color="auto"/>
            </w:tcBorders>
            <w:shd w:val="clear" w:color="auto" w:fill="auto"/>
          </w:tcPr>
          <w:p w14:paraId="7516D823" w14:textId="77777777" w:rsidR="00C17DCE" w:rsidRPr="0014522B" w:rsidRDefault="00D759EB" w:rsidP="0014522B">
            <w:pPr>
              <w:spacing w:line="360" w:lineRule="auto"/>
              <w:jc w:val="both"/>
              <w:rPr>
                <w:rFonts w:ascii="Arial" w:hAnsi="Arial"/>
              </w:rPr>
            </w:pPr>
            <w:r>
              <w:rPr>
                <w:rFonts w:hint="cs"/>
                <w:rtl/>
              </w:rPr>
              <w:t>9:12</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086EB4E6" w14:textId="77777777" w:rsidR="00C17DCE" w:rsidRPr="0014522B" w:rsidRDefault="00D759EB" w:rsidP="0014522B">
            <w:pPr>
              <w:spacing w:line="360" w:lineRule="auto"/>
              <w:jc w:val="both"/>
              <w:rPr>
                <w:rFonts w:ascii="Arial" w:hAnsi="Arial"/>
              </w:rPr>
            </w:pPr>
            <w:r>
              <w:rPr>
                <w:rFonts w:hint="cs"/>
                <w:rtl/>
              </w:rPr>
              <w:t>קריון</w:t>
            </w:r>
          </w:p>
        </w:tc>
        <w:tc>
          <w:tcPr>
            <w:tcW w:w="1699" w:type="dxa"/>
            <w:tcBorders>
              <w:top w:val="single" w:sz="4" w:space="0" w:color="auto"/>
              <w:left w:val="single" w:sz="4" w:space="0" w:color="auto"/>
              <w:bottom w:val="single" w:sz="4" w:space="0" w:color="auto"/>
              <w:right w:val="single" w:sz="4" w:space="0" w:color="auto"/>
            </w:tcBorders>
            <w:shd w:val="clear" w:color="auto" w:fill="auto"/>
          </w:tcPr>
          <w:p w14:paraId="1A1E8A8A" w14:textId="77777777" w:rsidR="00C17DCE" w:rsidRPr="0014522B" w:rsidRDefault="00D759EB" w:rsidP="0014522B">
            <w:pPr>
              <w:spacing w:line="360" w:lineRule="auto"/>
              <w:jc w:val="both"/>
              <w:rPr>
                <w:rFonts w:ascii="Arial" w:hAnsi="Arial"/>
              </w:rPr>
            </w:pPr>
            <w:r>
              <w:rPr>
                <w:rFonts w:hint="cs"/>
                <w:rtl/>
              </w:rPr>
              <w:t>נכנסת- 19 שניות</w:t>
            </w:r>
          </w:p>
        </w:tc>
      </w:tr>
      <w:tr w:rsidR="00C17DCE" w14:paraId="44289106" w14:textId="77777777">
        <w:tc>
          <w:tcPr>
            <w:tcW w:w="1080" w:type="dxa"/>
            <w:tcBorders>
              <w:top w:val="single" w:sz="4" w:space="0" w:color="auto"/>
              <w:left w:val="single" w:sz="4" w:space="0" w:color="auto"/>
              <w:bottom w:val="single" w:sz="4" w:space="0" w:color="auto"/>
              <w:right w:val="single" w:sz="4" w:space="0" w:color="auto"/>
            </w:tcBorders>
            <w:shd w:val="clear" w:color="auto" w:fill="auto"/>
          </w:tcPr>
          <w:p w14:paraId="6DE2F0B6" w14:textId="77777777" w:rsidR="00C17DCE" w:rsidRPr="0014522B" w:rsidRDefault="00D759EB" w:rsidP="0014522B">
            <w:pPr>
              <w:spacing w:line="360" w:lineRule="auto"/>
              <w:jc w:val="both"/>
              <w:rPr>
                <w:rFonts w:ascii="Arial" w:hAnsi="Arial"/>
              </w:rPr>
            </w:pPr>
            <w:r>
              <w:rPr>
                <w:rFonts w:hint="cs"/>
                <w:rtl/>
              </w:rPr>
              <w:t>9:57</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36397A97" w14:textId="77777777" w:rsidR="00C17DCE" w:rsidRPr="0014522B" w:rsidRDefault="00D759EB" w:rsidP="0014522B">
            <w:pPr>
              <w:spacing w:line="360" w:lineRule="auto"/>
              <w:jc w:val="both"/>
              <w:rPr>
                <w:rFonts w:ascii="Arial" w:hAnsi="Arial"/>
              </w:rPr>
            </w:pPr>
            <w:r>
              <w:rPr>
                <w:rFonts w:hint="cs"/>
                <w:rtl/>
              </w:rPr>
              <w:t>צומת זבולון</w:t>
            </w:r>
          </w:p>
        </w:tc>
        <w:tc>
          <w:tcPr>
            <w:tcW w:w="1699" w:type="dxa"/>
            <w:tcBorders>
              <w:top w:val="single" w:sz="4" w:space="0" w:color="auto"/>
              <w:left w:val="single" w:sz="4" w:space="0" w:color="auto"/>
              <w:bottom w:val="single" w:sz="4" w:space="0" w:color="auto"/>
              <w:right w:val="single" w:sz="4" w:space="0" w:color="auto"/>
            </w:tcBorders>
            <w:shd w:val="clear" w:color="auto" w:fill="auto"/>
          </w:tcPr>
          <w:p w14:paraId="5620D217" w14:textId="77777777" w:rsidR="00C17DCE" w:rsidRPr="0014522B" w:rsidRDefault="00D759EB" w:rsidP="0014522B">
            <w:pPr>
              <w:spacing w:line="360" w:lineRule="auto"/>
              <w:jc w:val="both"/>
              <w:rPr>
                <w:rFonts w:ascii="Arial" w:hAnsi="Arial"/>
              </w:rPr>
            </w:pPr>
            <w:r>
              <w:rPr>
                <w:rFonts w:hint="cs"/>
                <w:rtl/>
              </w:rPr>
              <w:t>יוצאת -11 שניות</w:t>
            </w:r>
          </w:p>
        </w:tc>
      </w:tr>
      <w:tr w:rsidR="00C17DCE" w14:paraId="5FCAFF0E" w14:textId="77777777">
        <w:tc>
          <w:tcPr>
            <w:tcW w:w="1080" w:type="dxa"/>
            <w:tcBorders>
              <w:top w:val="single" w:sz="4" w:space="0" w:color="auto"/>
              <w:left w:val="single" w:sz="4" w:space="0" w:color="auto"/>
              <w:bottom w:val="single" w:sz="4" w:space="0" w:color="auto"/>
              <w:right w:val="single" w:sz="4" w:space="0" w:color="auto"/>
            </w:tcBorders>
            <w:shd w:val="clear" w:color="auto" w:fill="auto"/>
          </w:tcPr>
          <w:p w14:paraId="635076C2" w14:textId="77777777" w:rsidR="00C17DCE" w:rsidRPr="0014522B" w:rsidRDefault="00D759EB" w:rsidP="0014522B">
            <w:pPr>
              <w:spacing w:line="360" w:lineRule="auto"/>
              <w:jc w:val="both"/>
              <w:rPr>
                <w:rFonts w:ascii="Arial" w:hAnsi="Arial"/>
              </w:rPr>
            </w:pPr>
            <w:r>
              <w:rPr>
                <w:rFonts w:hint="cs"/>
                <w:rtl/>
              </w:rPr>
              <w:t>10:08</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20E8D9AE" w14:textId="77777777" w:rsidR="00C17DCE" w:rsidRPr="0014522B" w:rsidRDefault="00D759EB" w:rsidP="0014522B">
            <w:pPr>
              <w:spacing w:line="360" w:lineRule="auto"/>
              <w:jc w:val="both"/>
              <w:rPr>
                <w:rFonts w:ascii="Arial" w:hAnsi="Arial"/>
              </w:rPr>
            </w:pPr>
            <w:r>
              <w:rPr>
                <w:rFonts w:hint="cs"/>
                <w:rtl/>
              </w:rPr>
              <w:t>צומת זבולון</w:t>
            </w:r>
          </w:p>
        </w:tc>
        <w:tc>
          <w:tcPr>
            <w:tcW w:w="1699" w:type="dxa"/>
            <w:tcBorders>
              <w:top w:val="single" w:sz="4" w:space="0" w:color="auto"/>
              <w:left w:val="single" w:sz="4" w:space="0" w:color="auto"/>
              <w:bottom w:val="single" w:sz="4" w:space="0" w:color="auto"/>
              <w:right w:val="single" w:sz="4" w:space="0" w:color="auto"/>
            </w:tcBorders>
            <w:shd w:val="clear" w:color="auto" w:fill="auto"/>
          </w:tcPr>
          <w:p w14:paraId="1FF39C97" w14:textId="77777777" w:rsidR="00C17DCE" w:rsidRPr="0014522B" w:rsidRDefault="00D759EB" w:rsidP="0014522B">
            <w:pPr>
              <w:spacing w:line="360" w:lineRule="auto"/>
              <w:jc w:val="both"/>
              <w:rPr>
                <w:rFonts w:ascii="Arial" w:hAnsi="Arial"/>
              </w:rPr>
            </w:pPr>
            <w:r>
              <w:rPr>
                <w:rFonts w:hint="cs"/>
                <w:rtl/>
              </w:rPr>
              <w:t>יוצאת- 65 שניות</w:t>
            </w:r>
          </w:p>
        </w:tc>
      </w:tr>
      <w:tr w:rsidR="00C17DCE" w14:paraId="3EA379D2" w14:textId="77777777">
        <w:tc>
          <w:tcPr>
            <w:tcW w:w="1080" w:type="dxa"/>
            <w:tcBorders>
              <w:top w:val="single" w:sz="4" w:space="0" w:color="auto"/>
              <w:left w:val="single" w:sz="4" w:space="0" w:color="auto"/>
              <w:bottom w:val="single" w:sz="4" w:space="0" w:color="auto"/>
              <w:right w:val="single" w:sz="4" w:space="0" w:color="auto"/>
            </w:tcBorders>
            <w:shd w:val="clear" w:color="auto" w:fill="auto"/>
          </w:tcPr>
          <w:p w14:paraId="09A7B0C1" w14:textId="77777777" w:rsidR="00C17DCE" w:rsidRPr="0014522B" w:rsidRDefault="00D759EB" w:rsidP="0014522B">
            <w:pPr>
              <w:spacing w:line="360" w:lineRule="auto"/>
              <w:jc w:val="both"/>
              <w:rPr>
                <w:rFonts w:ascii="Arial" w:hAnsi="Arial"/>
              </w:rPr>
            </w:pPr>
            <w:r>
              <w:rPr>
                <w:rFonts w:hint="cs"/>
                <w:rtl/>
              </w:rPr>
              <w:t>10:26</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0134887A" w14:textId="77777777" w:rsidR="00C17DCE" w:rsidRPr="0014522B" w:rsidRDefault="00D759EB" w:rsidP="0014522B">
            <w:pPr>
              <w:spacing w:line="360" w:lineRule="auto"/>
              <w:jc w:val="both"/>
              <w:rPr>
                <w:rFonts w:ascii="Arial" w:hAnsi="Arial"/>
              </w:rPr>
            </w:pPr>
            <w:r>
              <w:rPr>
                <w:rFonts w:hint="cs"/>
                <w:rtl/>
              </w:rPr>
              <w:t>צומת זבולון</w:t>
            </w:r>
          </w:p>
        </w:tc>
        <w:tc>
          <w:tcPr>
            <w:tcW w:w="1699" w:type="dxa"/>
            <w:tcBorders>
              <w:top w:val="single" w:sz="4" w:space="0" w:color="auto"/>
              <w:left w:val="single" w:sz="4" w:space="0" w:color="auto"/>
              <w:bottom w:val="single" w:sz="4" w:space="0" w:color="auto"/>
              <w:right w:val="single" w:sz="4" w:space="0" w:color="auto"/>
            </w:tcBorders>
            <w:shd w:val="clear" w:color="auto" w:fill="auto"/>
          </w:tcPr>
          <w:p w14:paraId="576451D0" w14:textId="77777777" w:rsidR="00C17DCE" w:rsidRPr="0014522B" w:rsidRDefault="00D759EB" w:rsidP="0014522B">
            <w:pPr>
              <w:spacing w:line="360" w:lineRule="auto"/>
              <w:jc w:val="both"/>
              <w:rPr>
                <w:rFonts w:ascii="Arial" w:hAnsi="Arial"/>
              </w:rPr>
            </w:pPr>
            <w:r>
              <w:rPr>
                <w:rFonts w:hint="cs"/>
                <w:rtl/>
              </w:rPr>
              <w:t>יוצאת -11 שניות</w:t>
            </w:r>
          </w:p>
        </w:tc>
      </w:tr>
      <w:tr w:rsidR="00C17DCE" w14:paraId="415F198E" w14:textId="77777777">
        <w:tc>
          <w:tcPr>
            <w:tcW w:w="1080" w:type="dxa"/>
            <w:tcBorders>
              <w:top w:val="single" w:sz="4" w:space="0" w:color="auto"/>
              <w:left w:val="single" w:sz="4" w:space="0" w:color="auto"/>
              <w:bottom w:val="single" w:sz="4" w:space="0" w:color="auto"/>
              <w:right w:val="single" w:sz="4" w:space="0" w:color="auto"/>
            </w:tcBorders>
            <w:shd w:val="clear" w:color="auto" w:fill="auto"/>
          </w:tcPr>
          <w:p w14:paraId="208549C1" w14:textId="77777777" w:rsidR="00C17DCE" w:rsidRPr="0014522B" w:rsidRDefault="00D759EB" w:rsidP="0014522B">
            <w:pPr>
              <w:spacing w:line="360" w:lineRule="auto"/>
              <w:jc w:val="both"/>
              <w:rPr>
                <w:rFonts w:ascii="Arial" w:hAnsi="Arial"/>
              </w:rPr>
            </w:pPr>
            <w:r>
              <w:rPr>
                <w:rFonts w:hint="cs"/>
                <w:rtl/>
              </w:rPr>
              <w:t>12:09</w:t>
            </w:r>
          </w:p>
        </w:tc>
        <w:tc>
          <w:tcPr>
            <w:tcW w:w="2841" w:type="dxa"/>
            <w:tcBorders>
              <w:top w:val="single" w:sz="4" w:space="0" w:color="auto"/>
              <w:left w:val="single" w:sz="4" w:space="0" w:color="auto"/>
              <w:bottom w:val="single" w:sz="4" w:space="0" w:color="auto"/>
              <w:right w:val="single" w:sz="4" w:space="0" w:color="auto"/>
            </w:tcBorders>
            <w:shd w:val="clear" w:color="auto" w:fill="auto"/>
          </w:tcPr>
          <w:p w14:paraId="346B2A22" w14:textId="77777777" w:rsidR="00C17DCE" w:rsidRPr="0014522B" w:rsidRDefault="00D759EB" w:rsidP="0014522B">
            <w:pPr>
              <w:spacing w:line="360" w:lineRule="auto"/>
              <w:jc w:val="both"/>
              <w:rPr>
                <w:rFonts w:ascii="Arial" w:hAnsi="Arial"/>
                <w:rtl/>
              </w:rPr>
            </w:pPr>
            <w:r>
              <w:rPr>
                <w:rFonts w:hint="cs"/>
                <w:rtl/>
              </w:rPr>
              <w:t>כפר ביאליק</w:t>
            </w:r>
          </w:p>
          <w:p w14:paraId="0E3C3CF6" w14:textId="77777777" w:rsidR="00C17DCE" w:rsidRPr="0014522B" w:rsidRDefault="00D759EB" w:rsidP="0014522B">
            <w:pPr>
              <w:spacing w:line="360" w:lineRule="auto"/>
              <w:jc w:val="both"/>
              <w:rPr>
                <w:rFonts w:ascii="Arial" w:hAnsi="Arial"/>
                <w:b/>
                <w:bCs/>
              </w:rPr>
            </w:pPr>
            <w:r w:rsidRPr="0014522B">
              <w:rPr>
                <w:rFonts w:hint="cs"/>
                <w:b/>
                <w:bCs/>
                <w:rtl/>
              </w:rPr>
              <w:t>שיחה עם נאשם 2</w:t>
            </w:r>
          </w:p>
        </w:tc>
        <w:tc>
          <w:tcPr>
            <w:tcW w:w="1699" w:type="dxa"/>
            <w:tcBorders>
              <w:top w:val="single" w:sz="4" w:space="0" w:color="auto"/>
              <w:left w:val="single" w:sz="4" w:space="0" w:color="auto"/>
              <w:bottom w:val="single" w:sz="4" w:space="0" w:color="auto"/>
              <w:right w:val="single" w:sz="4" w:space="0" w:color="auto"/>
            </w:tcBorders>
            <w:shd w:val="clear" w:color="auto" w:fill="auto"/>
          </w:tcPr>
          <w:p w14:paraId="37FB5E58" w14:textId="77777777" w:rsidR="00C17DCE" w:rsidRPr="0014522B" w:rsidRDefault="00D759EB" w:rsidP="0014522B">
            <w:pPr>
              <w:spacing w:line="360" w:lineRule="auto"/>
              <w:jc w:val="both"/>
              <w:rPr>
                <w:rFonts w:ascii="Arial" w:hAnsi="Arial"/>
              </w:rPr>
            </w:pPr>
            <w:r>
              <w:rPr>
                <w:rFonts w:hint="cs"/>
                <w:rtl/>
              </w:rPr>
              <w:t>נכנסת- 61 שניות</w:t>
            </w:r>
          </w:p>
        </w:tc>
      </w:tr>
    </w:tbl>
    <w:p w14:paraId="78643047" w14:textId="77777777" w:rsidR="00C17DCE" w:rsidRDefault="00C17DCE">
      <w:pPr>
        <w:spacing w:line="360" w:lineRule="auto"/>
        <w:jc w:val="both"/>
        <w:rPr>
          <w:rFonts w:ascii="Arial" w:hAnsi="Arial"/>
          <w:rtl/>
        </w:rPr>
      </w:pPr>
    </w:p>
    <w:p w14:paraId="369D0FE0" w14:textId="77777777" w:rsidR="00C17DCE" w:rsidRDefault="00D759EB">
      <w:pPr>
        <w:numPr>
          <w:ilvl w:val="0"/>
          <w:numId w:val="7"/>
        </w:numPr>
        <w:spacing w:line="360" w:lineRule="auto"/>
        <w:jc w:val="both"/>
      </w:pPr>
      <w:r>
        <w:rPr>
          <w:rFonts w:hint="cs"/>
          <w:rtl/>
        </w:rPr>
        <w:t>נתוני מחקרי התקשורת לא רק שלא מעוררים ספק, יש בהם כדי לחזק את ראיות התביעה. ניתן לראות כי לקראת השעה 5:30 בבוקר שני הנאשמים מרוחקים זה מזה וסמוך לשעה 8:22 שניהם נמצאים באזור דירת המתלוננת. למעשה, שני המכשירים של שני הנאשמים מאוכנים באותו שטח כיסוי וכדברי המומחה אינג' אברהמי מדובר בשני מכשירים צמודים אחד ליד השני (עמוד 101 לפרוטוקול שורה 9 ואילך ועמוד 102 שורה 1 ואילך)- כיאה לשני קושרים המבצעים את זממם בהתאם לתוכנית הקשר.</w:t>
      </w:r>
    </w:p>
    <w:p w14:paraId="4276D66C" w14:textId="77777777" w:rsidR="00C17DCE" w:rsidRDefault="00C17DCE">
      <w:pPr>
        <w:spacing w:line="360" w:lineRule="auto"/>
        <w:jc w:val="both"/>
      </w:pPr>
    </w:p>
    <w:p w14:paraId="640CC31A" w14:textId="77777777" w:rsidR="00C17DCE" w:rsidRDefault="00D759EB">
      <w:pPr>
        <w:numPr>
          <w:ilvl w:val="0"/>
          <w:numId w:val="7"/>
        </w:numPr>
        <w:spacing w:line="360" w:lineRule="auto"/>
        <w:jc w:val="both"/>
      </w:pPr>
      <w:r>
        <w:rPr>
          <w:rFonts w:hint="cs"/>
          <w:rtl/>
        </w:rPr>
        <w:t>בסעיף 121 לסיכומיו טוען ב"כ נאשם 2 כי ראיה נוספת לכך שהנאשמים לא שהו יחד בשעה 8:15 ניתן ללמוד מהעובדה כי זאב אורן יוצר קשר באופן נפרד עם כל אחד מהנאשמים, אלא שהסנגור לא מדייק. בסמוך לשעה 8:15 לא יוצר אורן קשר עם נאשם 1 אלא רק עם נאשם 2 (בשעה 8:22). הסנגור  מתעלם מהעובדה כי הקשר שנוצר בין נאשם 1 לבין אורן הינו בדרך של שיחות יוצאות מהנאשם 1 אל אורן (בשעות 7:39, 7:44, 8:03, 8:14).  כך שצורת תקשורת זו לא מחזקת את טיעוני ההגנה אלא להיפך, שני הנאשמים היו יחדיו, אם אורן רצה להיות איתם בקשר הוא פנה לנאשם 2 בלבד.</w:t>
      </w:r>
    </w:p>
    <w:p w14:paraId="58A59C6D" w14:textId="77777777" w:rsidR="00C17DCE" w:rsidRDefault="00C17DCE">
      <w:pPr>
        <w:spacing w:line="360" w:lineRule="auto"/>
        <w:jc w:val="both"/>
      </w:pPr>
    </w:p>
    <w:p w14:paraId="646EF596" w14:textId="77777777" w:rsidR="00C17DCE" w:rsidRDefault="00D759EB">
      <w:pPr>
        <w:numPr>
          <w:ilvl w:val="0"/>
          <w:numId w:val="7"/>
        </w:numPr>
        <w:spacing w:line="360" w:lineRule="auto"/>
        <w:jc w:val="both"/>
        <w:rPr>
          <w:rtl/>
        </w:rPr>
      </w:pPr>
      <w:r>
        <w:rPr>
          <w:rFonts w:hint="cs"/>
          <w:rtl/>
        </w:rPr>
        <w:t>למעשה גרסתו הכבושה של נאשם 2 (עמוד 390 לפרוטוקול שורה 4 ועמוד 413 שורה 31) לפיה היה במגרש החניה בצמוד לבית המתלוננת, רק מחזקת את קביעת מומחה המאשימה ומעוררת תהיה מדוע היה צורך בזימון המומחה לחקירה מיותרת לאור גרסתו המאוחרת של נאשם 2.</w:t>
      </w:r>
    </w:p>
    <w:p w14:paraId="0FD05C3A" w14:textId="77777777" w:rsidR="00C17DCE" w:rsidRDefault="00C17DCE">
      <w:pPr>
        <w:spacing w:line="360" w:lineRule="auto"/>
        <w:jc w:val="both"/>
      </w:pPr>
    </w:p>
    <w:p w14:paraId="476EE3A7" w14:textId="77777777" w:rsidR="00C17DCE" w:rsidRDefault="00D759EB">
      <w:pPr>
        <w:numPr>
          <w:ilvl w:val="0"/>
          <w:numId w:val="7"/>
        </w:numPr>
        <w:spacing w:line="360" w:lineRule="auto"/>
        <w:jc w:val="both"/>
        <w:rPr>
          <w:rtl/>
        </w:rPr>
      </w:pPr>
      <w:r>
        <w:rPr>
          <w:rFonts w:hint="cs"/>
          <w:rtl/>
        </w:rPr>
        <w:t xml:space="preserve">אם לא די בכך מסתבר כי בניגוד לגרסת הנאשמים לפיה לא נפגשו מיד לאחר האירוע, עיון בפלטי התקשורת מראה כי שני הנאשמים מאוכנים באותם אתרים סמוך לאחר האירוע. נאשם 1 אוכן ביום 20.6.2010 בקריון קריית ביאליק בשעה 9:12, נאשם 2 מאוכן אף הוא באזור הקריון בשעה 9:22. נאשם 1  מאוכן בצומת זבולון בשעה 9:57 ונאשם 2 מאוכן בצומת זבולון בשעה 10:00.  נאשם 1 נשאר מאוכן בצומת זבולון בשעה 10:08 ו-10:26 ונאשם 2 מאוכן באותו מקום בשעה 10:22 ו-10:48 (ראו ת/45 עמוד 13 בעניין נאשם 1 ות/45 עמוד 35 בעניין נאשם 2), וכל זאת מבלי שהם משוחחים ביניהם בפלאפון כל אותן שעות. לא מדובר בצירוף מקרים אלא בשותפות לעבירה של שני מבצעי העבירות. </w:t>
      </w:r>
    </w:p>
    <w:p w14:paraId="04205B8F" w14:textId="77777777" w:rsidR="00C17DCE" w:rsidRDefault="00C17DCE">
      <w:pPr>
        <w:ind w:left="511"/>
        <w:jc w:val="both"/>
      </w:pPr>
    </w:p>
    <w:p w14:paraId="686520EA" w14:textId="77777777" w:rsidR="00C17DCE" w:rsidRDefault="00C17DCE">
      <w:pPr>
        <w:ind w:left="511"/>
        <w:jc w:val="both"/>
        <w:rPr>
          <w:rtl/>
        </w:rPr>
      </w:pPr>
      <w:r w:rsidRPr="00C17DCE">
        <w:rPr>
          <w:rFonts w:cs="FrankRuehl"/>
          <w:szCs w:val="28"/>
          <w:rtl/>
        </w:rPr>
        <w:pict w14:anchorId="5C5021C6">
          <v:shapetype id="_x0000_t117" coordsize="21600,21600" o:spt="117" path="m4353,l17214,r4386,10800l17214,21600r-12861,l,10800xe">
            <v:stroke joinstyle="miter"/>
            <v:path gradientshapeok="t" o:connecttype="rect" textboxrect="4353,0,17214,21600"/>
          </v:shapetype>
          <v:shape id="_x0000_s1031" type="#_x0000_t117" style="position:absolute;left:0;text-align:left;margin-left:9pt;margin-top:15.3pt;width:108pt;height:47.5pt;z-index:251658240">
            <v:textbox style="mso-next-textbox:#_x0000_s1031">
              <w:txbxContent>
                <w:p w14:paraId="6D076CFA" w14:textId="77777777" w:rsidR="0037197A" w:rsidRDefault="0037197A">
                  <w:pPr>
                    <w:jc w:val="center"/>
                    <w:rPr>
                      <w:b/>
                      <w:bCs/>
                    </w:rPr>
                  </w:pPr>
                  <w:r>
                    <w:rPr>
                      <w:rFonts w:hint="cs"/>
                      <w:b/>
                      <w:bCs/>
                      <w:rtl/>
                    </w:rPr>
                    <w:t>5:40</w:t>
                  </w:r>
                </w:p>
                <w:p w14:paraId="50ECAD54" w14:textId="77777777" w:rsidR="0037197A" w:rsidRDefault="0037197A">
                  <w:pPr>
                    <w:jc w:val="center"/>
                    <w:rPr>
                      <w:rtl/>
                    </w:rPr>
                  </w:pPr>
                  <w:r>
                    <w:rPr>
                      <w:rFonts w:hint="cs"/>
                      <w:rtl/>
                    </w:rPr>
                    <w:t>נאשם 2</w:t>
                  </w:r>
                </w:p>
                <w:p w14:paraId="22C248C2" w14:textId="77777777" w:rsidR="0037197A" w:rsidRDefault="0037197A">
                  <w:pPr>
                    <w:jc w:val="center"/>
                    <w:rPr>
                      <w:rtl/>
                    </w:rPr>
                  </w:pPr>
                  <w:r>
                    <w:rPr>
                      <w:rFonts w:hint="cs"/>
                      <w:rtl/>
                    </w:rPr>
                    <w:t xml:space="preserve">קבוץ יגור </w:t>
                  </w:r>
                </w:p>
              </w:txbxContent>
            </v:textbox>
            <w10:wrap anchorx="page"/>
          </v:shape>
        </w:pict>
      </w:r>
      <w:r w:rsidRPr="00C17DCE">
        <w:rPr>
          <w:rFonts w:cs="FrankRuehl"/>
          <w:szCs w:val="28"/>
          <w:rtl/>
        </w:rPr>
        <w:pict w14:anchorId="092C8CD0">
          <v:shape id="_x0000_s1026" type="#_x0000_t117" style="position:absolute;left:0;text-align:left;margin-left:306pt;margin-top:15.3pt;width:117pt;height:45pt;z-index:251653120">
            <v:textbox style="mso-next-textbox:#_x0000_s1026">
              <w:txbxContent>
                <w:p w14:paraId="203A0533" w14:textId="77777777" w:rsidR="0037197A" w:rsidRDefault="0037197A">
                  <w:pPr>
                    <w:jc w:val="center"/>
                    <w:rPr>
                      <w:b/>
                      <w:bCs/>
                    </w:rPr>
                  </w:pPr>
                  <w:r>
                    <w:rPr>
                      <w:rFonts w:hint="cs"/>
                      <w:b/>
                      <w:bCs/>
                      <w:rtl/>
                    </w:rPr>
                    <w:t>5:33</w:t>
                  </w:r>
                </w:p>
                <w:p w14:paraId="6CE640C1" w14:textId="77777777" w:rsidR="0037197A" w:rsidRDefault="0037197A">
                  <w:pPr>
                    <w:jc w:val="center"/>
                    <w:rPr>
                      <w:rtl/>
                    </w:rPr>
                  </w:pPr>
                  <w:r>
                    <w:rPr>
                      <w:rFonts w:hint="cs"/>
                      <w:rtl/>
                    </w:rPr>
                    <w:t xml:space="preserve">נאשם 1 </w:t>
                  </w:r>
                </w:p>
                <w:p w14:paraId="584F140A" w14:textId="77777777" w:rsidR="0037197A" w:rsidRDefault="0037197A">
                  <w:pPr>
                    <w:jc w:val="center"/>
                    <w:rPr>
                      <w:rtl/>
                    </w:rPr>
                  </w:pPr>
                  <w:r>
                    <w:rPr>
                      <w:rFonts w:hint="cs"/>
                      <w:rtl/>
                    </w:rPr>
                    <w:t>צומת זבולון</w:t>
                  </w:r>
                </w:p>
              </w:txbxContent>
            </v:textbox>
            <w10:wrap anchorx="page"/>
          </v:shape>
        </w:pict>
      </w:r>
      <w:r w:rsidR="00D759EB">
        <w:rPr>
          <w:rFonts w:hint="cs"/>
          <w:rtl/>
        </w:rPr>
        <w:t>אמחיש זאת בתרשים:</w:t>
      </w:r>
    </w:p>
    <w:p w14:paraId="0AAC920B" w14:textId="77777777" w:rsidR="00C17DCE" w:rsidRDefault="00C17DCE">
      <w:pPr>
        <w:spacing w:line="360" w:lineRule="auto"/>
        <w:rPr>
          <w:szCs w:val="28"/>
          <w:rtl/>
        </w:rPr>
      </w:pPr>
    </w:p>
    <w:p w14:paraId="196B6C17" w14:textId="77777777" w:rsidR="00C17DCE" w:rsidRDefault="00C17DCE">
      <w:pPr>
        <w:spacing w:line="360" w:lineRule="auto"/>
        <w:rPr>
          <w:rtl/>
        </w:rPr>
      </w:pPr>
    </w:p>
    <w:p w14:paraId="491E7BC2" w14:textId="77777777" w:rsidR="00C17DCE" w:rsidRDefault="00C17DCE">
      <w:pPr>
        <w:rPr>
          <w:rtl/>
        </w:rPr>
      </w:pPr>
    </w:p>
    <w:p w14:paraId="317E8D4E" w14:textId="77777777" w:rsidR="00C17DCE" w:rsidRDefault="00C17DCE">
      <w:pPr>
        <w:spacing w:line="360" w:lineRule="auto"/>
        <w:rPr>
          <w:rtl/>
        </w:rPr>
      </w:pPr>
      <w:r w:rsidRPr="00C17DCE">
        <w:rPr>
          <w:rFonts w:cs="FrankRuehl"/>
          <w:rtl/>
        </w:rPr>
        <w:pict w14:anchorId="0D22BFE9">
          <v:shape id="_x0000_s1027" type="#_x0000_t117" style="position:absolute;left:0;text-align:left;margin-left:198pt;margin-top:3.5pt;width:135pt;height:47.8pt;z-index:251654144">
            <v:textbox style="mso-next-textbox:#_x0000_s1027">
              <w:txbxContent>
                <w:p w14:paraId="340A00C5" w14:textId="77777777" w:rsidR="0037197A" w:rsidRDefault="0037197A">
                  <w:pPr>
                    <w:jc w:val="center"/>
                    <w:rPr>
                      <w:b/>
                      <w:bCs/>
                    </w:rPr>
                  </w:pPr>
                  <w:r>
                    <w:rPr>
                      <w:rFonts w:hint="cs"/>
                      <w:b/>
                      <w:bCs/>
                      <w:rtl/>
                    </w:rPr>
                    <w:t>8:03-8:14</w:t>
                  </w:r>
                </w:p>
                <w:p w14:paraId="7ECC4986" w14:textId="77777777" w:rsidR="0037197A" w:rsidRDefault="0037197A">
                  <w:pPr>
                    <w:jc w:val="center"/>
                    <w:rPr>
                      <w:rtl/>
                    </w:rPr>
                  </w:pPr>
                  <w:r>
                    <w:rPr>
                      <w:rFonts w:hint="cs"/>
                      <w:rtl/>
                    </w:rPr>
                    <w:t>נאשם 1</w:t>
                  </w:r>
                </w:p>
                <w:p w14:paraId="7E2D9036" w14:textId="77777777" w:rsidR="0037197A" w:rsidRDefault="0037197A">
                  <w:pPr>
                    <w:jc w:val="center"/>
                    <w:rPr>
                      <w:rtl/>
                    </w:rPr>
                  </w:pPr>
                  <w:r>
                    <w:rPr>
                      <w:rFonts w:hint="cs"/>
                      <w:rtl/>
                    </w:rPr>
                    <w:t>זירת האירוע</w:t>
                  </w:r>
                </w:p>
                <w:p w14:paraId="3502759B" w14:textId="77777777" w:rsidR="0037197A" w:rsidRDefault="0037197A">
                  <w:pPr>
                    <w:jc w:val="center"/>
                    <w:rPr>
                      <w:sz w:val="26"/>
                      <w:szCs w:val="26"/>
                      <w:rtl/>
                    </w:rPr>
                  </w:pPr>
                </w:p>
              </w:txbxContent>
            </v:textbox>
            <w10:wrap anchorx="page"/>
          </v:shape>
        </w:pict>
      </w:r>
      <w:r w:rsidRPr="00C17DCE">
        <w:rPr>
          <w:rFonts w:cs="FrankRuehl"/>
          <w:rtl/>
        </w:rPr>
        <w:pict w14:anchorId="092917E7">
          <v:shape id="_x0000_s1032" type="#_x0000_t117" style="position:absolute;left:0;text-align:left;margin-left:99pt;margin-top:3.5pt;width:135pt;height:47.8pt;z-index:251659264">
            <v:textbox style="mso-next-textbox:#_x0000_s1032">
              <w:txbxContent>
                <w:p w14:paraId="0DAB1683" w14:textId="77777777" w:rsidR="0037197A" w:rsidRDefault="0037197A">
                  <w:pPr>
                    <w:jc w:val="center"/>
                    <w:rPr>
                      <w:b/>
                      <w:bCs/>
                    </w:rPr>
                  </w:pPr>
                  <w:r>
                    <w:rPr>
                      <w:rFonts w:hint="cs"/>
                      <w:b/>
                      <w:bCs/>
                      <w:rtl/>
                    </w:rPr>
                    <w:t>8:22</w:t>
                  </w:r>
                </w:p>
                <w:p w14:paraId="778B61E6" w14:textId="77777777" w:rsidR="0037197A" w:rsidRDefault="0037197A">
                  <w:pPr>
                    <w:jc w:val="center"/>
                    <w:rPr>
                      <w:rtl/>
                    </w:rPr>
                  </w:pPr>
                  <w:r>
                    <w:rPr>
                      <w:rFonts w:hint="cs"/>
                      <w:rtl/>
                    </w:rPr>
                    <w:t>נאשם 2</w:t>
                  </w:r>
                </w:p>
                <w:p w14:paraId="3937AB3E" w14:textId="77777777" w:rsidR="0037197A" w:rsidRDefault="0037197A">
                  <w:pPr>
                    <w:jc w:val="center"/>
                    <w:rPr>
                      <w:rtl/>
                    </w:rPr>
                  </w:pPr>
                  <w:r>
                    <w:rPr>
                      <w:rFonts w:hint="cs"/>
                      <w:rtl/>
                    </w:rPr>
                    <w:t>זירת האירוע</w:t>
                  </w:r>
                </w:p>
              </w:txbxContent>
            </v:textbox>
            <w10:wrap anchorx="page"/>
          </v:shape>
        </w:pict>
      </w:r>
    </w:p>
    <w:p w14:paraId="5EFFBC48" w14:textId="77777777" w:rsidR="00C17DCE" w:rsidRDefault="00C17DCE">
      <w:pPr>
        <w:spacing w:line="360" w:lineRule="auto"/>
      </w:pPr>
    </w:p>
    <w:p w14:paraId="13E6F2EC" w14:textId="77777777" w:rsidR="00C17DCE" w:rsidRDefault="00C17DCE">
      <w:pPr>
        <w:rPr>
          <w:rtl/>
        </w:rPr>
      </w:pPr>
    </w:p>
    <w:p w14:paraId="1E01F644" w14:textId="77777777" w:rsidR="00C17DCE" w:rsidRDefault="00C17DCE">
      <w:pPr>
        <w:spacing w:line="360" w:lineRule="auto"/>
        <w:rPr>
          <w:rtl/>
        </w:rPr>
      </w:pPr>
      <w:r w:rsidRPr="00C17DCE">
        <w:rPr>
          <w:rFonts w:cs="FrankRuehl"/>
          <w:rtl/>
        </w:rPr>
        <w:pict w14:anchorId="0886AC9F">
          <v:shape id="_x0000_s1028" type="#_x0000_t117" style="position:absolute;left:0;text-align:left;margin-left:198pt;margin-top:8.2pt;width:135pt;height:48.95pt;z-index:251655168">
            <v:textbox style="mso-next-textbox:#_x0000_s1028">
              <w:txbxContent>
                <w:p w14:paraId="54D42B14" w14:textId="77777777" w:rsidR="0037197A" w:rsidRDefault="0037197A">
                  <w:pPr>
                    <w:jc w:val="center"/>
                    <w:rPr>
                      <w:b/>
                      <w:bCs/>
                    </w:rPr>
                  </w:pPr>
                  <w:r>
                    <w:rPr>
                      <w:rFonts w:hint="cs"/>
                      <w:b/>
                      <w:bCs/>
                      <w:rtl/>
                    </w:rPr>
                    <w:t xml:space="preserve">9:12 </w:t>
                  </w:r>
                </w:p>
                <w:p w14:paraId="6A8589A3" w14:textId="77777777" w:rsidR="0037197A" w:rsidRDefault="0037197A">
                  <w:pPr>
                    <w:jc w:val="center"/>
                    <w:rPr>
                      <w:rtl/>
                    </w:rPr>
                  </w:pPr>
                  <w:r>
                    <w:rPr>
                      <w:rFonts w:hint="cs"/>
                      <w:rtl/>
                    </w:rPr>
                    <w:t>נאשם 1</w:t>
                  </w:r>
                </w:p>
                <w:p w14:paraId="1FFE1738" w14:textId="77777777" w:rsidR="0037197A" w:rsidRDefault="0037197A">
                  <w:pPr>
                    <w:jc w:val="center"/>
                    <w:rPr>
                      <w:rtl/>
                    </w:rPr>
                  </w:pPr>
                  <w:r>
                    <w:rPr>
                      <w:rFonts w:hint="cs"/>
                      <w:rtl/>
                    </w:rPr>
                    <w:t>קיריון</w:t>
                  </w:r>
                </w:p>
              </w:txbxContent>
            </v:textbox>
            <w10:wrap anchorx="page"/>
          </v:shape>
        </w:pict>
      </w:r>
      <w:r w:rsidRPr="00C17DCE">
        <w:rPr>
          <w:rFonts w:cs="FrankRuehl"/>
          <w:rtl/>
        </w:rPr>
        <w:pict w14:anchorId="31990FFA">
          <v:shape id="_x0000_s1033" type="#_x0000_t117" style="position:absolute;left:0;text-align:left;margin-left:90pt;margin-top:8.2pt;width:135pt;height:48.95pt;z-index:251660288">
            <v:textbox style="mso-next-textbox:#_x0000_s1033">
              <w:txbxContent>
                <w:p w14:paraId="769FFB92" w14:textId="77777777" w:rsidR="0037197A" w:rsidRDefault="0037197A">
                  <w:pPr>
                    <w:jc w:val="center"/>
                    <w:rPr>
                      <w:b/>
                      <w:bCs/>
                    </w:rPr>
                  </w:pPr>
                  <w:r>
                    <w:rPr>
                      <w:rFonts w:hint="cs"/>
                      <w:b/>
                      <w:bCs/>
                      <w:rtl/>
                    </w:rPr>
                    <w:t>9:22</w:t>
                  </w:r>
                </w:p>
                <w:p w14:paraId="7283163C" w14:textId="77777777" w:rsidR="0037197A" w:rsidRDefault="0037197A">
                  <w:pPr>
                    <w:jc w:val="center"/>
                    <w:rPr>
                      <w:rtl/>
                    </w:rPr>
                  </w:pPr>
                  <w:r>
                    <w:rPr>
                      <w:rFonts w:hint="cs"/>
                      <w:rtl/>
                    </w:rPr>
                    <w:t>נאשם 2</w:t>
                  </w:r>
                </w:p>
                <w:p w14:paraId="29F8E1ED" w14:textId="77777777" w:rsidR="0037197A" w:rsidRDefault="0037197A">
                  <w:pPr>
                    <w:jc w:val="center"/>
                    <w:rPr>
                      <w:rtl/>
                    </w:rPr>
                  </w:pPr>
                  <w:r>
                    <w:rPr>
                      <w:rFonts w:hint="cs"/>
                      <w:rtl/>
                    </w:rPr>
                    <w:t>קיריון</w:t>
                  </w:r>
                </w:p>
              </w:txbxContent>
            </v:textbox>
            <w10:wrap anchorx="page"/>
          </v:shape>
        </w:pict>
      </w:r>
    </w:p>
    <w:p w14:paraId="4C5160D3" w14:textId="77777777" w:rsidR="00C17DCE" w:rsidRDefault="00D759EB">
      <w:pPr>
        <w:tabs>
          <w:tab w:val="left" w:pos="902"/>
        </w:tabs>
        <w:spacing w:line="360" w:lineRule="auto"/>
      </w:pPr>
      <w:r>
        <w:rPr>
          <w:rFonts w:hint="cs"/>
          <w:rtl/>
        </w:rPr>
        <w:tab/>
      </w:r>
    </w:p>
    <w:p w14:paraId="68FC5B7C" w14:textId="77777777" w:rsidR="00C17DCE" w:rsidRDefault="00D759EB">
      <w:pPr>
        <w:tabs>
          <w:tab w:val="left" w:pos="902"/>
        </w:tabs>
        <w:spacing w:line="360" w:lineRule="auto"/>
        <w:rPr>
          <w:rtl/>
        </w:rPr>
      </w:pPr>
      <w:r>
        <w:t xml:space="preserve">    </w:t>
      </w:r>
    </w:p>
    <w:p w14:paraId="344EA646" w14:textId="77777777" w:rsidR="00C17DCE" w:rsidRDefault="00C17DCE">
      <w:pPr>
        <w:jc w:val="both"/>
        <w:rPr>
          <w:rtl/>
        </w:rPr>
      </w:pPr>
    </w:p>
    <w:p w14:paraId="484D996E" w14:textId="77777777" w:rsidR="00C17DCE" w:rsidRDefault="00C17DCE">
      <w:pPr>
        <w:spacing w:line="360" w:lineRule="auto"/>
        <w:jc w:val="both"/>
        <w:rPr>
          <w:rtl/>
        </w:rPr>
      </w:pPr>
      <w:r w:rsidRPr="00C17DCE">
        <w:rPr>
          <w:rFonts w:cs="FrankRuehl"/>
          <w:szCs w:val="28"/>
          <w:rtl/>
        </w:rPr>
        <w:pict w14:anchorId="5806B6D8">
          <v:shape id="_x0000_s1029" type="#_x0000_t117" style="position:absolute;left:0;text-align:left;margin-left:198pt;margin-top:0;width:135pt;height:45pt;z-index:251656192">
            <v:textbox style="mso-next-textbox:#_x0000_s1029">
              <w:txbxContent>
                <w:p w14:paraId="38A956CB" w14:textId="77777777" w:rsidR="0037197A" w:rsidRDefault="0037197A">
                  <w:pPr>
                    <w:jc w:val="center"/>
                    <w:rPr>
                      <w:b/>
                      <w:bCs/>
                    </w:rPr>
                  </w:pPr>
                  <w:r>
                    <w:rPr>
                      <w:rFonts w:hint="cs"/>
                      <w:b/>
                      <w:bCs/>
                      <w:rtl/>
                    </w:rPr>
                    <w:t xml:space="preserve">9:57 </w:t>
                  </w:r>
                </w:p>
                <w:p w14:paraId="53738AED" w14:textId="77777777" w:rsidR="0037197A" w:rsidRDefault="0037197A">
                  <w:pPr>
                    <w:jc w:val="center"/>
                    <w:rPr>
                      <w:rtl/>
                    </w:rPr>
                  </w:pPr>
                  <w:r>
                    <w:rPr>
                      <w:rFonts w:hint="cs"/>
                      <w:rtl/>
                    </w:rPr>
                    <w:t>נאשם 1</w:t>
                  </w:r>
                </w:p>
                <w:p w14:paraId="12A5967E" w14:textId="77777777" w:rsidR="0037197A" w:rsidRDefault="0037197A">
                  <w:pPr>
                    <w:jc w:val="center"/>
                    <w:rPr>
                      <w:rtl/>
                    </w:rPr>
                  </w:pPr>
                  <w:r>
                    <w:rPr>
                      <w:rFonts w:hint="cs"/>
                      <w:rtl/>
                    </w:rPr>
                    <w:t>צומת זבולון</w:t>
                  </w:r>
                </w:p>
              </w:txbxContent>
            </v:textbox>
            <w10:wrap anchorx="page"/>
          </v:shape>
        </w:pict>
      </w:r>
      <w:r w:rsidRPr="00C17DCE">
        <w:rPr>
          <w:rFonts w:cs="FrankRuehl"/>
          <w:szCs w:val="28"/>
          <w:rtl/>
        </w:rPr>
        <w:pict w14:anchorId="14A1722F">
          <v:shape id="_x0000_s1034" type="#_x0000_t117" style="position:absolute;left:0;text-align:left;margin-left:99pt;margin-top:0;width:135pt;height:45pt;z-index:251661312">
            <v:textbox style="mso-next-textbox:#_x0000_s1034">
              <w:txbxContent>
                <w:p w14:paraId="7614B166" w14:textId="77777777" w:rsidR="0037197A" w:rsidRDefault="0037197A">
                  <w:pPr>
                    <w:jc w:val="center"/>
                    <w:rPr>
                      <w:b/>
                      <w:bCs/>
                    </w:rPr>
                  </w:pPr>
                  <w:r>
                    <w:rPr>
                      <w:rFonts w:hint="cs"/>
                      <w:b/>
                      <w:bCs/>
                      <w:rtl/>
                    </w:rPr>
                    <w:t>10:00 – 10:22</w:t>
                  </w:r>
                </w:p>
                <w:p w14:paraId="12E68879" w14:textId="77777777" w:rsidR="0037197A" w:rsidRDefault="0037197A">
                  <w:pPr>
                    <w:jc w:val="center"/>
                    <w:rPr>
                      <w:rtl/>
                    </w:rPr>
                  </w:pPr>
                  <w:r>
                    <w:rPr>
                      <w:rFonts w:hint="cs"/>
                      <w:rtl/>
                    </w:rPr>
                    <w:t>נאשם 2</w:t>
                  </w:r>
                </w:p>
                <w:p w14:paraId="310E4B85" w14:textId="77777777" w:rsidR="0037197A" w:rsidRDefault="0037197A">
                  <w:pPr>
                    <w:jc w:val="center"/>
                    <w:rPr>
                      <w:rtl/>
                    </w:rPr>
                  </w:pPr>
                  <w:r>
                    <w:rPr>
                      <w:rFonts w:hint="cs"/>
                      <w:rtl/>
                    </w:rPr>
                    <w:t>צומת זבולון</w:t>
                  </w:r>
                </w:p>
              </w:txbxContent>
            </v:textbox>
            <w10:wrap anchorx="page"/>
          </v:shape>
        </w:pict>
      </w:r>
    </w:p>
    <w:p w14:paraId="6403EE2B" w14:textId="77777777" w:rsidR="00C17DCE" w:rsidRDefault="00C17DCE">
      <w:pPr>
        <w:spacing w:line="360" w:lineRule="auto"/>
        <w:jc w:val="both"/>
        <w:rPr>
          <w:rtl/>
        </w:rPr>
      </w:pPr>
    </w:p>
    <w:p w14:paraId="05D4E654" w14:textId="77777777" w:rsidR="00C17DCE" w:rsidRDefault="00C17DCE">
      <w:pPr>
        <w:jc w:val="both"/>
        <w:rPr>
          <w:rtl/>
        </w:rPr>
      </w:pPr>
    </w:p>
    <w:p w14:paraId="5394DDE9" w14:textId="77777777" w:rsidR="00C17DCE" w:rsidRDefault="00C17DCE">
      <w:pPr>
        <w:spacing w:line="360" w:lineRule="auto"/>
        <w:jc w:val="both"/>
        <w:rPr>
          <w:rtl/>
        </w:rPr>
      </w:pPr>
      <w:r w:rsidRPr="00C17DCE">
        <w:rPr>
          <w:rFonts w:cs="FrankRuehl"/>
          <w:szCs w:val="28"/>
          <w:rtl/>
        </w:rPr>
        <w:pict w14:anchorId="10A63644">
          <v:shape id="_x0000_s1030" type="#_x0000_t117" style="position:absolute;left:0;text-align:left;margin-left:9pt;margin-top:6.1pt;width:2in;height:47.9pt;z-index:251657216">
            <v:textbox style="mso-next-textbox:#_x0000_s1030">
              <w:txbxContent>
                <w:p w14:paraId="59E47F78" w14:textId="77777777" w:rsidR="0037197A" w:rsidRDefault="0037197A">
                  <w:pPr>
                    <w:jc w:val="center"/>
                    <w:rPr>
                      <w:b/>
                      <w:bCs/>
                    </w:rPr>
                  </w:pPr>
                  <w:r>
                    <w:rPr>
                      <w:rFonts w:hint="cs"/>
                      <w:b/>
                      <w:bCs/>
                      <w:rtl/>
                    </w:rPr>
                    <w:t>12:09</w:t>
                  </w:r>
                </w:p>
                <w:p w14:paraId="2DFB0CE4" w14:textId="77777777" w:rsidR="0037197A" w:rsidRDefault="0037197A">
                  <w:pPr>
                    <w:jc w:val="center"/>
                    <w:rPr>
                      <w:rtl/>
                    </w:rPr>
                  </w:pPr>
                  <w:r>
                    <w:rPr>
                      <w:rFonts w:hint="cs"/>
                      <w:rtl/>
                    </w:rPr>
                    <w:t>נאשם 2</w:t>
                  </w:r>
                </w:p>
                <w:p w14:paraId="132A48B1" w14:textId="77777777" w:rsidR="0037197A" w:rsidRDefault="0037197A">
                  <w:pPr>
                    <w:jc w:val="center"/>
                    <w:rPr>
                      <w:rtl/>
                    </w:rPr>
                  </w:pPr>
                  <w:r>
                    <w:rPr>
                      <w:rFonts w:hint="cs"/>
                      <w:rtl/>
                    </w:rPr>
                    <w:t>צומת אחיהוד</w:t>
                  </w:r>
                </w:p>
              </w:txbxContent>
            </v:textbox>
            <w10:wrap anchorx="page"/>
          </v:shape>
        </w:pict>
      </w:r>
      <w:r w:rsidRPr="00C17DCE">
        <w:rPr>
          <w:rFonts w:cs="FrankRuehl"/>
          <w:szCs w:val="28"/>
          <w:rtl/>
        </w:rPr>
        <w:pict w14:anchorId="537C833A">
          <v:shape id="_x0000_s1035" type="#_x0000_t117" style="position:absolute;left:0;text-align:left;margin-left:4in;margin-top:6.1pt;width:2in;height:47.9pt;z-index:251662336">
            <v:textbox style="mso-next-textbox:#_x0000_s1035">
              <w:txbxContent>
                <w:p w14:paraId="4A095520" w14:textId="77777777" w:rsidR="0037197A" w:rsidRDefault="0037197A">
                  <w:pPr>
                    <w:jc w:val="center"/>
                    <w:rPr>
                      <w:b/>
                      <w:bCs/>
                    </w:rPr>
                  </w:pPr>
                  <w:r>
                    <w:rPr>
                      <w:rFonts w:hint="cs"/>
                      <w:b/>
                      <w:bCs/>
                      <w:rtl/>
                    </w:rPr>
                    <w:t>12:09</w:t>
                  </w:r>
                </w:p>
                <w:p w14:paraId="6313760E" w14:textId="77777777" w:rsidR="0037197A" w:rsidRDefault="0037197A">
                  <w:pPr>
                    <w:jc w:val="center"/>
                    <w:rPr>
                      <w:rtl/>
                    </w:rPr>
                  </w:pPr>
                  <w:r>
                    <w:rPr>
                      <w:rFonts w:hint="cs"/>
                      <w:rtl/>
                    </w:rPr>
                    <w:t>נאשם 1</w:t>
                  </w:r>
                </w:p>
                <w:p w14:paraId="7CA4D139" w14:textId="77777777" w:rsidR="0037197A" w:rsidRDefault="0037197A">
                  <w:pPr>
                    <w:jc w:val="center"/>
                    <w:rPr>
                      <w:rtl/>
                    </w:rPr>
                  </w:pPr>
                  <w:r>
                    <w:rPr>
                      <w:rFonts w:hint="cs"/>
                      <w:rtl/>
                    </w:rPr>
                    <w:t>כפר ביאליק</w:t>
                  </w:r>
                </w:p>
              </w:txbxContent>
            </v:textbox>
            <w10:wrap anchorx="page"/>
          </v:shape>
        </w:pict>
      </w:r>
    </w:p>
    <w:p w14:paraId="111212BB" w14:textId="77777777" w:rsidR="00C17DCE" w:rsidRDefault="00C17DCE">
      <w:pPr>
        <w:spacing w:line="360" w:lineRule="auto"/>
        <w:jc w:val="both"/>
        <w:rPr>
          <w:rtl/>
        </w:rPr>
      </w:pPr>
    </w:p>
    <w:p w14:paraId="7D6556AA" w14:textId="77777777" w:rsidR="00C17DCE" w:rsidRDefault="00C17DCE">
      <w:pPr>
        <w:spacing w:line="360" w:lineRule="auto"/>
        <w:jc w:val="both"/>
        <w:rPr>
          <w:rtl/>
        </w:rPr>
      </w:pPr>
    </w:p>
    <w:p w14:paraId="33BAA395" w14:textId="77777777" w:rsidR="00C17DCE" w:rsidRDefault="00C17DCE">
      <w:pPr>
        <w:spacing w:line="360" w:lineRule="auto"/>
        <w:ind w:left="360" w:firstLine="206"/>
        <w:jc w:val="both"/>
        <w:rPr>
          <w:u w:val="single"/>
          <w:rtl/>
        </w:rPr>
      </w:pPr>
    </w:p>
    <w:p w14:paraId="1A224D4B" w14:textId="77777777" w:rsidR="00C17DCE" w:rsidRDefault="00D759EB">
      <w:pPr>
        <w:spacing w:line="360" w:lineRule="auto"/>
        <w:ind w:left="360" w:firstLine="206"/>
        <w:jc w:val="both"/>
        <w:rPr>
          <w:u w:val="single"/>
          <w:rtl/>
        </w:rPr>
      </w:pPr>
      <w:r>
        <w:rPr>
          <w:rFonts w:hint="cs"/>
          <w:u w:val="single"/>
          <w:rtl/>
        </w:rPr>
        <w:t>קשירת קשר לפשע</w:t>
      </w:r>
    </w:p>
    <w:p w14:paraId="30FBF8A2" w14:textId="77777777" w:rsidR="00C17DCE" w:rsidRDefault="00D759EB">
      <w:pPr>
        <w:numPr>
          <w:ilvl w:val="0"/>
          <w:numId w:val="7"/>
        </w:numPr>
        <w:spacing w:line="360" w:lineRule="auto"/>
        <w:jc w:val="both"/>
      </w:pPr>
      <w:r>
        <w:rPr>
          <w:rFonts w:hint="cs"/>
          <w:rtl/>
        </w:rPr>
        <w:t xml:space="preserve">משנקבע כי שני הנאשמים נכחו בזירת האירוע ומאחר ואין מחלוקת בהתאם לגרסת המתלוננת וגרסת נאשם 1 (עמוד 331 לפרוטוקול שורה 14) כי רק שני אנשים נטלו חלק בחבלות החמורות שנחבלה וכי ההגעה למקום היתה לאחר תיאום מתוכנן מראש (ראו עדות נאשם 1 עמוד 356 לפרוטוקול שורה 10), הרי שהמסקנה המתבקשת היא כי שני הנאשמים קשרו קשר לפשע שבא לידי ביטוי במעשיהם בזירת האירוע (ראו לעניין קביעת קיומו של קשר מראיות נסיבתיות </w:t>
      </w:r>
      <w:hyperlink r:id="rId52" w:history="1">
        <w:r w:rsidR="005644D6" w:rsidRPr="005644D6">
          <w:rPr>
            <w:rStyle w:val="Hyperlink"/>
            <w:rFonts w:hint="eastAsia"/>
            <w:rtl/>
          </w:rPr>
          <w:t>ע</w:t>
        </w:r>
        <w:r w:rsidR="005644D6" w:rsidRPr="005644D6">
          <w:rPr>
            <w:rStyle w:val="Hyperlink"/>
            <w:rtl/>
          </w:rPr>
          <w:t>"</w:t>
        </w:r>
        <w:r w:rsidR="005644D6" w:rsidRPr="005644D6">
          <w:rPr>
            <w:rStyle w:val="Hyperlink"/>
            <w:rFonts w:hint="eastAsia"/>
            <w:rtl/>
          </w:rPr>
          <w:t>פ</w:t>
        </w:r>
        <w:r w:rsidR="005644D6" w:rsidRPr="005644D6">
          <w:rPr>
            <w:rStyle w:val="Hyperlink"/>
            <w:rtl/>
          </w:rPr>
          <w:t xml:space="preserve"> 2860/08</w:t>
        </w:r>
      </w:hyperlink>
      <w:r>
        <w:rPr>
          <w:rFonts w:hint="cs"/>
          <w:rtl/>
        </w:rPr>
        <w:t xml:space="preserve"> </w:t>
      </w:r>
      <w:r>
        <w:rPr>
          <w:rFonts w:hint="cs"/>
          <w:b/>
          <w:bCs/>
          <w:rtl/>
        </w:rPr>
        <w:t>אבו סריס נגד מדינת ישראל</w:t>
      </w:r>
      <w:r>
        <w:rPr>
          <w:rFonts w:hint="cs"/>
          <w:rtl/>
        </w:rPr>
        <w:t>).</w:t>
      </w:r>
    </w:p>
    <w:p w14:paraId="4D7E3624" w14:textId="77777777" w:rsidR="00C17DCE" w:rsidRDefault="00D759EB">
      <w:pPr>
        <w:spacing w:line="360" w:lineRule="auto"/>
        <w:ind w:left="511"/>
        <w:jc w:val="both"/>
      </w:pPr>
      <w:r>
        <w:rPr>
          <w:rFonts w:hint="cs"/>
          <w:rtl/>
        </w:rPr>
        <w:t>למעשה ניתן ללמוד על הקשר שקשרו הנאשמים גם מהימצאות שני כובעי הגרב בסמוך לבנין כשהם מונחים זה על גבי זה ואזכיר כי על כובעי הגרב סימני דם של המתלוננת ועל הכובעים פרופיל גנטי של שני הנאשמים, מממצא אובייקטיבי זה ניתן ללמוד על קשר ברור בין שני הנאשמים- בינם לבין עצמם ובינם לבין הפגיעה במתלוננת.</w:t>
      </w:r>
    </w:p>
    <w:p w14:paraId="7DEFF45E" w14:textId="77777777" w:rsidR="00C17DCE" w:rsidRDefault="00C17DCE">
      <w:pPr>
        <w:jc w:val="both"/>
      </w:pPr>
    </w:p>
    <w:p w14:paraId="797EAC90" w14:textId="77777777" w:rsidR="00C17DCE" w:rsidRDefault="00D759EB">
      <w:pPr>
        <w:numPr>
          <w:ilvl w:val="0"/>
          <w:numId w:val="7"/>
        </w:numPr>
        <w:spacing w:line="360" w:lineRule="auto"/>
        <w:jc w:val="both"/>
        <w:rPr>
          <w:rtl/>
        </w:rPr>
      </w:pPr>
      <w:r>
        <w:rPr>
          <w:rFonts w:hint="cs"/>
          <w:rtl/>
        </w:rPr>
        <w:t>לכך אוסיף כי נאשם 1 הודה כי בטרם הגיעו לדירה הוא התקשר לוודא אם יש מישהו בבית (עמוד 333 לפרוטוקול שורה 30 ועמוד 334 שורה 3) ואזכיר כי שני הנאשמים המתינו למתלוננת ליד דלת דירתה כשמטרתם לקחת כסף שהיה בדירה (עדות נאשם 1 עמוד 331 לפרוטוקול שורה 1 ועמוד 343 שורה 29), שיחה זו מעידה על תכנון מוקדם, בדיקה אם הקרבן כבר הגיע לבית  ותוכנית פעולה לפיה פעלו שני הנאשמים שנועדה למצער למימוש קשר למטרות שוד.</w:t>
      </w:r>
    </w:p>
    <w:p w14:paraId="0BAEF83E" w14:textId="77777777" w:rsidR="00C17DCE" w:rsidRDefault="00C17DCE">
      <w:pPr>
        <w:jc w:val="both"/>
      </w:pPr>
    </w:p>
    <w:p w14:paraId="5276139A" w14:textId="77777777" w:rsidR="00C17DCE" w:rsidRDefault="00D759EB">
      <w:pPr>
        <w:numPr>
          <w:ilvl w:val="0"/>
          <w:numId w:val="7"/>
        </w:numPr>
        <w:spacing w:line="360" w:lineRule="auto"/>
        <w:jc w:val="both"/>
        <w:rPr>
          <w:rtl/>
        </w:rPr>
      </w:pPr>
      <w:r>
        <w:rPr>
          <w:rFonts w:hint="cs"/>
          <w:rtl/>
        </w:rPr>
        <w:t>מחקר התקשורת שהוגש לבית משפט (ת/45) ועדות החוקר סולומון (עמוד 104 לפרוטוקול שורה 21) והחוקר קנדרו (עמוד 293 לפרוטוקול שורה 27) מצביעים על קשר טלפוני הדוק בין שני הנאשמים לפני האירוע ומשעה 12:00 לאחר האירוע. ויש בכך לחזק את הקביעה כי שני הנאשמים קשרו קשר לביצוע המעשה וכי הימצאותו של נאשם 2 במקום האירוע אינה מקרית. למעשה,  נאשם 1 ביקר באותו איזור גם יומיים לפני האירוע- ביום 18.6.2010 בשעה 18:52 מכשירו מאוכן בדיוק באותו מקום בו אוכן בשעת האירוע (ת/45 עמוד 11) פעולה היכולה להעיד על בדיקת השטח או מעקב אחרי המתלוננת יומיים לפני האירוע כחלק מאותו קשר.</w:t>
      </w:r>
    </w:p>
    <w:p w14:paraId="16DAD3D0" w14:textId="77777777" w:rsidR="00C17DCE" w:rsidRDefault="00C17DCE">
      <w:pPr>
        <w:jc w:val="both"/>
      </w:pPr>
    </w:p>
    <w:p w14:paraId="63FC965F" w14:textId="77777777" w:rsidR="00C17DCE" w:rsidRDefault="00D759EB">
      <w:pPr>
        <w:spacing w:line="360" w:lineRule="auto"/>
        <w:ind w:left="511"/>
        <w:jc w:val="both"/>
        <w:rPr>
          <w:rtl/>
        </w:rPr>
      </w:pPr>
      <w:r>
        <w:rPr>
          <w:rFonts w:hint="cs"/>
          <w:rtl/>
        </w:rPr>
        <w:t xml:space="preserve">מעשי הנאשמים ועדות נאשם 1 גם מעידים על מטרת הקשר, חבלה במתלוננת ושדידת רכושה. שני הנאשמים פעלו כמבצעים עיקריים ופעלו יחדיו להשגת המטרה המשותפת, היסוד הנפשי נלמד מהתנהגותם וכפי שיפורט ספציפית לגבי העבירות עצמן. </w:t>
      </w:r>
    </w:p>
    <w:p w14:paraId="6C21A31C" w14:textId="77777777" w:rsidR="00C17DCE" w:rsidRDefault="00C17DCE">
      <w:pPr>
        <w:jc w:val="both"/>
      </w:pPr>
    </w:p>
    <w:p w14:paraId="617B58E3" w14:textId="77777777" w:rsidR="00C17DCE" w:rsidRDefault="00D759EB">
      <w:pPr>
        <w:numPr>
          <w:ilvl w:val="0"/>
          <w:numId w:val="7"/>
        </w:numPr>
        <w:spacing w:line="360" w:lineRule="auto"/>
        <w:jc w:val="both"/>
      </w:pPr>
      <w:r>
        <w:rPr>
          <w:rFonts w:hint="cs"/>
          <w:rtl/>
        </w:rPr>
        <w:t xml:space="preserve">לאור האמור לעיל אני סבור כי יש להרשיע את שני הנאשמים בעבירה של קשירת קשר לפשע, עבירה  לפי </w:t>
      </w:r>
      <w:hyperlink r:id="rId53" w:history="1">
        <w:r w:rsidR="00D447FF" w:rsidRPr="00D447FF">
          <w:rPr>
            <w:rFonts w:hint="eastAsia"/>
            <w:color w:val="0000FF"/>
            <w:u w:val="single"/>
            <w:rtl/>
          </w:rPr>
          <w:t>סעיף</w:t>
        </w:r>
        <w:r w:rsidR="00D447FF" w:rsidRPr="00D447FF">
          <w:rPr>
            <w:color w:val="0000FF"/>
            <w:u w:val="single"/>
            <w:rtl/>
          </w:rPr>
          <w:t xml:space="preserve"> 499(</w:t>
        </w:r>
        <w:r w:rsidR="00D447FF" w:rsidRPr="00D447FF">
          <w:rPr>
            <w:rFonts w:hint="eastAsia"/>
            <w:color w:val="0000FF"/>
            <w:u w:val="single"/>
            <w:rtl/>
          </w:rPr>
          <w:t>א</w:t>
        </w:r>
        <w:r w:rsidR="00D447FF" w:rsidRPr="00D447FF">
          <w:rPr>
            <w:color w:val="0000FF"/>
            <w:u w:val="single"/>
            <w:rtl/>
          </w:rPr>
          <w:t>)(1)</w:t>
        </w:r>
      </w:hyperlink>
      <w:r>
        <w:rPr>
          <w:rFonts w:hint="cs"/>
          <w:rtl/>
        </w:rPr>
        <w:t xml:space="preserve"> לחוק.</w:t>
      </w:r>
    </w:p>
    <w:p w14:paraId="540DF613" w14:textId="77777777" w:rsidR="00C17DCE" w:rsidRDefault="00C17DCE">
      <w:pPr>
        <w:spacing w:line="360" w:lineRule="auto"/>
        <w:jc w:val="both"/>
        <w:rPr>
          <w:rtl/>
        </w:rPr>
      </w:pPr>
    </w:p>
    <w:p w14:paraId="36A6092D" w14:textId="77777777" w:rsidR="00C17DCE" w:rsidRDefault="00D759EB">
      <w:pPr>
        <w:spacing w:line="360" w:lineRule="auto"/>
        <w:ind w:firstLine="511"/>
        <w:jc w:val="both"/>
        <w:rPr>
          <w:u w:val="single"/>
          <w:rtl/>
        </w:rPr>
      </w:pPr>
      <w:r>
        <w:rPr>
          <w:rFonts w:hint="cs"/>
          <w:u w:val="single"/>
          <w:rtl/>
        </w:rPr>
        <w:t>מהימנות המתלוננת ועבירת חבלה בכוונה מחמירה</w:t>
      </w:r>
    </w:p>
    <w:p w14:paraId="1ABAC7C3" w14:textId="77777777" w:rsidR="00C17DCE" w:rsidRDefault="00D759EB">
      <w:pPr>
        <w:numPr>
          <w:ilvl w:val="0"/>
          <w:numId w:val="7"/>
        </w:numPr>
        <w:spacing w:line="360" w:lineRule="auto"/>
        <w:jc w:val="both"/>
      </w:pPr>
      <w:r>
        <w:rPr>
          <w:rFonts w:hint="cs"/>
          <w:rtl/>
        </w:rPr>
        <w:t xml:space="preserve">המתלוננת, אם לשתי בנות, התגוררה ביום האירוע 20.6.2010 בדירה בקומה שישית בבנין דירות, בעלה באותו מועד וכ-9 חודשים לפני כן היה במאסר. בשפה רהוטה ונוגעת ללב תארה את אירוע האימים שחוותה בבוקר 20.6.2010 עת הגיעה לדלת דירתה. </w:t>
      </w:r>
    </w:p>
    <w:p w14:paraId="0A8E311A" w14:textId="77777777" w:rsidR="00C17DCE" w:rsidRDefault="00C17DCE">
      <w:pPr>
        <w:jc w:val="both"/>
      </w:pPr>
    </w:p>
    <w:p w14:paraId="0BFE5AD6" w14:textId="77777777" w:rsidR="00C17DCE" w:rsidRDefault="00D759EB">
      <w:pPr>
        <w:numPr>
          <w:ilvl w:val="0"/>
          <w:numId w:val="7"/>
        </w:numPr>
        <w:spacing w:line="360" w:lineRule="auto"/>
        <w:jc w:val="both"/>
      </w:pPr>
      <w:r>
        <w:rPr>
          <w:rFonts w:hint="cs"/>
          <w:rtl/>
        </w:rPr>
        <w:t>לאחר שיצאה מביתה בסמוך לשעה  8  בבוקר עם שתי בנותיה ואימה ולאחר שהשאירה את בתה הקטנה במעון, חזרה לדירתה לבדה בסמוך לשעה 8:10. לאחר שיצאה מהמעלית והכניסה את מפתח הדירה למנעול כדי לפתוח את הדלת, היא הותקפה ע"י שני אנשים, אחד מהם רעול פנים שהכניסו אותה בכוח לדירה, השכיבו אותה על הרצפה והתחילו לבעוט בה, (עמוד 132 לפרוטוקול שורה 2 וראו תיעוד זירת האירוע ת/18).</w:t>
      </w:r>
    </w:p>
    <w:p w14:paraId="37EF738C" w14:textId="77777777" w:rsidR="00C17DCE" w:rsidRDefault="00C17DCE">
      <w:pPr>
        <w:jc w:val="both"/>
      </w:pPr>
    </w:p>
    <w:p w14:paraId="78309759" w14:textId="77777777" w:rsidR="00C17DCE" w:rsidRDefault="00D759EB">
      <w:pPr>
        <w:numPr>
          <w:ilvl w:val="0"/>
          <w:numId w:val="7"/>
        </w:numPr>
        <w:spacing w:line="360" w:lineRule="auto"/>
        <w:jc w:val="both"/>
      </w:pPr>
      <w:r>
        <w:rPr>
          <w:rFonts w:hint="cs"/>
          <w:rtl/>
        </w:rPr>
        <w:t>אקדים מאוחר למוקדם ואפנה לתוצאות התקיפה. השוטר אשר אוחנה שהגיע למקום בשעה 8:55 מתאר "אישה חבולה בצורה קשה מאד פניה נפוחות מאוד שוטטת דם, (ת/5). על פי המתואר בתיק הרפואי (ת/46 ת/46א) נמצא כי למתלוננת: "</w:t>
      </w:r>
      <w:r>
        <w:rPr>
          <w:rFonts w:cs="Miriam" w:hint="cs"/>
          <w:rtl/>
        </w:rPr>
        <w:t xml:space="preserve">חבלות מרובות בפנים עם המטומות פריאוביטאליות. </w:t>
      </w:r>
      <w:r>
        <w:rPr>
          <w:rFonts w:cs="Miriam"/>
          <w:sz w:val="20"/>
          <w:szCs w:val="20"/>
        </w:rPr>
        <w:t>CT</w:t>
      </w:r>
      <w:r>
        <w:rPr>
          <w:rFonts w:cs="Miriam" w:hint="cs"/>
          <w:rtl/>
        </w:rPr>
        <w:t xml:space="preserve"> מוח המטומות ברקמות הרכות. </w:t>
      </w:r>
      <w:r>
        <w:rPr>
          <w:rFonts w:cs="Miriam"/>
          <w:sz w:val="20"/>
          <w:szCs w:val="20"/>
        </w:rPr>
        <w:t>CT</w:t>
      </w:r>
      <w:r>
        <w:rPr>
          <w:rFonts w:cs="Miriam" w:hint="cs"/>
          <w:sz w:val="20"/>
          <w:szCs w:val="20"/>
          <w:rtl/>
        </w:rPr>
        <w:t xml:space="preserve"> </w:t>
      </w:r>
      <w:r>
        <w:rPr>
          <w:rFonts w:cs="Miriam" w:hint="cs"/>
          <w:rtl/>
        </w:rPr>
        <w:t xml:space="preserve">חזה, שברים בצלעות 8-11, בדיקת </w:t>
      </w:r>
      <w:r>
        <w:rPr>
          <w:rFonts w:cs="Miriam"/>
          <w:sz w:val="20"/>
          <w:szCs w:val="20"/>
        </w:rPr>
        <w:t>CT</w:t>
      </w:r>
      <w:r>
        <w:rPr>
          <w:rFonts w:cs="Miriam" w:hint="cs"/>
          <w:rtl/>
        </w:rPr>
        <w:t xml:space="preserve"> בטן ואגן- שברים בזיזים רוחביים </w:t>
      </w:r>
      <w:r>
        <w:rPr>
          <w:rFonts w:cs="Miriam"/>
          <w:sz w:val="20"/>
          <w:szCs w:val="20"/>
        </w:rPr>
        <w:t xml:space="preserve">L1 L2 </w:t>
      </w:r>
      <w:r>
        <w:rPr>
          <w:rFonts w:cs="Miriam" w:hint="cs"/>
          <w:sz w:val="20"/>
          <w:szCs w:val="20"/>
          <w:rtl/>
        </w:rPr>
        <w:t xml:space="preserve"> </w:t>
      </w:r>
      <w:r>
        <w:rPr>
          <w:rFonts w:cs="Miriam" w:hint="cs"/>
          <w:rtl/>
        </w:rPr>
        <w:t>מימין, המטומה בתופית האוזן, קרישי דם באף, שבר באף</w:t>
      </w:r>
      <w:r>
        <w:rPr>
          <w:rFonts w:hint="cs"/>
          <w:rtl/>
        </w:rPr>
        <w:t>", חבלות קשות אלו אף תועדו בתמונות, (ת/6) תמונות קשות לצפייה, מהן מתקבל הרושם כי הנאשמים רצו להשחית את פניה של המתלוננת ולהטיל בה נכות או מום.</w:t>
      </w:r>
    </w:p>
    <w:p w14:paraId="7B2B3B32" w14:textId="77777777" w:rsidR="00C17DCE" w:rsidRDefault="00C17DCE">
      <w:pPr>
        <w:jc w:val="both"/>
      </w:pPr>
    </w:p>
    <w:p w14:paraId="448AF5C2" w14:textId="77777777" w:rsidR="00C17DCE" w:rsidRDefault="00D759EB">
      <w:pPr>
        <w:spacing w:line="360" w:lineRule="auto"/>
        <w:ind w:left="511"/>
        <w:jc w:val="both"/>
        <w:rPr>
          <w:rtl/>
        </w:rPr>
      </w:pPr>
      <w:r>
        <w:rPr>
          <w:rFonts w:hint="cs"/>
          <w:rtl/>
        </w:rPr>
        <w:t>המתלוננת אושפזה למשך 4 ימים ושוחררה לביתה ביום 23.6.2010. במועד עדותה-5.5.2011 טרם החלימה המתלוננת מהפגיעות, עדיין סבלה מכאבים והעדר תחושות בעצמות הלחיים והאף ותפקוד לקוי של השפה העליונה (עמוד 137 לפרוטוקול שורה 1 ועמוד 138 שורה 28 ואילך וראו עדות אימה עמוד 217 לפרוטוקול שורה 2).</w:t>
      </w:r>
    </w:p>
    <w:p w14:paraId="2202F26A" w14:textId="77777777" w:rsidR="00C17DCE" w:rsidRDefault="00C17DCE">
      <w:pPr>
        <w:jc w:val="both"/>
      </w:pPr>
    </w:p>
    <w:p w14:paraId="661A854D" w14:textId="77777777" w:rsidR="00C17DCE" w:rsidRDefault="00D759EB">
      <w:pPr>
        <w:numPr>
          <w:ilvl w:val="0"/>
          <w:numId w:val="7"/>
        </w:numPr>
        <w:spacing w:line="360" w:lineRule="auto"/>
        <w:jc w:val="both"/>
        <w:rPr>
          <w:rtl/>
        </w:rPr>
      </w:pPr>
      <w:r>
        <w:rPr>
          <w:rFonts w:hint="cs"/>
          <w:rtl/>
        </w:rPr>
        <w:t xml:space="preserve">המתלוננת בחקירתה במשטרה, בשחזור שערכה (ת/44) ובמהלך שתי ישיבות תארה את שהתרחש עד שאיבדה את הכרתה, היא הציעה לתוקפים כסף על מנת שיעזבו אותה, אולם הם לא ענו לה והמשיכו לבעוט בה, (עמוד 132 לפרוטוקול שורה 5), לדבריה אחד מהשניים חנק אותה באופן ששם לה </w:t>
      </w:r>
      <w:smartTag w:uri="urn:schemas-microsoft-com:office:smarttags" w:element="PersonName">
        <w:smartTagPr>
          <w:attr w:name="ProductID" w:val="יד על"/>
        </w:smartTagPr>
        <w:r>
          <w:rPr>
            <w:rFonts w:hint="cs"/>
            <w:rtl/>
          </w:rPr>
          <w:t>יד על</w:t>
        </w:r>
      </w:smartTag>
      <w:r>
        <w:rPr>
          <w:rFonts w:hint="cs"/>
          <w:rtl/>
        </w:rPr>
        <w:t xml:space="preserve"> הפנים ובתגובה היא נשכה אותו. בשלב מאוחר יותר היא זיהתה במסדר תמונות את נאשם 1, (ת/56) כאחד משני תוקפיה, כשהיא מסבירה כי אחד משני התוקפים לא היה רעול פנים. </w:t>
      </w:r>
    </w:p>
    <w:p w14:paraId="2278CF0A" w14:textId="77777777" w:rsidR="00C17DCE" w:rsidRDefault="00C17DCE">
      <w:pPr>
        <w:spacing w:line="360" w:lineRule="auto"/>
        <w:jc w:val="both"/>
      </w:pPr>
    </w:p>
    <w:p w14:paraId="0FAB73F9" w14:textId="77777777" w:rsidR="00C17DCE" w:rsidRDefault="00D759EB">
      <w:pPr>
        <w:spacing w:line="360" w:lineRule="auto"/>
        <w:ind w:left="511"/>
        <w:jc w:val="both"/>
        <w:rPr>
          <w:rtl/>
        </w:rPr>
      </w:pPr>
      <w:r>
        <w:rPr>
          <w:rFonts w:hint="cs"/>
          <w:rtl/>
        </w:rPr>
        <w:t>חשוב להדגיש כי המתלוננת מסרה כי שני האנשים שנכחו במקום, הרביצו לה- בגוף, בצלעות, בראש, "</w:t>
      </w:r>
      <w:r>
        <w:rPr>
          <w:rFonts w:cs="Miriam" w:hint="cs"/>
          <w:rtl/>
        </w:rPr>
        <w:t>בכל מקום שהם יכלו לבעוט בי, הם בעטו בי</w:t>
      </w:r>
      <w:r>
        <w:rPr>
          <w:rFonts w:hint="cs"/>
          <w:rtl/>
        </w:rPr>
        <w:t>" (עמוד 132 לפרוטוקול שורה 32 עמוד 133  שורה 2 ועמוד 142 שורה 5) וכל זה התרחש במטבח.</w:t>
      </w:r>
    </w:p>
    <w:p w14:paraId="3F8CD9EB" w14:textId="77777777" w:rsidR="00C17DCE" w:rsidRDefault="00C17DCE">
      <w:pPr>
        <w:spacing w:line="360" w:lineRule="auto"/>
        <w:jc w:val="both"/>
      </w:pPr>
    </w:p>
    <w:p w14:paraId="1990EAA2" w14:textId="77777777" w:rsidR="00C17DCE" w:rsidRDefault="00D759EB">
      <w:pPr>
        <w:numPr>
          <w:ilvl w:val="0"/>
          <w:numId w:val="7"/>
        </w:numPr>
        <w:spacing w:line="360" w:lineRule="auto"/>
        <w:jc w:val="both"/>
        <w:rPr>
          <w:rtl/>
        </w:rPr>
      </w:pPr>
      <w:r>
        <w:rPr>
          <w:rFonts w:hint="cs"/>
          <w:rtl/>
        </w:rPr>
        <w:t>הסנגורים מפנים לסתירות בעדותה של המתלוננת. לא רק שעמדתי שונה ואני סבור כי המתלוננת היתה עקבית בעדותה, בהתחשב בנסיבות הפתעתה והתעללות בה ע"י שני אנשים אלימים. שוני בפרט זה או אחר לא משפיע על הערכתי באשר למהימנות המתלוננת. המתלוננת עשתה רושם אמין ומשכנע והיא עמדה על גרסתה זו גם לאחר חקירתה הנגדית. גרסתה נתמכת בעדות נאשם 1 שמודה למעשה בעיקר פרטי אירוע החבלה לרבות הכנסת המתלוננת בכח לדירה, חניקתה ונשיכת אצבעו ע"י המתלוננת (עמוד 332 לפרוטוקול שורה 11) והודאתו-אם כי המאוחרת, מחזקת את גרסת המתלוננת שזיהתה את נאשם 1 במסדר זיהוי תמונות (ת/25 ו-ת/56). גם אמירתה כי אחד משני התוקפים לא היה רעול פנים מחזקת את אמינותה במיוחד שנאשם 1 הודה בכך (עמוד 331 לפרוטוקול שורה 20).</w:t>
      </w:r>
    </w:p>
    <w:p w14:paraId="67860FA8" w14:textId="77777777" w:rsidR="00C17DCE" w:rsidRDefault="00C17DCE">
      <w:pPr>
        <w:spacing w:line="360" w:lineRule="auto"/>
        <w:jc w:val="both"/>
      </w:pPr>
    </w:p>
    <w:p w14:paraId="1D1392D3" w14:textId="77777777" w:rsidR="00C17DCE" w:rsidRDefault="00D759EB">
      <w:pPr>
        <w:spacing w:line="360" w:lineRule="auto"/>
        <w:ind w:left="511"/>
        <w:jc w:val="both"/>
        <w:rPr>
          <w:rtl/>
        </w:rPr>
      </w:pPr>
      <w:r>
        <w:rPr>
          <w:rFonts w:hint="cs"/>
          <w:rtl/>
        </w:rPr>
        <w:t>תמיכה נוספת נמצאה בעת בדיקת המתלוננת ע"י דר' זייצב במרכז הלאומי לרפואה  משפטית (ת/59) ששמע את גרסתה, בדק את החבלות והגיע למסקנה כי "</w:t>
      </w:r>
      <w:r>
        <w:rPr>
          <w:rFonts w:cs="Miriam" w:hint="cs"/>
          <w:rtl/>
        </w:rPr>
        <w:t>עיקרי התלונה מתיישבים עם ממצאי הבדיקה והנתונים מתמונות ומהרשומה הרפואית</w:t>
      </w:r>
      <w:r>
        <w:rPr>
          <w:rFonts w:hint="cs"/>
          <w:rtl/>
        </w:rPr>
        <w:t>".</w:t>
      </w:r>
    </w:p>
    <w:p w14:paraId="12F4669F" w14:textId="77777777" w:rsidR="00C17DCE" w:rsidRDefault="00C17DCE">
      <w:pPr>
        <w:spacing w:line="360" w:lineRule="auto"/>
        <w:jc w:val="both"/>
      </w:pPr>
    </w:p>
    <w:p w14:paraId="45119D8E" w14:textId="77777777" w:rsidR="00C17DCE" w:rsidRDefault="00D759EB">
      <w:pPr>
        <w:numPr>
          <w:ilvl w:val="0"/>
          <w:numId w:val="7"/>
        </w:numPr>
        <w:spacing w:line="360" w:lineRule="auto"/>
        <w:jc w:val="both"/>
        <w:rPr>
          <w:rtl/>
        </w:rPr>
      </w:pPr>
      <w:r>
        <w:rPr>
          <w:rFonts w:hint="cs"/>
          <w:rtl/>
        </w:rPr>
        <w:t xml:space="preserve">המתלוננת תארה כי אחד התוקפים-מי שזוהה לאחר מכן במסדר זיהוי (ת/25) והתברר כי מדובר בנאשם 1-אחז סכין בידו מבלי שעשה בו שימוש, (עמוד 133 לפרוטוקול שורה 25 והודעותיה נ/3 שורה 26). בחקירתה הנגדית היא שבה והדגישה בביטחון כי נאשם 1 החזיק סכין בידו (עמוד 148 לפרוטוקול שורה 4), למרות שנאשם 1 כפר בהחזקת הסכין. בהסתמך על עדותה האמינה של המתלוננת, במהלכה לא נסחפה להפליל את הנאשמים, תארה בעדינות ובנחישות רק את מה שידעה וראתה בוודאות לרבות בנושא הסכין אותו תארה לפרטי פרטים והבהירה כי לא נעשה בו שימוש, אני קובע כי הנאשם 1 החזיק בידיו סכין. </w:t>
      </w:r>
    </w:p>
    <w:p w14:paraId="4FD6287A" w14:textId="77777777" w:rsidR="00C17DCE" w:rsidRDefault="00C17DCE">
      <w:pPr>
        <w:spacing w:line="360" w:lineRule="auto"/>
        <w:jc w:val="both"/>
      </w:pPr>
    </w:p>
    <w:p w14:paraId="65DBACA1" w14:textId="77777777" w:rsidR="00C17DCE" w:rsidRDefault="00D759EB">
      <w:pPr>
        <w:spacing w:line="360" w:lineRule="auto"/>
        <w:ind w:left="511"/>
        <w:jc w:val="both"/>
        <w:rPr>
          <w:rtl/>
        </w:rPr>
      </w:pPr>
      <w:r>
        <w:rPr>
          <w:rFonts w:hint="cs"/>
          <w:rtl/>
        </w:rPr>
        <w:t>חיזוק נוסף לאמינות המתלוננת ניתן למצוא בתמליל שיחה (נ/4) שנערכה בבית החולים בין המתלוננת לבין בעלה מבלי שהיא יודעת כי המשטרה מקליטה את השיחה. (עמ' 164 לפרוטוקול שורה 19), תאור האירוע על פי התמליל תואם בפרטיו המהותיים את גרסתה במשטרה ובבית המשפט.</w:t>
      </w:r>
    </w:p>
    <w:p w14:paraId="377A944D" w14:textId="77777777" w:rsidR="00C17DCE" w:rsidRDefault="00C17DCE">
      <w:pPr>
        <w:spacing w:line="360" w:lineRule="auto"/>
        <w:jc w:val="both"/>
      </w:pPr>
    </w:p>
    <w:p w14:paraId="74981274" w14:textId="77777777" w:rsidR="00C17DCE" w:rsidRDefault="00D759EB">
      <w:pPr>
        <w:numPr>
          <w:ilvl w:val="0"/>
          <w:numId w:val="7"/>
        </w:numPr>
        <w:spacing w:line="360" w:lineRule="auto"/>
        <w:jc w:val="both"/>
        <w:rPr>
          <w:rtl/>
        </w:rPr>
      </w:pPr>
      <w:r>
        <w:rPr>
          <w:rFonts w:hint="cs"/>
          <w:rtl/>
        </w:rPr>
        <w:t>שני הסנגורים טענו בסיכומיהם כי החבלות מהן סבלה המתלוננת אינן עונות על הגדרה של חבלה חמורה וגם לא הוכח היסוד הנפשי הנדרש לעבירה זו, טענה תמוהה בעיניי.</w:t>
      </w:r>
    </w:p>
    <w:p w14:paraId="0908ED19" w14:textId="77777777" w:rsidR="00C17DCE" w:rsidRDefault="00C17DCE">
      <w:pPr>
        <w:jc w:val="both"/>
        <w:rPr>
          <w:rtl/>
        </w:rPr>
      </w:pPr>
    </w:p>
    <w:p w14:paraId="367C7C6C" w14:textId="77777777" w:rsidR="00C17DCE" w:rsidRDefault="00C17DCE">
      <w:pPr>
        <w:jc w:val="both"/>
        <w:rPr>
          <w:rtl/>
        </w:rPr>
      </w:pPr>
    </w:p>
    <w:p w14:paraId="60BE18BE" w14:textId="77777777" w:rsidR="00C17DCE" w:rsidRDefault="00C17DCE">
      <w:pPr>
        <w:jc w:val="both"/>
      </w:pPr>
    </w:p>
    <w:p w14:paraId="77C8253C" w14:textId="77777777" w:rsidR="00C17DCE" w:rsidRDefault="00D759EB">
      <w:pPr>
        <w:numPr>
          <w:ilvl w:val="0"/>
          <w:numId w:val="7"/>
        </w:numPr>
        <w:jc w:val="both"/>
        <w:rPr>
          <w:rFonts w:cs="Miriam"/>
        </w:rPr>
      </w:pPr>
      <w:r>
        <w:rPr>
          <w:rFonts w:hint="cs"/>
          <w:rtl/>
        </w:rPr>
        <w:t xml:space="preserve">חבלה חמורה מוגדרת כך </w:t>
      </w:r>
      <w:hyperlink r:id="rId54" w:history="1">
        <w:r w:rsidR="00D447FF" w:rsidRPr="00D447FF">
          <w:rPr>
            <w:rFonts w:hint="eastAsia"/>
            <w:color w:val="0000FF"/>
            <w:u w:val="single"/>
            <w:rtl/>
          </w:rPr>
          <w:t>בסעיף</w:t>
        </w:r>
        <w:r w:rsidR="00D447FF" w:rsidRPr="00D447FF">
          <w:rPr>
            <w:color w:val="0000FF"/>
            <w:u w:val="single"/>
            <w:rtl/>
          </w:rPr>
          <w:t xml:space="preserve"> 34</w:t>
        </w:r>
        <w:r w:rsidR="00D447FF" w:rsidRPr="00D447FF">
          <w:rPr>
            <w:rFonts w:hint="eastAsia"/>
            <w:color w:val="0000FF"/>
            <w:u w:val="single"/>
            <w:rtl/>
          </w:rPr>
          <w:t>כד</w:t>
        </w:r>
        <w:r w:rsidR="00D447FF" w:rsidRPr="00D447FF">
          <w:rPr>
            <w:color w:val="0000FF"/>
            <w:u w:val="single"/>
            <w:rtl/>
          </w:rPr>
          <w:t>'</w:t>
        </w:r>
      </w:hyperlink>
      <w:r>
        <w:rPr>
          <w:rFonts w:hint="cs"/>
          <w:rtl/>
        </w:rPr>
        <w:t xml:space="preserve"> לחוק</w:t>
      </w:r>
      <w:r>
        <w:rPr>
          <w:rFonts w:cs="Miriam" w:hint="cs"/>
          <w:rtl/>
        </w:rPr>
        <w:t>:</w:t>
      </w:r>
    </w:p>
    <w:p w14:paraId="5449646F" w14:textId="77777777" w:rsidR="00C17DCE" w:rsidRDefault="00C17DCE">
      <w:pPr>
        <w:jc w:val="both"/>
        <w:rPr>
          <w:rFonts w:cs="Miriam"/>
          <w:rtl/>
        </w:rPr>
      </w:pPr>
    </w:p>
    <w:p w14:paraId="1E9ED70F" w14:textId="77777777" w:rsidR="00C17DCE" w:rsidRDefault="00D759EB">
      <w:pPr>
        <w:ind w:left="780" w:right="1080"/>
        <w:jc w:val="both"/>
        <w:rPr>
          <w:rStyle w:val="default"/>
          <w:rFonts w:ascii="Arial" w:hAnsi="Arial" w:cs="Miriam"/>
          <w:sz w:val="22"/>
          <w:szCs w:val="22"/>
        </w:rPr>
      </w:pPr>
      <w:r>
        <w:rPr>
          <w:rStyle w:val="default"/>
          <w:rFonts w:cs="Miriam" w:hint="cs"/>
          <w:sz w:val="24"/>
          <w:szCs w:val="24"/>
          <w:rtl/>
        </w:rPr>
        <w:t>"</w:t>
      </w:r>
      <w:r>
        <w:rPr>
          <w:rStyle w:val="default"/>
          <w:rFonts w:ascii="Arial" w:hAnsi="Arial" w:cs="Miriam" w:hint="cs"/>
          <w:sz w:val="24"/>
          <w:szCs w:val="24"/>
          <w:rtl/>
        </w:rPr>
        <w:t>חבלה חמורה" - חבלה העולה כדי חבלה מסוכנת, או הפוגעת או עלולה לפגוע קשות או לתמיד בבריאות הנחבל או בנוחותו, או המגיעה כדי מום קבע או כדי פגיעת קבע או פגיעה קשה באחד האיברים, הקרומים או החושים החיצוניים או הפנימיים".</w:t>
      </w:r>
    </w:p>
    <w:p w14:paraId="4EAD2108" w14:textId="77777777" w:rsidR="00C17DCE" w:rsidRDefault="00C17DCE">
      <w:pPr>
        <w:spacing w:line="360" w:lineRule="auto"/>
        <w:ind w:left="780" w:right="540"/>
        <w:jc w:val="both"/>
        <w:rPr>
          <w:rStyle w:val="default"/>
          <w:rFonts w:ascii="Arial" w:hAnsi="Arial" w:cs="Miriam"/>
          <w:rtl/>
        </w:rPr>
      </w:pPr>
    </w:p>
    <w:p w14:paraId="62D90DCA" w14:textId="77777777" w:rsidR="00C17DCE" w:rsidRDefault="00D759EB">
      <w:pPr>
        <w:spacing w:line="360" w:lineRule="auto"/>
        <w:ind w:left="511"/>
        <w:jc w:val="both"/>
        <w:rPr>
          <w:rStyle w:val="default"/>
          <w:rFonts w:ascii="Arial" w:hAnsi="Arial" w:cs="David"/>
          <w:sz w:val="24"/>
          <w:szCs w:val="24"/>
        </w:rPr>
      </w:pPr>
      <w:r>
        <w:rPr>
          <w:rStyle w:val="default"/>
          <w:rFonts w:ascii="Arial" w:hAnsi="Arial" w:cs="David" w:hint="cs"/>
          <w:sz w:val="24"/>
          <w:szCs w:val="24"/>
          <w:rtl/>
        </w:rPr>
        <w:t xml:space="preserve">אזכיר כי הנאשמים הפליאו מכותיהם במתלוננת עד כדי שבירת 4 צלעות, גרימת נזקים לרקמות הרכות במוח, שבירת זיזים בשתי חוליות בעמוד השדרה ושבר באף. האם לא לכך ייקרא </w:t>
      </w:r>
      <w:r>
        <w:rPr>
          <w:rStyle w:val="default"/>
          <w:rFonts w:ascii="Arial" w:hAnsi="Arial" w:cs="Miriam" w:hint="cs"/>
          <w:sz w:val="24"/>
          <w:szCs w:val="24"/>
          <w:rtl/>
        </w:rPr>
        <w:t>"פגיעה קשה באחד האיברים"</w:t>
      </w:r>
      <w:r>
        <w:rPr>
          <w:rStyle w:val="default"/>
          <w:rFonts w:ascii="Arial" w:hAnsi="Arial" w:cs="David" w:hint="cs"/>
          <w:sz w:val="24"/>
          <w:szCs w:val="24"/>
          <w:rtl/>
        </w:rPr>
        <w:t xml:space="preserve"> או למצער </w:t>
      </w:r>
      <w:r>
        <w:rPr>
          <w:rStyle w:val="default"/>
          <w:rFonts w:ascii="Arial" w:hAnsi="Arial" w:cs="Miriam" w:hint="cs"/>
          <w:sz w:val="24"/>
          <w:szCs w:val="24"/>
          <w:rtl/>
        </w:rPr>
        <w:t>"חבלה העלולה לפגוע קשות בבריאות הנחבל"</w:t>
      </w:r>
      <w:r>
        <w:rPr>
          <w:rStyle w:val="default"/>
          <w:rFonts w:ascii="Arial" w:hAnsi="Arial" w:cs="David" w:hint="cs"/>
          <w:sz w:val="24"/>
          <w:szCs w:val="24"/>
          <w:rtl/>
        </w:rPr>
        <w:t xml:space="preserve"> ואם חסרה לסנגורים פגיעה של קבע אפנה לעדות המתלוננת מיום 5.5.2011 כמעט שנה לאחר האירוע לפיה היא לא מרגישה את איזור הפנים מתחת לעיניים (עמוד 137 שורה 3 לפרוטוקול).</w:t>
      </w:r>
    </w:p>
    <w:p w14:paraId="3BF2EF13" w14:textId="77777777" w:rsidR="00C17DCE" w:rsidRDefault="00C17DCE">
      <w:pPr>
        <w:spacing w:line="360" w:lineRule="auto"/>
        <w:jc w:val="both"/>
      </w:pPr>
    </w:p>
    <w:p w14:paraId="71CA8CEF" w14:textId="77777777" w:rsidR="00C17DCE" w:rsidRDefault="00D759EB">
      <w:pPr>
        <w:numPr>
          <w:ilvl w:val="0"/>
          <w:numId w:val="7"/>
        </w:numPr>
        <w:spacing w:line="360" w:lineRule="auto"/>
        <w:jc w:val="both"/>
      </w:pPr>
      <w:r>
        <w:rPr>
          <w:rFonts w:hint="cs"/>
          <w:rtl/>
        </w:rPr>
        <w:t xml:space="preserve">המכות שספגה המתלוננת, עוצמת הפגיעה והמיקום בחלקי גופה, מעידים על תקיפה אלימה וברוטאלית שאינה מתיישבת עם גרסת נאשם 1 –שאינה אמינה עליי- ולפיה היכו את המתלוננת רק כדי להתגבר על התנגדותה או כדי להרגיעה. </w:t>
      </w:r>
    </w:p>
    <w:p w14:paraId="028D8F49" w14:textId="77777777" w:rsidR="00C17DCE" w:rsidRDefault="00C17DCE">
      <w:pPr>
        <w:jc w:val="both"/>
      </w:pPr>
    </w:p>
    <w:p w14:paraId="0BBE8AB6" w14:textId="77777777" w:rsidR="00C17DCE" w:rsidRDefault="00D759EB">
      <w:pPr>
        <w:numPr>
          <w:ilvl w:val="0"/>
          <w:numId w:val="7"/>
        </w:numPr>
        <w:spacing w:line="360" w:lineRule="auto"/>
        <w:jc w:val="both"/>
      </w:pPr>
      <w:r>
        <w:rPr>
          <w:rFonts w:hint="cs"/>
          <w:rtl/>
        </w:rPr>
        <w:t>באשר ליסוד הנפשי אפנה  ל</w:t>
      </w:r>
      <w:hyperlink r:id="rId55" w:history="1">
        <w:r w:rsidR="005644D6" w:rsidRPr="005644D6">
          <w:rPr>
            <w:rStyle w:val="Hyperlink"/>
            <w:rFonts w:hint="eastAsia"/>
            <w:rtl/>
          </w:rPr>
          <w:t>ע</w:t>
        </w:r>
        <w:r w:rsidR="005644D6" w:rsidRPr="005644D6">
          <w:rPr>
            <w:rStyle w:val="Hyperlink"/>
            <w:rtl/>
          </w:rPr>
          <w:t>"</w:t>
        </w:r>
        <w:r w:rsidR="005644D6" w:rsidRPr="005644D6">
          <w:rPr>
            <w:rStyle w:val="Hyperlink"/>
            <w:rFonts w:hint="eastAsia"/>
            <w:rtl/>
          </w:rPr>
          <w:t>פ</w:t>
        </w:r>
        <w:r w:rsidR="005644D6" w:rsidRPr="005644D6">
          <w:rPr>
            <w:rStyle w:val="Hyperlink"/>
            <w:rtl/>
          </w:rPr>
          <w:t xml:space="preserve"> 1706/10</w:t>
        </w:r>
      </w:hyperlink>
      <w:r>
        <w:rPr>
          <w:rFonts w:hint="cs"/>
          <w:rtl/>
        </w:rPr>
        <w:t>:</w:t>
      </w:r>
    </w:p>
    <w:p w14:paraId="27DC1B86" w14:textId="77777777" w:rsidR="00C17DCE" w:rsidRDefault="00C17DCE">
      <w:pPr>
        <w:jc w:val="both"/>
      </w:pPr>
    </w:p>
    <w:p w14:paraId="42189F04" w14:textId="77777777" w:rsidR="00C17DCE" w:rsidRDefault="00D759EB">
      <w:pPr>
        <w:pStyle w:val="Ruller40"/>
        <w:spacing w:line="240" w:lineRule="auto"/>
        <w:ind w:left="765" w:right="1080"/>
        <w:rPr>
          <w:rFonts w:ascii="Arial" w:hAnsi="Arial" w:cs="David"/>
          <w:sz w:val="24"/>
          <w:szCs w:val="24"/>
          <w:rtl/>
        </w:rPr>
      </w:pPr>
      <w:r>
        <w:rPr>
          <w:rFonts w:ascii="Arial" w:hAnsi="Arial" w:cs="Miriam" w:hint="cs"/>
          <w:sz w:val="24"/>
          <w:szCs w:val="24"/>
          <w:rtl/>
        </w:rPr>
        <w:t>על מנת להרשיע אדם בעבירה לפי סעיף 329 (א)(1) ל</w:t>
      </w:r>
      <w:hyperlink r:id="rId56" w:history="1">
        <w:r w:rsidR="005644D6" w:rsidRPr="005644D6">
          <w:rPr>
            <w:rStyle w:val="Hyperlink"/>
            <w:rFonts w:ascii="Arial" w:hAnsi="Arial" w:cs="Miriam"/>
            <w:sz w:val="24"/>
            <w:szCs w:val="24"/>
            <w:rtl/>
          </w:rPr>
          <w:t>חוק העונשין</w:t>
        </w:r>
      </w:hyperlink>
      <w:r>
        <w:rPr>
          <w:rFonts w:ascii="Arial" w:hAnsi="Arial" w:cs="Miriam" w:hint="cs"/>
          <w:sz w:val="24"/>
          <w:szCs w:val="24"/>
          <w:rtl/>
        </w:rPr>
        <w:t xml:space="preserve"> נדרש להוכיח כי הפגיעה בוצעה מתוך כוונה לגרום חבלה חמורה; "יסוד הכוונה המיוחדת... מתייחס להלך רוחו של המערער בעת ביצוע העבירה, ולא לרכיב התוצאה, וניתן ללמוד על הלך הרוח מתוך הנסיבות" (</w:t>
      </w:r>
      <w:hyperlink r:id="rId57" w:history="1">
        <w:r w:rsidR="005644D6" w:rsidRPr="005644D6">
          <w:rPr>
            <w:rStyle w:val="Hyperlink"/>
            <w:rFonts w:ascii="Arial" w:hAnsi="Arial" w:cs="Miriam"/>
            <w:sz w:val="24"/>
            <w:szCs w:val="24"/>
            <w:rtl/>
          </w:rPr>
          <w:t>ע"פ 8871/05</w:t>
        </w:r>
      </w:hyperlink>
      <w:r>
        <w:rPr>
          <w:rFonts w:ascii="Arial" w:hAnsi="Arial" w:cs="Miriam" w:hint="cs"/>
          <w:sz w:val="24"/>
          <w:szCs w:val="24"/>
          <w:rtl/>
        </w:rPr>
        <w:t xml:space="preserve"> </w:t>
      </w:r>
      <w:r>
        <w:rPr>
          <w:rFonts w:ascii="Arial" w:hAnsi="Arial" w:cs="Miriam" w:hint="cs"/>
          <w:b/>
          <w:bCs/>
          <w:sz w:val="24"/>
          <w:szCs w:val="24"/>
          <w:rtl/>
        </w:rPr>
        <w:t>שנגלוף נ' מדינת ישראל</w:t>
      </w:r>
      <w:r>
        <w:rPr>
          <w:rFonts w:ascii="Arial" w:hAnsi="Arial" w:cs="Miriam" w:hint="cs"/>
          <w:sz w:val="24"/>
          <w:szCs w:val="24"/>
          <w:rtl/>
        </w:rPr>
        <w:t xml:space="preserve"> (לא פורסם), פסקה 6, (השופטת נאור)). מעבר לכך על הכוונה לגרום לחבלה חמורה ניתן ללמוד מחזקת הכוונה, שלפיה בני אדם מודעים לתוצאה הטבעית של פעולותיהם (</w:t>
      </w:r>
      <w:hyperlink r:id="rId58" w:history="1">
        <w:r w:rsidR="005644D6" w:rsidRPr="005644D6">
          <w:rPr>
            <w:rStyle w:val="Hyperlink"/>
            <w:rFonts w:ascii="Arial" w:hAnsi="Arial" w:cs="Miriam"/>
            <w:sz w:val="24"/>
            <w:szCs w:val="24"/>
            <w:rtl/>
          </w:rPr>
          <w:t>ע"פ 10423/07</w:t>
        </w:r>
      </w:hyperlink>
      <w:r>
        <w:rPr>
          <w:rFonts w:ascii="Arial" w:hAnsi="Arial" w:cs="Miriam" w:hint="cs"/>
          <w:sz w:val="24"/>
          <w:szCs w:val="24"/>
          <w:rtl/>
        </w:rPr>
        <w:t xml:space="preserve"> </w:t>
      </w:r>
      <w:r>
        <w:rPr>
          <w:rFonts w:ascii="Arial" w:hAnsi="Arial" w:cs="Miriam" w:hint="cs"/>
          <w:b/>
          <w:bCs/>
          <w:sz w:val="24"/>
          <w:szCs w:val="24"/>
          <w:rtl/>
        </w:rPr>
        <w:t>מדינת ישראל נ' סיטרין</w:t>
      </w:r>
      <w:r>
        <w:rPr>
          <w:rFonts w:ascii="Arial" w:hAnsi="Arial" w:cs="Miriam" w:hint="cs"/>
          <w:sz w:val="24"/>
          <w:szCs w:val="24"/>
          <w:rtl/>
        </w:rPr>
        <w:t xml:space="preserve"> (לא פורסם), פסקה 10). בנדון דידן, דומה כי ההכרעה בסוגיה זו אינה מורכבת, ואין צורך להכביר מלים. המערערים תקפו את הנפגע בעודו הוא שרוע על הרצפה באגרופים, בבעיטות ובגליל מתכת. פעם אחר פעם אחר פעם. ברי, כי אכזריות התקיפה, הימשכותה, עוצמתה ותוצאותיה מעידים על כוונתם לכל הפחות להטיל בנפגע מום" </w:t>
      </w:r>
      <w:hyperlink r:id="rId59" w:history="1">
        <w:r w:rsidR="005644D6" w:rsidRPr="005644D6">
          <w:rPr>
            <w:rStyle w:val="Hyperlink"/>
            <w:rFonts w:ascii="Arial" w:hAnsi="Arial" w:cs="David"/>
            <w:sz w:val="24"/>
            <w:szCs w:val="24"/>
            <w:rtl/>
          </w:rPr>
          <w:t>ע"פ 1706/10</w:t>
        </w:r>
      </w:hyperlink>
      <w:r>
        <w:rPr>
          <w:rFonts w:ascii="Arial" w:hAnsi="Arial" w:cs="David" w:hint="cs"/>
          <w:sz w:val="24"/>
          <w:szCs w:val="24"/>
          <w:rtl/>
        </w:rPr>
        <w:t xml:space="preserve"> ו</w:t>
      </w:r>
      <w:hyperlink r:id="rId60" w:history="1">
        <w:r w:rsidR="005644D6" w:rsidRPr="005644D6">
          <w:rPr>
            <w:rStyle w:val="Hyperlink"/>
            <w:rFonts w:ascii="Arial" w:hAnsi="Arial" w:cs="David"/>
            <w:sz w:val="24"/>
            <w:szCs w:val="24"/>
            <w:rtl/>
          </w:rPr>
          <w:t>ע"פ 1993/10</w:t>
        </w:r>
      </w:hyperlink>
      <w:r>
        <w:rPr>
          <w:rFonts w:ascii="Arial" w:hAnsi="Arial" w:cs="David" w:hint="cs"/>
          <w:sz w:val="24"/>
          <w:szCs w:val="24"/>
          <w:rtl/>
        </w:rPr>
        <w:t xml:space="preserve"> </w:t>
      </w:r>
      <w:r>
        <w:rPr>
          <w:rFonts w:cs="David" w:hint="cs"/>
          <w:b/>
          <w:bCs/>
          <w:sz w:val="24"/>
          <w:szCs w:val="24"/>
          <w:rtl/>
        </w:rPr>
        <w:t>דוד טגאפו</w:t>
      </w:r>
      <w:r>
        <w:rPr>
          <w:rFonts w:ascii="Arial" w:hAnsi="Arial" w:cs="David" w:hint="cs"/>
          <w:b/>
          <w:bCs/>
          <w:sz w:val="24"/>
          <w:szCs w:val="24"/>
          <w:rtl/>
        </w:rPr>
        <w:t xml:space="preserve"> ואח' נגד מדינת ישראל</w:t>
      </w:r>
      <w:r>
        <w:rPr>
          <w:rFonts w:ascii="Arial" w:hAnsi="Arial" w:cs="David" w:hint="cs"/>
          <w:sz w:val="24"/>
          <w:szCs w:val="24"/>
          <w:rtl/>
        </w:rPr>
        <w:t>.</w:t>
      </w:r>
    </w:p>
    <w:p w14:paraId="459921A6" w14:textId="77777777" w:rsidR="00C17DCE" w:rsidRDefault="00C17DCE">
      <w:pPr>
        <w:pStyle w:val="Ruller40"/>
        <w:ind w:left="1440" w:right="540"/>
        <w:rPr>
          <w:rFonts w:ascii="Arial" w:hAnsi="Arial" w:cs="David"/>
          <w:sz w:val="24"/>
          <w:szCs w:val="24"/>
          <w:rtl/>
        </w:rPr>
      </w:pPr>
    </w:p>
    <w:p w14:paraId="1EACC083" w14:textId="77777777" w:rsidR="00C17DCE" w:rsidRDefault="00D759EB">
      <w:pPr>
        <w:spacing w:line="360" w:lineRule="auto"/>
        <w:ind w:left="511"/>
        <w:jc w:val="both"/>
        <w:rPr>
          <w:rFonts w:ascii="Arial" w:hAnsi="Arial"/>
          <w:rtl/>
        </w:rPr>
      </w:pPr>
      <w:r>
        <w:rPr>
          <w:rFonts w:hint="cs"/>
          <w:rtl/>
        </w:rPr>
        <w:t>גם במקרה זה תקפו הנאשמים את המתלוננת באכזריות, בכל חלקי גופה, בחלק מהזמן כשהיא שרועה על הרצפה ועל פי חזקת הכוונה ניתן לקבוע כי מתקיימת כוונה מיוחדת לחבול במתלוננת חבלה חמורה.</w:t>
      </w:r>
    </w:p>
    <w:p w14:paraId="646227F2" w14:textId="77777777" w:rsidR="00C17DCE" w:rsidRDefault="00C17DCE">
      <w:pPr>
        <w:jc w:val="both"/>
      </w:pPr>
    </w:p>
    <w:p w14:paraId="24A35E42" w14:textId="77777777" w:rsidR="00C17DCE" w:rsidRDefault="00D759EB">
      <w:pPr>
        <w:numPr>
          <w:ilvl w:val="0"/>
          <w:numId w:val="7"/>
        </w:numPr>
        <w:spacing w:line="360" w:lineRule="auto"/>
        <w:jc w:val="both"/>
      </w:pPr>
      <w:r>
        <w:rPr>
          <w:rFonts w:hint="cs"/>
          <w:rtl/>
        </w:rPr>
        <w:t>לאחר שמיעת עדות המתלוננת, בחינת המסמכים הרפואיים וגרסת הנאשמים אני קובע  כי שני הנאשמים פצעו בצוותא חדא את המתלוננת וגרמו לה חבלות חמורות שלא כדין וזאת עשו בכוונה להטיל בה נכות או מום או לגרום לה חבלה חמורה ולכן אני סבור כי יש להרשיע את שני הנאשמים בעבירה של חבלה בכוונה מחמירה, עבירה לפי סעיף 329(א)(1)+סעיף 29 לחוק.</w:t>
      </w:r>
    </w:p>
    <w:p w14:paraId="2A63E0AC" w14:textId="77777777" w:rsidR="00C17DCE" w:rsidRDefault="00C17DCE">
      <w:pPr>
        <w:jc w:val="both"/>
      </w:pPr>
    </w:p>
    <w:p w14:paraId="54AEE007" w14:textId="77777777" w:rsidR="00C17DCE" w:rsidRDefault="00D759EB">
      <w:pPr>
        <w:numPr>
          <w:ilvl w:val="0"/>
          <w:numId w:val="7"/>
        </w:numPr>
        <w:spacing w:line="360" w:lineRule="auto"/>
        <w:jc w:val="both"/>
      </w:pPr>
      <w:r>
        <w:rPr>
          <w:rFonts w:hint="cs"/>
          <w:rtl/>
        </w:rPr>
        <w:t xml:space="preserve">בטרם סיום פרק האלימות אבהיר כי בסעיף 5 לכתב האישום נכתב כי </w:t>
      </w:r>
      <w:r>
        <w:rPr>
          <w:rFonts w:cs="Miriam" w:hint="cs"/>
          <w:rtl/>
        </w:rPr>
        <w:t>"הנאשמים כיבו סיגריה על גבה"</w:t>
      </w:r>
      <w:r>
        <w:rPr>
          <w:rFonts w:hint="cs"/>
          <w:rtl/>
        </w:rPr>
        <w:t xml:space="preserve">. המתלוננת העלתה טענה זו רק בשלב מאוחר, עת גילתה על גבה סימן הנחזה לטענתה ככוויה ולאור מציאת בדל סיגריה על אדן החלון בביתה. טענה זו אמנם נשמעה גם מפי אימה ואחותה של המתלוננת אך היא אינה נתמכת במסמכים רפואיים. הכוויה לכאורה אינה נראית בתמונה ת/6א והיא גם לא הותירה סימן לאחר מכן, (ראו עדות המתלוננת עמוד 183 לפרוטוקול שורה 18). </w:t>
      </w:r>
    </w:p>
    <w:p w14:paraId="53D55990" w14:textId="77777777" w:rsidR="00C17DCE" w:rsidRDefault="00C17DCE">
      <w:pPr>
        <w:spacing w:line="360" w:lineRule="auto"/>
        <w:jc w:val="both"/>
        <w:rPr>
          <w:rtl/>
        </w:rPr>
      </w:pPr>
    </w:p>
    <w:p w14:paraId="3AD9CE2B" w14:textId="77777777" w:rsidR="00C17DCE" w:rsidRDefault="00D759EB">
      <w:pPr>
        <w:spacing w:line="360" w:lineRule="auto"/>
        <w:ind w:left="511"/>
        <w:jc w:val="both"/>
        <w:rPr>
          <w:rtl/>
        </w:rPr>
      </w:pPr>
      <w:r>
        <w:rPr>
          <w:rFonts w:hint="cs"/>
          <w:rtl/>
        </w:rPr>
        <w:t>המתלוננת אמינה בעיניי ועדותה בנושא זה ממחישה את אמינותה, המתלוננת לא טענה כי ראתה את הנאשמים מכבים סיגריה על גבה, (עמוד 138 לפרוטוקול שורה 11). גרסתה מבוססת על הסימן שראתה על גבה ביחד עם בדל סיגריה לא מזוהה שנמצא כחודש לאחר המקרה בדירתה. המידע בנושא זה אינו בידיעתה וכולו פרי השערה בדיעבד שאינה מבוססת דייה ברמה הנדרשת במשפט פלילי ולכן לא אקבע ממצא מפליל כלפי הנאשמים לגבי כיבוי הסיגריה מבלי שהדבר פוגע בהערכתי באשר לאמינותה של המתלוננת.</w:t>
      </w:r>
    </w:p>
    <w:p w14:paraId="50C70DD4" w14:textId="77777777" w:rsidR="00C17DCE" w:rsidRDefault="00C17DCE">
      <w:pPr>
        <w:jc w:val="both"/>
      </w:pPr>
    </w:p>
    <w:p w14:paraId="7F6A5F6B" w14:textId="77777777" w:rsidR="00C17DCE" w:rsidRDefault="00D759EB">
      <w:pPr>
        <w:spacing w:line="360" w:lineRule="auto"/>
        <w:jc w:val="both"/>
        <w:rPr>
          <w:u w:val="single"/>
          <w:rtl/>
        </w:rPr>
      </w:pPr>
      <w:r>
        <w:rPr>
          <w:rFonts w:hint="cs"/>
          <w:rtl/>
        </w:rPr>
        <w:t xml:space="preserve">         </w:t>
      </w:r>
      <w:r>
        <w:rPr>
          <w:rFonts w:hint="cs"/>
          <w:u w:val="single"/>
          <w:rtl/>
        </w:rPr>
        <w:t>מצבה של המתלוננת מיד לאחר ביצוע העבירות</w:t>
      </w:r>
    </w:p>
    <w:p w14:paraId="2EDB912B" w14:textId="77777777" w:rsidR="00C17DCE" w:rsidRDefault="00D759EB">
      <w:pPr>
        <w:numPr>
          <w:ilvl w:val="0"/>
          <w:numId w:val="7"/>
        </w:numPr>
        <w:spacing w:line="360" w:lineRule="auto"/>
        <w:jc w:val="both"/>
      </w:pPr>
      <w:r>
        <w:rPr>
          <w:rFonts w:hint="cs"/>
          <w:rtl/>
        </w:rPr>
        <w:t xml:space="preserve">בטרם אנתח את עבירות השוד והאינוס יש משמעות לשאלה מה היה מצבה של המתלוננת מעבר לפגיעות הפיסיות שתוארו לעיל, בעיקר באשר ליכולתה לתאר את המתרחש בדירה לאחר שלב החבלות הקשות. </w:t>
      </w:r>
    </w:p>
    <w:p w14:paraId="385CFDDB" w14:textId="77777777" w:rsidR="00C17DCE" w:rsidRDefault="00C17DCE">
      <w:pPr>
        <w:jc w:val="both"/>
      </w:pPr>
    </w:p>
    <w:p w14:paraId="62838F3A" w14:textId="77777777" w:rsidR="00C17DCE" w:rsidRDefault="00D759EB">
      <w:pPr>
        <w:numPr>
          <w:ilvl w:val="0"/>
          <w:numId w:val="7"/>
        </w:numPr>
        <w:spacing w:line="360" w:lineRule="auto"/>
        <w:jc w:val="both"/>
      </w:pPr>
      <w:r>
        <w:rPr>
          <w:rFonts w:hint="cs"/>
          <w:rtl/>
        </w:rPr>
        <w:t>השכנים המתגוררים מול דירתה של המתלוננת, שמעו רעש חריג שהביאו את השכן אביגדור סולומון לדלת דירתה של המתלוננת ומשנכנס לדירה דרך הדלת הפתוחה תאר כי מצא את המתלוננת  במצב בו יכול היה לשוחח איתה:</w:t>
      </w:r>
    </w:p>
    <w:p w14:paraId="6C1A87A6" w14:textId="77777777" w:rsidR="00C17DCE" w:rsidRDefault="00C17DCE">
      <w:pPr>
        <w:jc w:val="both"/>
      </w:pPr>
    </w:p>
    <w:p w14:paraId="50D2D481" w14:textId="77777777" w:rsidR="00C17DCE" w:rsidRDefault="00D759EB">
      <w:pPr>
        <w:ind w:left="765" w:right="1080"/>
        <w:jc w:val="both"/>
      </w:pPr>
      <w:r>
        <w:rPr>
          <w:rFonts w:cs="Miriam" w:hint="cs"/>
          <w:rtl/>
        </w:rPr>
        <w:t>"היא היתה איום ונורא, הראש מנופח מאוד, מכופפת, ושאלתי אותה מה קרה, מה קרה, היא אמרה "תראה מה עשו לי, תראה מה עשו לי" אמרתי לה "מי" והיא אמרה "אני לא יודעת, אני לא יודעת". צעקתי לחברה שלי שתזעיק מיד משטרה, אמבולנס, והיא התחילה להזמין</w:t>
      </w:r>
      <w:r>
        <w:rPr>
          <w:rFonts w:hint="cs"/>
          <w:rtl/>
        </w:rPr>
        <w:t>" (עמוד 35 לפרוטוקול שורה 22).</w:t>
      </w:r>
    </w:p>
    <w:p w14:paraId="432F339A" w14:textId="77777777" w:rsidR="00C17DCE" w:rsidRDefault="00C17DCE">
      <w:pPr>
        <w:spacing w:line="360" w:lineRule="auto"/>
        <w:ind w:left="1140" w:right="540"/>
        <w:jc w:val="both"/>
        <w:rPr>
          <w:rtl/>
        </w:rPr>
      </w:pPr>
    </w:p>
    <w:p w14:paraId="04DB7384" w14:textId="77777777" w:rsidR="00C17DCE" w:rsidRDefault="00D759EB">
      <w:pPr>
        <w:numPr>
          <w:ilvl w:val="0"/>
          <w:numId w:val="7"/>
        </w:numPr>
        <w:spacing w:line="360" w:lineRule="auto"/>
        <w:jc w:val="both"/>
      </w:pPr>
      <w:r>
        <w:rPr>
          <w:rFonts w:hint="cs"/>
          <w:rtl/>
        </w:rPr>
        <w:t>על פי ת/4 דו"ח מד"א מיום 20.6.10 שעה 8:49, תוארה המתלוננת בהכרה, השוטר הראשון שהגיע לזירה  בשעה 8:55- מתאר כי שאל את המתלוננת "</w:t>
      </w:r>
      <w:r>
        <w:rPr>
          <w:rFonts w:cs="Miriam" w:hint="cs"/>
          <w:rtl/>
        </w:rPr>
        <w:t>מה קרה- השיבה בקול חלש מאוד לא יודעת לא זוכרת</w:t>
      </w:r>
      <w:r>
        <w:rPr>
          <w:rFonts w:hint="cs"/>
          <w:rtl/>
        </w:rPr>
        <w:t>". אימה של המתלוננת תארה אותה במצב של "</w:t>
      </w:r>
      <w:r>
        <w:rPr>
          <w:rFonts w:cs="Miriam" w:hint="cs"/>
          <w:rtl/>
        </w:rPr>
        <w:t>מדברת ונרדמת</w:t>
      </w:r>
      <w:r>
        <w:rPr>
          <w:rFonts w:hint="cs"/>
          <w:rtl/>
        </w:rPr>
        <w:t>", (עמוד 215 לפרוטוקול שורה 19).</w:t>
      </w:r>
    </w:p>
    <w:p w14:paraId="71EB36E3" w14:textId="77777777" w:rsidR="00C17DCE" w:rsidRDefault="00C17DCE">
      <w:pPr>
        <w:spacing w:line="360" w:lineRule="auto"/>
        <w:jc w:val="both"/>
      </w:pPr>
    </w:p>
    <w:p w14:paraId="67A59B8C" w14:textId="77777777" w:rsidR="00C17DCE" w:rsidRDefault="00D759EB">
      <w:pPr>
        <w:numPr>
          <w:ilvl w:val="0"/>
          <w:numId w:val="7"/>
        </w:numPr>
        <w:spacing w:line="360" w:lineRule="auto"/>
        <w:jc w:val="both"/>
      </w:pPr>
      <w:r>
        <w:rPr>
          <w:rFonts w:hint="cs"/>
          <w:rtl/>
        </w:rPr>
        <w:t>המתלוננת חזרה ועמדה על גרסתה לפיה איבדה את הכרתה בדירה, (עמוד 147 לפרוטוקול שורה 22 ועמוד 201 שורה  5), עדותה אמינה עליי גם בנושא זה, המתלוננת הוכתה מכות קשות ללא רחם לרבות בראשה ע"י שני הנאשמים גם כשהיתה שרועה חסרת אונים על הרצפה. גרסתה כי בשלב מסוים איבדה את הכרתה-גם אם לפרקים מסוימים- סבירה בעיניי, והעובדה כי בשלב מאוחר יותר חזרה אליה הכרתה, למשל בעת שהשכן דפק דפיקות על הדלת וצלצל ללא הפסקה, אינה סותרת את עדותה.</w:t>
      </w:r>
    </w:p>
    <w:p w14:paraId="574D3814" w14:textId="77777777" w:rsidR="00C17DCE" w:rsidRDefault="00C17DCE">
      <w:pPr>
        <w:spacing w:line="360" w:lineRule="auto"/>
        <w:jc w:val="both"/>
      </w:pPr>
    </w:p>
    <w:p w14:paraId="486D3886" w14:textId="77777777" w:rsidR="00C17DCE" w:rsidRDefault="00D759EB">
      <w:pPr>
        <w:numPr>
          <w:ilvl w:val="0"/>
          <w:numId w:val="7"/>
        </w:numPr>
        <w:spacing w:line="360" w:lineRule="auto"/>
        <w:jc w:val="both"/>
        <w:rPr>
          <w:rtl/>
        </w:rPr>
      </w:pPr>
      <w:r>
        <w:rPr>
          <w:rFonts w:hint="cs"/>
          <w:rtl/>
        </w:rPr>
        <w:t>לאור האמור לעיל ניתן לקבוע כי משנמצאה המתלוננת לאחר האירוע, היא הייתה בהכרה, אך במצב מעורפל, מצב טבעי לאור החבלות הקשות שספגה.</w:t>
      </w:r>
    </w:p>
    <w:p w14:paraId="211E3DAE" w14:textId="77777777" w:rsidR="00C17DCE" w:rsidRDefault="00C17DCE">
      <w:pPr>
        <w:spacing w:line="360" w:lineRule="auto"/>
        <w:jc w:val="both"/>
      </w:pPr>
    </w:p>
    <w:p w14:paraId="2030FD40" w14:textId="77777777" w:rsidR="00C17DCE" w:rsidRDefault="00D759EB">
      <w:pPr>
        <w:numPr>
          <w:ilvl w:val="0"/>
          <w:numId w:val="7"/>
        </w:numPr>
        <w:spacing w:line="360" w:lineRule="auto"/>
        <w:jc w:val="both"/>
        <w:rPr>
          <w:rtl/>
        </w:rPr>
      </w:pPr>
      <w:r>
        <w:rPr>
          <w:rFonts w:hint="cs"/>
          <w:rtl/>
        </w:rPr>
        <w:t>עוד חשוב להבהיר כי המתלוננת נמצאה ללא בגדיה, כשלגופה "סטרפלס רפוי", מעין גופיה או תחליף לחזייה (עדות השכנה בר פרימור עמוד 25 לפרוטוקול שורה 18 ועמוד 27 שורה 3, הגופיה/חזייה הוגשה כמוצג ת/35) ואין מחלוקת כי לגופה תחתונים (ראו עמוד 11 לסיכומי המאשימה פיסקה אמצעית).</w:t>
      </w:r>
    </w:p>
    <w:p w14:paraId="12704D34" w14:textId="77777777" w:rsidR="00C17DCE" w:rsidRDefault="00C17DCE">
      <w:pPr>
        <w:spacing w:line="360" w:lineRule="auto"/>
        <w:jc w:val="both"/>
      </w:pPr>
    </w:p>
    <w:p w14:paraId="794E8C45" w14:textId="77777777" w:rsidR="00C17DCE" w:rsidRDefault="00D759EB">
      <w:pPr>
        <w:spacing w:line="360" w:lineRule="auto"/>
        <w:ind w:firstLine="511"/>
        <w:jc w:val="both"/>
        <w:rPr>
          <w:u w:val="single"/>
          <w:rtl/>
        </w:rPr>
      </w:pPr>
      <w:r>
        <w:rPr>
          <w:rFonts w:hint="cs"/>
          <w:u w:val="single"/>
          <w:rtl/>
        </w:rPr>
        <w:t>עבירת השוד</w:t>
      </w:r>
    </w:p>
    <w:p w14:paraId="55681EBD" w14:textId="77777777" w:rsidR="00C17DCE" w:rsidRDefault="00D759EB">
      <w:pPr>
        <w:numPr>
          <w:ilvl w:val="0"/>
          <w:numId w:val="7"/>
        </w:numPr>
        <w:spacing w:line="360" w:lineRule="auto"/>
        <w:jc w:val="both"/>
        <w:rPr>
          <w:u w:val="single"/>
        </w:rPr>
      </w:pPr>
      <w:r>
        <w:rPr>
          <w:rFonts w:hint="cs"/>
          <w:rtl/>
        </w:rPr>
        <w:t xml:space="preserve">על פי סעיף 7 לעובדות כתב האישום, הנאשמים ערכו חיפוש בדירה ונטלו עימם סך של </w:t>
      </w:r>
      <w:r>
        <w:rPr>
          <w:rtl/>
        </w:rPr>
        <w:br/>
      </w:r>
      <w:r>
        <w:rPr>
          <w:rFonts w:hint="cs"/>
          <w:rtl/>
        </w:rPr>
        <w:t>כ-30,000 יורו, שיקים שונים ושני מכשירי פלאפון השייכים למתלוננת, ומשביצעו הגניבה תוך כדי ביצוע מעשי אלימות, כשהם בחבורה ומזוינים בסכין, מבקשת המאשימה להרשיעם בעבירת  שוד לפי סעיף 402(ב)+29 לחוק.</w:t>
      </w:r>
    </w:p>
    <w:p w14:paraId="16701340" w14:textId="77777777" w:rsidR="00C17DCE" w:rsidRDefault="00C17DCE">
      <w:pPr>
        <w:spacing w:line="360" w:lineRule="auto"/>
        <w:jc w:val="both"/>
        <w:rPr>
          <w:u w:val="single"/>
        </w:rPr>
      </w:pPr>
    </w:p>
    <w:p w14:paraId="649F48E0" w14:textId="77777777" w:rsidR="00C17DCE" w:rsidRDefault="00D759EB">
      <w:pPr>
        <w:numPr>
          <w:ilvl w:val="0"/>
          <w:numId w:val="7"/>
        </w:numPr>
        <w:spacing w:line="360" w:lineRule="auto"/>
        <w:jc w:val="both"/>
        <w:rPr>
          <w:u w:val="single"/>
        </w:rPr>
      </w:pPr>
      <w:r>
        <w:rPr>
          <w:rFonts w:hint="cs"/>
          <w:rtl/>
        </w:rPr>
        <w:t>נאשם 1 בסיכומיו טוען כי עבירת השוד בה הואשם לא הושלמה ויש להרשיעו בניסיון לשוד בלבד והוא מוסיף כי עבירת הניסיון התגבשה כאשר תקף את המתלוננת בניסיון למנוע התנגדותה לגנוב כספים מביתה, "ולמרות שאין שוני של ממש בין שתי העבירות" (סעיף 240 לסיכומי נאשם 1).</w:t>
      </w:r>
    </w:p>
    <w:p w14:paraId="4DBBB648" w14:textId="77777777" w:rsidR="00C17DCE" w:rsidRDefault="00C17DCE">
      <w:pPr>
        <w:spacing w:line="360" w:lineRule="auto"/>
        <w:jc w:val="both"/>
        <w:rPr>
          <w:u w:val="single"/>
        </w:rPr>
      </w:pPr>
    </w:p>
    <w:p w14:paraId="354CBA21" w14:textId="77777777" w:rsidR="00C17DCE" w:rsidRDefault="00D759EB">
      <w:pPr>
        <w:numPr>
          <w:ilvl w:val="0"/>
          <w:numId w:val="7"/>
        </w:numPr>
        <w:spacing w:line="360" w:lineRule="auto"/>
        <w:jc w:val="both"/>
      </w:pPr>
      <w:r>
        <w:rPr>
          <w:rFonts w:hint="cs"/>
          <w:rtl/>
        </w:rPr>
        <w:t>המתלוננת בעדותה (עמוד 134 לפרוטוקול שורה 15 ואילך) הסבירה כי מהדירה נגנבו שני פלאפונים ו-30,000 יורו שהיו בחדר השינה בתוך מעיל עור שהיה תלוי בארון. בחקירתה הבהירה כי ראתה שבכיס המעיל שטרי כסף מסוג יורו, (עמוד 184 לפרוטוקול שורה 25), אך לא ידעה מהו הסכום המדויק (ראו הודעותיה נ/3ב שורה 13 ונ/3ז שורה 10). תי</w:t>
      </w:r>
      <w:smartTag w:uri="urn:schemas-microsoft-com:office:smarttags" w:element="PersonName">
        <w:r>
          <w:rPr>
            <w:rFonts w:hint="cs"/>
            <w:rtl/>
          </w:rPr>
          <w:t>אורה</w:t>
        </w:r>
      </w:smartTag>
      <w:r>
        <w:rPr>
          <w:rFonts w:hint="cs"/>
          <w:rtl/>
        </w:rPr>
        <w:t xml:space="preserve"> לפיו ראתה את הכסף לפני המקרה ולאף אחד אין גישה אליו, מחזק את המסקנה כי שני הנאשמים שביקרו בדירה וחיטטו בה (ראו התיאור בת/5 ובת/18 סעיף 5) גנבו את הכסף שהיה במעיל.</w:t>
      </w:r>
    </w:p>
    <w:p w14:paraId="5B8D52E3" w14:textId="77777777" w:rsidR="00C17DCE" w:rsidRDefault="00C17DCE">
      <w:pPr>
        <w:spacing w:line="360" w:lineRule="auto"/>
        <w:jc w:val="both"/>
      </w:pPr>
    </w:p>
    <w:p w14:paraId="57B1B291" w14:textId="77777777" w:rsidR="00C17DCE" w:rsidRDefault="00D759EB">
      <w:pPr>
        <w:numPr>
          <w:ilvl w:val="0"/>
          <w:numId w:val="7"/>
        </w:numPr>
        <w:spacing w:line="360" w:lineRule="auto"/>
        <w:jc w:val="both"/>
      </w:pPr>
      <w:r>
        <w:rPr>
          <w:rFonts w:hint="cs"/>
          <w:rtl/>
        </w:rPr>
        <w:t>בעלה של המתלוננת תאר בהודעתו במשטרה (ת/73) כי:</w:t>
      </w:r>
    </w:p>
    <w:p w14:paraId="571C584A" w14:textId="77777777" w:rsidR="00C17DCE" w:rsidRDefault="00C17DCE">
      <w:pPr>
        <w:spacing w:line="360" w:lineRule="auto"/>
        <w:jc w:val="both"/>
        <w:rPr>
          <w:rtl/>
        </w:rPr>
      </w:pPr>
    </w:p>
    <w:p w14:paraId="7573F322" w14:textId="77777777" w:rsidR="00C17DCE" w:rsidRDefault="00D759EB">
      <w:pPr>
        <w:ind w:left="1140" w:right="900"/>
        <w:jc w:val="both"/>
        <w:rPr>
          <w:rFonts w:cs="Miriam"/>
        </w:rPr>
      </w:pPr>
      <w:r>
        <w:rPr>
          <w:rFonts w:cs="Miriam" w:hint="cs"/>
          <w:rtl/>
        </w:rPr>
        <w:t xml:space="preserve">"בארון שלי בחדר שינה בתוך מעיר עור שהיה בתליה בארון על קולב היה כסף וציקים חוזרים והדברים האלה חסרים. </w:t>
      </w:r>
    </w:p>
    <w:p w14:paraId="7C4360E6" w14:textId="77777777" w:rsidR="00C17DCE" w:rsidRDefault="00D759EB">
      <w:pPr>
        <w:ind w:left="1140" w:right="900"/>
        <w:jc w:val="both"/>
        <w:rPr>
          <w:rFonts w:cs="Miriam"/>
        </w:rPr>
      </w:pPr>
      <w:r>
        <w:rPr>
          <w:rFonts w:cs="Miriam" w:hint="cs"/>
          <w:rtl/>
        </w:rPr>
        <w:t>ש: באיזה סכומים מדובר ?</w:t>
      </w:r>
    </w:p>
    <w:p w14:paraId="3FE95A01" w14:textId="77777777" w:rsidR="00C17DCE" w:rsidRDefault="00D759EB">
      <w:pPr>
        <w:ind w:left="1140" w:right="900"/>
        <w:jc w:val="both"/>
        <w:rPr>
          <w:rFonts w:cs="Miriam"/>
          <w:rtl/>
        </w:rPr>
      </w:pPr>
      <w:r>
        <w:rPr>
          <w:rFonts w:cs="Miriam" w:hint="cs"/>
          <w:rtl/>
        </w:rPr>
        <w:t>ת: שלושים אלף יורו. לגבי השיקים אני לא יודע בדיוק למי שייכים.</w:t>
      </w:r>
    </w:p>
    <w:p w14:paraId="762EBB57" w14:textId="77777777" w:rsidR="00C17DCE" w:rsidRDefault="00D759EB">
      <w:pPr>
        <w:ind w:left="1140" w:right="900"/>
        <w:jc w:val="both"/>
        <w:rPr>
          <w:rFonts w:cs="Miriam"/>
          <w:rtl/>
        </w:rPr>
      </w:pPr>
      <w:r>
        <w:rPr>
          <w:rFonts w:cs="Miriam" w:hint="cs"/>
          <w:rtl/>
        </w:rPr>
        <w:t>ש</w:t>
      </w:r>
      <w:r>
        <w:rPr>
          <w:rFonts w:cs="Miriam"/>
        </w:rPr>
        <w:t>:</w:t>
      </w:r>
      <w:r>
        <w:rPr>
          <w:rFonts w:cs="Miriam" w:hint="cs"/>
          <w:rtl/>
        </w:rPr>
        <w:t xml:space="preserve"> כיצד נודע לך מה נגנב?</w:t>
      </w:r>
    </w:p>
    <w:p w14:paraId="79D5F6C8" w14:textId="77777777" w:rsidR="00C17DCE" w:rsidRDefault="00D759EB">
      <w:pPr>
        <w:ind w:left="1140" w:right="900"/>
        <w:jc w:val="both"/>
        <w:rPr>
          <w:rtl/>
        </w:rPr>
      </w:pPr>
      <w:r>
        <w:rPr>
          <w:rFonts w:cs="Miriam" w:hint="cs"/>
          <w:rtl/>
        </w:rPr>
        <w:t>ת: מי שפתח את הבית לאחר שהמשטרה את המפתח היא אחותי דנה וישר בקשתי ממנה לבדוק בארון את מעיל העור והיא ענתה איך שהיא הגיעה לארון המעיל עור הוא היחיד מבין הבגדים שבארון שבתליה היה זרוק ללא דבר בתוכו והיה זרוק  על</w:t>
      </w:r>
      <w:r>
        <w:rPr>
          <w:rFonts w:hint="cs"/>
          <w:rtl/>
        </w:rPr>
        <w:t xml:space="preserve"> </w:t>
      </w:r>
      <w:r>
        <w:rPr>
          <w:rFonts w:cs="Miriam" w:hint="cs"/>
          <w:rtl/>
        </w:rPr>
        <w:t>המיטה</w:t>
      </w:r>
      <w:r>
        <w:rPr>
          <w:rFonts w:hint="cs"/>
          <w:rtl/>
        </w:rPr>
        <w:t>" (עמ' 2 להודעה ת/73).</w:t>
      </w:r>
    </w:p>
    <w:p w14:paraId="2069525D" w14:textId="77777777" w:rsidR="00C17DCE" w:rsidRDefault="00D759EB">
      <w:pPr>
        <w:ind w:left="1140" w:right="900" w:firstLine="15"/>
        <w:jc w:val="both"/>
        <w:rPr>
          <w:rtl/>
        </w:rPr>
      </w:pPr>
      <w:r>
        <w:rPr>
          <w:rFonts w:hint="cs"/>
          <w:rtl/>
        </w:rPr>
        <w:t>בעדותו בבית משפט טען כי "</w:t>
      </w:r>
      <w:r>
        <w:rPr>
          <w:rFonts w:cs="Miriam" w:hint="cs"/>
          <w:rtl/>
        </w:rPr>
        <w:t>אמרתי בעדות שלי במשטרה, עוד לפני שהחשודים נעצרו, שנלקח לי כסף, אני נקבתי בסכום, לא בטוח במאה אחוז בסכום</w:t>
      </w:r>
      <w:r>
        <w:rPr>
          <w:rFonts w:hint="cs"/>
          <w:rtl/>
        </w:rPr>
        <w:t>", (עמ' 279 שורה 23 לפרוטוקול).</w:t>
      </w:r>
      <w:r>
        <w:rPr>
          <w:rFonts w:hint="cs"/>
          <w:rtl/>
        </w:rPr>
        <w:tab/>
      </w:r>
    </w:p>
    <w:p w14:paraId="03898F6F" w14:textId="77777777" w:rsidR="00C17DCE" w:rsidRDefault="00C17DCE">
      <w:pPr>
        <w:spacing w:line="360" w:lineRule="auto"/>
        <w:ind w:left="1140" w:right="540" w:firstLine="15"/>
        <w:jc w:val="both"/>
        <w:rPr>
          <w:rtl/>
        </w:rPr>
      </w:pPr>
    </w:p>
    <w:p w14:paraId="4F503A0A" w14:textId="77777777" w:rsidR="00C17DCE" w:rsidRDefault="00D759EB">
      <w:pPr>
        <w:spacing w:line="360" w:lineRule="auto"/>
        <w:ind w:left="511"/>
        <w:jc w:val="both"/>
        <w:rPr>
          <w:rtl/>
        </w:rPr>
      </w:pPr>
      <w:r>
        <w:rPr>
          <w:rFonts w:hint="cs"/>
          <w:rtl/>
        </w:rPr>
        <w:t>בעלה של המתלוננת היה עד עוין במשפט. מסיבות השמורות עימו חזר בו מהטענה בדבר גובה הסכום שנגנב. לאחר שמיעת עדות החוקר מאיר קנדרו שגבה את ההודעה ת/73 מפיו  (עמוד 291 לפרוטוקול שורה 19) שוכנעתי כי העד מסר במשטרה כי נגנבו מהמעיל 30,000 יורו ובמועד עדותו בחר לחזור בו באשר לגובה הסכום. בהתחשב בעובדה כי מדובר במשפט פלילי, איני סבור כי בנסיבות אלו יש לבחון מדוע בעלה של המתלוננת מחליט שלא לספר מהו גובה הסכום שנגנב למרות שנתון זה בידיעתו המלאה.</w:t>
      </w:r>
    </w:p>
    <w:p w14:paraId="53CF6B9F" w14:textId="77777777" w:rsidR="00C17DCE" w:rsidRDefault="00C17DCE">
      <w:pPr>
        <w:spacing w:line="360" w:lineRule="auto"/>
        <w:jc w:val="both"/>
      </w:pPr>
    </w:p>
    <w:p w14:paraId="5760925E" w14:textId="77777777" w:rsidR="00C17DCE" w:rsidRDefault="00D759EB">
      <w:pPr>
        <w:numPr>
          <w:ilvl w:val="0"/>
          <w:numId w:val="7"/>
        </w:numPr>
        <w:spacing w:line="360" w:lineRule="auto"/>
        <w:jc w:val="both"/>
        <w:rPr>
          <w:rtl/>
        </w:rPr>
      </w:pPr>
      <w:r>
        <w:rPr>
          <w:rFonts w:hint="cs"/>
          <w:rtl/>
        </w:rPr>
        <w:t>אני קובע על סמך עדותה האמינה של המתלוננת כי הוכחה גניבת כסף בנסיבות היוצרות עבירת שוד, אך לא הוכח גובה הסכום שנשדד, [נאשם 1 טען כי לפי המידע שברשותו בדירה היה צריך להיות סכום בגובה 5 מיליון, עמוד 344 שורה 12 לפרוטוקול, מיותר לציין כי לא נקבע את גובה הסכום על פי "המידע" שקיבל נאשם 1].</w:t>
      </w:r>
    </w:p>
    <w:p w14:paraId="2EDC17A9" w14:textId="77777777" w:rsidR="00C17DCE" w:rsidRDefault="00C17DCE">
      <w:pPr>
        <w:spacing w:line="360" w:lineRule="auto"/>
        <w:jc w:val="both"/>
      </w:pPr>
    </w:p>
    <w:p w14:paraId="4C847D5E" w14:textId="77777777" w:rsidR="00C17DCE" w:rsidRDefault="00C17DCE">
      <w:pPr>
        <w:spacing w:line="360" w:lineRule="auto"/>
        <w:ind w:left="511"/>
        <w:jc w:val="both"/>
        <w:rPr>
          <w:rtl/>
        </w:rPr>
      </w:pPr>
    </w:p>
    <w:p w14:paraId="11CA6A39" w14:textId="77777777" w:rsidR="00C17DCE" w:rsidRDefault="00C17DCE">
      <w:pPr>
        <w:spacing w:line="360" w:lineRule="auto"/>
        <w:ind w:left="511"/>
        <w:jc w:val="both"/>
        <w:rPr>
          <w:rtl/>
        </w:rPr>
      </w:pPr>
    </w:p>
    <w:p w14:paraId="1D59D5D7" w14:textId="77777777" w:rsidR="00C17DCE" w:rsidRDefault="00D759EB">
      <w:pPr>
        <w:spacing w:line="360" w:lineRule="auto"/>
        <w:ind w:left="511"/>
        <w:jc w:val="both"/>
        <w:rPr>
          <w:rtl/>
        </w:rPr>
      </w:pPr>
      <w:r>
        <w:rPr>
          <w:rFonts w:hint="cs"/>
          <w:rtl/>
        </w:rPr>
        <w:t>על פי עדות המתלוננת נגנבו מהדירה גם שני מכשירי טלפון ניידים, אשר הושארו בחדר השינה לשם טעינה עת יצאה מביתה ולאחר האירוע נעלמו מהדירה (ראו עדותה עמוד 134 לפרוטוקול שורה 16 ועמוד 135 שורה 15, דיווח על הגניבה ת/3 ופרטי המכשירים הניידים 052-560994 052-5609995 ת/45).</w:t>
      </w:r>
    </w:p>
    <w:p w14:paraId="1A6D5760" w14:textId="77777777" w:rsidR="00C17DCE" w:rsidRDefault="00C17DCE">
      <w:pPr>
        <w:spacing w:line="360" w:lineRule="auto"/>
        <w:ind w:left="511"/>
        <w:jc w:val="both"/>
        <w:rPr>
          <w:rtl/>
        </w:rPr>
      </w:pPr>
    </w:p>
    <w:p w14:paraId="6FBDAF2D" w14:textId="77777777" w:rsidR="00C17DCE" w:rsidRDefault="00D759EB">
      <w:pPr>
        <w:numPr>
          <w:ilvl w:val="0"/>
          <w:numId w:val="7"/>
        </w:numPr>
        <w:spacing w:line="360" w:lineRule="auto"/>
        <w:jc w:val="both"/>
      </w:pPr>
      <w:r>
        <w:rPr>
          <w:rFonts w:hint="cs"/>
          <w:rtl/>
        </w:rPr>
        <w:t>יובהר כי סמוך לשעה 9:20 באותו יום יצאה שיחה שמשכה 13 שניות מאחד ממכשירי הפלאפון לאבו איסמעיל המוכר למתלוננת ואשר שמו מופיע בזיכרון המכשיר באות א'. המתלוננת שהיתה כבר בבית החולים במצב קשה הסבירה בעדותה כי היא לא יצרה קשר באותה שעה. החוקר סולומון הסביר בעדותו, הסבר המקובל עלי, כי אחד מגונבי המכשירים, לחץ לחיצה למשך 13 שניות שהתבטאה בניסיון שיחה יוצאת למנוי המופיע באות א' בזיכרון, (ראו עדותו עמוד 104 לפרוטוקול שורה 1 ועמוד 459 שורה 1). בפועל, לפי נתוני התקשורת (ת/45 חלק ד') שני המכשירים הפסיקו לפעול, האחד בשעה 9:20 והשני בשעה 9:31 (שהיא שעה סמוכה לאחר האירוע) ופעילותם חודשה "בברזל אחר" לבקשת המנוי-המתלוננת- כעבור יומיים ביום 20.6.2010 בשעות הערב (האחד בשעה 18:20 והשני בשעה 17:28), הנאשמים לא עשו שימוש במכשירים לאחר הגניבה למעט אותו ניסיון שיחה מקרי, (ראו הסברו של סלומון עמוד 455 לפרוטוקול שורה 5).</w:t>
      </w:r>
    </w:p>
    <w:p w14:paraId="5AF63F1E" w14:textId="77777777" w:rsidR="00C17DCE" w:rsidRDefault="00C17DCE">
      <w:pPr>
        <w:spacing w:line="360" w:lineRule="auto"/>
        <w:jc w:val="both"/>
      </w:pPr>
    </w:p>
    <w:p w14:paraId="33E03FC9" w14:textId="77777777" w:rsidR="00C17DCE" w:rsidRDefault="00D759EB">
      <w:pPr>
        <w:spacing w:line="360" w:lineRule="auto"/>
        <w:ind w:left="511"/>
        <w:jc w:val="both"/>
        <w:rPr>
          <w:rtl/>
        </w:rPr>
      </w:pPr>
      <w:r>
        <w:rPr>
          <w:rFonts w:hint="cs"/>
          <w:rtl/>
        </w:rPr>
        <w:t>באותו שלב רק הגנבים יכלו לעשות שימוש בפלאפונים. החוקר מאיר קנדרו הסביר בעדותו כי מיד לאחר האירוע בוצע איכון ולפיו המכשירים נמצאו ברח' אברהם ציגל בקרית מוצקין אך בפועל הם לא אותרו (ראו ת/63 ועדותו עמוד 291). מיד לאחר העלמות המכשירים הם נותקו ע"י חברת התקשורת.</w:t>
      </w:r>
    </w:p>
    <w:p w14:paraId="3CFBCC59" w14:textId="77777777" w:rsidR="00C17DCE" w:rsidRDefault="00C17DCE">
      <w:pPr>
        <w:spacing w:line="360" w:lineRule="auto"/>
        <w:jc w:val="both"/>
      </w:pPr>
    </w:p>
    <w:p w14:paraId="22DB535E" w14:textId="77777777" w:rsidR="00C17DCE" w:rsidRDefault="00D759EB">
      <w:pPr>
        <w:numPr>
          <w:ilvl w:val="0"/>
          <w:numId w:val="7"/>
        </w:numPr>
        <w:spacing w:line="360" w:lineRule="auto"/>
        <w:jc w:val="both"/>
        <w:rPr>
          <w:rtl/>
        </w:rPr>
      </w:pPr>
      <w:r>
        <w:rPr>
          <w:rFonts w:hint="cs"/>
          <w:rtl/>
        </w:rPr>
        <w:t xml:space="preserve">לאור האמור לעיל אני קובע כי הנאשמים גנבו מהדירה כסף בסכום לא ידוע ושני מכשירי טלפון ניידים וכל זאת כשהם פועלים בחבורה ומבצעים הגניבה בתכוף לאחר פציעת המתלוננת וביצוע מעשי אלימות כלפיה ולכן אני סבור כי יש להרשיע את שני הנאשמים בעבירה של שוד לפי סעיף 402(ב) לחוק בצירוף סעיף 29.  </w:t>
      </w:r>
    </w:p>
    <w:p w14:paraId="5319F93D" w14:textId="77777777" w:rsidR="00C17DCE" w:rsidRDefault="00C17DCE">
      <w:pPr>
        <w:spacing w:line="360" w:lineRule="auto"/>
        <w:jc w:val="both"/>
      </w:pPr>
    </w:p>
    <w:p w14:paraId="267B8CED" w14:textId="77777777" w:rsidR="00C17DCE" w:rsidRDefault="00D759EB">
      <w:pPr>
        <w:spacing w:line="360" w:lineRule="auto"/>
        <w:ind w:firstLine="511"/>
        <w:jc w:val="both"/>
        <w:rPr>
          <w:u w:val="single"/>
          <w:rtl/>
        </w:rPr>
      </w:pPr>
      <w:r>
        <w:rPr>
          <w:rFonts w:hint="cs"/>
          <w:u w:val="single"/>
          <w:rtl/>
        </w:rPr>
        <w:t>אינוס</w:t>
      </w:r>
    </w:p>
    <w:p w14:paraId="6CDA2BEC" w14:textId="77777777" w:rsidR="00C17DCE" w:rsidRDefault="00D759EB">
      <w:pPr>
        <w:numPr>
          <w:ilvl w:val="0"/>
          <w:numId w:val="7"/>
        </w:numPr>
        <w:spacing w:line="360" w:lineRule="auto"/>
        <w:jc w:val="both"/>
        <w:rPr>
          <w:u w:val="single"/>
        </w:rPr>
      </w:pPr>
      <w:r>
        <w:rPr>
          <w:rFonts w:hint="cs"/>
          <w:rtl/>
        </w:rPr>
        <w:t>על פי עובדות כתב האישום, הנאשמים בעלו את המתלוננת שלא בהסכמתה החופשית תוך ניצול מצב של חוסר הכרה בו היתה שרויה כשהם חוברים יחדיו לביצוע האונס תוך גרימת חבלה גופנית והתעללות בה.</w:t>
      </w:r>
    </w:p>
    <w:p w14:paraId="08D3F60C" w14:textId="77777777" w:rsidR="00C17DCE" w:rsidRDefault="00C17DCE">
      <w:pPr>
        <w:spacing w:line="360" w:lineRule="auto"/>
        <w:jc w:val="both"/>
      </w:pPr>
    </w:p>
    <w:p w14:paraId="4692E0D5" w14:textId="77777777" w:rsidR="00C17DCE" w:rsidRDefault="00D759EB">
      <w:pPr>
        <w:numPr>
          <w:ilvl w:val="0"/>
          <w:numId w:val="7"/>
        </w:numPr>
        <w:spacing w:line="360" w:lineRule="auto"/>
        <w:jc w:val="both"/>
      </w:pPr>
      <w:r>
        <w:rPr>
          <w:rFonts w:hint="cs"/>
          <w:rtl/>
        </w:rPr>
        <w:t>חשוב לציין כי בתחילה המשטרה- בבקשות השונות למעצר או לקבלת נתוני תקשורת-לא טענה כי קיים חשד לעבירת אינוס, (ראו למשל נ/6 צו המעצר של נאשם 2, צו חיפוש נ/16,  בקשה למעצר נ/17 ובקשות לקבלת נתוני תקשורת נ/11, נ/12, נ/13, נ/14). משהתפתחו הליכי החקירה עלה גם החשד לעבירה של בעילה שלא בהסכמה (ת/108 בקשות למעצר מיום 1.8.10 ו-6.8.10).</w:t>
      </w:r>
    </w:p>
    <w:p w14:paraId="0BC8273F" w14:textId="77777777" w:rsidR="00C17DCE" w:rsidRDefault="00C17DCE">
      <w:pPr>
        <w:spacing w:line="360" w:lineRule="auto"/>
        <w:jc w:val="both"/>
      </w:pPr>
    </w:p>
    <w:p w14:paraId="18964387" w14:textId="77777777" w:rsidR="00C17DCE" w:rsidRDefault="00D759EB">
      <w:pPr>
        <w:numPr>
          <w:ilvl w:val="0"/>
          <w:numId w:val="7"/>
        </w:numPr>
        <w:spacing w:line="360" w:lineRule="auto"/>
        <w:jc w:val="both"/>
        <w:rPr>
          <w:rtl/>
        </w:rPr>
      </w:pPr>
      <w:r>
        <w:rPr>
          <w:rFonts w:hint="cs"/>
          <w:rtl/>
        </w:rPr>
        <w:t>הראיות שהוצגו בנושא זה כולן נסיבתיות. המתלוננת מסרה כי לא היתה בהכרה או היתה במצב נפשי קשה כך שהיא אינה יודעת לספר מה התרחש לאחר המכות הקשות שהוכתה, (ראו הודעתה נ/3 עמוד 2 שורה 10).</w:t>
      </w:r>
    </w:p>
    <w:p w14:paraId="57A948E4" w14:textId="77777777" w:rsidR="00C17DCE" w:rsidRDefault="00C17DCE">
      <w:pPr>
        <w:spacing w:line="360" w:lineRule="auto"/>
        <w:jc w:val="both"/>
      </w:pPr>
    </w:p>
    <w:p w14:paraId="145E2B2C" w14:textId="77777777" w:rsidR="00C17DCE" w:rsidRDefault="00D759EB">
      <w:pPr>
        <w:numPr>
          <w:ilvl w:val="0"/>
          <w:numId w:val="7"/>
        </w:numPr>
        <w:spacing w:line="360" w:lineRule="auto"/>
        <w:jc w:val="both"/>
        <w:rPr>
          <w:rtl/>
        </w:rPr>
      </w:pPr>
      <w:r>
        <w:rPr>
          <w:rFonts w:hint="cs"/>
          <w:rtl/>
        </w:rPr>
        <w:t xml:space="preserve">אין מחלוקת כי המתלוננת נמצאה בדירה ללא בגדיה שלגופה חזיה/גופיה שכונתה סטרפלס.  לבית החולים היא הגיעה  שלגופה תחתונים שאבדו לאחר מכן (ת/67, ת/68, ת/78, ת/106 ועדות החוקר קנדרו עמוד 300 לפרוטוקול שורה 28 באשר להיעלמות התחתונים באחת מיחידות המשטרה, ראו אישור המאשימה בעמוד 11 לסיכומיה). </w:t>
      </w:r>
    </w:p>
    <w:p w14:paraId="7BAAF060" w14:textId="77777777" w:rsidR="00C17DCE" w:rsidRDefault="00C17DCE">
      <w:pPr>
        <w:spacing w:line="360" w:lineRule="auto"/>
        <w:jc w:val="both"/>
      </w:pPr>
    </w:p>
    <w:p w14:paraId="67D49852" w14:textId="77777777" w:rsidR="00C17DCE" w:rsidRDefault="00D759EB">
      <w:pPr>
        <w:spacing w:line="360" w:lineRule="auto"/>
        <w:ind w:left="511"/>
        <w:jc w:val="both"/>
        <w:rPr>
          <w:rtl/>
        </w:rPr>
      </w:pPr>
      <w:r>
        <w:rPr>
          <w:rFonts w:hint="cs"/>
          <w:rtl/>
        </w:rPr>
        <w:t>המתלוננת הובהלה לחדר ההלם בבית חולים רמב"ם, בשיחתה עם דר' לובוב סטריקוב  אמרה כי אינה יודעת אם היתה תקיפה מינית, בדיקתה הגופנית (ת/10) הראתה כי "</w:t>
      </w:r>
      <w:r>
        <w:rPr>
          <w:rFonts w:cs="Miriam" w:hint="cs"/>
          <w:rtl/>
        </w:rPr>
        <w:t>בפות-שפשופים באיזור קליטוריס, שפה קטנה ימנית ופנים של שפה שמאלית גדולה. שפשופים באיזור פורשט. אין עדות לחבלה באיזור פי הטבעת, אין עדות להמטומה בנרתיק כמו כן אין עדות לחבלה באיזור שאכות של קרום הבתולים</w:t>
      </w:r>
      <w:r>
        <w:rPr>
          <w:rFonts w:hint="cs"/>
          <w:rtl/>
        </w:rPr>
        <w:t>". לא נמצאו סימני זרע (ראו גם חוות דעת לימור וינרב מהמעבדה הביולוגית ת/31ז).</w:t>
      </w:r>
    </w:p>
    <w:p w14:paraId="61E46EF5" w14:textId="77777777" w:rsidR="00C17DCE" w:rsidRDefault="00C17DCE">
      <w:pPr>
        <w:spacing w:line="360" w:lineRule="auto"/>
        <w:jc w:val="both"/>
        <w:rPr>
          <w:rtl/>
        </w:rPr>
      </w:pPr>
    </w:p>
    <w:p w14:paraId="13819FCC" w14:textId="77777777" w:rsidR="00C17DCE" w:rsidRDefault="00D759EB">
      <w:pPr>
        <w:numPr>
          <w:ilvl w:val="0"/>
          <w:numId w:val="7"/>
        </w:numPr>
        <w:spacing w:line="360" w:lineRule="auto"/>
        <w:jc w:val="both"/>
      </w:pPr>
      <w:r>
        <w:rPr>
          <w:rFonts w:hint="cs"/>
          <w:rtl/>
        </w:rPr>
        <w:t>הממצאים עוררו חשד לתקיפה מינית במיוחד שהמתלוננת הסבירה כי קיימה מגעים מיניים רק 10 חודשים לפני כן (ת/11) והווסת האחרונה היתה ביום 30.5.10 כשלושה שבועות לפני גילוי השפשופים, (ת/10). בעדותה הסבירה כי השפשופים לא היו בגופה לפני יום האירוע, וכי לא גרמה אותם לעצמה, (עמוד 163 לפרוטוקול שורה 3).</w:t>
      </w:r>
    </w:p>
    <w:p w14:paraId="6EDC1313" w14:textId="77777777" w:rsidR="00C17DCE" w:rsidRDefault="00C17DCE">
      <w:pPr>
        <w:jc w:val="both"/>
        <w:rPr>
          <w:rtl/>
        </w:rPr>
      </w:pPr>
    </w:p>
    <w:p w14:paraId="0BD4A210" w14:textId="77777777" w:rsidR="00C17DCE" w:rsidRDefault="00D759EB">
      <w:pPr>
        <w:numPr>
          <w:ilvl w:val="0"/>
          <w:numId w:val="7"/>
        </w:numPr>
        <w:spacing w:line="360" w:lineRule="auto"/>
        <w:jc w:val="both"/>
      </w:pPr>
      <w:r>
        <w:rPr>
          <w:rFonts w:hint="cs"/>
          <w:rtl/>
        </w:rPr>
        <w:t>דר' סטריקוב הסבירה בהודעתה כי מדובר בחבלות טריות ללא דימום שיכולות היו להיווצר גם יום או יומיים לפני גילויין. החבלות/שפשופים נמצאו במקומות שונים "</w:t>
      </w:r>
      <w:r>
        <w:rPr>
          <w:rFonts w:cs="Miriam" w:hint="cs"/>
          <w:rtl/>
        </w:rPr>
        <w:t>בדגדגן ובשפה הקטנה הימנית של הפות ובשפה השמאלית הפנימית הגדולה ובחלק התחתון של הפות</w:t>
      </w:r>
      <w:r>
        <w:rPr>
          <w:rFonts w:hint="cs"/>
          <w:rtl/>
        </w:rPr>
        <w:t>", (ת/12 שורה 16). דר' סטריקוב הבהירה באותה הודעה כי אינה יכולה לקבוע כי הממצאים מקורם בתקיפה מינית (ת/12 שורה 18 ואילך):</w:t>
      </w:r>
    </w:p>
    <w:p w14:paraId="7759F17D" w14:textId="77777777" w:rsidR="00C17DCE" w:rsidRDefault="00D759EB">
      <w:pPr>
        <w:ind w:left="1826" w:right="540" w:hanging="360"/>
        <w:jc w:val="both"/>
        <w:rPr>
          <w:rFonts w:cs="Miriam"/>
        </w:rPr>
      </w:pPr>
      <w:r>
        <w:rPr>
          <w:rFonts w:cs="Miriam" w:hint="cs"/>
          <w:rtl/>
        </w:rPr>
        <w:t>"ש- האם החבלות שהיו לאותה אישה שבדקת מעידים על תקיפה  מינית?</w:t>
      </w:r>
    </w:p>
    <w:p w14:paraId="509232A8" w14:textId="77777777" w:rsidR="00C17DCE" w:rsidRDefault="00D759EB">
      <w:pPr>
        <w:ind w:left="1826" w:right="540" w:hanging="360"/>
        <w:jc w:val="both"/>
        <w:rPr>
          <w:rFonts w:cs="Miriam"/>
          <w:rtl/>
        </w:rPr>
      </w:pPr>
      <w:r>
        <w:rPr>
          <w:rFonts w:cs="Miriam" w:hint="cs"/>
          <w:rtl/>
        </w:rPr>
        <w:t xml:space="preserve"> ת-  אני לא יכולה להגיד.</w:t>
      </w:r>
    </w:p>
    <w:p w14:paraId="13AE46C1" w14:textId="77777777" w:rsidR="00C17DCE" w:rsidRDefault="00D759EB">
      <w:pPr>
        <w:ind w:left="1826" w:right="540" w:hanging="360"/>
        <w:jc w:val="both"/>
        <w:rPr>
          <w:rFonts w:cs="Miriam"/>
          <w:rtl/>
        </w:rPr>
      </w:pPr>
      <w:r>
        <w:rPr>
          <w:rFonts w:cs="Miriam" w:hint="cs"/>
          <w:rtl/>
        </w:rPr>
        <w:t xml:space="preserve"> ש-  בדרך כלל ממה נובעים חבלות או שפשופים כאלה?</w:t>
      </w:r>
    </w:p>
    <w:p w14:paraId="1FDD06EC" w14:textId="77777777" w:rsidR="00C17DCE" w:rsidRDefault="00D759EB">
      <w:pPr>
        <w:ind w:left="1826" w:right="540" w:hanging="360"/>
        <w:jc w:val="both"/>
        <w:rPr>
          <w:rFonts w:cs="Miriam"/>
          <w:rtl/>
        </w:rPr>
      </w:pPr>
      <w:r>
        <w:rPr>
          <w:rFonts w:cs="Miriam" w:hint="cs"/>
          <w:rtl/>
        </w:rPr>
        <w:t xml:space="preserve"> ת-  ממשהו שנעשה בכח אבל אני לא יכולה להגיד אם זה אונס או לא כי אין לי את ההכשרה המתאימה לאונס".</w:t>
      </w:r>
    </w:p>
    <w:p w14:paraId="7D5F5709" w14:textId="77777777" w:rsidR="00C17DCE" w:rsidRDefault="00C17DCE">
      <w:pPr>
        <w:spacing w:line="360" w:lineRule="auto"/>
        <w:ind w:left="1826" w:right="540" w:hanging="360"/>
        <w:jc w:val="both"/>
        <w:rPr>
          <w:rFonts w:cs="Miriam"/>
          <w:rtl/>
        </w:rPr>
      </w:pPr>
    </w:p>
    <w:p w14:paraId="4D9AE32A" w14:textId="77777777" w:rsidR="00C17DCE" w:rsidRDefault="00D759EB">
      <w:pPr>
        <w:spacing w:line="360" w:lineRule="auto"/>
        <w:ind w:left="585"/>
        <w:jc w:val="both"/>
        <w:rPr>
          <w:rtl/>
        </w:rPr>
      </w:pPr>
      <w:r>
        <w:rPr>
          <w:rFonts w:hint="cs"/>
          <w:rtl/>
        </w:rPr>
        <w:t xml:space="preserve">היא הוסיפה כי לא ניתן לשלול כי הסימנים מעידים על קיום יחסי מין או ניסיון לקיימם, תוך כדי שהיא מדגישה כי אין לה את ההכשרה המתאימה לאבחון פגיעות שכאלה. </w:t>
      </w:r>
    </w:p>
    <w:p w14:paraId="4A099581" w14:textId="77777777" w:rsidR="00C17DCE" w:rsidRDefault="00C17DCE">
      <w:pPr>
        <w:spacing w:line="360" w:lineRule="auto"/>
        <w:ind w:left="1440" w:right="540"/>
        <w:jc w:val="both"/>
        <w:rPr>
          <w:rtl/>
        </w:rPr>
      </w:pPr>
    </w:p>
    <w:p w14:paraId="6CB94822" w14:textId="77777777" w:rsidR="00C17DCE" w:rsidRDefault="00D759EB">
      <w:pPr>
        <w:numPr>
          <w:ilvl w:val="0"/>
          <w:numId w:val="7"/>
        </w:numPr>
        <w:spacing w:line="360" w:lineRule="auto"/>
        <w:jc w:val="both"/>
      </w:pPr>
      <w:r>
        <w:rPr>
          <w:rFonts w:hint="cs"/>
          <w:rtl/>
        </w:rPr>
        <w:t>גם מעדותה בפנינו הסתבר כי בשל העדר הכשרה וניסיון בתחום, דר' סטריקוב אינה יכולה לתרום לגילוי מקור השפשופים, או כדבריה:</w:t>
      </w:r>
    </w:p>
    <w:p w14:paraId="1B112B21" w14:textId="77777777" w:rsidR="00C17DCE" w:rsidRDefault="00C17DCE">
      <w:pPr>
        <w:jc w:val="both"/>
        <w:rPr>
          <w:rtl/>
        </w:rPr>
      </w:pPr>
    </w:p>
    <w:p w14:paraId="7CB03E51" w14:textId="77777777" w:rsidR="00C17DCE" w:rsidRDefault="00D759EB">
      <w:pPr>
        <w:ind w:left="2186" w:right="720" w:hanging="746"/>
        <w:jc w:val="both"/>
        <w:rPr>
          <w:rFonts w:cs="Miriam"/>
          <w:rtl/>
        </w:rPr>
      </w:pPr>
      <w:r>
        <w:rPr>
          <w:rFonts w:hint="cs"/>
          <w:rtl/>
        </w:rPr>
        <w:t>"</w:t>
      </w:r>
      <w:r>
        <w:rPr>
          <w:rFonts w:cs="Miriam" w:hint="cs"/>
          <w:rtl/>
        </w:rPr>
        <w:t>ש.</w:t>
      </w:r>
      <w:r w:rsidR="005644D6">
        <w:rPr>
          <w:rFonts w:cs="Miriam" w:hint="cs"/>
          <w:rtl/>
        </w:rPr>
        <w:t xml:space="preserve"> </w:t>
      </w:r>
      <w:r>
        <w:rPr>
          <w:rFonts w:cs="Miriam" w:hint="cs"/>
          <w:rtl/>
        </w:rPr>
        <w:t>כמה פעמים נתקלת בממצאים כאלה?</w:t>
      </w:r>
    </w:p>
    <w:p w14:paraId="1053A583" w14:textId="77777777" w:rsidR="00C17DCE" w:rsidRDefault="00D759EB">
      <w:pPr>
        <w:ind w:left="2186" w:right="720" w:hanging="746"/>
        <w:jc w:val="both"/>
        <w:rPr>
          <w:rFonts w:cs="Miriam"/>
          <w:rtl/>
        </w:rPr>
      </w:pPr>
      <w:r>
        <w:rPr>
          <w:rFonts w:cs="Miriam" w:hint="cs"/>
          <w:rtl/>
        </w:rPr>
        <w:t xml:space="preserve">  ת.</w:t>
      </w:r>
      <w:r w:rsidR="005644D6">
        <w:rPr>
          <w:rFonts w:cs="Miriam" w:hint="cs"/>
          <w:rtl/>
        </w:rPr>
        <w:t xml:space="preserve"> </w:t>
      </w:r>
      <w:r>
        <w:rPr>
          <w:rFonts w:cs="Miriam" w:hint="cs"/>
          <w:rtl/>
        </w:rPr>
        <w:t xml:space="preserve">אני אף פעם לא נתקלתי זאת הפעם הראשונה שאני נתקלתי </w:t>
      </w:r>
    </w:p>
    <w:p w14:paraId="74013E45" w14:textId="77777777" w:rsidR="00C17DCE" w:rsidRDefault="00D759EB">
      <w:pPr>
        <w:ind w:left="2186" w:right="720" w:hanging="746"/>
        <w:jc w:val="both"/>
        <w:rPr>
          <w:rFonts w:cs="Miriam"/>
          <w:rtl/>
        </w:rPr>
      </w:pPr>
      <w:r>
        <w:rPr>
          <w:rFonts w:cs="Miriam" w:hint="cs"/>
          <w:rtl/>
        </w:rPr>
        <w:t xml:space="preserve">      בחבלה כזו. </w:t>
      </w:r>
    </w:p>
    <w:p w14:paraId="6EBED94C" w14:textId="77777777" w:rsidR="00C17DCE" w:rsidRDefault="00D759EB">
      <w:pPr>
        <w:ind w:left="2186" w:right="720" w:hanging="746"/>
        <w:jc w:val="both"/>
        <w:rPr>
          <w:rFonts w:cs="Miriam"/>
          <w:rtl/>
        </w:rPr>
      </w:pPr>
      <w:r>
        <w:rPr>
          <w:rFonts w:cs="Miriam" w:hint="cs"/>
          <w:rtl/>
        </w:rPr>
        <w:t xml:space="preserve"> ש.</w:t>
      </w:r>
      <w:r w:rsidR="005644D6">
        <w:rPr>
          <w:rFonts w:cs="Miriam" w:hint="cs"/>
          <w:rtl/>
        </w:rPr>
        <w:t xml:space="preserve"> </w:t>
      </w:r>
      <w:r>
        <w:rPr>
          <w:rFonts w:cs="Miriam" w:hint="cs"/>
          <w:rtl/>
        </w:rPr>
        <w:t xml:space="preserve"> את רופאה בבית חולים?</w:t>
      </w:r>
    </w:p>
    <w:p w14:paraId="2AA318BE" w14:textId="77777777" w:rsidR="00C17DCE" w:rsidRDefault="00D759EB">
      <w:pPr>
        <w:ind w:left="2186" w:right="720" w:hanging="746"/>
        <w:jc w:val="both"/>
        <w:rPr>
          <w:rFonts w:cs="Miriam"/>
          <w:rtl/>
        </w:rPr>
      </w:pPr>
      <w:r>
        <w:rPr>
          <w:rFonts w:cs="Miriam" w:hint="cs"/>
          <w:rtl/>
        </w:rPr>
        <w:t xml:space="preserve"> ת.</w:t>
      </w:r>
      <w:r w:rsidR="005644D6">
        <w:rPr>
          <w:rFonts w:cs="Miriam" w:hint="cs"/>
          <w:rtl/>
        </w:rPr>
        <w:t xml:space="preserve">  </w:t>
      </w:r>
      <w:r>
        <w:rPr>
          <w:rFonts w:cs="Miriam" w:hint="cs"/>
          <w:rtl/>
        </w:rPr>
        <w:t xml:space="preserve">כן אני עובדת בבית חולים וקופת חולים, רק בתחום הנשים, אני </w:t>
      </w:r>
    </w:p>
    <w:p w14:paraId="4DF90CA9" w14:textId="77777777" w:rsidR="00C17DCE" w:rsidRDefault="00D759EB">
      <w:pPr>
        <w:ind w:left="2186" w:right="720" w:hanging="746"/>
        <w:jc w:val="both"/>
        <w:rPr>
          <w:rFonts w:cs="Miriam"/>
          <w:rtl/>
        </w:rPr>
      </w:pPr>
      <w:r>
        <w:rPr>
          <w:rFonts w:cs="Miriam" w:hint="cs"/>
          <w:rtl/>
        </w:rPr>
        <w:t xml:space="preserve">      בודקת נשים 70-80 פעמים ביום, וזאת הפעם הראשונה שאני </w:t>
      </w:r>
    </w:p>
    <w:p w14:paraId="66678EDA" w14:textId="77777777" w:rsidR="00C17DCE" w:rsidRDefault="00D759EB">
      <w:pPr>
        <w:ind w:left="2186" w:right="720" w:hanging="746"/>
        <w:jc w:val="both"/>
        <w:rPr>
          <w:rFonts w:cs="Miriam"/>
          <w:rtl/>
        </w:rPr>
      </w:pPr>
      <w:r>
        <w:rPr>
          <w:rFonts w:cs="Miriam" w:hint="cs"/>
          <w:rtl/>
        </w:rPr>
        <w:t xml:space="preserve">      נתקלתי בחבלות כאלה, אנו לא בודקים חבלות כאלה, הם </w:t>
      </w:r>
    </w:p>
    <w:p w14:paraId="2DE02AC5" w14:textId="77777777" w:rsidR="00C17DCE" w:rsidRDefault="00D759EB">
      <w:pPr>
        <w:ind w:left="2186" w:right="720" w:hanging="746"/>
        <w:jc w:val="both"/>
        <w:rPr>
          <w:rtl/>
        </w:rPr>
      </w:pPr>
      <w:r>
        <w:rPr>
          <w:rFonts w:cs="Miriam" w:hint="cs"/>
          <w:rtl/>
        </w:rPr>
        <w:t xml:space="preserve">      מגיעות למרכז שמתמחה בזה</w:t>
      </w:r>
      <w:r>
        <w:rPr>
          <w:rFonts w:hint="cs"/>
          <w:rtl/>
        </w:rPr>
        <w:t xml:space="preserve">", (עמוד 48 שורה 3). </w:t>
      </w:r>
    </w:p>
    <w:p w14:paraId="0BD59EC9" w14:textId="77777777" w:rsidR="00C17DCE" w:rsidRDefault="00C17DCE">
      <w:pPr>
        <w:ind w:left="1440" w:right="720"/>
        <w:jc w:val="both"/>
        <w:rPr>
          <w:rtl/>
        </w:rPr>
      </w:pPr>
    </w:p>
    <w:p w14:paraId="1D3948FB" w14:textId="77777777" w:rsidR="00C17DCE" w:rsidRDefault="00D759EB">
      <w:pPr>
        <w:ind w:left="1826" w:right="720" w:hanging="360"/>
        <w:jc w:val="both"/>
        <w:rPr>
          <w:rFonts w:cs="Miriam"/>
          <w:rtl/>
        </w:rPr>
      </w:pPr>
      <w:r>
        <w:rPr>
          <w:rFonts w:hint="cs"/>
          <w:rtl/>
        </w:rPr>
        <w:t>"</w:t>
      </w:r>
      <w:r>
        <w:rPr>
          <w:rFonts w:cs="Miriam" w:hint="cs"/>
          <w:rtl/>
        </w:rPr>
        <w:t>ש.</w:t>
      </w:r>
      <w:r w:rsidR="005644D6">
        <w:rPr>
          <w:rFonts w:cs="Miriam" w:hint="cs"/>
          <w:rtl/>
        </w:rPr>
        <w:t xml:space="preserve"> </w:t>
      </w:r>
      <w:r>
        <w:rPr>
          <w:rFonts w:cs="Miriam" w:hint="cs"/>
          <w:rtl/>
        </w:rPr>
        <w:t>על מנת לדייק, זאת היתה פעם ראשונה שבדקת אישה עם תקיפה מינית?</w:t>
      </w:r>
    </w:p>
    <w:p w14:paraId="39B1955C" w14:textId="77777777" w:rsidR="00C17DCE" w:rsidRDefault="00D759EB">
      <w:pPr>
        <w:ind w:left="1826" w:right="720" w:hanging="360"/>
        <w:jc w:val="both"/>
        <w:rPr>
          <w:rtl/>
        </w:rPr>
      </w:pPr>
      <w:r>
        <w:rPr>
          <w:rFonts w:cs="Miriam" w:hint="cs"/>
          <w:rtl/>
        </w:rPr>
        <w:t xml:space="preserve"> ת.</w:t>
      </w:r>
      <w:r w:rsidR="005644D6">
        <w:rPr>
          <w:rFonts w:cs="Miriam" w:hint="cs"/>
          <w:rtl/>
        </w:rPr>
        <w:t xml:space="preserve">   </w:t>
      </w:r>
      <w:r>
        <w:rPr>
          <w:rFonts w:cs="Miriam" w:hint="cs"/>
          <w:rtl/>
        </w:rPr>
        <w:t>כן</w:t>
      </w:r>
      <w:r>
        <w:rPr>
          <w:rFonts w:hint="cs"/>
          <w:rtl/>
        </w:rPr>
        <w:t>", (עמוד 50 לפרוטוקול שורה 18).</w:t>
      </w:r>
    </w:p>
    <w:p w14:paraId="6CBBAB88" w14:textId="77777777" w:rsidR="00C17DCE" w:rsidRDefault="00C17DCE">
      <w:pPr>
        <w:spacing w:line="360" w:lineRule="auto"/>
        <w:ind w:left="1826" w:right="540" w:hanging="360"/>
        <w:jc w:val="both"/>
        <w:rPr>
          <w:rtl/>
        </w:rPr>
      </w:pPr>
    </w:p>
    <w:p w14:paraId="76B07AB0" w14:textId="77777777" w:rsidR="00C17DCE" w:rsidRDefault="00D759EB">
      <w:pPr>
        <w:spacing w:line="360" w:lineRule="auto"/>
        <w:ind w:left="720"/>
        <w:jc w:val="both"/>
        <w:rPr>
          <w:rtl/>
        </w:rPr>
      </w:pPr>
      <w:r>
        <w:rPr>
          <w:rFonts w:hint="cs"/>
          <w:rtl/>
        </w:rPr>
        <w:t>חשוב לציין כי עדת התביעה דר' סטריקוב הבהירה כי חבלות כאלה יכולות להגרם מבעיטה או מכה:</w:t>
      </w:r>
    </w:p>
    <w:p w14:paraId="6B5F9C8F" w14:textId="77777777" w:rsidR="00C17DCE" w:rsidRDefault="00C17DCE">
      <w:pPr>
        <w:ind w:left="720"/>
        <w:jc w:val="both"/>
        <w:rPr>
          <w:rtl/>
        </w:rPr>
      </w:pPr>
    </w:p>
    <w:p w14:paraId="4E060612" w14:textId="77777777" w:rsidR="00C17DCE" w:rsidRDefault="00D759EB">
      <w:pPr>
        <w:ind w:left="2006" w:right="540" w:hanging="540"/>
        <w:jc w:val="both"/>
        <w:rPr>
          <w:rFonts w:cs="Miriam"/>
          <w:rtl/>
        </w:rPr>
      </w:pPr>
      <w:r>
        <w:rPr>
          <w:rFonts w:cs="Miriam" w:hint="cs"/>
          <w:rtl/>
        </w:rPr>
        <w:t>"ש.</w:t>
      </w:r>
      <w:r w:rsidR="005644D6">
        <w:rPr>
          <w:rFonts w:cs="Miriam" w:hint="cs"/>
          <w:rtl/>
        </w:rPr>
        <w:t xml:space="preserve">  </w:t>
      </w:r>
      <w:r>
        <w:rPr>
          <w:rFonts w:cs="Miriam" w:hint="cs"/>
          <w:rtl/>
        </w:rPr>
        <w:t xml:space="preserve"> אמרת שלא נתקלת בחבלות כאלה, האם ראית בכלל חבלות באיזור איבר המין?</w:t>
      </w:r>
    </w:p>
    <w:p w14:paraId="5823BE93" w14:textId="77777777" w:rsidR="00C17DCE" w:rsidRDefault="00D759EB">
      <w:pPr>
        <w:ind w:left="2006" w:right="540" w:hanging="540"/>
        <w:jc w:val="both"/>
        <w:rPr>
          <w:rFonts w:cs="Miriam"/>
          <w:rtl/>
        </w:rPr>
      </w:pPr>
      <w:r>
        <w:rPr>
          <w:rFonts w:cs="Miriam" w:hint="cs"/>
          <w:rtl/>
        </w:rPr>
        <w:t xml:space="preserve">  ת.</w:t>
      </w:r>
      <w:r w:rsidR="005644D6">
        <w:rPr>
          <w:rFonts w:cs="Miriam" w:hint="cs"/>
          <w:rtl/>
        </w:rPr>
        <w:t xml:space="preserve">   </w:t>
      </w:r>
      <w:r>
        <w:rPr>
          <w:rFonts w:cs="Miriam" w:hint="cs"/>
          <w:rtl/>
        </w:rPr>
        <w:t>חבלות יכול להיות אצל ילדות שנופלות ומקבלות מכה באיזור זה, ויש להן המטומה, זה מה שראיתי, ילדות קטנות אך לא מעבר לזה.</w:t>
      </w:r>
    </w:p>
    <w:p w14:paraId="6E52E5AA" w14:textId="77777777" w:rsidR="00C17DCE" w:rsidRDefault="00D759EB">
      <w:pPr>
        <w:ind w:left="2006" w:right="540" w:hanging="540"/>
        <w:jc w:val="both"/>
        <w:rPr>
          <w:rFonts w:cs="Miriam"/>
          <w:rtl/>
        </w:rPr>
      </w:pPr>
      <w:r>
        <w:rPr>
          <w:rFonts w:cs="Miriam" w:hint="cs"/>
          <w:rtl/>
        </w:rPr>
        <w:t xml:space="preserve">  ש.</w:t>
      </w:r>
      <w:r w:rsidR="005644D6">
        <w:rPr>
          <w:rFonts w:cs="Miriam" w:hint="cs"/>
          <w:rtl/>
        </w:rPr>
        <w:t xml:space="preserve">   </w:t>
      </w:r>
      <w:r>
        <w:rPr>
          <w:rFonts w:cs="Miriam" w:hint="cs"/>
          <w:rtl/>
        </w:rPr>
        <w:t>אם נמשיך את הקו שלך, את אומרת שילדות שנפלו קיבלו מכה, אם אישה זו נפלה וקיבלה מכה או נתן לה בעיטה, גם מזה יכולה להיגרם חבלה?</w:t>
      </w:r>
    </w:p>
    <w:p w14:paraId="7D41A9E8" w14:textId="77777777" w:rsidR="00C17DCE" w:rsidRDefault="00D759EB">
      <w:pPr>
        <w:ind w:left="720" w:firstLine="720"/>
        <w:jc w:val="both"/>
        <w:rPr>
          <w:rtl/>
        </w:rPr>
      </w:pPr>
      <w:r>
        <w:rPr>
          <w:rFonts w:cs="Miriam" w:hint="cs"/>
          <w:rtl/>
        </w:rPr>
        <w:t xml:space="preserve">  ת.</w:t>
      </w:r>
      <w:r w:rsidR="005644D6">
        <w:rPr>
          <w:rFonts w:cs="Miriam" w:hint="cs"/>
          <w:rtl/>
        </w:rPr>
        <w:t xml:space="preserve">   </w:t>
      </w:r>
      <w:r>
        <w:rPr>
          <w:rFonts w:cs="Miriam" w:hint="cs"/>
          <w:rtl/>
        </w:rPr>
        <w:t>נכון</w:t>
      </w:r>
      <w:r>
        <w:rPr>
          <w:rFonts w:hint="cs"/>
          <w:rtl/>
        </w:rPr>
        <w:t>", (עמוד 49 לפרוטוקול שורה 21).</w:t>
      </w:r>
    </w:p>
    <w:p w14:paraId="5B2032EC" w14:textId="77777777" w:rsidR="00C17DCE" w:rsidRDefault="00C17DCE">
      <w:pPr>
        <w:spacing w:line="360" w:lineRule="auto"/>
        <w:ind w:left="720" w:firstLine="720"/>
        <w:jc w:val="both"/>
        <w:rPr>
          <w:rtl/>
        </w:rPr>
      </w:pPr>
    </w:p>
    <w:p w14:paraId="7D4E7B7F" w14:textId="77777777" w:rsidR="00C17DCE" w:rsidRDefault="00C17DCE">
      <w:pPr>
        <w:spacing w:line="360" w:lineRule="auto"/>
        <w:ind w:left="511"/>
        <w:jc w:val="both"/>
        <w:rPr>
          <w:rtl/>
        </w:rPr>
      </w:pPr>
    </w:p>
    <w:p w14:paraId="46E4A954" w14:textId="77777777" w:rsidR="00C17DCE" w:rsidRDefault="00C17DCE">
      <w:pPr>
        <w:spacing w:line="360" w:lineRule="auto"/>
        <w:ind w:left="511"/>
        <w:jc w:val="both"/>
        <w:rPr>
          <w:rtl/>
        </w:rPr>
      </w:pPr>
    </w:p>
    <w:p w14:paraId="4D40CE76" w14:textId="77777777" w:rsidR="00C17DCE" w:rsidRDefault="00D759EB">
      <w:pPr>
        <w:spacing w:line="360" w:lineRule="auto"/>
        <w:ind w:left="511"/>
        <w:jc w:val="both"/>
        <w:rPr>
          <w:rtl/>
        </w:rPr>
      </w:pPr>
      <w:r>
        <w:rPr>
          <w:rFonts w:hint="cs"/>
          <w:rtl/>
        </w:rPr>
        <w:t>אמה של המתלוננת מסרה כי הרופאים נתנו לה הסבר דומה ולפיו החבלות באיבר המין נגרמו מבעיטה, (עמוד 236 לפרוטוקול שורה 21), הנחת ב"כ המאשימה בסיכומיה (עמוד 28) כי מדובר בדר' סטריקוב שמסרה את המידע, אינה בהכרח נכונה, למצער הנחה זו לא הוכחה ע"י המאשימה.</w:t>
      </w:r>
    </w:p>
    <w:p w14:paraId="4A3D61A1" w14:textId="77777777" w:rsidR="00C17DCE" w:rsidRDefault="00C17DCE">
      <w:pPr>
        <w:spacing w:line="360" w:lineRule="auto"/>
        <w:jc w:val="both"/>
      </w:pPr>
    </w:p>
    <w:p w14:paraId="2FD73262" w14:textId="77777777" w:rsidR="00C17DCE" w:rsidRDefault="00D759EB">
      <w:pPr>
        <w:numPr>
          <w:ilvl w:val="0"/>
          <w:numId w:val="7"/>
        </w:numPr>
        <w:spacing w:line="360" w:lineRule="auto"/>
        <w:jc w:val="both"/>
      </w:pPr>
      <w:r>
        <w:rPr>
          <w:rFonts w:hint="cs"/>
          <w:rtl/>
        </w:rPr>
        <w:t>עדה נוספת, רופאת הילדים דר' הדס כנעני, אף היא לא מומחית בתחום-גם אם עברה לטענתה הכשרה לגבי פגיעות מיניות-נכחה בחדר המיון ולכן נטלה חלק בבדיקת המתלוננת, (ראו הודעתה ת/36, תוצאות המדידות ת/36א ועדותה בעמוד 87 לפרוטוקול), העריכה כי מדובר בחבלות טריות-עד 72 שעות שנגרמו מחבלה ע"י גוף קשיח. איני סבור כי ניתן לבסס על עדותה ממצא בתחום המקצועי בשל העדר הכשרה מספקת בתחום הרלבנטי ואפנה לעדותה:</w:t>
      </w:r>
    </w:p>
    <w:p w14:paraId="6DB4ABB8" w14:textId="77777777" w:rsidR="00C17DCE" w:rsidRDefault="00C17DCE">
      <w:pPr>
        <w:jc w:val="both"/>
        <w:rPr>
          <w:rtl/>
        </w:rPr>
      </w:pPr>
    </w:p>
    <w:p w14:paraId="472CB50B" w14:textId="77777777" w:rsidR="00C17DCE" w:rsidRDefault="00D759EB">
      <w:pPr>
        <w:ind w:left="2006" w:right="900" w:hanging="360"/>
        <w:jc w:val="both"/>
        <w:rPr>
          <w:rFonts w:cs="Miriam"/>
        </w:rPr>
      </w:pPr>
      <w:r>
        <w:rPr>
          <w:rFonts w:hint="cs"/>
          <w:rtl/>
        </w:rPr>
        <w:t>"</w:t>
      </w:r>
      <w:r>
        <w:rPr>
          <w:rFonts w:cs="Miriam" w:hint="cs"/>
          <w:rtl/>
        </w:rPr>
        <w:t xml:space="preserve">ש. מאז שעברת הכשרה כמה נשים בוגרות שהיה חשד שנאנסו, בדקת  </w:t>
      </w:r>
    </w:p>
    <w:p w14:paraId="192A42F0" w14:textId="77777777" w:rsidR="00C17DCE" w:rsidRDefault="00D759EB">
      <w:pPr>
        <w:ind w:left="2006" w:right="900" w:hanging="360"/>
        <w:jc w:val="both"/>
        <w:rPr>
          <w:rFonts w:cs="Miriam"/>
        </w:rPr>
      </w:pPr>
      <w:r>
        <w:rPr>
          <w:rFonts w:cs="Miriam" w:hint="cs"/>
          <w:rtl/>
        </w:rPr>
        <w:t xml:space="preserve"> ת. </w:t>
      </w:r>
      <w:r w:rsidR="005644D6">
        <w:rPr>
          <w:rFonts w:cs="Miriam" w:hint="cs"/>
          <w:rtl/>
        </w:rPr>
        <w:t xml:space="preserve"> </w:t>
      </w:r>
      <w:r>
        <w:rPr>
          <w:rFonts w:cs="Miriam" w:hint="cs"/>
          <w:rtl/>
        </w:rPr>
        <w:t xml:space="preserve">זאת הראשונה. </w:t>
      </w:r>
    </w:p>
    <w:p w14:paraId="05569FCC" w14:textId="77777777" w:rsidR="00C17DCE" w:rsidRDefault="00D759EB">
      <w:pPr>
        <w:ind w:left="2006" w:right="900" w:hanging="360"/>
        <w:jc w:val="both"/>
        <w:rPr>
          <w:rFonts w:cs="Miriam"/>
          <w:rtl/>
        </w:rPr>
      </w:pPr>
      <w:r>
        <w:rPr>
          <w:rFonts w:cs="Miriam" w:hint="cs"/>
          <w:rtl/>
        </w:rPr>
        <w:t xml:space="preserve"> ש. </w:t>
      </w:r>
      <w:r w:rsidR="005644D6">
        <w:rPr>
          <w:rFonts w:cs="Miriam" w:hint="cs"/>
          <w:rtl/>
        </w:rPr>
        <w:t xml:space="preserve"> </w:t>
      </w:r>
      <w:r>
        <w:rPr>
          <w:rFonts w:cs="Miriam" w:hint="cs"/>
          <w:rtl/>
        </w:rPr>
        <w:t xml:space="preserve">נכון גם לומר שזה היה מקרה חריג, כי בדרך כלל אתם לא בודקים נשים  בוגרות שיש חשד שעברו התעללות מינית או אונס ? </w:t>
      </w:r>
    </w:p>
    <w:p w14:paraId="673D07D5" w14:textId="77777777" w:rsidR="00C17DCE" w:rsidRDefault="00D759EB">
      <w:pPr>
        <w:ind w:left="2006" w:right="900" w:hanging="360"/>
        <w:jc w:val="both"/>
        <w:rPr>
          <w:rtl/>
        </w:rPr>
      </w:pPr>
      <w:r>
        <w:rPr>
          <w:rFonts w:cs="Miriam" w:hint="cs"/>
          <w:rtl/>
        </w:rPr>
        <w:t xml:space="preserve">  ת. נכון</w:t>
      </w:r>
      <w:r>
        <w:rPr>
          <w:rFonts w:hint="cs"/>
          <w:rtl/>
        </w:rPr>
        <w:t xml:space="preserve">" (עמ' 91 לפרוטוקול שורה 16). </w:t>
      </w:r>
    </w:p>
    <w:p w14:paraId="2B627575" w14:textId="77777777" w:rsidR="00C17DCE" w:rsidRDefault="00C17DCE">
      <w:pPr>
        <w:spacing w:line="360" w:lineRule="auto"/>
        <w:ind w:left="720" w:firstLine="720"/>
        <w:jc w:val="both"/>
        <w:rPr>
          <w:rtl/>
        </w:rPr>
      </w:pPr>
    </w:p>
    <w:p w14:paraId="7B40E5BD" w14:textId="77777777" w:rsidR="00C17DCE" w:rsidRDefault="00D759EB">
      <w:pPr>
        <w:ind w:left="1440" w:right="900"/>
        <w:jc w:val="both"/>
        <w:rPr>
          <w:rtl/>
        </w:rPr>
      </w:pPr>
      <w:r>
        <w:rPr>
          <w:rFonts w:hint="cs"/>
          <w:rtl/>
        </w:rPr>
        <w:t>"</w:t>
      </w:r>
      <w:r>
        <w:rPr>
          <w:rFonts w:cs="Miriam" w:hint="cs"/>
          <w:rtl/>
        </w:rPr>
        <w:t>כיוון שאני לא רופאת נשים וזאת האישה הראשונה שבדקתי, ישר אמרתי למשטרה שאת התמונות אני מעבירה לאבו כביר שרופא משפטי יעשה את זה</w:t>
      </w:r>
      <w:r>
        <w:rPr>
          <w:rFonts w:hint="cs"/>
          <w:rtl/>
        </w:rPr>
        <w:t>" (עמ' 92 לפרוטוקול ש' 9)</w:t>
      </w:r>
    </w:p>
    <w:p w14:paraId="03BA7482" w14:textId="77777777" w:rsidR="00C17DCE" w:rsidRDefault="00C17DCE">
      <w:pPr>
        <w:ind w:left="1440" w:right="900"/>
        <w:jc w:val="both"/>
        <w:rPr>
          <w:rtl/>
        </w:rPr>
      </w:pPr>
    </w:p>
    <w:p w14:paraId="2314419F" w14:textId="77777777" w:rsidR="00C17DCE" w:rsidRDefault="00D759EB">
      <w:pPr>
        <w:ind w:left="2186" w:right="900" w:hanging="720"/>
        <w:jc w:val="both"/>
        <w:rPr>
          <w:rFonts w:cs="Miriam"/>
          <w:rtl/>
        </w:rPr>
      </w:pPr>
      <w:r>
        <w:rPr>
          <w:rFonts w:hint="cs"/>
          <w:rtl/>
        </w:rPr>
        <w:t>"</w:t>
      </w:r>
      <w:r>
        <w:rPr>
          <w:rFonts w:cs="Miriam" w:hint="cs"/>
          <w:rtl/>
        </w:rPr>
        <w:t>ש.</w:t>
      </w:r>
      <w:r w:rsidR="005644D6">
        <w:rPr>
          <w:rFonts w:cs="Miriam" w:hint="cs"/>
          <w:rtl/>
        </w:rPr>
        <w:t xml:space="preserve"> </w:t>
      </w:r>
      <w:r>
        <w:rPr>
          <w:rFonts w:cs="Miriam" w:hint="cs"/>
          <w:rtl/>
        </w:rPr>
        <w:t xml:space="preserve">איך מנגנון חדירת פין בזיקפה, יכולה לגרום לחבלות ? </w:t>
      </w:r>
    </w:p>
    <w:p w14:paraId="5B26328C" w14:textId="77777777" w:rsidR="00C17DCE" w:rsidRDefault="00D759EB">
      <w:pPr>
        <w:ind w:left="2186" w:right="900" w:hanging="720"/>
        <w:jc w:val="both"/>
        <w:rPr>
          <w:rFonts w:cs="Miriam"/>
          <w:rtl/>
        </w:rPr>
      </w:pPr>
      <w:r>
        <w:rPr>
          <w:rFonts w:cs="Miriam" w:hint="cs"/>
          <w:rtl/>
        </w:rPr>
        <w:t xml:space="preserve"> ת.</w:t>
      </w:r>
      <w:r w:rsidR="005644D6">
        <w:rPr>
          <w:rFonts w:cs="Miriam" w:hint="cs"/>
          <w:rtl/>
        </w:rPr>
        <w:t xml:space="preserve"> </w:t>
      </w:r>
      <w:r>
        <w:rPr>
          <w:rFonts w:cs="Miriam" w:hint="cs"/>
          <w:rtl/>
        </w:rPr>
        <w:t xml:space="preserve">להגיד איך בדיוק נגרמו החבלות - אני לא יכולה, אני לא יודעת </w:t>
      </w:r>
    </w:p>
    <w:p w14:paraId="636E1121" w14:textId="77777777" w:rsidR="00C17DCE" w:rsidRDefault="00D759EB">
      <w:pPr>
        <w:ind w:left="2186" w:right="900" w:hanging="720"/>
        <w:jc w:val="both"/>
        <w:rPr>
          <w:rFonts w:cs="Miriam"/>
          <w:rtl/>
        </w:rPr>
      </w:pPr>
      <w:r>
        <w:rPr>
          <w:rFonts w:cs="Miriam" w:hint="cs"/>
          <w:rtl/>
        </w:rPr>
        <w:t xml:space="preserve">      אם היתה התנגדות או לא, אך פגיעה של גוף קשיח יכולה </w:t>
      </w:r>
    </w:p>
    <w:p w14:paraId="10940AE3" w14:textId="77777777" w:rsidR="00C17DCE" w:rsidRDefault="00D759EB">
      <w:pPr>
        <w:ind w:left="2186" w:right="900" w:hanging="720"/>
        <w:jc w:val="both"/>
        <w:rPr>
          <w:rFonts w:cs="Miriam"/>
          <w:rtl/>
        </w:rPr>
      </w:pPr>
      <w:r>
        <w:rPr>
          <w:rFonts w:cs="Miriam" w:hint="cs"/>
          <w:rtl/>
        </w:rPr>
        <w:t xml:space="preserve">      לגרום לחבלה. אני לא עושה על דוכן העדים חוות דעת מומחה </w:t>
      </w:r>
    </w:p>
    <w:p w14:paraId="1A726F86" w14:textId="77777777" w:rsidR="00C17DCE" w:rsidRDefault="00D759EB">
      <w:pPr>
        <w:ind w:left="2186" w:right="900" w:hanging="720"/>
        <w:jc w:val="both"/>
        <w:rPr>
          <w:rtl/>
        </w:rPr>
      </w:pPr>
      <w:r>
        <w:rPr>
          <w:rFonts w:cs="Miriam" w:hint="cs"/>
          <w:rtl/>
        </w:rPr>
        <w:t xml:space="preserve">      נכון? חוות דעת רושמים, זה לוקח ימים ושעות"</w:t>
      </w:r>
      <w:r>
        <w:rPr>
          <w:rFonts w:hint="cs"/>
          <w:rtl/>
        </w:rPr>
        <w:t xml:space="preserve">. (עמ' 94 לפרוטוקול ש' 8). </w:t>
      </w:r>
    </w:p>
    <w:p w14:paraId="332D1EFA" w14:textId="77777777" w:rsidR="00C17DCE" w:rsidRDefault="00C17DCE">
      <w:pPr>
        <w:spacing w:line="360" w:lineRule="auto"/>
        <w:ind w:left="720"/>
        <w:jc w:val="both"/>
        <w:rPr>
          <w:rtl/>
        </w:rPr>
      </w:pPr>
    </w:p>
    <w:p w14:paraId="650A389B" w14:textId="77777777" w:rsidR="00C17DCE" w:rsidRDefault="00D759EB">
      <w:pPr>
        <w:spacing w:line="360" w:lineRule="auto"/>
        <w:ind w:left="511"/>
        <w:jc w:val="both"/>
        <w:rPr>
          <w:rtl/>
        </w:rPr>
      </w:pPr>
      <w:r>
        <w:rPr>
          <w:rFonts w:hint="cs"/>
          <w:rtl/>
        </w:rPr>
        <w:t>במאמר מוסגר אציין כי העדה דר' כנעני לא שללה האפשרות כי אחד הממצאים עלול להיגרם מהכנסת קטטר ואין מחלוקת כי במסגרת הטפול במתלוננת נעשה שימוש בקטטר, (עמוד 92 לפרוטוקול שורה 9).</w:t>
      </w:r>
    </w:p>
    <w:p w14:paraId="542A7FB4" w14:textId="77777777" w:rsidR="00C17DCE" w:rsidRDefault="00C17DCE">
      <w:pPr>
        <w:ind w:left="511"/>
        <w:jc w:val="both"/>
        <w:rPr>
          <w:rtl/>
        </w:rPr>
      </w:pPr>
    </w:p>
    <w:p w14:paraId="7D71FDB8" w14:textId="77777777" w:rsidR="00C17DCE" w:rsidRDefault="00D759EB">
      <w:pPr>
        <w:spacing w:line="360" w:lineRule="auto"/>
        <w:ind w:left="511"/>
        <w:jc w:val="both"/>
        <w:rPr>
          <w:rtl/>
        </w:rPr>
      </w:pPr>
      <w:r>
        <w:rPr>
          <w:rFonts w:hint="cs"/>
          <w:rtl/>
        </w:rPr>
        <w:t>למעשה גם העד היחידי שהינו מומחה בתחום, דר' זייצב שהגיש חוות דעת (ת/59) וחוות דעת משלימה (ת/59א) ונחקר לגבי תוכנן, הותיר ספק סביר שאינו מאפשר קביעת ממצאים מרשיעים לגבי עבירת האינוס.  מן הראוי להבהיר כי המתלוננת הובאה לבדיקה בפני דר' זייצב רק בחלוף כשבועיים, כך שהוא לא בדק אותה בדיקה וגינאלית או גניקולוגית וכל שנותר לו היה לצפות בתמונות שצולמו ביום האירוע.</w:t>
      </w:r>
    </w:p>
    <w:p w14:paraId="191F7A2D" w14:textId="77777777" w:rsidR="00C17DCE" w:rsidRDefault="00D759EB">
      <w:pPr>
        <w:numPr>
          <w:ilvl w:val="0"/>
          <w:numId w:val="7"/>
        </w:numPr>
        <w:spacing w:line="360" w:lineRule="auto"/>
        <w:jc w:val="both"/>
        <w:rPr>
          <w:u w:val="single"/>
        </w:rPr>
      </w:pPr>
      <w:r>
        <w:rPr>
          <w:rFonts w:hint="cs"/>
          <w:rtl/>
        </w:rPr>
        <w:t xml:space="preserve">בחוות דעתו ת/59 העריך דר' זייצב כי הממצאים" </w:t>
      </w:r>
      <w:r>
        <w:rPr>
          <w:rFonts w:cs="Miriam" w:hint="cs"/>
          <w:rtl/>
        </w:rPr>
        <w:t>מתיישבים עם החדרת גוף קשיח כגון אצבע או פין בזקפה לפות",</w:t>
      </w:r>
      <w:r>
        <w:rPr>
          <w:rFonts w:hint="cs"/>
          <w:rtl/>
        </w:rPr>
        <w:t xml:space="preserve"> אך בחוות דעתו המשלימה ת/59א' קבע "</w:t>
      </w:r>
      <w:r>
        <w:rPr>
          <w:rFonts w:cs="Miriam" w:hint="cs"/>
          <w:rtl/>
        </w:rPr>
        <w:t>אם כי לא ניתן לשלול שהממצאים הנ"ל נגרמו ממנגנונים אחרים כגון ניגוב עצמי כוחני של האיזור</w:t>
      </w:r>
      <w:r>
        <w:rPr>
          <w:rFonts w:hint="cs"/>
          <w:rtl/>
        </w:rPr>
        <w:t>". במהלך עדותו בפנינו, עדות מקצועית ואמינה, הותיר דר' זייצב את האפשרות של גרימת החבלות שלא בדרך של אינוס ואפנה לעדותו:</w:t>
      </w:r>
    </w:p>
    <w:p w14:paraId="679ECD6A" w14:textId="77777777" w:rsidR="00C17DCE" w:rsidRDefault="00C17DCE">
      <w:pPr>
        <w:spacing w:line="360" w:lineRule="auto"/>
        <w:jc w:val="both"/>
        <w:rPr>
          <w:u w:val="single"/>
          <w:rtl/>
        </w:rPr>
      </w:pPr>
    </w:p>
    <w:p w14:paraId="523B36C5" w14:textId="77777777" w:rsidR="00C17DCE" w:rsidRDefault="00D759EB">
      <w:pPr>
        <w:ind w:left="1646" w:right="900" w:hanging="360"/>
        <w:jc w:val="both"/>
        <w:rPr>
          <w:rFonts w:cs="Miriam"/>
        </w:rPr>
      </w:pPr>
      <w:r>
        <w:rPr>
          <w:rFonts w:cs="Miriam" w:hint="cs"/>
          <w:rtl/>
        </w:rPr>
        <w:t>"ש.</w:t>
      </w:r>
      <w:r w:rsidR="005644D6">
        <w:rPr>
          <w:rFonts w:cs="Miriam" w:hint="cs"/>
          <w:rtl/>
        </w:rPr>
        <w:t xml:space="preserve"> </w:t>
      </w:r>
      <w:r>
        <w:rPr>
          <w:rFonts w:cs="Miriam" w:hint="cs"/>
          <w:rtl/>
        </w:rPr>
        <w:t>קבעת בחוות הדעת כי פצעי השפשוף מתיישבים עם החדרת גוף קשיח, כגון אצבע, פין בזיקפה, ולאחר עיון בתמונות מסרת חוות דעת משלימה, בה חזרת על טענתך כי זה נגרם מהחדרת חפץ נוקשה כאמור, והוספת כי לא ניתן לשלול כי הממצאים נגרמו ממנגנונים אחרים, כגון ניגוב עצמי כוחני ספק של האיזור, מדוע הוספת דברים אלה, ומהם המנגנונים האחרים האפשריים?</w:t>
      </w:r>
    </w:p>
    <w:p w14:paraId="44B1068C" w14:textId="77777777" w:rsidR="00C17DCE" w:rsidRDefault="00D759EB">
      <w:pPr>
        <w:ind w:left="1646" w:right="900" w:hanging="206"/>
        <w:jc w:val="both"/>
      </w:pPr>
      <w:r>
        <w:rPr>
          <w:rFonts w:cs="Miriam" w:hint="cs"/>
          <w:rtl/>
        </w:rPr>
        <w:t>ת. הוספנו זאת לאחר בדיקת התמונות, פשוט אנו חייבים לתת אפשרויות אחרות שזה לא פתאום יעלה בבית משפט ולא יהיה לי לא נעים שלא הזכרתי משהו. איזור זה הוא יחסית חיצוני, ובאמת אנו מכירים מקרים שבזמן ניגוב כוחני אפשר לגרום חבלות כמו פצעי שפשוף או דימומים תת רירתיים או תת עורתיים. בנוסף לזה, אפשר לגרום חבלות אלה באמצעות החדרת חפצים אחרים זרים, היום אנו מכירים הרבה מקרים כאלה, וישנם מקרים כאלה. זה המשמעות אני לא יכול להוסיף יותר</w:t>
      </w:r>
      <w:r>
        <w:rPr>
          <w:rFonts w:hint="cs"/>
          <w:rtl/>
        </w:rPr>
        <w:t xml:space="preserve">", (עמוד 244 לפרוטוקול שורה 12). </w:t>
      </w:r>
    </w:p>
    <w:p w14:paraId="565500AD" w14:textId="77777777" w:rsidR="00C17DCE" w:rsidRDefault="00C17DCE">
      <w:pPr>
        <w:ind w:left="1646" w:right="900" w:hanging="360"/>
        <w:jc w:val="both"/>
        <w:rPr>
          <w:rFonts w:cs="Miriam"/>
          <w:rtl/>
        </w:rPr>
      </w:pPr>
    </w:p>
    <w:p w14:paraId="1607C232" w14:textId="77777777" w:rsidR="00C17DCE" w:rsidRDefault="00D759EB">
      <w:pPr>
        <w:ind w:left="1646" w:right="900" w:hanging="360"/>
        <w:jc w:val="both"/>
        <w:rPr>
          <w:rFonts w:cs="Miriam"/>
          <w:rtl/>
        </w:rPr>
      </w:pPr>
      <w:r>
        <w:rPr>
          <w:rFonts w:cs="Miriam" w:hint="cs"/>
          <w:rtl/>
        </w:rPr>
        <w:t>"ש.</w:t>
      </w:r>
      <w:r w:rsidR="005644D6">
        <w:rPr>
          <w:rFonts w:cs="Miriam" w:hint="cs"/>
          <w:rtl/>
        </w:rPr>
        <w:t xml:space="preserve"> </w:t>
      </w:r>
      <w:r>
        <w:rPr>
          <w:rFonts w:cs="Miriam" w:hint="cs"/>
          <w:rtl/>
        </w:rPr>
        <w:t>תסביר, מה הכוונה בניגוב עצמי כוחני?</w:t>
      </w:r>
    </w:p>
    <w:p w14:paraId="42B1A75E" w14:textId="77777777" w:rsidR="00C17DCE" w:rsidRDefault="00D759EB">
      <w:pPr>
        <w:ind w:left="1646" w:right="900" w:hanging="360"/>
        <w:jc w:val="both"/>
        <w:rPr>
          <w:rFonts w:cs="Miriam"/>
          <w:rtl/>
        </w:rPr>
      </w:pPr>
      <w:r>
        <w:rPr>
          <w:rFonts w:cs="Miriam" w:hint="cs"/>
          <w:rtl/>
        </w:rPr>
        <w:t xml:space="preserve"> ת.</w:t>
      </w:r>
      <w:r w:rsidR="005644D6">
        <w:rPr>
          <w:rFonts w:cs="Miriam" w:hint="cs"/>
          <w:rtl/>
        </w:rPr>
        <w:t xml:space="preserve">  </w:t>
      </w:r>
      <w:r>
        <w:rPr>
          <w:rFonts w:cs="Miriam" w:hint="cs"/>
          <w:rtl/>
        </w:rPr>
        <w:t>אם אישה מנקה את האיזור אפשר לגרום איזה שהם חבלות.</w:t>
      </w:r>
    </w:p>
    <w:p w14:paraId="346EAB9F" w14:textId="77777777" w:rsidR="00C17DCE" w:rsidRDefault="00D759EB">
      <w:pPr>
        <w:ind w:left="1646" w:right="900" w:hanging="360"/>
        <w:jc w:val="both"/>
        <w:rPr>
          <w:rFonts w:cs="Miriam"/>
          <w:rtl/>
        </w:rPr>
      </w:pPr>
      <w:r>
        <w:rPr>
          <w:rFonts w:cs="Miriam" w:hint="cs"/>
          <w:rtl/>
        </w:rPr>
        <w:t xml:space="preserve"> ש.</w:t>
      </w:r>
      <w:r w:rsidR="005644D6">
        <w:rPr>
          <w:rFonts w:cs="Miriam" w:hint="cs"/>
          <w:rtl/>
        </w:rPr>
        <w:t xml:space="preserve"> </w:t>
      </w:r>
      <w:r>
        <w:rPr>
          <w:rFonts w:cs="Miriam" w:hint="cs"/>
          <w:rtl/>
        </w:rPr>
        <w:t>תוך כדי מקלחת למשל?</w:t>
      </w:r>
    </w:p>
    <w:p w14:paraId="14BAD0E0" w14:textId="77777777" w:rsidR="00C17DCE" w:rsidRDefault="00D759EB">
      <w:pPr>
        <w:ind w:left="1646" w:right="900" w:hanging="360"/>
        <w:jc w:val="both"/>
        <w:rPr>
          <w:rFonts w:cs="Miriam"/>
          <w:rtl/>
        </w:rPr>
      </w:pPr>
      <w:r>
        <w:rPr>
          <w:rFonts w:cs="Miriam" w:hint="cs"/>
          <w:rtl/>
        </w:rPr>
        <w:t xml:space="preserve"> ת.</w:t>
      </w:r>
      <w:r w:rsidR="005644D6">
        <w:rPr>
          <w:rFonts w:cs="Miriam" w:hint="cs"/>
          <w:rtl/>
        </w:rPr>
        <w:t xml:space="preserve"> </w:t>
      </w:r>
      <w:r>
        <w:rPr>
          <w:rFonts w:cs="Miriam" w:hint="cs"/>
          <w:rtl/>
        </w:rPr>
        <w:t>תוך כדי מקלחת, תוך כדי שהיא בשירותים תוך כדי כל מיני פעולות  באזור זה.</w:t>
      </w:r>
    </w:p>
    <w:p w14:paraId="5DEBDA3E" w14:textId="77777777" w:rsidR="00C17DCE" w:rsidRDefault="00D759EB">
      <w:pPr>
        <w:ind w:left="1646" w:right="900" w:hanging="360"/>
        <w:jc w:val="both"/>
        <w:rPr>
          <w:rFonts w:cs="Miriam"/>
          <w:rtl/>
        </w:rPr>
      </w:pPr>
      <w:r>
        <w:rPr>
          <w:rFonts w:cs="Miriam" w:hint="cs"/>
          <w:rtl/>
        </w:rPr>
        <w:t xml:space="preserve"> ש.</w:t>
      </w:r>
      <w:r w:rsidR="005644D6">
        <w:rPr>
          <w:rFonts w:cs="Miriam" w:hint="cs"/>
          <w:rtl/>
        </w:rPr>
        <w:t xml:space="preserve"> </w:t>
      </w:r>
      <w:r>
        <w:rPr>
          <w:rFonts w:cs="Miriam" w:hint="cs"/>
          <w:rtl/>
        </w:rPr>
        <w:t>אם נניח שאותם תוקפים שהיו בדירת המתלוננת הורידו לה את הבגדים וניקו את האזור הזה באופן כוחני, אגרסיבי ואלים על מנת להעלים עקבות דם באזור – האם פעולה כזו יכולה היתה לגרום לחבלות אלה?</w:t>
      </w:r>
    </w:p>
    <w:p w14:paraId="3C20778E" w14:textId="77777777" w:rsidR="00C17DCE" w:rsidRDefault="00D759EB">
      <w:pPr>
        <w:ind w:left="1646" w:right="900" w:hanging="360"/>
        <w:jc w:val="both"/>
        <w:rPr>
          <w:rtl/>
        </w:rPr>
      </w:pPr>
      <w:r>
        <w:rPr>
          <w:rFonts w:cs="Miriam" w:hint="cs"/>
          <w:rtl/>
        </w:rPr>
        <w:t xml:space="preserve"> ת.</w:t>
      </w:r>
      <w:r w:rsidR="005644D6">
        <w:rPr>
          <w:rFonts w:cs="Miriam" w:hint="cs"/>
          <w:rtl/>
        </w:rPr>
        <w:t xml:space="preserve"> </w:t>
      </w:r>
      <w:r>
        <w:rPr>
          <w:rFonts w:cs="Miriam" w:hint="cs"/>
          <w:rtl/>
        </w:rPr>
        <w:t>אני לא יכול לשלול את זה, זה מה שכתבתי"</w:t>
      </w:r>
      <w:r>
        <w:rPr>
          <w:rFonts w:hint="cs"/>
          <w:rtl/>
        </w:rPr>
        <w:t xml:space="preserve"> (עמוד 251 לפרוטוקול שורה 21).</w:t>
      </w:r>
    </w:p>
    <w:p w14:paraId="4497662A" w14:textId="77777777" w:rsidR="00C17DCE" w:rsidRDefault="00C17DCE">
      <w:pPr>
        <w:spacing w:line="360" w:lineRule="auto"/>
        <w:jc w:val="both"/>
        <w:rPr>
          <w:rtl/>
        </w:rPr>
      </w:pPr>
    </w:p>
    <w:p w14:paraId="7F374274" w14:textId="77777777" w:rsidR="00C17DCE" w:rsidRDefault="00D759EB">
      <w:pPr>
        <w:spacing w:line="360" w:lineRule="auto"/>
        <w:ind w:left="720"/>
        <w:jc w:val="both"/>
        <w:rPr>
          <w:rtl/>
        </w:rPr>
      </w:pPr>
      <w:r>
        <w:rPr>
          <w:rFonts w:hint="cs"/>
          <w:rtl/>
        </w:rPr>
        <w:t>יובהר כי דר' זייצב שלל היווצרות החבלות ממכות או בעיטות (עמוד 247 לפרוטוקול), לגבי קטטר כגורם לחבלות בשל העדר מומחיות בתחום, לא היתה תשובתו חד משמעית (עמוד 248 לפרוטוקול שורה 9).</w:t>
      </w:r>
    </w:p>
    <w:p w14:paraId="05FD5D3F" w14:textId="77777777" w:rsidR="00C17DCE" w:rsidRDefault="00D759EB">
      <w:pPr>
        <w:jc w:val="both"/>
        <w:rPr>
          <w:b/>
          <w:bCs/>
          <w:rtl/>
        </w:rPr>
      </w:pPr>
      <w:r>
        <w:rPr>
          <w:rFonts w:hint="cs"/>
          <w:b/>
          <w:bCs/>
          <w:rtl/>
        </w:rPr>
        <w:t xml:space="preserve"> </w:t>
      </w:r>
    </w:p>
    <w:p w14:paraId="63EEEC29" w14:textId="77777777" w:rsidR="00C17DCE" w:rsidRDefault="00C17DCE">
      <w:pPr>
        <w:jc w:val="both"/>
        <w:rPr>
          <w:b/>
          <w:bCs/>
          <w:rtl/>
        </w:rPr>
      </w:pPr>
    </w:p>
    <w:p w14:paraId="5FE6DC86" w14:textId="77777777" w:rsidR="00C17DCE" w:rsidRDefault="00C17DCE">
      <w:pPr>
        <w:jc w:val="both"/>
        <w:rPr>
          <w:b/>
          <w:bCs/>
          <w:rtl/>
        </w:rPr>
      </w:pPr>
    </w:p>
    <w:p w14:paraId="36A6F5A5" w14:textId="77777777" w:rsidR="00C17DCE" w:rsidRDefault="00C17DCE">
      <w:pPr>
        <w:jc w:val="both"/>
        <w:rPr>
          <w:b/>
          <w:bCs/>
          <w:rtl/>
        </w:rPr>
      </w:pPr>
    </w:p>
    <w:p w14:paraId="3E2A832C" w14:textId="77777777" w:rsidR="00C17DCE" w:rsidRDefault="00D759EB">
      <w:pPr>
        <w:numPr>
          <w:ilvl w:val="0"/>
          <w:numId w:val="7"/>
        </w:numPr>
        <w:spacing w:line="360" w:lineRule="auto"/>
        <w:jc w:val="both"/>
        <w:rPr>
          <w:rtl/>
        </w:rPr>
      </w:pPr>
      <w:r>
        <w:rPr>
          <w:rFonts w:hint="cs"/>
          <w:rtl/>
        </w:rPr>
        <w:t>המאשימה הביאה לעדות את אסנת האחות שביצעה לכאורה את פעולות הכנסת הקטטר (ת/46א' ועדותה בעמוד 256 לפרוטוקול שורה 32 ואילך ודוגמת קטטר ת/61), אני מניח כי בעת הכנסת הקטטר או הוצאתו לא נגרמו חבלות במכוון וייתכן ומקור השפשופים אחר, אך אין בכך כדי להצביע על ממצא פוזיטיבי שגרם לאותם סימנים.</w:t>
      </w:r>
    </w:p>
    <w:p w14:paraId="7FF70CB7" w14:textId="77777777" w:rsidR="00C17DCE" w:rsidRDefault="00C17DCE">
      <w:pPr>
        <w:jc w:val="both"/>
      </w:pPr>
    </w:p>
    <w:p w14:paraId="43AFD199" w14:textId="77777777" w:rsidR="00C17DCE" w:rsidRDefault="00D759EB">
      <w:pPr>
        <w:numPr>
          <w:ilvl w:val="0"/>
          <w:numId w:val="7"/>
        </w:numPr>
        <w:jc w:val="both"/>
      </w:pPr>
      <w:r>
        <w:rPr>
          <w:rFonts w:hint="cs"/>
          <w:rtl/>
        </w:rPr>
        <w:t>זה השלב להזכיר מהותו של הספק במשפט הפלילי ואפנה ל</w:t>
      </w:r>
      <w:hyperlink r:id="rId61" w:history="1">
        <w:r w:rsidR="005644D6" w:rsidRPr="005644D6">
          <w:rPr>
            <w:rStyle w:val="Hyperlink"/>
            <w:rFonts w:hint="eastAsia"/>
            <w:rtl/>
          </w:rPr>
          <w:t>ע</w:t>
        </w:r>
        <w:r w:rsidR="005644D6" w:rsidRPr="005644D6">
          <w:rPr>
            <w:rStyle w:val="Hyperlink"/>
            <w:rtl/>
          </w:rPr>
          <w:t>"</w:t>
        </w:r>
        <w:r w:rsidR="005644D6" w:rsidRPr="005644D6">
          <w:rPr>
            <w:rStyle w:val="Hyperlink"/>
            <w:rFonts w:hint="eastAsia"/>
            <w:rtl/>
          </w:rPr>
          <w:t>פ</w:t>
        </w:r>
        <w:r w:rsidR="005644D6" w:rsidRPr="005644D6">
          <w:rPr>
            <w:rStyle w:val="Hyperlink"/>
            <w:rtl/>
          </w:rPr>
          <w:t xml:space="preserve"> 9482/09</w:t>
        </w:r>
      </w:hyperlink>
      <w:r>
        <w:rPr>
          <w:rFonts w:hint="cs"/>
          <w:rtl/>
        </w:rPr>
        <w:t>:</w:t>
      </w:r>
    </w:p>
    <w:p w14:paraId="4B08C401" w14:textId="77777777" w:rsidR="00C17DCE" w:rsidRDefault="00C17DCE">
      <w:pPr>
        <w:jc w:val="both"/>
        <w:rPr>
          <w:rtl/>
        </w:rPr>
      </w:pPr>
    </w:p>
    <w:p w14:paraId="2A544A02" w14:textId="77777777" w:rsidR="00C17DCE" w:rsidRDefault="00D759EB">
      <w:pPr>
        <w:pStyle w:val="Ruller40"/>
        <w:tabs>
          <w:tab w:val="clear" w:pos="800"/>
          <w:tab w:val="num" w:pos="972"/>
        </w:tabs>
        <w:spacing w:line="240" w:lineRule="auto"/>
        <w:ind w:left="945" w:right="900"/>
        <w:rPr>
          <w:rFonts w:cs="Miriam"/>
          <w:sz w:val="24"/>
          <w:szCs w:val="24"/>
        </w:rPr>
      </w:pPr>
      <w:r>
        <w:rPr>
          <w:rFonts w:cs="Miriam" w:hint="cs"/>
          <w:sz w:val="24"/>
          <w:szCs w:val="24"/>
          <w:rtl/>
        </w:rPr>
        <w:t>"עקרון יסוד הוא במשפטנו כי לא ישא אדם באחריות פלילית לעבירה אלא אם כן הוכחה אחריותו לביצועה מעבר לספק סביר (ראו סעיף 34כב(א) ל</w:t>
      </w:r>
      <w:hyperlink r:id="rId62" w:history="1">
        <w:r w:rsidR="005644D6" w:rsidRPr="005644D6">
          <w:rPr>
            <w:rStyle w:val="Hyperlink"/>
            <w:rFonts w:cs="Miriam"/>
            <w:sz w:val="24"/>
            <w:szCs w:val="24"/>
            <w:rtl/>
          </w:rPr>
          <w:t>חוק העונשין</w:t>
        </w:r>
      </w:hyperlink>
      <w:r>
        <w:rPr>
          <w:rFonts w:cs="Miriam" w:hint="cs"/>
          <w:sz w:val="24"/>
          <w:szCs w:val="24"/>
          <w:rtl/>
        </w:rPr>
        <w:t>, תשל"ז-1977). "</w:t>
      </w:r>
      <w:r>
        <w:rPr>
          <w:rFonts w:ascii="Times New Roman" w:hAnsi="Times New Roman" w:cs="Miriam" w:hint="cs"/>
          <w:sz w:val="24"/>
          <w:szCs w:val="24"/>
          <w:rtl/>
        </w:rPr>
        <w:t>...ספק סביר ספק ממשי הוא ולא די בהעלאת השערות או אפשרויות תיאורטיות גרידא" (</w:t>
      </w:r>
      <w:r w:rsidR="001B74FB" w:rsidRPr="00C76660">
        <w:rPr>
          <w:rFonts w:ascii="Times New Roman" w:hAnsi="Times New Roman" w:cs="Miriam"/>
          <w:color w:val="000000"/>
          <w:sz w:val="24"/>
          <w:szCs w:val="24"/>
          <w:rtl/>
        </w:rPr>
        <w:t>ע"פ 2331/08</w:t>
      </w:r>
      <w:r>
        <w:rPr>
          <w:rFonts w:ascii="Times New Roman" w:hAnsi="Times New Roman" w:cs="Miriam" w:hint="cs"/>
          <w:sz w:val="24"/>
          <w:szCs w:val="24"/>
          <w:rtl/>
        </w:rPr>
        <w:t xml:space="preserve"> </w:t>
      </w:r>
      <w:r>
        <w:rPr>
          <w:rFonts w:ascii="Times New Roman" w:hAnsi="Times New Roman" w:cs="Miriam" w:hint="cs"/>
          <w:b/>
          <w:bCs/>
          <w:spacing w:val="0"/>
          <w:sz w:val="24"/>
          <w:szCs w:val="24"/>
          <w:rtl/>
        </w:rPr>
        <w:t>קסטרו נ' מדינת ישראל</w:t>
      </w:r>
      <w:r>
        <w:rPr>
          <w:rFonts w:ascii="Times New Roman" w:hAnsi="Times New Roman" w:cs="Miriam" w:hint="cs"/>
          <w:sz w:val="24"/>
          <w:szCs w:val="24"/>
          <w:rtl/>
        </w:rPr>
        <w:t xml:space="preserve">, פס' 11 לפסק דינה של השופטת ארבל (טרם פורסם, 20.4.2009) (להלן: </w:t>
      </w:r>
      <w:r>
        <w:rPr>
          <w:rFonts w:ascii="Times New Roman" w:hAnsi="Times New Roman" w:cs="Miriam" w:hint="cs"/>
          <w:spacing w:val="0"/>
          <w:sz w:val="24"/>
          <w:szCs w:val="24"/>
          <w:rtl/>
        </w:rPr>
        <w:t>פרשת קסטרו</w:t>
      </w:r>
      <w:r>
        <w:rPr>
          <w:rFonts w:ascii="Times New Roman" w:hAnsi="Times New Roman" w:cs="Miriam" w:hint="cs"/>
          <w:sz w:val="24"/>
          <w:szCs w:val="24"/>
          <w:rtl/>
        </w:rPr>
        <w:t xml:space="preserve">)). </w:t>
      </w:r>
      <w:r>
        <w:rPr>
          <w:rFonts w:cs="Miriam" w:hint="cs"/>
          <w:sz w:val="24"/>
          <w:szCs w:val="24"/>
          <w:rtl/>
        </w:rPr>
        <w:t>...."מידת ההוכחה הנדרשת במשפט הפלילי אינה אפוא של ודאות מוחלטת, אלא של שכנוע מעל ספק סביר. ספק זה מתגבש כאשר 'ההסתברות לחפות, העולה מן הראיות, היא ממשית ואינה אך בגדר אפשרות רחוקה תיאורטית'</w:t>
      </w:r>
      <w:r>
        <w:rPr>
          <w:rFonts w:ascii="Times New Roman" w:hAnsi="Times New Roman" w:cs="Miriam" w:hint="cs"/>
          <w:sz w:val="24"/>
          <w:szCs w:val="24"/>
          <w:rtl/>
        </w:rPr>
        <w:t>" (</w:t>
      </w:r>
      <w:r>
        <w:rPr>
          <w:rFonts w:ascii="Times New Roman" w:hAnsi="Times New Roman" w:cs="Miriam" w:hint="cs"/>
          <w:spacing w:val="0"/>
          <w:sz w:val="24"/>
          <w:szCs w:val="24"/>
          <w:rtl/>
        </w:rPr>
        <w:t xml:space="preserve">פרשת קסטרו </w:t>
      </w:r>
      <w:r>
        <w:rPr>
          <w:rFonts w:ascii="Times New Roman" w:hAnsi="Times New Roman" w:cs="Miriam" w:hint="cs"/>
          <w:sz w:val="24"/>
          <w:szCs w:val="24"/>
          <w:rtl/>
        </w:rPr>
        <w:t xml:space="preserve">, פס' 11)", </w:t>
      </w:r>
      <w:hyperlink r:id="rId63" w:history="1">
        <w:r w:rsidR="005644D6" w:rsidRPr="005644D6">
          <w:rPr>
            <w:rStyle w:val="Hyperlink"/>
            <w:rFonts w:ascii="Times New Roman" w:hAnsi="Times New Roman" w:cs="Miriam"/>
            <w:sz w:val="24"/>
            <w:szCs w:val="24"/>
            <w:rtl/>
          </w:rPr>
          <w:t>ע"פ 9482/09</w:t>
        </w:r>
      </w:hyperlink>
      <w:r>
        <w:rPr>
          <w:rFonts w:ascii="Times New Roman" w:hAnsi="Times New Roman" w:cs="Miriam" w:hint="cs"/>
          <w:sz w:val="24"/>
          <w:szCs w:val="24"/>
          <w:rtl/>
        </w:rPr>
        <w:t xml:space="preserve"> </w:t>
      </w:r>
      <w:r>
        <w:rPr>
          <w:rFonts w:ascii="Times New Roman" w:hAnsi="Times New Roman" w:cs="Miriam" w:hint="cs"/>
          <w:b/>
          <w:bCs/>
          <w:sz w:val="24"/>
          <w:szCs w:val="24"/>
          <w:rtl/>
        </w:rPr>
        <w:t>שמעון ביטון נגד מדינת ישראל</w:t>
      </w:r>
      <w:r>
        <w:rPr>
          <w:rFonts w:ascii="Times New Roman" w:hAnsi="Times New Roman" w:cs="Miriam" w:hint="cs"/>
          <w:sz w:val="24"/>
          <w:szCs w:val="24"/>
          <w:rtl/>
        </w:rPr>
        <w:t xml:space="preserve">. </w:t>
      </w:r>
    </w:p>
    <w:p w14:paraId="7EA7FAED" w14:textId="77777777" w:rsidR="00C17DCE" w:rsidRDefault="00D759EB">
      <w:pPr>
        <w:pStyle w:val="Ruller40"/>
        <w:tabs>
          <w:tab w:val="clear" w:pos="800"/>
          <w:tab w:val="num" w:pos="972"/>
        </w:tabs>
        <w:ind w:left="2160" w:right="540"/>
        <w:rPr>
          <w:rFonts w:cs="David"/>
          <w:sz w:val="24"/>
          <w:szCs w:val="24"/>
          <w:rtl/>
        </w:rPr>
      </w:pPr>
      <w:r>
        <w:rPr>
          <w:rFonts w:cs="David" w:hint="cs"/>
          <w:sz w:val="24"/>
          <w:szCs w:val="24"/>
          <w:rtl/>
        </w:rPr>
        <w:t xml:space="preserve"> </w:t>
      </w:r>
    </w:p>
    <w:p w14:paraId="0D524BE3" w14:textId="77777777" w:rsidR="00C17DCE" w:rsidRDefault="00D759EB">
      <w:pPr>
        <w:numPr>
          <w:ilvl w:val="0"/>
          <w:numId w:val="7"/>
        </w:numPr>
        <w:spacing w:line="360" w:lineRule="auto"/>
        <w:jc w:val="both"/>
        <w:rPr>
          <w:rtl/>
        </w:rPr>
      </w:pPr>
      <w:r>
        <w:rPr>
          <w:rFonts w:hint="cs"/>
          <w:rtl/>
        </w:rPr>
        <w:t>המאשימה מעוררת בסיכומיה את השאלה, מדוע לא הוצגה בפני המתלוננת בחקירתה הנגדית הטענה כי בגדיה הורדו- בהסכמתה בשל הטענה כי דמו של נאשם 1 ניתז עליהם.  המסקנה המתבקשת על ידה ובצדק  היא כי המתלוננת היתה שוללת גרסה זו, אך אין בכך כדי לבסס ממצא מפליל כל שהוא באשר לאינוס.</w:t>
      </w:r>
    </w:p>
    <w:p w14:paraId="29360B9F" w14:textId="77777777" w:rsidR="00C17DCE" w:rsidRDefault="00C17DCE">
      <w:pPr>
        <w:jc w:val="both"/>
      </w:pPr>
    </w:p>
    <w:p w14:paraId="1968A988" w14:textId="77777777" w:rsidR="00C17DCE" w:rsidRDefault="00D759EB">
      <w:pPr>
        <w:numPr>
          <w:ilvl w:val="0"/>
          <w:numId w:val="7"/>
        </w:numPr>
        <w:spacing w:line="360" w:lineRule="auto"/>
        <w:jc w:val="both"/>
        <w:rPr>
          <w:rtl/>
        </w:rPr>
      </w:pPr>
      <w:r>
        <w:rPr>
          <w:rFonts w:hint="cs"/>
          <w:rtl/>
        </w:rPr>
        <w:t>מיותר לציין כי חשד של הצוות הרפואי לקיום אונס-כטענת המאשימה בעמוד 28 לסיכומיה, המביא לטיפול במתלוננת כנפגעת עבירת אונס, ייתכן ויש בו לתאר פרוצדורה רפואית מסוימת, אך אין בינו לבין דיני הראיות במשפט הפלילי דבר.</w:t>
      </w:r>
    </w:p>
    <w:p w14:paraId="5F3C86EB" w14:textId="77777777" w:rsidR="00C17DCE" w:rsidRDefault="00C17DCE">
      <w:pPr>
        <w:jc w:val="both"/>
      </w:pPr>
    </w:p>
    <w:p w14:paraId="3010CE46" w14:textId="77777777" w:rsidR="00C17DCE" w:rsidRDefault="00D759EB">
      <w:pPr>
        <w:numPr>
          <w:ilvl w:val="0"/>
          <w:numId w:val="7"/>
        </w:numPr>
        <w:spacing w:line="360" w:lineRule="auto"/>
        <w:jc w:val="both"/>
      </w:pPr>
      <w:r>
        <w:rPr>
          <w:rFonts w:hint="cs"/>
          <w:rtl/>
        </w:rPr>
        <w:t>לסיכום, המאשימה לא הוכיחה ברמה הדרושה במשפט פלילי כי סימני השפשוף שנמצאו בפות (באזור קליטוריס, שפות הפות ואזור הפורשט) נגרמו ע"י הנאשמים או כי הם נעשו באמצעות החדרת איבר מאיברי הגוף של מי מהנאשמים או חפץ לאיבר מינה ולכן אני סבור כי יש לזכות הנאשמים מעבירת האינוס- עבירה לפי סעיף 345(ב)(3)+(4)+(5) בנסיבות סעיף  345(א)(1)+(4)+29 לחוק.</w:t>
      </w:r>
    </w:p>
    <w:p w14:paraId="0FC6124C" w14:textId="77777777" w:rsidR="00C17DCE" w:rsidRDefault="00C17DCE">
      <w:pPr>
        <w:spacing w:line="360" w:lineRule="auto"/>
        <w:jc w:val="both"/>
        <w:rPr>
          <w:rtl/>
        </w:rPr>
      </w:pPr>
    </w:p>
    <w:p w14:paraId="3CB8B04C" w14:textId="77777777" w:rsidR="00C17DCE" w:rsidRDefault="00C17DCE">
      <w:pPr>
        <w:spacing w:line="360" w:lineRule="auto"/>
        <w:jc w:val="both"/>
        <w:rPr>
          <w:rtl/>
        </w:rPr>
      </w:pPr>
    </w:p>
    <w:p w14:paraId="1450206A" w14:textId="77777777" w:rsidR="00C17DCE" w:rsidRDefault="00C17DCE">
      <w:pPr>
        <w:spacing w:line="360" w:lineRule="auto"/>
        <w:jc w:val="both"/>
        <w:rPr>
          <w:rtl/>
        </w:rPr>
      </w:pPr>
    </w:p>
    <w:p w14:paraId="60F83CF3" w14:textId="77777777" w:rsidR="00C17DCE" w:rsidRDefault="00C17DCE">
      <w:pPr>
        <w:spacing w:line="360" w:lineRule="auto"/>
        <w:jc w:val="both"/>
        <w:rPr>
          <w:rtl/>
        </w:rPr>
      </w:pPr>
    </w:p>
    <w:p w14:paraId="2E472A31" w14:textId="77777777" w:rsidR="00C17DCE" w:rsidRDefault="00D759EB">
      <w:pPr>
        <w:spacing w:line="360" w:lineRule="auto"/>
        <w:ind w:firstLine="511"/>
        <w:jc w:val="both"/>
        <w:rPr>
          <w:u w:val="single"/>
          <w:rtl/>
        </w:rPr>
      </w:pPr>
      <w:r>
        <w:rPr>
          <w:rFonts w:hint="cs"/>
          <w:u w:val="single"/>
          <w:rtl/>
        </w:rPr>
        <w:t>מעשה מגונה</w:t>
      </w:r>
    </w:p>
    <w:p w14:paraId="7B2A7390" w14:textId="77777777" w:rsidR="00C17DCE" w:rsidRDefault="00D759EB">
      <w:pPr>
        <w:numPr>
          <w:ilvl w:val="0"/>
          <w:numId w:val="7"/>
        </w:numPr>
        <w:spacing w:line="360" w:lineRule="auto"/>
        <w:jc w:val="both"/>
      </w:pPr>
      <w:r>
        <w:rPr>
          <w:rFonts w:hint="cs"/>
          <w:rtl/>
        </w:rPr>
        <w:t>נאשם 1 בעדותו טען כי הפשיט את המתלוננת מבגדיה, השאיר אותה עם תחתוניה וחזייתה על מנת לקחת את הבגדים עימו כדי להעלים את סימני דמו שנותרו עליהם. לטענתו המתלוננת התפשטה לבקשתו ללא התנגדות, (עמוד 334 לפרוטוקול שורה 29 ואילך עמוד 359 שורה 9 ואילך).</w:t>
      </w:r>
    </w:p>
    <w:p w14:paraId="26A04C62" w14:textId="77777777" w:rsidR="00C17DCE" w:rsidRDefault="00C17DCE">
      <w:pPr>
        <w:spacing w:line="360" w:lineRule="auto"/>
        <w:jc w:val="both"/>
      </w:pPr>
    </w:p>
    <w:p w14:paraId="6E9F02D2" w14:textId="77777777" w:rsidR="00C17DCE" w:rsidRDefault="00D759EB">
      <w:pPr>
        <w:numPr>
          <w:ilvl w:val="0"/>
          <w:numId w:val="7"/>
        </w:numPr>
        <w:spacing w:line="360" w:lineRule="auto"/>
        <w:jc w:val="both"/>
      </w:pPr>
      <w:r>
        <w:rPr>
          <w:rFonts w:hint="cs"/>
          <w:rtl/>
        </w:rPr>
        <w:t>לגרסת נאשם 1 אתייחס בהמשך, אך אקדים ואבהיר כי גם לפי דבריו לא ניתן לכנות את התנהגות המתלוננת כמי שהסכימה להוריד את בגדיה כהסכמה מרצון ואפנה להסברו:</w:t>
      </w:r>
    </w:p>
    <w:p w14:paraId="653C2D78" w14:textId="77777777" w:rsidR="00C17DCE" w:rsidRDefault="00C17DCE">
      <w:pPr>
        <w:jc w:val="both"/>
      </w:pPr>
    </w:p>
    <w:p w14:paraId="50A9461C" w14:textId="77777777" w:rsidR="00C17DCE" w:rsidRDefault="00D759EB">
      <w:pPr>
        <w:ind w:left="765" w:right="900" w:firstLine="180"/>
        <w:jc w:val="both"/>
        <w:rPr>
          <w:rFonts w:cs="Miriam"/>
        </w:rPr>
      </w:pPr>
      <w:r>
        <w:rPr>
          <w:rFonts w:hint="cs"/>
          <w:u w:val="single"/>
          <w:rtl/>
        </w:rPr>
        <w:t>"</w:t>
      </w:r>
      <w:r>
        <w:rPr>
          <w:rFonts w:cs="Miriam" w:hint="cs"/>
          <w:u w:val="single"/>
          <w:rtl/>
        </w:rPr>
        <w:t>השופט אלרון:</w:t>
      </w:r>
      <w:r w:rsidR="005644D6">
        <w:rPr>
          <w:rFonts w:cs="Miriam" w:hint="cs"/>
          <w:rtl/>
        </w:rPr>
        <w:t xml:space="preserve">  </w:t>
      </w:r>
    </w:p>
    <w:p w14:paraId="08F38122" w14:textId="77777777" w:rsidR="00C17DCE" w:rsidRDefault="00D759EB">
      <w:pPr>
        <w:ind w:left="765" w:right="900" w:firstLine="180"/>
        <w:jc w:val="both"/>
        <w:rPr>
          <w:rFonts w:cs="Miriam"/>
        </w:rPr>
      </w:pPr>
      <w:r>
        <w:rPr>
          <w:rFonts w:cs="Miriam" w:hint="cs"/>
          <w:rtl/>
        </w:rPr>
        <w:t>למה היא הסכימה להתפשט לבד?</w:t>
      </w:r>
    </w:p>
    <w:p w14:paraId="00ADAA7B" w14:textId="77777777" w:rsidR="00C17DCE" w:rsidRDefault="00D759EB">
      <w:pPr>
        <w:ind w:left="765" w:right="900" w:firstLine="180"/>
        <w:jc w:val="both"/>
        <w:rPr>
          <w:rFonts w:cs="Miriam"/>
          <w:rtl/>
        </w:rPr>
      </w:pPr>
      <w:r>
        <w:rPr>
          <w:rFonts w:cs="Miriam" w:hint="cs"/>
          <w:rtl/>
        </w:rPr>
        <w:t>ת:</w:t>
      </w:r>
      <w:r w:rsidR="005644D6">
        <w:rPr>
          <w:rFonts w:cs="Miriam" w:hint="cs"/>
          <w:rtl/>
        </w:rPr>
        <w:t xml:space="preserve"> </w:t>
      </w:r>
      <w:r>
        <w:rPr>
          <w:rFonts w:cs="Miriam" w:hint="cs"/>
          <w:rtl/>
        </w:rPr>
        <w:t xml:space="preserve">זה כבר היה אחרי התקיפה שלה עלי, ואחרי שאני תקפתי אותה </w:t>
      </w:r>
    </w:p>
    <w:p w14:paraId="2171DBD8" w14:textId="77777777" w:rsidR="00C17DCE" w:rsidRDefault="00D759EB">
      <w:pPr>
        <w:ind w:left="765" w:right="900" w:firstLine="180"/>
        <w:jc w:val="both"/>
        <w:rPr>
          <w:rtl/>
        </w:rPr>
      </w:pPr>
      <w:r>
        <w:rPr>
          <w:rFonts w:cs="Miriam" w:hint="cs"/>
          <w:rtl/>
        </w:rPr>
        <w:t xml:space="preserve">    והרבצתי לה, היא כבר הייתה מסכימה להכל",</w:t>
      </w:r>
      <w:r>
        <w:rPr>
          <w:rFonts w:hint="cs"/>
          <w:rtl/>
        </w:rPr>
        <w:t xml:space="preserve"> (עמוד 354 לפרוטוקול </w:t>
      </w:r>
    </w:p>
    <w:p w14:paraId="280BB8ED" w14:textId="77777777" w:rsidR="00C17DCE" w:rsidRDefault="00D759EB">
      <w:pPr>
        <w:ind w:left="765" w:right="900" w:firstLine="180"/>
        <w:jc w:val="both"/>
        <w:rPr>
          <w:rtl/>
        </w:rPr>
      </w:pPr>
      <w:r>
        <w:rPr>
          <w:rFonts w:hint="cs"/>
          <w:rtl/>
        </w:rPr>
        <w:t xml:space="preserve">    שורה 14). </w:t>
      </w:r>
    </w:p>
    <w:p w14:paraId="64C217B4" w14:textId="77777777" w:rsidR="00C17DCE" w:rsidRDefault="00C17DCE">
      <w:pPr>
        <w:jc w:val="both"/>
        <w:rPr>
          <w:rtl/>
        </w:rPr>
      </w:pPr>
    </w:p>
    <w:p w14:paraId="05142E0C" w14:textId="77777777" w:rsidR="00C17DCE" w:rsidRDefault="00D759EB">
      <w:pPr>
        <w:numPr>
          <w:ilvl w:val="0"/>
          <w:numId w:val="7"/>
        </w:numPr>
        <w:spacing w:line="360" w:lineRule="auto"/>
        <w:jc w:val="both"/>
      </w:pPr>
      <w:r>
        <w:rPr>
          <w:rFonts w:hint="cs"/>
          <w:rtl/>
        </w:rPr>
        <w:t>המאשימה בסיכומיה חזרה על הצהרתה בעת השמעת עדות הנאשם 1 (עמוד 365 לפרוטוקול שורה 7)  ולפיה ביקשה לחלופין להרשיע את הנאשמים בעבירת מעשה מגונה לפי סעיף 348(ב) לחוק בשל הודאת נאשם 1 כי הוריד את בגדי המתלוננת וזאת מכח סעיף 184 ל</w:t>
      </w:r>
      <w:hyperlink r:id="rId64" w:history="1">
        <w:r w:rsidR="005644D6" w:rsidRPr="005644D6">
          <w:rPr>
            <w:rStyle w:val="Hyperlink"/>
            <w:rFonts w:hint="eastAsia"/>
            <w:rtl/>
          </w:rPr>
          <w:t>חוק</w:t>
        </w:r>
        <w:r w:rsidR="005644D6" w:rsidRPr="005644D6">
          <w:rPr>
            <w:rStyle w:val="Hyperlink"/>
            <w:rtl/>
          </w:rPr>
          <w:t xml:space="preserve"> </w:t>
        </w:r>
        <w:r w:rsidR="005644D6" w:rsidRPr="005644D6">
          <w:rPr>
            <w:rStyle w:val="Hyperlink"/>
            <w:rFonts w:hint="eastAsia"/>
            <w:rtl/>
          </w:rPr>
          <w:t>סדר</w:t>
        </w:r>
        <w:r w:rsidR="005644D6" w:rsidRPr="005644D6">
          <w:rPr>
            <w:rStyle w:val="Hyperlink"/>
            <w:rtl/>
          </w:rPr>
          <w:t xml:space="preserve"> </w:t>
        </w:r>
        <w:r w:rsidR="005644D6" w:rsidRPr="005644D6">
          <w:rPr>
            <w:rStyle w:val="Hyperlink"/>
            <w:rFonts w:hint="eastAsia"/>
            <w:rtl/>
          </w:rPr>
          <w:t>הדין</w:t>
        </w:r>
        <w:r w:rsidR="005644D6" w:rsidRPr="005644D6">
          <w:rPr>
            <w:rStyle w:val="Hyperlink"/>
            <w:rtl/>
          </w:rPr>
          <w:t xml:space="preserve"> </w:t>
        </w:r>
        <w:r w:rsidR="005644D6" w:rsidRPr="005644D6">
          <w:rPr>
            <w:rStyle w:val="Hyperlink"/>
            <w:rFonts w:hint="eastAsia"/>
            <w:rtl/>
          </w:rPr>
          <w:t>הפלילי</w:t>
        </w:r>
      </w:hyperlink>
      <w:r w:rsidR="001B74FB" w:rsidRPr="00C76660">
        <w:rPr>
          <w:color w:val="000000"/>
          <w:rtl/>
        </w:rPr>
        <w:t xml:space="preserve"> [נוסח משולב]</w:t>
      </w:r>
      <w:r>
        <w:rPr>
          <w:rFonts w:hint="cs"/>
          <w:rtl/>
        </w:rPr>
        <w:t xml:space="preserve"> תשמ"ב-1982 אשר קובע:</w:t>
      </w:r>
    </w:p>
    <w:p w14:paraId="72372F77" w14:textId="77777777" w:rsidR="00C17DCE" w:rsidRDefault="00C17DCE">
      <w:pPr>
        <w:jc w:val="both"/>
        <w:rPr>
          <w:rtl/>
        </w:rPr>
      </w:pPr>
    </w:p>
    <w:p w14:paraId="4A24CF68" w14:textId="77777777" w:rsidR="00C17DCE" w:rsidRDefault="00D759EB">
      <w:pPr>
        <w:pStyle w:val="Ruller5"/>
        <w:ind w:left="1125" w:right="720"/>
        <w:rPr>
          <w:rFonts w:cs="David"/>
          <w:sz w:val="24"/>
          <w:szCs w:val="24"/>
          <w:rtl/>
          <w:lang w:eastAsia="he-IL"/>
        </w:rPr>
      </w:pPr>
      <w:r>
        <w:rPr>
          <w:rFonts w:cs="David" w:hint="cs"/>
          <w:sz w:val="24"/>
          <w:szCs w:val="24"/>
          <w:rtl/>
          <w:lang w:eastAsia="he-IL"/>
        </w:rPr>
        <w:t>"</w:t>
      </w:r>
      <w:r>
        <w:rPr>
          <w:rFonts w:cs="Miriam" w:hint="cs"/>
          <w:sz w:val="24"/>
          <w:szCs w:val="24"/>
          <w:rtl/>
          <w:lang w:eastAsia="he-IL"/>
        </w:rPr>
        <w:t>בית המשפט רשאי להרשיע נאשם בעבירה שאשמתו בה נתגלתה מן העובדות שהוכחו לפניו, אף אם עובדות אלה לא נטענו בכתב האישום, ובלבד שניתנה לנאשם הזדמנות סבירה להתגונן</w:t>
      </w:r>
      <w:r>
        <w:rPr>
          <w:rFonts w:cs="David" w:hint="cs"/>
          <w:sz w:val="24"/>
          <w:szCs w:val="24"/>
          <w:rtl/>
          <w:lang w:eastAsia="he-IL"/>
        </w:rPr>
        <w:t>".</w:t>
      </w:r>
    </w:p>
    <w:p w14:paraId="0135A745" w14:textId="77777777" w:rsidR="00C17DCE" w:rsidRDefault="00C17DCE">
      <w:pPr>
        <w:pStyle w:val="Ruller5"/>
        <w:spacing w:line="360" w:lineRule="auto"/>
        <w:rPr>
          <w:rFonts w:cs="David"/>
          <w:sz w:val="24"/>
          <w:szCs w:val="24"/>
          <w:rtl/>
          <w:lang w:eastAsia="he-IL"/>
        </w:rPr>
      </w:pPr>
    </w:p>
    <w:p w14:paraId="025EB76B" w14:textId="77777777" w:rsidR="00C17DCE" w:rsidRDefault="00D759EB">
      <w:pPr>
        <w:numPr>
          <w:ilvl w:val="0"/>
          <w:numId w:val="7"/>
        </w:numPr>
        <w:jc w:val="both"/>
      </w:pPr>
      <w:r>
        <w:rPr>
          <w:rFonts w:hint="cs"/>
          <w:rtl/>
        </w:rPr>
        <w:t>באשר למסגרת הנורמטיבית אפנה ל</w:t>
      </w:r>
      <w:hyperlink r:id="rId65" w:history="1">
        <w:r w:rsidR="005644D6" w:rsidRPr="005644D6">
          <w:rPr>
            <w:rStyle w:val="Hyperlink"/>
            <w:rFonts w:hint="eastAsia"/>
            <w:rtl/>
          </w:rPr>
          <w:t>ע</w:t>
        </w:r>
        <w:r w:rsidR="005644D6" w:rsidRPr="005644D6">
          <w:rPr>
            <w:rStyle w:val="Hyperlink"/>
            <w:rtl/>
          </w:rPr>
          <w:t>"</w:t>
        </w:r>
        <w:r w:rsidR="005644D6" w:rsidRPr="005644D6">
          <w:rPr>
            <w:rStyle w:val="Hyperlink"/>
            <w:rFonts w:hint="eastAsia"/>
            <w:rtl/>
          </w:rPr>
          <w:t>פ</w:t>
        </w:r>
        <w:r w:rsidR="005644D6" w:rsidRPr="005644D6">
          <w:rPr>
            <w:rStyle w:val="Hyperlink"/>
            <w:rtl/>
          </w:rPr>
          <w:t xml:space="preserve"> 9090/07</w:t>
        </w:r>
      </w:hyperlink>
      <w:r>
        <w:rPr>
          <w:rFonts w:hint="cs"/>
          <w:rtl/>
        </w:rPr>
        <w:t>:</w:t>
      </w:r>
    </w:p>
    <w:p w14:paraId="06AF43F1" w14:textId="77777777" w:rsidR="00C17DCE" w:rsidRDefault="00C17DCE">
      <w:pPr>
        <w:jc w:val="both"/>
      </w:pPr>
    </w:p>
    <w:p w14:paraId="0CCE18C8" w14:textId="77777777" w:rsidR="00C17DCE" w:rsidRDefault="00D759EB">
      <w:pPr>
        <w:pStyle w:val="Ruller5"/>
        <w:ind w:left="945" w:right="1080"/>
        <w:rPr>
          <w:rFonts w:cs="David"/>
          <w:b/>
          <w:bCs/>
          <w:sz w:val="24"/>
          <w:szCs w:val="24"/>
          <w:rtl/>
          <w:lang w:eastAsia="he-IL"/>
        </w:rPr>
      </w:pPr>
      <w:r>
        <w:rPr>
          <w:rFonts w:cs="David" w:hint="cs"/>
          <w:sz w:val="24"/>
          <w:szCs w:val="24"/>
          <w:rtl/>
          <w:lang w:eastAsia="he-IL"/>
        </w:rPr>
        <w:t>"</w:t>
      </w:r>
      <w:r>
        <w:rPr>
          <w:rFonts w:cs="Miriam" w:hint="cs"/>
          <w:sz w:val="24"/>
          <w:szCs w:val="24"/>
          <w:rtl/>
          <w:lang w:eastAsia="he-IL"/>
        </w:rPr>
        <w:t>בבסיסה של דרישת מתן הזדמנות סבירה להתגונן, עומדת התכלית של  הבטחת יכולת הנאשם להתמודד עם הקושי, הנובע מחסרונו של טיעון עובדתי בכתב האישום...</w:t>
      </w:r>
      <w:r>
        <w:rPr>
          <w:rFonts w:cs="Miriam" w:hint="cs"/>
          <w:sz w:val="24"/>
          <w:szCs w:val="24"/>
          <w:rtl/>
        </w:rPr>
        <w:t>המבחן לבחינת קיומה או היעדרה של הזדמנות סבירה להתגונן, הינו כפול: ראשית יש לבחון האם ניתנה לנאשם הזדמנות טכנית סבירה לזמן ולחקור עדים, להביא ראיות מטעמו וכיוצא בכך. שנית, יש לבחון בחינה מהותית, שעיקרה בשאלה האם קיבל הנאשם הזדמנות סבירה לגבש ולהציג קו הגנה ביחס לעבירה שעובדותיה לא נטענו בכתב האישום (</w:t>
      </w:r>
      <w:hyperlink r:id="rId66" w:history="1">
        <w:r w:rsidR="005644D6" w:rsidRPr="005644D6">
          <w:rPr>
            <w:rStyle w:val="Hyperlink"/>
            <w:rFonts w:cs="Miriam"/>
            <w:sz w:val="24"/>
            <w:szCs w:val="24"/>
            <w:rtl/>
          </w:rPr>
          <w:t>ע"פ 431/92</w:t>
        </w:r>
      </w:hyperlink>
      <w:r>
        <w:rPr>
          <w:rFonts w:cs="Miriam" w:hint="cs"/>
          <w:sz w:val="24"/>
          <w:szCs w:val="24"/>
          <w:rtl/>
        </w:rPr>
        <w:t xml:space="preserve"> </w:t>
      </w:r>
      <w:r>
        <w:rPr>
          <w:rFonts w:cs="David" w:hint="cs"/>
          <w:b/>
          <w:bCs/>
          <w:sz w:val="24"/>
          <w:szCs w:val="24"/>
          <w:rtl/>
        </w:rPr>
        <w:t>ויטמן נ' מדינת ישראל</w:t>
      </w:r>
      <w:r>
        <w:rPr>
          <w:rFonts w:cs="Miriam" w:hint="cs"/>
          <w:b/>
          <w:bCs/>
          <w:sz w:val="24"/>
          <w:szCs w:val="24"/>
          <w:rtl/>
        </w:rPr>
        <w:t xml:space="preserve"> </w:t>
      </w:r>
      <w:r>
        <w:rPr>
          <w:rFonts w:cs="Miriam" w:hint="cs"/>
          <w:sz w:val="24"/>
          <w:szCs w:val="24"/>
          <w:rtl/>
        </w:rPr>
        <w:t>(לא פורסם, 1993)). הנטל להצביע במה נתקפחה הגנתו, מוטל על כתפי הנאשם",</w:t>
      </w:r>
      <w:r>
        <w:rPr>
          <w:rFonts w:cs="David" w:hint="cs"/>
          <w:sz w:val="24"/>
          <w:szCs w:val="24"/>
          <w:rtl/>
        </w:rPr>
        <w:t xml:space="preserve"> </w:t>
      </w:r>
      <w:hyperlink r:id="rId67" w:history="1">
        <w:r w:rsidR="005644D6" w:rsidRPr="005644D6">
          <w:rPr>
            <w:rStyle w:val="Hyperlink"/>
            <w:rFonts w:cs="David"/>
            <w:sz w:val="24"/>
            <w:szCs w:val="24"/>
            <w:rtl/>
          </w:rPr>
          <w:t>ע"פ  9090/07</w:t>
        </w:r>
      </w:hyperlink>
      <w:r>
        <w:rPr>
          <w:rFonts w:cs="David" w:hint="cs"/>
          <w:sz w:val="24"/>
          <w:szCs w:val="24"/>
          <w:rtl/>
        </w:rPr>
        <w:t xml:space="preserve"> </w:t>
      </w:r>
      <w:r>
        <w:rPr>
          <w:rFonts w:cs="David" w:hint="cs"/>
          <w:b/>
          <w:bCs/>
          <w:sz w:val="24"/>
          <w:szCs w:val="24"/>
          <w:rtl/>
        </w:rPr>
        <w:t xml:space="preserve">יוסי חזן נגד מדינת ישראל. </w:t>
      </w:r>
    </w:p>
    <w:p w14:paraId="5999598A" w14:textId="77777777" w:rsidR="00C17DCE" w:rsidRDefault="00D759EB">
      <w:pPr>
        <w:tabs>
          <w:tab w:val="left" w:pos="800"/>
        </w:tabs>
        <w:spacing w:line="360" w:lineRule="auto"/>
        <w:jc w:val="both"/>
        <w:rPr>
          <w:rFonts w:ascii="Arial TUR" w:hAnsi="Arial TUR"/>
          <w:spacing w:val="10"/>
          <w:rtl/>
        </w:rPr>
      </w:pPr>
      <w:r>
        <w:rPr>
          <w:rFonts w:ascii="Arial TUR" w:hAnsi="Arial TUR" w:hint="cs"/>
          <w:spacing w:val="10"/>
          <w:rtl/>
        </w:rPr>
        <w:tab/>
      </w:r>
    </w:p>
    <w:p w14:paraId="6B0CDC4E" w14:textId="77777777" w:rsidR="00C17DCE" w:rsidRDefault="00C17DCE">
      <w:pPr>
        <w:tabs>
          <w:tab w:val="left" w:pos="800"/>
        </w:tabs>
        <w:spacing w:line="360" w:lineRule="auto"/>
        <w:jc w:val="both"/>
        <w:rPr>
          <w:rFonts w:ascii="Arial TUR" w:hAnsi="Arial TUR"/>
          <w:spacing w:val="10"/>
          <w:rtl/>
        </w:rPr>
      </w:pPr>
    </w:p>
    <w:p w14:paraId="676C8B4D" w14:textId="77777777" w:rsidR="00C17DCE" w:rsidRDefault="00D759EB">
      <w:pPr>
        <w:tabs>
          <w:tab w:val="left" w:pos="800"/>
        </w:tabs>
        <w:spacing w:line="360" w:lineRule="auto"/>
        <w:jc w:val="both"/>
        <w:rPr>
          <w:spacing w:val="10"/>
        </w:rPr>
      </w:pPr>
      <w:r>
        <w:rPr>
          <w:rFonts w:ascii="Arial TUR" w:hAnsi="Arial TUR" w:hint="cs"/>
          <w:spacing w:val="10"/>
          <w:rtl/>
        </w:rPr>
        <w:tab/>
      </w:r>
      <w:r>
        <w:rPr>
          <w:rFonts w:ascii="Arial TUR" w:hAnsi="Arial TUR" w:hint="cs"/>
          <w:spacing w:val="10"/>
          <w:rtl/>
        </w:rPr>
        <w:tab/>
      </w:r>
    </w:p>
    <w:p w14:paraId="4A2909A0" w14:textId="77777777" w:rsidR="00C17DCE" w:rsidRDefault="00D759EB">
      <w:pPr>
        <w:numPr>
          <w:ilvl w:val="0"/>
          <w:numId w:val="7"/>
        </w:numPr>
        <w:spacing w:line="360" w:lineRule="auto"/>
        <w:jc w:val="both"/>
        <w:rPr>
          <w:rtl/>
        </w:rPr>
      </w:pPr>
      <w:r>
        <w:rPr>
          <w:rFonts w:hint="cs"/>
          <w:rtl/>
        </w:rPr>
        <w:t xml:space="preserve">בראש ובראשונה אבהיר כי גרסתו של נאשם 1 בדבר שיתוף הפעולה של המתלוננת אינה אמינה עליי. אין מחלוקת כי בגדיה של המתלוננת הוסרו ונעלמו לאחר מכן. אני מאמין למתלוננת כי כל עוד היתה בהכרה או במודעות לא ארעה פעולת הסרת הבגדים ובוודאי שהיא לא הסירה אותם בעצמה. </w:t>
      </w:r>
    </w:p>
    <w:p w14:paraId="2363143F" w14:textId="77777777" w:rsidR="00C17DCE" w:rsidRDefault="00C17DCE">
      <w:pPr>
        <w:spacing w:line="360" w:lineRule="auto"/>
        <w:jc w:val="both"/>
      </w:pPr>
    </w:p>
    <w:p w14:paraId="2B0C758D" w14:textId="77777777" w:rsidR="00C17DCE" w:rsidRDefault="00D759EB">
      <w:pPr>
        <w:spacing w:line="360" w:lineRule="auto"/>
        <w:ind w:left="511"/>
        <w:jc w:val="both"/>
        <w:rPr>
          <w:rtl/>
        </w:rPr>
      </w:pPr>
      <w:r>
        <w:rPr>
          <w:rFonts w:hint="cs"/>
          <w:rtl/>
        </w:rPr>
        <w:t>בסעיף 8 לכתב האישום, כחלק מתיאור מעשה האינוס, נאמר במפורש כי "הנאשמים הפשיטו את המתלוננת מבגדיה" כך כשמתבקשת כעת הרשעה בגין אותם מעשים. לכאורה לא קופחה הגנתם של הנאשמים שהיו צריכים להיות ערוכים להביא עדויות ולנהל הגנתם בהקשר של הסרת הבגדים, הן לעניין האינוס והן לעניין משמעות ההסרה כמעשה מגונה.</w:t>
      </w:r>
    </w:p>
    <w:p w14:paraId="180672B3" w14:textId="77777777" w:rsidR="00C17DCE" w:rsidRDefault="00C17DCE">
      <w:pPr>
        <w:spacing w:line="360" w:lineRule="auto"/>
        <w:jc w:val="both"/>
      </w:pPr>
    </w:p>
    <w:p w14:paraId="4A6AF3A6" w14:textId="77777777" w:rsidR="00C17DCE" w:rsidRDefault="00D759EB">
      <w:pPr>
        <w:numPr>
          <w:ilvl w:val="0"/>
          <w:numId w:val="7"/>
        </w:numPr>
        <w:spacing w:line="360" w:lineRule="auto"/>
        <w:jc w:val="both"/>
      </w:pPr>
      <w:r>
        <w:rPr>
          <w:rFonts w:hint="cs"/>
          <w:rtl/>
        </w:rPr>
        <w:t>אך חשוב לזכור כי מעשה מגונה מוגדר בסעיף 348(ו) לחוק כי מדובר "</w:t>
      </w:r>
      <w:r>
        <w:rPr>
          <w:rFonts w:cs="Miriam" w:hint="cs"/>
          <w:rtl/>
        </w:rPr>
        <w:t>במעשה לשם גירוי, סיפוק, או ביזוי מיניים</w:t>
      </w:r>
      <w:r>
        <w:rPr>
          <w:rFonts w:hint="cs"/>
          <w:rtl/>
        </w:rPr>
        <w:t>". אפנה בעניין זה ל</w:t>
      </w:r>
      <w:hyperlink r:id="rId68" w:history="1">
        <w:r w:rsidR="005644D6" w:rsidRPr="005644D6">
          <w:rPr>
            <w:rStyle w:val="Hyperlink"/>
            <w:rFonts w:hint="eastAsia"/>
            <w:rtl/>
          </w:rPr>
          <w:t>ע</w:t>
        </w:r>
        <w:r w:rsidR="005644D6" w:rsidRPr="005644D6">
          <w:rPr>
            <w:rStyle w:val="Hyperlink"/>
            <w:rtl/>
          </w:rPr>
          <w:t>"</w:t>
        </w:r>
        <w:r w:rsidR="005644D6" w:rsidRPr="005644D6">
          <w:rPr>
            <w:rStyle w:val="Hyperlink"/>
            <w:rFonts w:hint="eastAsia"/>
            <w:rtl/>
          </w:rPr>
          <w:t>פ</w:t>
        </w:r>
        <w:r w:rsidR="005644D6" w:rsidRPr="005644D6">
          <w:rPr>
            <w:rStyle w:val="Hyperlink"/>
            <w:rtl/>
          </w:rPr>
          <w:t xml:space="preserve"> 9603/09</w:t>
        </w:r>
      </w:hyperlink>
      <w:r>
        <w:rPr>
          <w:rFonts w:hint="cs"/>
          <w:rtl/>
        </w:rPr>
        <w:t>:</w:t>
      </w:r>
    </w:p>
    <w:p w14:paraId="0412111B" w14:textId="77777777" w:rsidR="00C17DCE" w:rsidRDefault="00C17DCE">
      <w:pPr>
        <w:spacing w:line="360" w:lineRule="auto"/>
        <w:jc w:val="both"/>
        <w:rPr>
          <w:rtl/>
        </w:rPr>
      </w:pPr>
    </w:p>
    <w:p w14:paraId="4426FE91" w14:textId="77777777" w:rsidR="00C17DCE" w:rsidRDefault="00D759EB">
      <w:pPr>
        <w:ind w:left="720" w:right="540"/>
        <w:jc w:val="both"/>
      </w:pPr>
      <w:r>
        <w:rPr>
          <w:rFonts w:ascii="Times New Roman" w:hAnsi="Times New Roman" w:hint="cs"/>
          <w:rtl/>
        </w:rPr>
        <w:t>"</w:t>
      </w:r>
      <w:r>
        <w:rPr>
          <w:rFonts w:ascii="Times New Roman" w:hAnsi="Times New Roman" w:cs="Miriam" w:hint="cs"/>
          <w:rtl/>
        </w:rPr>
        <w:t>אופיו ה"מגונה" של המעשה נובע מהמטרה הנלווית לעשייתו - "לשם גירוי, סיפוק או ביזוי מיניים". מדובר בשאיפה סובייקטיבית הנושאת אופי מיני בלא שנדרשת התקיימותה של תוצאה</w:t>
      </w:r>
      <w:r>
        <w:rPr>
          <w:rFonts w:cs="Miriam" w:hint="cs"/>
          <w:rtl/>
        </w:rPr>
        <w:t>...</w:t>
      </w:r>
      <w:r>
        <w:rPr>
          <w:rFonts w:ascii="Times New Roman" w:hAnsi="Times New Roman" w:cs="Miriam" w:hint="cs"/>
          <w:rtl/>
        </w:rPr>
        <w:t xml:space="preserve"> אשר ליסוד הנפשי – היסוד הנפשי בהגדרת עבירת המעשה המגונה כולל שאיפה להשגת שלוש מטרות חלופיות שהינן - גירוי מיני, סיפוק מיני או ביזוי מיני. משמע, שמעשי הנאשם נעשו "לשם" השגת המטרה</w:t>
      </w:r>
      <w:r>
        <w:rPr>
          <w:rFonts w:ascii="Times New Roman" w:hAnsi="Times New Roman" w:hint="cs"/>
          <w:rtl/>
        </w:rPr>
        <w:t>"</w:t>
      </w:r>
      <w:r>
        <w:rPr>
          <w:rFonts w:hint="cs"/>
          <w:rtl/>
        </w:rPr>
        <w:t xml:space="preserve">, </w:t>
      </w:r>
      <w:hyperlink r:id="rId69" w:history="1">
        <w:r w:rsidR="005644D6" w:rsidRPr="005644D6">
          <w:rPr>
            <w:rStyle w:val="Hyperlink"/>
            <w:rFonts w:hint="eastAsia"/>
            <w:rtl/>
          </w:rPr>
          <w:t>ע</w:t>
        </w:r>
        <w:r w:rsidR="005644D6" w:rsidRPr="005644D6">
          <w:rPr>
            <w:rStyle w:val="Hyperlink"/>
            <w:rtl/>
          </w:rPr>
          <w:t>"</w:t>
        </w:r>
        <w:r w:rsidR="005644D6" w:rsidRPr="005644D6">
          <w:rPr>
            <w:rStyle w:val="Hyperlink"/>
            <w:rFonts w:hint="eastAsia"/>
            <w:rtl/>
          </w:rPr>
          <w:t>פ</w:t>
        </w:r>
        <w:r w:rsidR="005644D6" w:rsidRPr="005644D6">
          <w:rPr>
            <w:rStyle w:val="Hyperlink"/>
            <w:rtl/>
          </w:rPr>
          <w:t xml:space="preserve"> 9603/09</w:t>
        </w:r>
      </w:hyperlink>
      <w:r>
        <w:rPr>
          <w:rFonts w:hint="cs"/>
          <w:rtl/>
        </w:rPr>
        <w:t xml:space="preserve"> </w:t>
      </w:r>
      <w:r>
        <w:rPr>
          <w:rFonts w:hint="cs"/>
          <w:b/>
          <w:bCs/>
          <w:rtl/>
        </w:rPr>
        <w:t>פלוני נגד מדינת ישראל.</w:t>
      </w:r>
    </w:p>
    <w:p w14:paraId="2700DEA3" w14:textId="77777777" w:rsidR="00C17DCE" w:rsidRDefault="00C17DCE">
      <w:pPr>
        <w:spacing w:line="360" w:lineRule="auto"/>
        <w:ind w:left="720" w:right="540"/>
        <w:jc w:val="both"/>
        <w:rPr>
          <w:rtl/>
        </w:rPr>
      </w:pPr>
    </w:p>
    <w:p w14:paraId="6769E483" w14:textId="77777777" w:rsidR="00C17DCE" w:rsidRDefault="00D759EB">
      <w:pPr>
        <w:numPr>
          <w:ilvl w:val="0"/>
          <w:numId w:val="7"/>
        </w:numPr>
        <w:spacing w:line="360" w:lineRule="auto"/>
        <w:jc w:val="both"/>
      </w:pPr>
      <w:r>
        <w:rPr>
          <w:rFonts w:hint="cs"/>
          <w:rtl/>
        </w:rPr>
        <w:t>בחינת מעשי הנאשמים מנקודת מבטו של האדם הסביר או על פי הלכת הצפיות לא מצביעים בהכרח על הכוונה הנדרשת כתנאי להרשעה בעבירה זו לפי כללי המשפט הפלילי. אין מחלוקת כי בגדיה של המתלוננת נלקחו מהדירה (כך צויין גם במפורש בסעיף 9 לכתב האישום), המתלוננת לא ראתה את הסרת הבגדים בשל מצב הכרתה והיא לא נקלעה למצב של ביזוי. על גופה של המתלוננת או בדירה לא נמצאו סימני זרע ולא הובאה ראיה גם לא נסיבתית כי בבסיס המעשה עמדו הכוונות הקבועות בסעיף 348ז לחוק. העלמת הבגדים מתיישבת יותר עם כוונה להעלמת ראיות ולא עם כוונה לגירוי, ביזוי או סיפוק מיני וחיזוק לכך אני מוצא בעובדה כי תחתוניה וחזייתה/גופיית הסטרפלס של המתלוננת נותרו על גופה.</w:t>
      </w:r>
    </w:p>
    <w:p w14:paraId="64705280" w14:textId="77777777" w:rsidR="00C17DCE" w:rsidRDefault="00C17DCE">
      <w:pPr>
        <w:spacing w:line="360" w:lineRule="auto"/>
        <w:jc w:val="both"/>
      </w:pPr>
    </w:p>
    <w:p w14:paraId="4419DB55" w14:textId="77777777" w:rsidR="00C17DCE" w:rsidRDefault="00D759EB">
      <w:pPr>
        <w:numPr>
          <w:ilvl w:val="0"/>
          <w:numId w:val="7"/>
        </w:numPr>
        <w:spacing w:line="360" w:lineRule="auto"/>
        <w:jc w:val="both"/>
      </w:pPr>
      <w:r>
        <w:rPr>
          <w:rFonts w:hint="cs"/>
          <w:rtl/>
        </w:rPr>
        <w:t>לסיכום, גם אם מתקיימים תנאי סעיף 184 ל</w:t>
      </w:r>
      <w:hyperlink r:id="rId70" w:history="1">
        <w:r w:rsidR="005644D6" w:rsidRPr="005644D6">
          <w:rPr>
            <w:rStyle w:val="Hyperlink"/>
            <w:rFonts w:hint="eastAsia"/>
            <w:rtl/>
          </w:rPr>
          <w:t>חוק</w:t>
        </w:r>
        <w:r w:rsidR="005644D6" w:rsidRPr="005644D6">
          <w:rPr>
            <w:rStyle w:val="Hyperlink"/>
            <w:rtl/>
          </w:rPr>
          <w:t xml:space="preserve"> </w:t>
        </w:r>
        <w:r w:rsidR="005644D6" w:rsidRPr="005644D6">
          <w:rPr>
            <w:rStyle w:val="Hyperlink"/>
            <w:rFonts w:hint="eastAsia"/>
            <w:rtl/>
          </w:rPr>
          <w:t>סדר</w:t>
        </w:r>
        <w:r w:rsidR="005644D6" w:rsidRPr="005644D6">
          <w:rPr>
            <w:rStyle w:val="Hyperlink"/>
            <w:rtl/>
          </w:rPr>
          <w:t xml:space="preserve"> </w:t>
        </w:r>
        <w:r w:rsidR="005644D6" w:rsidRPr="005644D6">
          <w:rPr>
            <w:rStyle w:val="Hyperlink"/>
            <w:rFonts w:hint="eastAsia"/>
            <w:rtl/>
          </w:rPr>
          <w:t>הדין</w:t>
        </w:r>
        <w:r w:rsidR="005644D6" w:rsidRPr="005644D6">
          <w:rPr>
            <w:rStyle w:val="Hyperlink"/>
            <w:rtl/>
          </w:rPr>
          <w:t xml:space="preserve"> </w:t>
        </w:r>
        <w:r w:rsidR="005644D6" w:rsidRPr="005644D6">
          <w:rPr>
            <w:rStyle w:val="Hyperlink"/>
            <w:rFonts w:hint="eastAsia"/>
            <w:rtl/>
          </w:rPr>
          <w:t>הפלילי</w:t>
        </w:r>
      </w:hyperlink>
      <w:r w:rsidR="001B74FB" w:rsidRPr="00C76660">
        <w:rPr>
          <w:color w:val="000000"/>
          <w:rtl/>
        </w:rPr>
        <w:t xml:space="preserve"> [נוסח משולב]</w:t>
      </w:r>
      <w:r>
        <w:rPr>
          <w:rFonts w:hint="cs"/>
          <w:rtl/>
        </w:rPr>
        <w:t xml:space="preserve"> תשמ"ב-1982, לא הוכחה מעבר לספק סביר עבירה של מעשה מגונה.</w:t>
      </w:r>
    </w:p>
    <w:p w14:paraId="2F0015C2" w14:textId="77777777" w:rsidR="00C17DCE" w:rsidRDefault="00C17DCE">
      <w:pPr>
        <w:spacing w:line="360" w:lineRule="auto"/>
        <w:jc w:val="both"/>
        <w:rPr>
          <w:rtl/>
        </w:rPr>
      </w:pPr>
    </w:p>
    <w:p w14:paraId="314F9110" w14:textId="77777777" w:rsidR="00C17DCE" w:rsidRDefault="00D759EB">
      <w:pPr>
        <w:spacing w:line="360" w:lineRule="auto"/>
        <w:jc w:val="both"/>
        <w:rPr>
          <w:u w:val="single"/>
          <w:rtl/>
        </w:rPr>
      </w:pPr>
      <w:r>
        <w:rPr>
          <w:rFonts w:hint="cs"/>
          <w:rtl/>
        </w:rPr>
        <w:t xml:space="preserve">      </w:t>
      </w:r>
      <w:r>
        <w:t xml:space="preserve">   </w:t>
      </w:r>
      <w:r>
        <w:rPr>
          <w:rFonts w:hint="cs"/>
          <w:u w:val="single"/>
          <w:rtl/>
        </w:rPr>
        <w:t>מהימנות הנאשמים</w:t>
      </w:r>
    </w:p>
    <w:p w14:paraId="547CE7A1" w14:textId="77777777" w:rsidR="00C17DCE" w:rsidRDefault="00D759EB">
      <w:pPr>
        <w:numPr>
          <w:ilvl w:val="0"/>
          <w:numId w:val="7"/>
        </w:numPr>
        <w:spacing w:line="360" w:lineRule="auto"/>
        <w:jc w:val="both"/>
      </w:pPr>
      <w:r>
        <w:rPr>
          <w:rFonts w:hint="cs"/>
          <w:rtl/>
        </w:rPr>
        <w:t>אקדים מאוחר למוקדם ואבהיר כי שני  הנאשמים לא עשו עליי רושם מהימן, הם בחרו להתבונן מהצד בסדרה ארוכה של עדי תביעה, לחקור ארוכות עדים רבים שבדיעבד הסתבר כי גרסתם, לאור עדותם הכבושה של הנאשמים, אינה במחלוקת.</w:t>
      </w:r>
    </w:p>
    <w:p w14:paraId="56CEFD01" w14:textId="77777777" w:rsidR="00C17DCE" w:rsidRDefault="00C17DCE">
      <w:pPr>
        <w:spacing w:line="360" w:lineRule="auto"/>
        <w:jc w:val="both"/>
      </w:pPr>
    </w:p>
    <w:p w14:paraId="5DCCF052" w14:textId="77777777" w:rsidR="00C17DCE" w:rsidRDefault="00D759EB">
      <w:pPr>
        <w:numPr>
          <w:ilvl w:val="0"/>
          <w:numId w:val="7"/>
        </w:numPr>
        <w:spacing w:line="360" w:lineRule="auto"/>
        <w:jc w:val="both"/>
      </w:pPr>
      <w:r>
        <w:rPr>
          <w:rFonts w:hint="cs"/>
          <w:rtl/>
        </w:rPr>
        <w:t>שני הנאשמים כל אחד בדרכו, שמרו בליבם את גרסתם המפורטת ובפועל בדרך מניפולטיבית מסרו גרסה, מותאמת למה שלפי הנחתם הוכח עד לאותו שלב. לא כך נוהג נאשם שהאמת נר לרגליו.</w:t>
      </w:r>
    </w:p>
    <w:p w14:paraId="1A2C5547" w14:textId="77777777" w:rsidR="00C17DCE" w:rsidRDefault="00C17DCE">
      <w:pPr>
        <w:jc w:val="both"/>
      </w:pPr>
    </w:p>
    <w:p w14:paraId="31D05651" w14:textId="77777777" w:rsidR="00C17DCE" w:rsidRDefault="00D759EB">
      <w:pPr>
        <w:numPr>
          <w:ilvl w:val="0"/>
          <w:numId w:val="7"/>
        </w:numPr>
        <w:spacing w:line="360" w:lineRule="auto"/>
        <w:jc w:val="both"/>
        <w:rPr>
          <w:rtl/>
        </w:rPr>
      </w:pPr>
      <w:r>
        <w:rPr>
          <w:rFonts w:hint="cs"/>
          <w:rtl/>
        </w:rPr>
        <w:t>כך למשל נאשם 1 בחקירתו במשטרה כפר בהיכרותו עם נאשם 2, כפירה שבדיעבד על פי גרסת שני הנאשמים שקרית שכן  כיום הם טוענים לחברות קרובה ואפילו לשיתוף פעולה בעבר.</w:t>
      </w:r>
    </w:p>
    <w:p w14:paraId="208C2CE1" w14:textId="77777777" w:rsidR="00C17DCE" w:rsidRDefault="00C17DCE">
      <w:pPr>
        <w:jc w:val="both"/>
      </w:pPr>
    </w:p>
    <w:p w14:paraId="3CA28A35" w14:textId="77777777" w:rsidR="00C17DCE" w:rsidRDefault="00D759EB">
      <w:pPr>
        <w:numPr>
          <w:ilvl w:val="0"/>
          <w:numId w:val="7"/>
        </w:numPr>
        <w:spacing w:line="360" w:lineRule="auto"/>
        <w:jc w:val="both"/>
      </w:pPr>
      <w:r>
        <w:rPr>
          <w:rFonts w:hint="cs"/>
          <w:rtl/>
        </w:rPr>
        <w:t>על דרך התחמקותו של נאשם 1 מאמירת אמת ניתן ללמוד מתשובותיו בנושא הנ"ל כמתואר בהודעתו מיום 26.7.10 (ת/47) כשנשאל לגבי היכרות עם ודים-נאשם 2:</w:t>
      </w:r>
    </w:p>
    <w:p w14:paraId="429CDE42" w14:textId="77777777" w:rsidR="00C17DCE" w:rsidRDefault="00C17DCE">
      <w:pPr>
        <w:jc w:val="both"/>
        <w:rPr>
          <w:rtl/>
        </w:rPr>
      </w:pPr>
    </w:p>
    <w:p w14:paraId="17075D00" w14:textId="77777777" w:rsidR="00C17DCE" w:rsidRDefault="00D759EB">
      <w:pPr>
        <w:ind w:left="945" w:right="720"/>
        <w:jc w:val="both"/>
        <w:rPr>
          <w:rFonts w:cs="Miriam"/>
        </w:rPr>
      </w:pPr>
      <w:r>
        <w:rPr>
          <w:rFonts w:hint="cs"/>
          <w:rtl/>
        </w:rPr>
        <w:t>"</w:t>
      </w:r>
      <w:r>
        <w:rPr>
          <w:rFonts w:cs="Miriam" w:hint="cs"/>
          <w:rtl/>
        </w:rPr>
        <w:t>בוא עכשיו אני לא יודע על מה אתם מדברים תן לי לראות בחור בעיניים ואני יגיד לך אם אני מכיר או לא", (שורה 59).</w:t>
      </w:r>
    </w:p>
    <w:p w14:paraId="1087865F" w14:textId="77777777" w:rsidR="00C17DCE" w:rsidRDefault="00C17DCE">
      <w:pPr>
        <w:ind w:left="945" w:right="720"/>
        <w:jc w:val="both"/>
        <w:rPr>
          <w:rFonts w:cs="Miriam"/>
          <w:rtl/>
        </w:rPr>
      </w:pPr>
    </w:p>
    <w:p w14:paraId="3A3A94EC" w14:textId="77777777" w:rsidR="00C17DCE" w:rsidRDefault="00D759EB">
      <w:pPr>
        <w:ind w:left="945" w:right="720"/>
        <w:jc w:val="both"/>
      </w:pPr>
      <w:r>
        <w:rPr>
          <w:rFonts w:hint="cs"/>
          <w:rtl/>
        </w:rPr>
        <w:t xml:space="preserve">ולאחר שמראים לו את תמונת נאשם 2: </w:t>
      </w:r>
    </w:p>
    <w:p w14:paraId="746FF43A" w14:textId="77777777" w:rsidR="00C17DCE" w:rsidRDefault="00D759EB">
      <w:pPr>
        <w:ind w:left="945" w:right="720"/>
        <w:jc w:val="both"/>
        <w:rPr>
          <w:rtl/>
        </w:rPr>
      </w:pPr>
      <w:r>
        <w:rPr>
          <w:rFonts w:cs="Miriam" w:hint="cs"/>
          <w:rtl/>
        </w:rPr>
        <w:t>"אני עכשיו לא אומר לא לא אומר כן... מה הבן אדם הזה ודים בתמונה אמר שאני הייתי איתו במקום שמה ועשינו ככה מכות לבחורה אני לא יגיד כן ולא יגיד לא זה טעות גדול מישהו אמר משהו</w:t>
      </w:r>
      <w:r>
        <w:rPr>
          <w:rFonts w:hint="cs"/>
          <w:rtl/>
        </w:rPr>
        <w:t>", (שורה 63).</w:t>
      </w:r>
    </w:p>
    <w:p w14:paraId="05F954C1" w14:textId="77777777" w:rsidR="00C17DCE" w:rsidRDefault="00C17DCE">
      <w:pPr>
        <w:spacing w:line="360" w:lineRule="auto"/>
        <w:ind w:left="1440" w:right="540"/>
        <w:jc w:val="both"/>
        <w:rPr>
          <w:rtl/>
        </w:rPr>
      </w:pPr>
    </w:p>
    <w:p w14:paraId="49351102" w14:textId="77777777" w:rsidR="00C17DCE" w:rsidRDefault="00D759EB">
      <w:pPr>
        <w:spacing w:line="360" w:lineRule="auto"/>
        <w:ind w:left="720"/>
        <w:jc w:val="both"/>
        <w:rPr>
          <w:rtl/>
        </w:rPr>
      </w:pPr>
      <w:r>
        <w:rPr>
          <w:rFonts w:hint="cs"/>
          <w:rtl/>
        </w:rPr>
        <w:t>אמירה זו מעידה גם על התחמקות, ויש בה ראשית הודאה למעורבות שני הנאשמים בפגיעה במתלוננת שכן באותה חקירה לא הוצג לנאשם 1 מה אמר נאשם 2 ובוודאי לא כי "</w:t>
      </w:r>
      <w:r>
        <w:rPr>
          <w:rFonts w:cs="Miriam" w:hint="cs"/>
          <w:rtl/>
        </w:rPr>
        <w:t>עשינו ככה מכות לבחורה</w:t>
      </w:r>
      <w:r>
        <w:rPr>
          <w:rFonts w:hint="cs"/>
          <w:rtl/>
        </w:rPr>
        <w:t>".</w:t>
      </w:r>
    </w:p>
    <w:p w14:paraId="13DA499A" w14:textId="77777777" w:rsidR="00C17DCE" w:rsidRDefault="00C17DCE">
      <w:pPr>
        <w:ind w:left="720"/>
        <w:jc w:val="both"/>
        <w:rPr>
          <w:rtl/>
        </w:rPr>
      </w:pPr>
    </w:p>
    <w:p w14:paraId="3846648C" w14:textId="77777777" w:rsidR="00C17DCE" w:rsidRDefault="00D759EB">
      <w:pPr>
        <w:ind w:left="720"/>
        <w:jc w:val="both"/>
        <w:rPr>
          <w:rtl/>
        </w:rPr>
      </w:pPr>
      <w:r>
        <w:rPr>
          <w:rFonts w:hint="cs"/>
          <w:rtl/>
        </w:rPr>
        <w:t>על פי תרשומת ת/90 מסר נאשם 1 פרטים מוכמנים מפלילים:</w:t>
      </w:r>
    </w:p>
    <w:p w14:paraId="7F8C3342" w14:textId="77777777" w:rsidR="00C17DCE" w:rsidRDefault="00C17DCE">
      <w:pPr>
        <w:ind w:left="720"/>
        <w:jc w:val="both"/>
        <w:rPr>
          <w:rtl/>
        </w:rPr>
      </w:pPr>
    </w:p>
    <w:p w14:paraId="40977A77" w14:textId="77777777" w:rsidR="00C17DCE" w:rsidRDefault="00D759EB">
      <w:pPr>
        <w:ind w:left="945" w:right="720"/>
        <w:jc w:val="both"/>
        <w:rPr>
          <w:rtl/>
        </w:rPr>
      </w:pPr>
      <w:r>
        <w:rPr>
          <w:rFonts w:hint="cs"/>
          <w:rtl/>
        </w:rPr>
        <w:t>"</w:t>
      </w:r>
      <w:r>
        <w:rPr>
          <w:rFonts w:cs="Miriam" w:hint="cs"/>
          <w:rtl/>
        </w:rPr>
        <w:t xml:space="preserve">אני לא מבין אם שניים היו אצל אישה הזאת בבית ונתנו לה מכות אז הם בנדיטים גדולים…מה ודים אמר שאני הייתי איתו שם ועשינו ככה שוד ומכות" </w:t>
      </w:r>
      <w:r>
        <w:rPr>
          <w:rFonts w:hint="cs"/>
          <w:rtl/>
        </w:rPr>
        <w:t>(ראה ת/90 מזכר החוקר בנושא ות/48 שורה 4).</w:t>
      </w:r>
    </w:p>
    <w:p w14:paraId="0E41FB14" w14:textId="77777777" w:rsidR="00C17DCE" w:rsidRDefault="00C17DCE">
      <w:pPr>
        <w:spacing w:line="360" w:lineRule="auto"/>
        <w:ind w:left="720"/>
        <w:jc w:val="both"/>
        <w:rPr>
          <w:rtl/>
        </w:rPr>
      </w:pPr>
    </w:p>
    <w:p w14:paraId="1449EB8F" w14:textId="77777777" w:rsidR="00C17DCE" w:rsidRDefault="00D759EB">
      <w:pPr>
        <w:spacing w:line="360" w:lineRule="auto"/>
        <w:ind w:left="720"/>
        <w:jc w:val="both"/>
        <w:rPr>
          <w:rtl/>
        </w:rPr>
      </w:pPr>
      <w:r>
        <w:rPr>
          <w:rFonts w:hint="cs"/>
          <w:rtl/>
        </w:rPr>
        <w:t>נאשם 1 כפר במהלך כל החקירות במיוחס לו. לטענתו לא היה באיזור מזה חודשים ולא חבש כובע גרב מעולם (ראו ת/48, ת/49, ת/57, העימות עם המתלוננת ת/57א, ת/50, ת/51).</w:t>
      </w:r>
    </w:p>
    <w:p w14:paraId="72DE96C0" w14:textId="77777777" w:rsidR="00C17DCE" w:rsidRDefault="00C17DCE">
      <w:pPr>
        <w:spacing w:line="360" w:lineRule="auto"/>
        <w:ind w:left="720"/>
        <w:jc w:val="both"/>
        <w:rPr>
          <w:rtl/>
        </w:rPr>
      </w:pPr>
    </w:p>
    <w:p w14:paraId="604A40BB" w14:textId="77777777" w:rsidR="00C17DCE" w:rsidRDefault="00D759EB">
      <w:pPr>
        <w:spacing w:line="360" w:lineRule="auto"/>
        <w:ind w:left="511"/>
        <w:jc w:val="both"/>
        <w:rPr>
          <w:rtl/>
        </w:rPr>
      </w:pPr>
      <w:r>
        <w:rPr>
          <w:rFonts w:hint="cs"/>
          <w:rtl/>
        </w:rPr>
        <w:t>חשוב לראות כי בעימות שנערך בין המתלוננת לבין נאשם 1, לא רק שהוא הכחיש מעורבותו מול עמדתה הנחרצת, אלא ניסה להלך אימים על המתלוננת למשל בדבריו "</w:t>
      </w:r>
      <w:r>
        <w:rPr>
          <w:rFonts w:cs="Miriam" w:hint="cs"/>
          <w:rtl/>
        </w:rPr>
        <w:t>אני אומר לה כל הזמן תחשבי טוב שלא תיקח על עצמה חטא", (</w:t>
      </w:r>
      <w:r>
        <w:rPr>
          <w:rFonts w:hint="cs"/>
          <w:rtl/>
        </w:rPr>
        <w:t>ת/57א עמוד 3 שורה 37 וראו גם עמוד 2 שורות 20, 23, 29).</w:t>
      </w:r>
    </w:p>
    <w:p w14:paraId="1BA21EE0" w14:textId="77777777" w:rsidR="00C17DCE" w:rsidRDefault="00C17DCE">
      <w:pPr>
        <w:spacing w:line="360" w:lineRule="auto"/>
        <w:jc w:val="both"/>
      </w:pPr>
    </w:p>
    <w:p w14:paraId="35874228" w14:textId="77777777" w:rsidR="00C17DCE" w:rsidRDefault="00D759EB">
      <w:pPr>
        <w:spacing w:line="360" w:lineRule="auto"/>
        <w:ind w:left="511"/>
        <w:jc w:val="both"/>
        <w:rPr>
          <w:rtl/>
        </w:rPr>
      </w:pPr>
      <w:r>
        <w:rPr>
          <w:rFonts w:hint="cs"/>
          <w:rtl/>
        </w:rPr>
        <w:t xml:space="preserve">נאשם 1 כפר במיוחס לו גם בהקראה ואזכיר כי המתלוננת זיהתה את נאשם 1 כמי שהיה בדירה ותקף אותה (ת/25). רק בתום פרשת התביעה העלה נאשם 1 בחקירתו הראשית את הגרסה כי אכן היה בדירה, תקף את המתלוננת כשפניו גלויות, עובדה שלא מנעה מבא כוחו להתעקש על חקירת המתלוננת בשאלת הזיהוי, (עמוד 140 לפרוטוקול שורה 1). </w:t>
      </w:r>
    </w:p>
    <w:p w14:paraId="2101B6A6" w14:textId="77777777" w:rsidR="00C17DCE" w:rsidRDefault="00C17DCE">
      <w:pPr>
        <w:spacing w:line="360" w:lineRule="auto"/>
        <w:jc w:val="both"/>
      </w:pPr>
    </w:p>
    <w:p w14:paraId="59C8C808" w14:textId="77777777" w:rsidR="00C17DCE" w:rsidRDefault="00D759EB">
      <w:pPr>
        <w:numPr>
          <w:ilvl w:val="0"/>
          <w:numId w:val="7"/>
        </w:numPr>
        <w:spacing w:line="360" w:lineRule="auto"/>
        <w:jc w:val="both"/>
        <w:rPr>
          <w:rtl/>
        </w:rPr>
      </w:pPr>
      <w:r>
        <w:rPr>
          <w:rFonts w:hint="cs"/>
          <w:rtl/>
        </w:rPr>
        <w:t>אדגיש כי לאחר שמיעת העדויות איני מאמין לנאשם 1 כי המתלוננת, בגופה הצנום חבטה בראשו באמצעות כיסא עד כדי זוב דם בכמויות רבות או כי "הגולגולת שלי נשברה" (עמוד 332 לפרוטוקול  שורה  11 לפרוטוקול). טענה זו אינה מתיישבת עם מימדי הגוף של הצדדים והנסיבות (תקיפה בהפתעה של מתלוננת ע"י שני גברים אלימים). אמינה בעיני גרסת המתלוננת המתחננת על חייה וזוכה בתגובה לאגרופים ובעיטות בכל חלקי גופה. לעניין זה אציין כי תמוה בעיני מדוע לא עומתה המתלוננת בחקירתה הנגדית ע"י ב"כ נאשם 1 עם גרסה זו, על כל המשתמע מכך מבחינה ראייתית. חששו של נאשם 1 להציג גרסתו הכבושה בפני המתלוננת, רק מראה כי הבין שגרסתו סתמית וחסרת בסיס.</w:t>
      </w:r>
    </w:p>
    <w:p w14:paraId="06AED0EC" w14:textId="77777777" w:rsidR="00C17DCE" w:rsidRDefault="00C17DCE">
      <w:pPr>
        <w:spacing w:line="360" w:lineRule="auto"/>
        <w:jc w:val="both"/>
      </w:pPr>
    </w:p>
    <w:p w14:paraId="7B91A46E" w14:textId="77777777" w:rsidR="00C17DCE" w:rsidRDefault="00D759EB">
      <w:pPr>
        <w:numPr>
          <w:ilvl w:val="0"/>
          <w:numId w:val="7"/>
        </w:numPr>
        <w:spacing w:line="360" w:lineRule="auto"/>
        <w:jc w:val="both"/>
        <w:rPr>
          <w:rtl/>
        </w:rPr>
      </w:pPr>
      <w:r>
        <w:rPr>
          <w:rFonts w:hint="cs"/>
          <w:rtl/>
        </w:rPr>
        <w:t>לכך אוסיף כי לגרסת נאשם 1 פגיעתו הקשה חייבה טיפול רפואי, אלא שמסמך כל שהוא לא הוצג מטעמו בנושא וגם מסיבה זו עדותו אינה אמינה, (ראה לעניין הטענה בדבר הטיפול הרפואי עמוד 363 לפרוטוקול שורה 17 ואילך).</w:t>
      </w:r>
    </w:p>
    <w:p w14:paraId="1D5E00BB" w14:textId="77777777" w:rsidR="00C17DCE" w:rsidRDefault="00C17DCE">
      <w:pPr>
        <w:spacing w:line="360" w:lineRule="auto"/>
        <w:jc w:val="both"/>
      </w:pPr>
    </w:p>
    <w:p w14:paraId="3A4EC7A5" w14:textId="77777777" w:rsidR="00C17DCE" w:rsidRDefault="00D759EB">
      <w:pPr>
        <w:spacing w:line="360" w:lineRule="auto"/>
        <w:ind w:left="511"/>
        <w:jc w:val="both"/>
        <w:rPr>
          <w:rtl/>
        </w:rPr>
      </w:pPr>
      <w:r>
        <w:rPr>
          <w:rFonts w:hint="cs"/>
          <w:rtl/>
        </w:rPr>
        <w:t>משעומת נאשם 1 בחקירתו הנגדית עם תשובותיו השקריות ועדותו הכבושה, תשובה עניינית לא היתה לו (ראו עמוד 338 לפרוטוקול שורה 1) ובצר לו ניסה להתנער מאמירת הדברים במשטרה (עמוד 339 לפרוטוקול שורה 2 וראה "התפתלותו" כמתואר בעמוד 347 לפרוטוקול  שורה 1). גרסת נאשם 1 כי תכננן לבצע את זממו בדירה ריקה, אינה מתיישבת עם הצטיידותו בכובע גרב ובסכין , תשובה עניינית לתהייה זו לא היתה לו (עמוד 355 לפרוטוקול שורה 14).</w:t>
      </w:r>
    </w:p>
    <w:p w14:paraId="7B4DEA3E" w14:textId="77777777" w:rsidR="00C17DCE" w:rsidRDefault="00C17DCE">
      <w:pPr>
        <w:spacing w:line="360" w:lineRule="auto"/>
        <w:jc w:val="both"/>
        <w:rPr>
          <w:rtl/>
        </w:rPr>
      </w:pPr>
    </w:p>
    <w:p w14:paraId="77203C8A" w14:textId="77777777" w:rsidR="00C17DCE" w:rsidRDefault="00C17DCE">
      <w:pPr>
        <w:spacing w:line="360" w:lineRule="auto"/>
        <w:jc w:val="both"/>
        <w:rPr>
          <w:rtl/>
        </w:rPr>
      </w:pPr>
    </w:p>
    <w:p w14:paraId="2ABF6941" w14:textId="77777777" w:rsidR="00C17DCE" w:rsidRDefault="00C17DCE">
      <w:pPr>
        <w:spacing w:line="360" w:lineRule="auto"/>
        <w:jc w:val="both"/>
      </w:pPr>
    </w:p>
    <w:p w14:paraId="0C35A47B" w14:textId="77777777" w:rsidR="00C17DCE" w:rsidRDefault="00D759EB">
      <w:pPr>
        <w:numPr>
          <w:ilvl w:val="0"/>
          <w:numId w:val="7"/>
        </w:numPr>
        <w:spacing w:line="360" w:lineRule="auto"/>
        <w:jc w:val="both"/>
      </w:pPr>
      <w:r>
        <w:rPr>
          <w:rFonts w:hint="cs"/>
          <w:rtl/>
        </w:rPr>
        <w:t xml:space="preserve">כפי שצוין לעיל נאשם 2 מסר גרסה כבושה ולא אמינה. בדיעבד הסתבר כי לאורך כל המשפט תמרן נאשם 2 בין הראיות שהוצגו מתוך כוונה להמציא פתח מילוט שיסייע לו. אין מחלוקת כי נאשם 2 נעדר מעבודתו ביום האירוע, גרסתו המאוחרת לפיה המתין בסמוך לדירה בשעות הבוקר תואמת עובדה זו. תמוה בעיניי מדוע אילץ ב"כ נאשם 2 את המאשימה להביא לעדות את ארבעת מנהלי העבודה, ואדים טיוטיקוב, בוריס דשמיץ, אלכסנדר לבדיק ויורי חניוקובסקי על מנת להוכיח עובדה בה הודה בסופו של יום (ראה גם התנגדות ב"כ נאשם 2 לקבילות מסמכים ת/13, ת/14, ת/14א. ת/15, ת/16, ת/17 עמוד 52, 53, 60 שהיום הוא מבקש לאמץ את תוכנם!). </w:t>
      </w:r>
    </w:p>
    <w:p w14:paraId="00F3A933" w14:textId="77777777" w:rsidR="00C17DCE" w:rsidRDefault="00C17DCE">
      <w:pPr>
        <w:jc w:val="both"/>
      </w:pPr>
    </w:p>
    <w:p w14:paraId="1EAECAF1" w14:textId="77777777" w:rsidR="00C17DCE" w:rsidRDefault="00D759EB">
      <w:pPr>
        <w:numPr>
          <w:ilvl w:val="0"/>
          <w:numId w:val="7"/>
        </w:numPr>
        <w:spacing w:line="360" w:lineRule="auto"/>
        <w:jc w:val="both"/>
        <w:rPr>
          <w:rtl/>
        </w:rPr>
      </w:pPr>
      <w:r>
        <w:rPr>
          <w:rFonts w:hint="cs"/>
          <w:rtl/>
        </w:rPr>
        <w:t xml:space="preserve">בחקירתו במשטרה ת/53 שורה 133 מסר נאשם 2 כי בזמן האירוע היה בעבודה או בבית ואף הפנה לאתרים שונים בהם עבד. בדיעבד הסתבר כי נאשם 2 מסר גרסה שקרית ומתעתעת, התנהגות שיש בה להשליך על חוסר אמינותו. </w:t>
      </w:r>
    </w:p>
    <w:p w14:paraId="32AC48FC" w14:textId="77777777" w:rsidR="00C17DCE" w:rsidRDefault="00C17DCE">
      <w:pPr>
        <w:jc w:val="both"/>
      </w:pPr>
    </w:p>
    <w:p w14:paraId="1678AAD4" w14:textId="77777777" w:rsidR="00C17DCE" w:rsidRDefault="00D759EB">
      <w:pPr>
        <w:numPr>
          <w:ilvl w:val="0"/>
          <w:numId w:val="7"/>
        </w:numPr>
        <w:spacing w:line="360" w:lineRule="auto"/>
        <w:jc w:val="both"/>
        <w:rPr>
          <w:rtl/>
        </w:rPr>
      </w:pPr>
      <w:r>
        <w:rPr>
          <w:rFonts w:hint="cs"/>
          <w:rtl/>
        </w:rPr>
        <w:t>ב"כ נאשם 2, בסעיף 137 לסיכומיו, מודה כי היה חייב להזמין 3 עדי הגנה מסוימים אלא שהנאשם אסר עליו לעשות כן, גרסה תמוהה שאינה מתאימה למי שטוען לחפות ומואשם בעבירות כה חמורות ואין לה גם ביטוי בעדות הנאשם או באמרות כל שהן מטעמו.</w:t>
      </w:r>
    </w:p>
    <w:p w14:paraId="2E3E367C" w14:textId="77777777" w:rsidR="00C17DCE" w:rsidRDefault="00C17DCE">
      <w:pPr>
        <w:jc w:val="both"/>
      </w:pPr>
    </w:p>
    <w:p w14:paraId="23BCFC5E" w14:textId="77777777" w:rsidR="00C17DCE" w:rsidRDefault="00D759EB">
      <w:pPr>
        <w:numPr>
          <w:ilvl w:val="0"/>
          <w:numId w:val="7"/>
        </w:numPr>
        <w:spacing w:line="360" w:lineRule="auto"/>
        <w:jc w:val="both"/>
        <w:rPr>
          <w:u w:val="single"/>
          <w:rtl/>
        </w:rPr>
      </w:pPr>
      <w:r>
        <w:rPr>
          <w:rFonts w:hint="cs"/>
          <w:rtl/>
        </w:rPr>
        <w:t>לסיכום- גרסת שני הנאשמים אינה אמינה עליי והוכח מעבר לכל ספק סביר כי הם ביצעו בצוותא חדא את העבירות  המיוחסות להם למעט עבירת האינוס.</w:t>
      </w:r>
    </w:p>
    <w:p w14:paraId="242A5EA8" w14:textId="77777777" w:rsidR="00C17DCE" w:rsidRDefault="00C17DCE">
      <w:pPr>
        <w:jc w:val="both"/>
        <w:rPr>
          <w:u w:val="single"/>
        </w:rPr>
      </w:pPr>
    </w:p>
    <w:p w14:paraId="087E0D37" w14:textId="77777777" w:rsidR="00C17DCE" w:rsidRDefault="00D759EB">
      <w:pPr>
        <w:spacing w:line="360" w:lineRule="auto"/>
        <w:ind w:firstLine="511"/>
        <w:jc w:val="both"/>
        <w:rPr>
          <w:u w:val="single"/>
          <w:rtl/>
        </w:rPr>
      </w:pPr>
      <w:r>
        <w:rPr>
          <w:rFonts w:hint="cs"/>
          <w:u w:val="single"/>
          <w:rtl/>
        </w:rPr>
        <w:t>מחדלי חקירה</w:t>
      </w:r>
    </w:p>
    <w:p w14:paraId="66CDBF52" w14:textId="77777777" w:rsidR="00C17DCE" w:rsidRDefault="00D759EB">
      <w:pPr>
        <w:numPr>
          <w:ilvl w:val="0"/>
          <w:numId w:val="7"/>
        </w:numPr>
        <w:jc w:val="both"/>
      </w:pPr>
      <w:r>
        <w:rPr>
          <w:rFonts w:hint="cs"/>
          <w:rtl/>
        </w:rPr>
        <w:t>אפנה בנושא זה ל</w:t>
      </w:r>
      <w:hyperlink r:id="rId71" w:history="1">
        <w:r w:rsidR="005644D6" w:rsidRPr="005644D6">
          <w:rPr>
            <w:rStyle w:val="Hyperlink"/>
            <w:rFonts w:hint="eastAsia"/>
            <w:rtl/>
          </w:rPr>
          <w:t>ע</w:t>
        </w:r>
        <w:r w:rsidR="005644D6" w:rsidRPr="005644D6">
          <w:rPr>
            <w:rStyle w:val="Hyperlink"/>
            <w:rtl/>
          </w:rPr>
          <w:t>"</w:t>
        </w:r>
        <w:r w:rsidR="005644D6" w:rsidRPr="005644D6">
          <w:rPr>
            <w:rStyle w:val="Hyperlink"/>
            <w:rFonts w:hint="eastAsia"/>
            <w:rtl/>
          </w:rPr>
          <w:t>פ</w:t>
        </w:r>
        <w:r w:rsidR="005644D6" w:rsidRPr="005644D6">
          <w:rPr>
            <w:rStyle w:val="Hyperlink"/>
            <w:rtl/>
          </w:rPr>
          <w:t xml:space="preserve"> 7477/08</w:t>
        </w:r>
      </w:hyperlink>
      <w:r>
        <w:rPr>
          <w:rFonts w:hint="cs"/>
          <w:rtl/>
        </w:rPr>
        <w:t>:</w:t>
      </w:r>
    </w:p>
    <w:p w14:paraId="7E31A828" w14:textId="77777777" w:rsidR="00C17DCE" w:rsidRDefault="00C17DCE">
      <w:pPr>
        <w:jc w:val="both"/>
      </w:pPr>
    </w:p>
    <w:p w14:paraId="520CF653" w14:textId="77777777" w:rsidR="00C17DCE" w:rsidRDefault="00D759EB">
      <w:pPr>
        <w:ind w:left="765" w:right="900"/>
        <w:jc w:val="both"/>
        <w:rPr>
          <w:b/>
          <w:bCs/>
        </w:rPr>
      </w:pPr>
      <w:r>
        <w:rPr>
          <w:rFonts w:hint="cs"/>
          <w:rtl/>
        </w:rPr>
        <w:t>"</w:t>
      </w:r>
      <w:r>
        <w:rPr>
          <w:rFonts w:cs="Miriam" w:hint="cs"/>
          <w:rtl/>
        </w:rPr>
        <w:t>מחדלי חקירה. כידוע, היעדרה של ראיה שמקורה במחדלה של הרשות החוקרת ייזקף לחובת התביעה כאשר מתבררת השאלה האם הרימה את נטל ההוכחה המוטל עליה. ואולם, עצם קיומו של מחדל חקירתי אין משמעו זיכוי אוטומטי של הנאשם. נפקותו של המחדל החקירתי תלויה בנסיבות העניין, ובפרט במידת חומרתו. מוקד הבחינה הינו בשאלה האם מדובר במחדל כה חמור עד כי מתעורר החשש כי הגנת הנאשם קופחה באופן שהוא התקשה להתמודד עם חומר הראיות נגדו</w:t>
      </w:r>
      <w:r>
        <w:rPr>
          <w:rFonts w:hint="cs"/>
          <w:rtl/>
        </w:rPr>
        <w:t xml:space="preserve">", </w:t>
      </w:r>
      <w:hyperlink r:id="rId72" w:history="1">
        <w:r w:rsidR="005644D6" w:rsidRPr="005644D6">
          <w:rPr>
            <w:rStyle w:val="Hyperlink"/>
            <w:rFonts w:hint="eastAsia"/>
            <w:rtl/>
          </w:rPr>
          <w:t>ע</w:t>
        </w:r>
        <w:r w:rsidR="005644D6" w:rsidRPr="005644D6">
          <w:rPr>
            <w:rStyle w:val="Hyperlink"/>
            <w:rtl/>
          </w:rPr>
          <w:t>"</w:t>
        </w:r>
        <w:r w:rsidR="005644D6" w:rsidRPr="005644D6">
          <w:rPr>
            <w:rStyle w:val="Hyperlink"/>
            <w:rFonts w:hint="eastAsia"/>
            <w:rtl/>
          </w:rPr>
          <w:t>פ</w:t>
        </w:r>
        <w:r w:rsidR="005644D6" w:rsidRPr="005644D6">
          <w:rPr>
            <w:rStyle w:val="Hyperlink"/>
            <w:rtl/>
          </w:rPr>
          <w:t xml:space="preserve"> 7477/08</w:t>
        </w:r>
      </w:hyperlink>
      <w:r>
        <w:rPr>
          <w:rFonts w:hint="cs"/>
          <w:rtl/>
        </w:rPr>
        <w:t xml:space="preserve"> </w:t>
      </w:r>
      <w:r>
        <w:rPr>
          <w:rFonts w:hint="cs"/>
          <w:b/>
          <w:bCs/>
          <w:rtl/>
        </w:rPr>
        <w:t xml:space="preserve">איתן גץ נגד מדינת ישראל. </w:t>
      </w:r>
    </w:p>
    <w:p w14:paraId="5652A84A" w14:textId="77777777" w:rsidR="00C17DCE" w:rsidRDefault="00C17DCE">
      <w:pPr>
        <w:spacing w:line="360" w:lineRule="auto"/>
        <w:ind w:left="1320" w:right="540"/>
        <w:jc w:val="both"/>
        <w:rPr>
          <w:b/>
          <w:bCs/>
          <w:rtl/>
        </w:rPr>
      </w:pPr>
    </w:p>
    <w:p w14:paraId="3C0F0C6E" w14:textId="77777777" w:rsidR="00C17DCE" w:rsidRDefault="00D759EB">
      <w:pPr>
        <w:numPr>
          <w:ilvl w:val="0"/>
          <w:numId w:val="7"/>
        </w:numPr>
        <w:spacing w:line="360" w:lineRule="auto"/>
        <w:jc w:val="both"/>
      </w:pPr>
      <w:r>
        <w:rPr>
          <w:rFonts w:hint="cs"/>
          <w:rtl/>
        </w:rPr>
        <w:t>לאחר בחינת טיעוני ב"כ נאשם 2 (סעיף 72 ואילך לסיכומיו) לא מצאתי מחדל כלשהו שהביא לקיפוח הגנתו של הנאשם וגם השמצת המאשימה (ראו סעיף 77 לסיכומים) הינה חסרת בסיס.</w:t>
      </w:r>
    </w:p>
    <w:p w14:paraId="285CA0DE" w14:textId="77777777" w:rsidR="00C17DCE" w:rsidRDefault="00C17DCE">
      <w:pPr>
        <w:spacing w:line="360" w:lineRule="auto"/>
        <w:jc w:val="both"/>
      </w:pPr>
    </w:p>
    <w:p w14:paraId="04943460" w14:textId="77777777" w:rsidR="00C17DCE" w:rsidRDefault="00D759EB">
      <w:pPr>
        <w:numPr>
          <w:ilvl w:val="0"/>
          <w:numId w:val="7"/>
        </w:numPr>
        <w:spacing w:line="360" w:lineRule="auto"/>
        <w:jc w:val="both"/>
      </w:pPr>
      <w:r>
        <w:rPr>
          <w:rFonts w:hint="cs"/>
          <w:rtl/>
        </w:rPr>
        <w:t>נעשה ניסיון לבדוק את מצלמות האבטחה באזור הפארק בו נמצאו כובעי הגרב והכפפות (ת/77,ת/84), אך בשל תקלה טכנית במצלמות העירייה לא ניתן לראות מי הניח הבגדים, החוקר קנדרו הסביר הפעולות שערך בנושא (עמוד 303 לפרוטוקול שורה 6). גם אם הייתי מכנה העדר קבלת התמונות מחדל, מאחר וממילא שני הנאשמים מודים בזריקת הבגדים, איני סבור כי מדובר במחדל בעל ערך להגנתם ואין לייחס את התקלה הטכנית לחוקרי המשטרה.</w:t>
      </w:r>
    </w:p>
    <w:p w14:paraId="44AA048B" w14:textId="77777777" w:rsidR="00C17DCE" w:rsidRDefault="00C17DCE">
      <w:pPr>
        <w:spacing w:line="360" w:lineRule="auto"/>
        <w:jc w:val="both"/>
      </w:pPr>
    </w:p>
    <w:p w14:paraId="497D0EC7" w14:textId="77777777" w:rsidR="00C17DCE" w:rsidRDefault="00D759EB">
      <w:pPr>
        <w:numPr>
          <w:ilvl w:val="0"/>
          <w:numId w:val="7"/>
        </w:numPr>
        <w:spacing w:line="360" w:lineRule="auto"/>
        <w:jc w:val="both"/>
        <w:rPr>
          <w:rtl/>
        </w:rPr>
      </w:pPr>
      <w:r>
        <w:rPr>
          <w:rFonts w:hint="cs"/>
          <w:rtl/>
        </w:rPr>
        <w:t>אבדן התחתונים-אין מחלוקת כי תחתוני המתלוננת אבדו כנראה במעבדת המטא"ר לפי הסברו של החוקר קנדרו, (עמוד 299 לפרוטוקול שורה 23 ועמוד 300 שורה 8), במקרה זה ההנחה היא כי לו היו נבדקים התחתונים התוצאה היתה לזכות הנאשמים, לתחתונים משמעות רק בנושא האינוס, משזוכו הנאשמים מעבירת האינוס, לא נפגעה הגנתם.</w:t>
      </w:r>
    </w:p>
    <w:p w14:paraId="5DACD0AB" w14:textId="77777777" w:rsidR="00C17DCE" w:rsidRDefault="00C17DCE">
      <w:pPr>
        <w:spacing w:line="360" w:lineRule="auto"/>
        <w:jc w:val="both"/>
      </w:pPr>
    </w:p>
    <w:p w14:paraId="49CE0AEF" w14:textId="77777777" w:rsidR="00C17DCE" w:rsidRDefault="00D759EB">
      <w:pPr>
        <w:numPr>
          <w:ilvl w:val="0"/>
          <w:numId w:val="7"/>
        </w:numPr>
        <w:spacing w:line="360" w:lineRule="auto"/>
        <w:jc w:val="both"/>
        <w:rPr>
          <w:rtl/>
        </w:rPr>
      </w:pPr>
      <w:r>
        <w:rPr>
          <w:rFonts w:hint="cs"/>
          <w:rtl/>
        </w:rPr>
        <w:t>לכך אוסיף כי הוכחה מעבר לכל ספק מעורבות שני הנאשמים באירוע מבלי שהיה להם סכסוך עם המתלוננת או הסבר לפגיעות הקשות שפגעו בה. גם אם הנאשמים נשלחו  לבצע הוראות מטעמו של מאן דהוא שזהותו לא הוכחה, לאור הראיות המפלילות נגד שני הנאשמים, העדרו של השולח האלמוני שזהותו ידועה להם, אינה יכולה לסייע להם בעת קביעת אחריותם הפלילית. המשטרה השקיעה מאמצים רבים לאתר חשודים נוספים, בשלב מסוים ביקש ב"כ נאשם 2  בבקשה לגילוי עתירה לחשוף מידע מודיעיני בנושא, אך לאחר ששמענו את טענות הצדדים, ביקש כי לא תינתן החלטה בבקשתו ולמעשה חזר בו מאותה בקשה-שאינה מוזכרת כלל גם בסיכומיו.</w:t>
      </w:r>
    </w:p>
    <w:p w14:paraId="0086525D" w14:textId="77777777" w:rsidR="00C17DCE" w:rsidRDefault="00C17DCE">
      <w:pPr>
        <w:jc w:val="both"/>
      </w:pPr>
    </w:p>
    <w:p w14:paraId="3C125D9A" w14:textId="77777777" w:rsidR="00C17DCE" w:rsidRDefault="00D759EB">
      <w:pPr>
        <w:numPr>
          <w:ilvl w:val="0"/>
          <w:numId w:val="7"/>
        </w:numPr>
        <w:spacing w:line="360" w:lineRule="auto"/>
        <w:jc w:val="both"/>
      </w:pPr>
      <w:r>
        <w:rPr>
          <w:rFonts w:hint="cs"/>
          <w:rtl/>
        </w:rPr>
        <w:t>במהלך המשפט העלו הסנגורים שמות של מעורבים נוספים, אבי אזאוי (נ/9, נ/10 וראה גם עמוד  450 לפרוטוקול שורה 12) או אורן זאב (ראו עדות מאיר קנדרו עמוד 313 לפרוטוקול שורה 16, עמוד 634 שורה 13 ועמוד 467 שורה 11), אך ראיות למעורבותם לא הוכחה. הסביר זאת היטב החוקר קנדרו:</w:t>
      </w:r>
    </w:p>
    <w:p w14:paraId="279DB00B" w14:textId="77777777" w:rsidR="00C17DCE" w:rsidRDefault="00C17DCE">
      <w:pPr>
        <w:spacing w:line="360" w:lineRule="auto"/>
        <w:jc w:val="both"/>
        <w:rPr>
          <w:rtl/>
        </w:rPr>
      </w:pPr>
    </w:p>
    <w:p w14:paraId="677765CB" w14:textId="77777777" w:rsidR="00C17DCE" w:rsidRDefault="00D759EB">
      <w:pPr>
        <w:ind w:left="945" w:right="720"/>
        <w:jc w:val="both"/>
      </w:pPr>
      <w:r>
        <w:rPr>
          <w:rFonts w:cs="Miriam" w:hint="cs"/>
          <w:rtl/>
        </w:rPr>
        <w:t xml:space="preserve">"אוקי. השם של אבי אזוואי עלה בידיעה המודיעינית מטבענו מהרגל עבודתנו אנחנו קוראים לאותו אדם לחקירה ועוצרים אותו וחוקרים אותו ומטיחים בו את מה שיש בידיעה. מעבר לידיעה המודיעינית שום לא היה שום בסיס או שום ראיה, או שום ממצא כזה או אחר שבגינו ניתן להמשיך להחזיקו במעצר, או להאמין שאולי הוא היה שם, ולכן לא היה לנו מנוס אלא לשחרר אותו לתנאים ולהמשיך לפתח את החקירה, כך גם היה עם עוד חשודים נוספים, כמו זאב אורן, מוטי אברהמי ועוד הרבה שהזכרתי בפתיח. אז להגיד אם אנחנו עושים את זה סתם? כן אתה מנסה, לפעמים גם אומרים לו סתם כן אתה חשוד בזה ובזה כדאי לראות מה הוא יגיד כי אין לך כלום ביד אז מה איזה ברירות יש לנו? מה יש לנו להפסיד? כן וחוקרים אותו ביחס לידיעה אנחנו לא עושים בשביל הכיף, אנחנו מחויבים להטיח באדם את התוכן של הידיעה. בין אם אתה רוצה לקרוא לזה סתם או לא סתם זה כבר שיקול שלך אנחנו עושים את זה כי צריך לעשות את זה, ולשמוע תגובה, ובהתאם לתגובה ולממצאים אם זה מתקדמים. אם יש מקום להערכת (צ"ל להארכת) מעצר עולים איתו להערכת (צ"ל להארכת) מעצר אם אין אז אין", </w:t>
      </w:r>
      <w:r>
        <w:rPr>
          <w:rFonts w:hint="cs"/>
          <w:rtl/>
        </w:rPr>
        <w:t>(עמוד 313 לפרוטוקול שורה 16).</w:t>
      </w:r>
    </w:p>
    <w:p w14:paraId="6A8907BE" w14:textId="77777777" w:rsidR="00C17DCE" w:rsidRDefault="00D759EB">
      <w:pPr>
        <w:ind w:left="1350" w:right="540"/>
        <w:jc w:val="both"/>
        <w:rPr>
          <w:rtl/>
        </w:rPr>
      </w:pPr>
      <w:r>
        <w:rPr>
          <w:rFonts w:hint="cs"/>
          <w:rtl/>
        </w:rPr>
        <w:t xml:space="preserve"> </w:t>
      </w:r>
    </w:p>
    <w:p w14:paraId="25FAEC8D" w14:textId="77777777" w:rsidR="00C17DCE" w:rsidRDefault="00D759EB">
      <w:pPr>
        <w:numPr>
          <w:ilvl w:val="0"/>
          <w:numId w:val="7"/>
        </w:numPr>
        <w:spacing w:line="360" w:lineRule="auto"/>
        <w:jc w:val="both"/>
        <w:rPr>
          <w:rtl/>
        </w:rPr>
      </w:pPr>
      <w:r>
        <w:rPr>
          <w:rFonts w:hint="cs"/>
          <w:rtl/>
        </w:rPr>
        <w:t>גם החוקר דני סולומון נשאל אודות ידיעות מודיעיניות שיכולות היו להצביע על כיווני חקירה וחשודים נוספים, אלא שהסתבר מעדותו כי חקירת האחרים לא הביאה למידע מחשיד לגביהם (עמוד 108 לפרוטוקול שורה 2), כך למשל נחקר זאב אורן אשר לפי מחקר התקשרות היה בקשר טלפוני עם הנאשמים סמוך לזמן האירוע, אך לא נמצא דבר היכול לקשור אותו לאירוע, (עמוד 104 לפרוטוקול שורה 22).</w:t>
      </w:r>
    </w:p>
    <w:p w14:paraId="26519F9C" w14:textId="77777777" w:rsidR="00C17DCE" w:rsidRDefault="00C17DCE">
      <w:pPr>
        <w:jc w:val="both"/>
      </w:pPr>
    </w:p>
    <w:p w14:paraId="2464FAF7" w14:textId="77777777" w:rsidR="00C17DCE" w:rsidRDefault="00D759EB">
      <w:pPr>
        <w:numPr>
          <w:ilvl w:val="0"/>
          <w:numId w:val="7"/>
        </w:numPr>
        <w:spacing w:line="360" w:lineRule="auto"/>
        <w:jc w:val="both"/>
        <w:rPr>
          <w:rtl/>
        </w:rPr>
      </w:pPr>
      <w:r>
        <w:rPr>
          <w:rFonts w:hint="cs"/>
          <w:rtl/>
        </w:rPr>
        <w:t>נחקר גם בעלה של המתלוננת בקשר לסכסוך של אשתו עם חברה שלה בשם ענבל (ת/76) ובעקבות דברי המתלוננת ובעלה גם נחקרה אותה חברה, (עמוד 108 לפרוטוקול שורה 8), החקירה הובילה לכוונים ונחקרים נוספים, שבפועל נשללה מעורבותם בעקבות אותן פעולות חקירה, (עמוד 290 לפרוטוקול שורה 23  ועמוד 291 שורה 4).</w:t>
      </w:r>
    </w:p>
    <w:p w14:paraId="50FCA0A8" w14:textId="77777777" w:rsidR="00C17DCE" w:rsidRDefault="00C17DCE">
      <w:pPr>
        <w:jc w:val="both"/>
      </w:pPr>
    </w:p>
    <w:p w14:paraId="06AC3F73" w14:textId="77777777" w:rsidR="00C17DCE" w:rsidRDefault="00D759EB">
      <w:pPr>
        <w:numPr>
          <w:ilvl w:val="0"/>
          <w:numId w:val="7"/>
        </w:numPr>
        <w:spacing w:line="360" w:lineRule="auto"/>
        <w:jc w:val="both"/>
        <w:rPr>
          <w:rtl/>
        </w:rPr>
      </w:pPr>
      <w:r>
        <w:rPr>
          <w:rFonts w:hint="cs"/>
          <w:rtl/>
        </w:rPr>
        <w:t>כל הידיעות המודיעיניות נבדקו ולא נמצא קשר בינן לבין העבירות או המתלוננת. כך למשל מחקירת זאב אורן ששוחח כאמור עם הנאשמים סמוך לאירוע, הסתבר כי אורן והנאשמים בקשר הדוק גם לפני האירוע ומשלא נתגלה כל ממצא אחר, שוחרר אורן בתנאים (עמוד 316 לפרוטוקול שורה 2) ולא ניתן לקשור אותו במישרין או בעקיפין לאירוע. הסנגור בסעיף 98 לסיכומיו מצטט מעמוד 464 לפרוטוקול, אלא שהנתונים  הנטענים על ידו לא מוזכרים כלל באותו עמוד.</w:t>
      </w:r>
    </w:p>
    <w:p w14:paraId="190AE044" w14:textId="77777777" w:rsidR="00C17DCE" w:rsidRDefault="00C17DCE">
      <w:pPr>
        <w:jc w:val="both"/>
      </w:pPr>
    </w:p>
    <w:p w14:paraId="514A611A" w14:textId="77777777" w:rsidR="00C17DCE" w:rsidRDefault="00D759EB">
      <w:pPr>
        <w:numPr>
          <w:ilvl w:val="0"/>
          <w:numId w:val="7"/>
        </w:numPr>
        <w:spacing w:line="360" w:lineRule="auto"/>
        <w:jc w:val="both"/>
        <w:rPr>
          <w:rtl/>
        </w:rPr>
      </w:pPr>
      <w:r>
        <w:rPr>
          <w:rFonts w:hint="cs"/>
          <w:rtl/>
        </w:rPr>
        <w:t>העובדה שנחקרו אחרים בחשד למעורבות באירוע, אינה מפחיתה מעוצמת הראיות שלפיהן הוכח כי שני הנאשמים היו "המבצעים בצוותא" בזירת האירוע, כפי שלמעשה הודה באופן חלקי נאשם 1 וכפי שעולה ממכלול הראיות בתיק. אי מציאת שולחיהם של הנאשמים - אם היו כאלה- אינה מפחיתה כהוא זה מאחריותם שהוכחה מעבר לכל ספק.</w:t>
      </w:r>
    </w:p>
    <w:p w14:paraId="2D7BF877" w14:textId="77777777" w:rsidR="00C17DCE" w:rsidRDefault="00C17DCE">
      <w:pPr>
        <w:jc w:val="both"/>
      </w:pPr>
    </w:p>
    <w:p w14:paraId="07F7B4CA" w14:textId="77777777" w:rsidR="00C17DCE" w:rsidRDefault="00D759EB">
      <w:pPr>
        <w:numPr>
          <w:ilvl w:val="0"/>
          <w:numId w:val="7"/>
        </w:numPr>
        <w:spacing w:line="360" w:lineRule="auto"/>
        <w:jc w:val="both"/>
      </w:pPr>
      <w:r>
        <w:rPr>
          <w:rFonts w:hint="cs"/>
          <w:rtl/>
        </w:rPr>
        <w:t xml:space="preserve">ב"כ נאשם 2 מעלה בסיכומיו טיעונים בדבר זיהום הזירה. לא מצאתי בסיס לטיעונים אלו ולמעשה הם גם כוללים נתונים לא נכונים. הסנגור מצטט בעמוד 40 פיסקה חמישית לסיכומיו, עדות לפיה השוטר אוחנה ראה את השכנה שוטפת את רצפת דירת המתלוננת וזאת בהסתמך על ת/5. עיון בעמוד 2 לת/5 מראה כי הסנגור טועה בהבנת תוכנו. </w:t>
      </w:r>
    </w:p>
    <w:p w14:paraId="44DF6EC4" w14:textId="77777777" w:rsidR="00C17DCE" w:rsidRDefault="00D759EB">
      <w:pPr>
        <w:spacing w:line="360" w:lineRule="auto"/>
        <w:ind w:left="720"/>
        <w:jc w:val="both"/>
        <w:rPr>
          <w:rtl/>
        </w:rPr>
      </w:pPr>
      <w:r>
        <w:rPr>
          <w:rFonts w:hint="cs"/>
          <w:rtl/>
        </w:rPr>
        <w:t>באותו דו"ח נכתב במפורש כי דירת המתלוננת ננעלה גם בפני השוטר אוחנה והוא פגש את השכנה גב' פרימור כשהיא שוטפת את רצפת דירתה שלה ומיותר לציין כי דירת השכנה אינה זירת האירוע.</w:t>
      </w:r>
    </w:p>
    <w:p w14:paraId="4AA936AF" w14:textId="77777777" w:rsidR="00C17DCE" w:rsidRDefault="00C17DCE">
      <w:pPr>
        <w:spacing w:line="360" w:lineRule="auto"/>
        <w:ind w:left="720"/>
        <w:jc w:val="both"/>
        <w:rPr>
          <w:rtl/>
        </w:rPr>
      </w:pPr>
    </w:p>
    <w:p w14:paraId="58A3BD7A" w14:textId="77777777" w:rsidR="00C17DCE" w:rsidRDefault="00D759EB">
      <w:pPr>
        <w:spacing w:line="360" w:lineRule="auto"/>
        <w:ind w:firstLine="511"/>
        <w:jc w:val="both"/>
        <w:rPr>
          <w:u w:val="single"/>
        </w:rPr>
      </w:pPr>
      <w:r>
        <w:rPr>
          <w:rFonts w:hint="cs"/>
          <w:u w:val="single"/>
          <w:rtl/>
        </w:rPr>
        <w:t>סיכום</w:t>
      </w:r>
    </w:p>
    <w:p w14:paraId="1CA8CC5C" w14:textId="77777777" w:rsidR="00C17DCE" w:rsidRDefault="00D759EB">
      <w:pPr>
        <w:numPr>
          <w:ilvl w:val="0"/>
          <w:numId w:val="7"/>
        </w:numPr>
        <w:spacing w:line="360" w:lineRule="auto"/>
        <w:jc w:val="both"/>
      </w:pPr>
      <w:r>
        <w:rPr>
          <w:rFonts w:hint="cs"/>
          <w:rtl/>
        </w:rPr>
        <w:t>לאור כל האמור לעיל אני סבור כי יש לזכות הנאשמים מעבירת האינוס- עבירה לפי סעיף 345(ב)(3)+(4)+(5) בנסיבות ס' 345(א)(1)+(4)+29 ל</w:t>
      </w:r>
      <w:hyperlink r:id="rId73" w:history="1">
        <w:r w:rsidR="005644D6" w:rsidRPr="005644D6">
          <w:rPr>
            <w:rStyle w:val="Hyperlink"/>
            <w:rFonts w:hint="eastAsia"/>
            <w:rtl/>
          </w:rPr>
          <w:t>חוק</w:t>
        </w:r>
        <w:r w:rsidR="005644D6" w:rsidRPr="005644D6">
          <w:rPr>
            <w:rStyle w:val="Hyperlink"/>
            <w:rtl/>
          </w:rPr>
          <w:t xml:space="preserve"> </w:t>
        </w:r>
        <w:r w:rsidR="005644D6" w:rsidRPr="005644D6">
          <w:rPr>
            <w:rStyle w:val="Hyperlink"/>
            <w:rFonts w:hint="eastAsia"/>
            <w:rtl/>
          </w:rPr>
          <w:t>העונשין</w:t>
        </w:r>
      </w:hyperlink>
      <w:r>
        <w:rPr>
          <w:rFonts w:hint="cs"/>
          <w:rtl/>
        </w:rPr>
        <w:t xml:space="preserve"> התשל"ז-1977 ולהרשיע את שני הנאשמים בביצוע עבירות של קשירת קשר לפשע, חבלה בכוונה מחמירה, ושוד עבירות לפי סעיפים 499(א)(1), 329(א)(1)+29, 402(ב)+29, לחוק העונשין התשל"ז- 1977. </w:t>
      </w:r>
    </w:p>
    <w:p w14:paraId="12B4B380" w14:textId="77777777" w:rsidR="00C17DCE" w:rsidRDefault="00C17DCE">
      <w:pPr>
        <w:spacing w:line="360" w:lineRule="auto"/>
        <w:jc w:val="both"/>
        <w:rPr>
          <w:b/>
          <w:bCs/>
          <w:u w:val="single"/>
          <w:rtl/>
        </w:rPr>
      </w:pPr>
    </w:p>
    <w:p w14:paraId="3956F351" w14:textId="77777777" w:rsidR="00C17DCE" w:rsidRDefault="00C17DCE">
      <w:pPr>
        <w:spacing w:line="360" w:lineRule="auto"/>
        <w:jc w:val="both"/>
        <w:rPr>
          <w:b/>
          <w:bCs/>
          <w:u w:val="single"/>
          <w:rtl/>
        </w:rPr>
      </w:pPr>
    </w:p>
    <w:p w14:paraId="57C13EA5" w14:textId="77777777" w:rsidR="00C17DCE" w:rsidRDefault="00C17DCE">
      <w:pPr>
        <w:spacing w:line="360" w:lineRule="auto"/>
        <w:jc w:val="both"/>
        <w:rPr>
          <w:b/>
          <w:bCs/>
          <w:u w:val="single"/>
          <w:rtl/>
        </w:rPr>
      </w:pPr>
    </w:p>
    <w:p w14:paraId="2B8D2013" w14:textId="77777777" w:rsidR="00C17DCE" w:rsidRDefault="00C17DCE">
      <w:pPr>
        <w:spacing w:line="360" w:lineRule="auto"/>
        <w:jc w:val="both"/>
        <w:rPr>
          <w:b/>
          <w:bCs/>
          <w:u w:val="single"/>
          <w:rtl/>
        </w:rPr>
      </w:pPr>
    </w:p>
    <w:p w14:paraId="60145477" w14:textId="77777777" w:rsidR="00C17DCE" w:rsidRDefault="00C17DCE">
      <w:pPr>
        <w:spacing w:line="360" w:lineRule="auto"/>
        <w:jc w:val="both"/>
        <w:rPr>
          <w:b/>
          <w:bCs/>
          <w:u w:val="single"/>
          <w:rtl/>
        </w:rPr>
      </w:pPr>
    </w:p>
    <w:tbl>
      <w:tblPr>
        <w:bidiVisual/>
        <w:tblW w:w="0" w:type="auto"/>
        <w:jc w:val="right"/>
        <w:tblLook w:val="01E0" w:firstRow="1" w:lastRow="1" w:firstColumn="1" w:lastColumn="1" w:noHBand="0" w:noVBand="0"/>
      </w:tblPr>
      <w:tblGrid>
        <w:gridCol w:w="2948"/>
      </w:tblGrid>
      <w:tr w:rsidR="00C17DCE" w14:paraId="20F54D8A" w14:textId="77777777">
        <w:trPr>
          <w:jc w:val="right"/>
        </w:trPr>
        <w:tc>
          <w:tcPr>
            <w:tcW w:w="2520" w:type="dxa"/>
            <w:tcBorders>
              <w:top w:val="nil"/>
              <w:left w:val="nil"/>
              <w:bottom w:val="single" w:sz="4" w:space="0" w:color="auto"/>
              <w:right w:val="nil"/>
            </w:tcBorders>
            <w:shd w:val="clear" w:color="auto" w:fill="auto"/>
            <w:vAlign w:val="center"/>
          </w:tcPr>
          <w:p w14:paraId="06F931B9" w14:textId="77777777" w:rsidR="00C17DCE" w:rsidRPr="0014522B" w:rsidRDefault="00C17DCE" w:rsidP="0014522B">
            <w:pPr>
              <w:jc w:val="center"/>
              <w:rPr>
                <w:rFonts w:ascii="Courier New" w:hAnsi="Courier New"/>
                <w:b/>
                <w:bCs/>
              </w:rPr>
            </w:pPr>
            <w:r w:rsidRPr="0014522B">
              <w:rPr>
                <w:rFonts w:ascii="Courier New" w:hAnsi="Courier New"/>
                <w:b/>
                <w:bCs/>
              </w:rPr>
              <w:pict w14:anchorId="1879A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6.5pt">
                  <v:imagedata r:id="rId74" o:title=""/>
                </v:shape>
              </w:pict>
            </w:r>
          </w:p>
        </w:tc>
      </w:tr>
      <w:tr w:rsidR="00C17DCE" w14:paraId="5D69A74D" w14:textId="77777777">
        <w:trPr>
          <w:jc w:val="right"/>
        </w:trPr>
        <w:tc>
          <w:tcPr>
            <w:tcW w:w="2520" w:type="dxa"/>
            <w:tcBorders>
              <w:top w:val="single" w:sz="4" w:space="0" w:color="auto"/>
              <w:left w:val="nil"/>
              <w:bottom w:val="nil"/>
              <w:right w:val="nil"/>
            </w:tcBorders>
            <w:shd w:val="clear" w:color="auto" w:fill="auto"/>
          </w:tcPr>
          <w:p w14:paraId="7DAC7DF9" w14:textId="77777777" w:rsidR="00C17DCE" w:rsidRPr="0014522B" w:rsidRDefault="00D759EB" w:rsidP="0014522B">
            <w:pPr>
              <w:jc w:val="center"/>
              <w:rPr>
                <w:b/>
                <w:bCs/>
                <w:noProof/>
                <w:sz w:val="28"/>
              </w:rPr>
            </w:pPr>
            <w:r w:rsidRPr="0014522B">
              <w:rPr>
                <w:rFonts w:hint="cs"/>
                <w:b/>
                <w:bCs/>
                <w:sz w:val="28"/>
                <w:rtl/>
              </w:rPr>
              <w:t>א. אליקים, שופט</w:t>
            </w:r>
          </w:p>
        </w:tc>
      </w:tr>
    </w:tbl>
    <w:p w14:paraId="394419E7" w14:textId="77777777" w:rsidR="00C17DCE" w:rsidRDefault="00C17DCE">
      <w:pPr>
        <w:spacing w:line="360" w:lineRule="auto"/>
        <w:jc w:val="both"/>
        <w:rPr>
          <w:b/>
          <w:bCs/>
          <w:u w:val="single"/>
          <w:rtl/>
        </w:rPr>
      </w:pPr>
    </w:p>
    <w:p w14:paraId="04A28019" w14:textId="77777777" w:rsidR="00C17DCE" w:rsidRDefault="00C17DCE">
      <w:pPr>
        <w:spacing w:line="360" w:lineRule="auto"/>
        <w:jc w:val="both"/>
        <w:rPr>
          <w:b/>
          <w:bCs/>
          <w:u w:val="single"/>
          <w:rtl/>
        </w:rPr>
      </w:pPr>
    </w:p>
    <w:p w14:paraId="6918F601" w14:textId="77777777" w:rsidR="00C17DCE" w:rsidRDefault="00C17DCE">
      <w:pPr>
        <w:spacing w:line="360" w:lineRule="auto"/>
        <w:jc w:val="both"/>
        <w:rPr>
          <w:b/>
          <w:bCs/>
          <w:u w:val="single"/>
          <w:rtl/>
        </w:rPr>
      </w:pPr>
    </w:p>
    <w:p w14:paraId="7DA263AB" w14:textId="77777777" w:rsidR="00C17DCE" w:rsidRDefault="00D759EB">
      <w:pPr>
        <w:spacing w:line="360" w:lineRule="auto"/>
        <w:jc w:val="both"/>
        <w:rPr>
          <w:b/>
          <w:bCs/>
          <w:u w:val="single"/>
        </w:rPr>
      </w:pPr>
      <w:r>
        <w:rPr>
          <w:rFonts w:hint="cs"/>
          <w:b/>
          <w:bCs/>
          <w:u w:val="single"/>
          <w:rtl/>
        </w:rPr>
        <w:t>השופט יוסף אלרון [אב"ד]:</w:t>
      </w:r>
    </w:p>
    <w:p w14:paraId="59D6991F" w14:textId="77777777" w:rsidR="00C17DCE" w:rsidRDefault="00D759EB">
      <w:pPr>
        <w:spacing w:line="360" w:lineRule="auto"/>
        <w:jc w:val="both"/>
        <w:rPr>
          <w:rtl/>
        </w:rPr>
      </w:pPr>
      <w:r>
        <w:rPr>
          <w:rFonts w:hint="cs"/>
          <w:rtl/>
        </w:rPr>
        <w:t>אני מסכים.</w:t>
      </w:r>
    </w:p>
    <w:p w14:paraId="18BD19CC" w14:textId="77777777" w:rsidR="00C17DCE" w:rsidRDefault="00C17DCE">
      <w:pPr>
        <w:spacing w:line="360" w:lineRule="auto"/>
        <w:jc w:val="both"/>
        <w:rPr>
          <w:b/>
          <w:bCs/>
          <w:u w:val="single"/>
          <w:rtl/>
        </w:rPr>
      </w:pPr>
    </w:p>
    <w:tbl>
      <w:tblPr>
        <w:bidiVisual/>
        <w:tblW w:w="0" w:type="auto"/>
        <w:jc w:val="right"/>
        <w:tblLook w:val="01E0" w:firstRow="1" w:lastRow="1" w:firstColumn="1" w:lastColumn="1" w:noHBand="0" w:noVBand="0"/>
      </w:tblPr>
      <w:tblGrid>
        <w:gridCol w:w="2474"/>
      </w:tblGrid>
      <w:tr w:rsidR="00C17DCE" w14:paraId="186DF6FB" w14:textId="77777777">
        <w:trPr>
          <w:jc w:val="right"/>
        </w:trPr>
        <w:tc>
          <w:tcPr>
            <w:tcW w:w="2474" w:type="dxa"/>
            <w:tcBorders>
              <w:top w:val="nil"/>
              <w:left w:val="nil"/>
              <w:bottom w:val="single" w:sz="4" w:space="0" w:color="auto"/>
              <w:right w:val="nil"/>
            </w:tcBorders>
            <w:shd w:val="clear" w:color="auto" w:fill="auto"/>
            <w:vAlign w:val="center"/>
          </w:tcPr>
          <w:p w14:paraId="2993714A" w14:textId="77777777" w:rsidR="00C17DCE" w:rsidRPr="0014522B" w:rsidRDefault="00C17DCE" w:rsidP="0014522B">
            <w:pPr>
              <w:jc w:val="center"/>
              <w:rPr>
                <w:rFonts w:ascii="Courier New" w:hAnsi="Courier New"/>
                <w:b/>
                <w:bCs/>
              </w:rPr>
            </w:pPr>
            <w:r w:rsidRPr="0014522B">
              <w:rPr>
                <w:rFonts w:ascii="Courier New" w:hAnsi="Courier New"/>
                <w:b/>
                <w:bCs/>
              </w:rPr>
              <w:pict w14:anchorId="0EFC38FB">
                <v:shape id="_x0000_i1027" type="#_x0000_t75" style="width:50.5pt;height:88.5pt">
                  <v:imagedata r:id="rId75" o:title="אלרון 053565529"/>
                </v:shape>
              </w:pict>
            </w:r>
          </w:p>
        </w:tc>
      </w:tr>
      <w:tr w:rsidR="00C17DCE" w14:paraId="613285F6" w14:textId="77777777">
        <w:trPr>
          <w:jc w:val="right"/>
        </w:trPr>
        <w:tc>
          <w:tcPr>
            <w:tcW w:w="2474" w:type="dxa"/>
            <w:tcBorders>
              <w:top w:val="single" w:sz="4" w:space="0" w:color="auto"/>
              <w:left w:val="nil"/>
              <w:bottom w:val="nil"/>
              <w:right w:val="nil"/>
            </w:tcBorders>
            <w:shd w:val="clear" w:color="auto" w:fill="auto"/>
          </w:tcPr>
          <w:p w14:paraId="4DA8BF85" w14:textId="77777777" w:rsidR="00C17DCE" w:rsidRPr="0014522B" w:rsidRDefault="00D759EB" w:rsidP="0014522B">
            <w:pPr>
              <w:jc w:val="center"/>
              <w:rPr>
                <w:b/>
                <w:bCs/>
                <w:noProof/>
                <w:sz w:val="28"/>
                <w:rtl/>
              </w:rPr>
            </w:pPr>
            <w:r w:rsidRPr="0014522B">
              <w:rPr>
                <w:rFonts w:hint="cs"/>
                <w:b/>
                <w:bCs/>
                <w:sz w:val="28"/>
                <w:rtl/>
              </w:rPr>
              <w:t>י. אלרון, שופט</w:t>
            </w:r>
          </w:p>
          <w:p w14:paraId="5DC81DF7" w14:textId="77777777" w:rsidR="00C17DCE" w:rsidRPr="0014522B" w:rsidRDefault="00D759EB" w:rsidP="0014522B">
            <w:pPr>
              <w:jc w:val="center"/>
              <w:rPr>
                <w:b/>
                <w:bCs/>
                <w:noProof/>
                <w:sz w:val="28"/>
              </w:rPr>
            </w:pPr>
            <w:r w:rsidRPr="0014522B">
              <w:rPr>
                <w:rFonts w:hint="cs"/>
                <w:b/>
                <w:bCs/>
                <w:sz w:val="28"/>
                <w:rtl/>
              </w:rPr>
              <w:t>[אב"ד]</w:t>
            </w:r>
          </w:p>
        </w:tc>
      </w:tr>
    </w:tbl>
    <w:p w14:paraId="6A4A2A85" w14:textId="77777777" w:rsidR="00C17DCE" w:rsidRDefault="00C17DCE">
      <w:pPr>
        <w:spacing w:line="360" w:lineRule="auto"/>
        <w:jc w:val="both"/>
        <w:rPr>
          <w:b/>
          <w:bCs/>
          <w:u w:val="single"/>
          <w:rtl/>
        </w:rPr>
      </w:pPr>
    </w:p>
    <w:p w14:paraId="3A4E2FB2" w14:textId="77777777" w:rsidR="00C17DCE" w:rsidRDefault="00C17DCE">
      <w:pPr>
        <w:spacing w:line="360" w:lineRule="auto"/>
        <w:jc w:val="both"/>
        <w:rPr>
          <w:b/>
          <w:bCs/>
          <w:u w:val="single"/>
          <w:rtl/>
        </w:rPr>
      </w:pPr>
    </w:p>
    <w:p w14:paraId="64889169" w14:textId="77777777" w:rsidR="00C17DCE" w:rsidRDefault="00C17DCE">
      <w:pPr>
        <w:spacing w:line="360" w:lineRule="auto"/>
        <w:jc w:val="both"/>
        <w:rPr>
          <w:b/>
          <w:bCs/>
          <w:u w:val="single"/>
          <w:rtl/>
        </w:rPr>
      </w:pPr>
    </w:p>
    <w:p w14:paraId="663F4980" w14:textId="77777777" w:rsidR="00C17DCE" w:rsidRDefault="00C17DCE">
      <w:pPr>
        <w:spacing w:line="360" w:lineRule="auto"/>
        <w:jc w:val="both"/>
        <w:rPr>
          <w:b/>
          <w:bCs/>
          <w:u w:val="single"/>
          <w:rtl/>
        </w:rPr>
      </w:pPr>
    </w:p>
    <w:p w14:paraId="24F3A3F8" w14:textId="77777777" w:rsidR="00C17DCE" w:rsidRDefault="00C17DCE">
      <w:pPr>
        <w:spacing w:line="360" w:lineRule="auto"/>
        <w:jc w:val="both"/>
        <w:rPr>
          <w:b/>
          <w:bCs/>
          <w:u w:val="single"/>
          <w:rtl/>
        </w:rPr>
      </w:pPr>
    </w:p>
    <w:p w14:paraId="31E62D39" w14:textId="77777777" w:rsidR="00C17DCE" w:rsidRDefault="00D759EB">
      <w:pPr>
        <w:spacing w:line="360" w:lineRule="auto"/>
        <w:jc w:val="both"/>
        <w:rPr>
          <w:b/>
          <w:bCs/>
          <w:u w:val="single"/>
          <w:rtl/>
        </w:rPr>
      </w:pPr>
      <w:r>
        <w:rPr>
          <w:rFonts w:hint="cs"/>
          <w:b/>
          <w:bCs/>
          <w:u w:val="single"/>
          <w:rtl/>
        </w:rPr>
        <w:t xml:space="preserve">השופט </w:t>
      </w:r>
      <w:smartTag w:uri="urn:schemas-microsoft-com:office:smarttags" w:element="PersonName">
        <w:r>
          <w:rPr>
            <w:rFonts w:hint="cs"/>
            <w:b/>
            <w:bCs/>
            <w:u w:val="single"/>
            <w:rtl/>
          </w:rPr>
          <w:t>משה גלעד</w:t>
        </w:r>
      </w:smartTag>
      <w:r>
        <w:rPr>
          <w:rFonts w:hint="cs"/>
          <w:b/>
          <w:bCs/>
          <w:u w:val="single"/>
          <w:rtl/>
        </w:rPr>
        <w:t>:</w:t>
      </w:r>
    </w:p>
    <w:p w14:paraId="6661AC29" w14:textId="77777777" w:rsidR="00C17DCE" w:rsidRDefault="00D759EB">
      <w:pPr>
        <w:spacing w:line="360" w:lineRule="auto"/>
        <w:jc w:val="both"/>
        <w:rPr>
          <w:rtl/>
        </w:rPr>
      </w:pPr>
      <w:r>
        <w:rPr>
          <w:rFonts w:hint="cs"/>
          <w:rtl/>
        </w:rPr>
        <w:t>אני מסכים.</w:t>
      </w:r>
    </w:p>
    <w:p w14:paraId="4C169389" w14:textId="77777777" w:rsidR="00C17DCE" w:rsidRDefault="00C17DCE">
      <w:pPr>
        <w:spacing w:line="360" w:lineRule="auto"/>
        <w:jc w:val="both"/>
        <w:rPr>
          <w:rtl/>
        </w:rPr>
      </w:pPr>
    </w:p>
    <w:tbl>
      <w:tblPr>
        <w:tblpPr w:leftFromText="180" w:rightFromText="180" w:vertAnchor="text" w:horzAnchor="margin" w:tblpY="221"/>
        <w:bidiVisual/>
        <w:tblW w:w="0" w:type="auto"/>
        <w:tblLook w:val="01E0" w:firstRow="1" w:lastRow="1" w:firstColumn="1" w:lastColumn="1" w:noHBand="0" w:noVBand="0"/>
      </w:tblPr>
      <w:tblGrid>
        <w:gridCol w:w="2392"/>
      </w:tblGrid>
      <w:tr w:rsidR="00C17DCE" w14:paraId="7F66A04A" w14:textId="77777777">
        <w:tc>
          <w:tcPr>
            <w:tcW w:w="2392" w:type="dxa"/>
            <w:tcBorders>
              <w:top w:val="nil"/>
              <w:left w:val="nil"/>
              <w:bottom w:val="single" w:sz="4" w:space="0" w:color="auto"/>
              <w:right w:val="nil"/>
            </w:tcBorders>
            <w:shd w:val="clear" w:color="auto" w:fill="auto"/>
            <w:vAlign w:val="center"/>
          </w:tcPr>
          <w:p w14:paraId="1926C52A" w14:textId="77777777" w:rsidR="00C17DCE" w:rsidRPr="0014522B" w:rsidRDefault="00C17DCE" w:rsidP="0014522B">
            <w:pPr>
              <w:jc w:val="right"/>
              <w:rPr>
                <w:rFonts w:ascii="Courier New" w:hAnsi="Courier New"/>
                <w:b/>
                <w:bCs/>
              </w:rPr>
            </w:pPr>
            <w:r w:rsidRPr="0014522B">
              <w:rPr>
                <w:rFonts w:ascii="Courier New" w:hAnsi="Courier New"/>
                <w:b/>
                <w:bCs/>
              </w:rPr>
              <w:pict w14:anchorId="7D229C25">
                <v:shape id="_x0000_i1028" type="#_x0000_t75" style="width:109pt;height:56pt">
                  <v:imagedata r:id="rId76" o:title="067578955 גלעד משה"/>
                </v:shape>
              </w:pict>
            </w:r>
          </w:p>
        </w:tc>
      </w:tr>
      <w:tr w:rsidR="00C17DCE" w14:paraId="31869D65" w14:textId="77777777">
        <w:tc>
          <w:tcPr>
            <w:tcW w:w="2392" w:type="dxa"/>
            <w:tcBorders>
              <w:top w:val="single" w:sz="4" w:space="0" w:color="auto"/>
              <w:left w:val="nil"/>
              <w:bottom w:val="nil"/>
              <w:right w:val="nil"/>
            </w:tcBorders>
            <w:shd w:val="clear" w:color="auto" w:fill="auto"/>
          </w:tcPr>
          <w:p w14:paraId="1F203464" w14:textId="77777777" w:rsidR="00C17DCE" w:rsidRPr="0014522B" w:rsidRDefault="00D759EB" w:rsidP="0014522B">
            <w:pPr>
              <w:pStyle w:val="Heading3"/>
              <w:jc w:val="center"/>
              <w:rPr>
                <w:sz w:val="28"/>
              </w:rPr>
            </w:pPr>
            <w:r w:rsidRPr="0014522B">
              <w:rPr>
                <w:rFonts w:hint="cs"/>
                <w:sz w:val="28"/>
                <w:rtl/>
              </w:rPr>
              <w:t>מ. גלעד, שופט</w:t>
            </w:r>
          </w:p>
        </w:tc>
      </w:tr>
    </w:tbl>
    <w:p w14:paraId="145106F5" w14:textId="77777777" w:rsidR="00C17DCE" w:rsidRDefault="00C17DCE">
      <w:pPr>
        <w:spacing w:line="360" w:lineRule="auto"/>
        <w:jc w:val="both"/>
        <w:rPr>
          <w:b/>
          <w:bCs/>
          <w:u w:val="single"/>
          <w:rtl/>
        </w:rPr>
      </w:pPr>
    </w:p>
    <w:p w14:paraId="0384A1A0" w14:textId="77777777" w:rsidR="00C17DCE" w:rsidRDefault="00C17DCE">
      <w:pPr>
        <w:spacing w:line="360" w:lineRule="auto"/>
        <w:jc w:val="both"/>
        <w:rPr>
          <w:b/>
          <w:bCs/>
          <w:u w:val="single"/>
          <w:rtl/>
        </w:rPr>
      </w:pPr>
    </w:p>
    <w:p w14:paraId="12392895" w14:textId="77777777" w:rsidR="00C17DCE" w:rsidRDefault="00C17DCE">
      <w:pPr>
        <w:spacing w:line="360" w:lineRule="auto"/>
        <w:ind w:left="720"/>
        <w:jc w:val="both"/>
        <w:rPr>
          <w:rtl/>
        </w:rPr>
      </w:pPr>
    </w:p>
    <w:p w14:paraId="35D68B1C" w14:textId="77777777" w:rsidR="00C17DCE" w:rsidRDefault="00C17DCE">
      <w:pPr>
        <w:spacing w:line="360" w:lineRule="auto"/>
        <w:ind w:left="720"/>
        <w:jc w:val="both"/>
        <w:rPr>
          <w:rtl/>
        </w:rPr>
      </w:pPr>
    </w:p>
    <w:p w14:paraId="02A386BE" w14:textId="77777777" w:rsidR="00C17DCE" w:rsidRDefault="00C17DCE">
      <w:pPr>
        <w:spacing w:line="360" w:lineRule="auto"/>
        <w:ind w:left="720"/>
        <w:jc w:val="both"/>
        <w:rPr>
          <w:rtl/>
        </w:rPr>
      </w:pPr>
    </w:p>
    <w:p w14:paraId="5674EB22" w14:textId="77777777" w:rsidR="00C17DCE" w:rsidRDefault="00C17DCE">
      <w:pPr>
        <w:spacing w:line="360" w:lineRule="auto"/>
        <w:ind w:left="720"/>
        <w:jc w:val="both"/>
        <w:rPr>
          <w:rtl/>
        </w:rPr>
      </w:pPr>
    </w:p>
    <w:p w14:paraId="5E6D5576" w14:textId="77777777" w:rsidR="00C17DCE" w:rsidRDefault="00C17DCE">
      <w:pPr>
        <w:spacing w:line="360" w:lineRule="auto"/>
        <w:ind w:left="720"/>
        <w:jc w:val="both"/>
        <w:rPr>
          <w:rtl/>
        </w:rPr>
      </w:pPr>
    </w:p>
    <w:p w14:paraId="2374861B" w14:textId="77777777" w:rsidR="00C17DCE" w:rsidRDefault="00D759EB">
      <w:pPr>
        <w:spacing w:line="360" w:lineRule="auto"/>
        <w:jc w:val="both"/>
        <w:rPr>
          <w:rFonts w:cs="FrankRuehl"/>
          <w:szCs w:val="28"/>
          <w:rtl/>
        </w:rPr>
      </w:pPr>
      <w:r>
        <w:rPr>
          <w:rFonts w:hint="cs"/>
          <w:rtl/>
        </w:rPr>
        <w:t>סיכומו של דבר, הוחלט כאמור בחוות דעתו של הש' א' אליקים לזכות הנאשמים מעבירת האינוס - עבירה לפי סעיף 345(ב)(3)+(4)+(5) בנסיבות ס' 345(א)(1)+(4)+29 ל</w:t>
      </w:r>
      <w:hyperlink r:id="rId77" w:history="1">
        <w:r w:rsidR="005644D6" w:rsidRPr="005644D6">
          <w:rPr>
            <w:rStyle w:val="Hyperlink"/>
            <w:rFonts w:hint="eastAsia"/>
            <w:rtl/>
          </w:rPr>
          <w:t>חוק</w:t>
        </w:r>
        <w:r w:rsidR="005644D6" w:rsidRPr="005644D6">
          <w:rPr>
            <w:rStyle w:val="Hyperlink"/>
            <w:rtl/>
          </w:rPr>
          <w:t xml:space="preserve"> </w:t>
        </w:r>
        <w:r w:rsidR="005644D6" w:rsidRPr="005644D6">
          <w:rPr>
            <w:rStyle w:val="Hyperlink"/>
            <w:rFonts w:hint="eastAsia"/>
            <w:rtl/>
          </w:rPr>
          <w:t>העונשין</w:t>
        </w:r>
      </w:hyperlink>
      <w:r>
        <w:rPr>
          <w:rFonts w:hint="cs"/>
          <w:rtl/>
        </w:rPr>
        <w:t xml:space="preserve"> התשל"ז - 1977  ולהרשיע את שני הנאשמים בביצוע עבירות של קשירת קשר לפשע, חבלה בכוונה מחמירה, ושוד עבירות לפי סעיפים 499(א)(1), 329(א)(1)+29, 402(ב)+29, לחוק העונשין התשל"ז </w:t>
      </w:r>
      <w:r>
        <w:rPr>
          <w:rtl/>
        </w:rPr>
        <w:t>–</w:t>
      </w:r>
      <w:r>
        <w:rPr>
          <w:rFonts w:hint="cs"/>
          <w:rtl/>
        </w:rPr>
        <w:t xml:space="preserve"> 1977</w:t>
      </w:r>
      <w:r>
        <w:rPr>
          <w:rFonts w:cs="FrankRuehl" w:hint="cs"/>
          <w:szCs w:val="28"/>
          <w:rtl/>
        </w:rPr>
        <w:t>.</w:t>
      </w:r>
    </w:p>
    <w:p w14:paraId="48498569" w14:textId="77777777" w:rsidR="00C17DCE" w:rsidRDefault="00C17DCE">
      <w:pPr>
        <w:spacing w:line="360" w:lineRule="auto"/>
        <w:rPr>
          <w:rFonts w:ascii="Arial" w:hAnsi="Arial" w:cs="FrankRuehl"/>
          <w:sz w:val="28"/>
          <w:szCs w:val="28"/>
          <w:rtl/>
        </w:rPr>
      </w:pPr>
    </w:p>
    <w:p w14:paraId="478FF18C" w14:textId="77777777" w:rsidR="00C17DCE" w:rsidRDefault="00C17DCE">
      <w:pPr>
        <w:spacing w:line="360" w:lineRule="auto"/>
        <w:rPr>
          <w:rFonts w:ascii="Arial" w:hAnsi="Arial" w:cs="FrankRuehl"/>
          <w:sz w:val="28"/>
          <w:szCs w:val="28"/>
          <w:rtl/>
        </w:rPr>
      </w:pPr>
    </w:p>
    <w:p w14:paraId="783270FB" w14:textId="77777777" w:rsidR="00C17DCE" w:rsidRDefault="001B74FB">
      <w:pPr>
        <w:spacing w:line="360" w:lineRule="auto"/>
        <w:rPr>
          <w:rFonts w:ascii="Arial" w:hAnsi="Arial"/>
          <w:b/>
          <w:bCs/>
          <w:rtl/>
        </w:rPr>
      </w:pPr>
      <w:r>
        <w:rPr>
          <w:rFonts w:ascii="Arial" w:hAnsi="Arial"/>
          <w:b/>
          <w:bCs/>
          <w:rtl/>
        </w:rPr>
        <w:t xml:space="preserve">ניתנה היום,  כ' שבט תשע"ב , 13 פברואר 2012, במעמד באי כח הצדדים והנאשמים. </w:t>
      </w:r>
    </w:p>
    <w:p w14:paraId="42254751" w14:textId="77777777" w:rsidR="001B74FB" w:rsidRPr="001B74FB" w:rsidRDefault="001B74FB">
      <w:pPr>
        <w:spacing w:line="360" w:lineRule="auto"/>
        <w:rPr>
          <w:rFonts w:ascii="Arial" w:hAnsi="Arial"/>
          <w:color w:val="FFFFFF"/>
          <w:sz w:val="2"/>
          <w:szCs w:val="2"/>
          <w:rtl/>
        </w:rPr>
      </w:pPr>
    </w:p>
    <w:p w14:paraId="2B2DCB43" w14:textId="77777777" w:rsidR="001B74FB" w:rsidRPr="001B74FB" w:rsidRDefault="001B74FB">
      <w:pPr>
        <w:spacing w:line="360" w:lineRule="auto"/>
        <w:rPr>
          <w:rFonts w:ascii="Arial" w:hAnsi="Arial"/>
          <w:color w:val="FFFFFF"/>
          <w:sz w:val="2"/>
          <w:szCs w:val="2"/>
          <w:rtl/>
        </w:rPr>
      </w:pPr>
      <w:r w:rsidRPr="001B74FB">
        <w:rPr>
          <w:rFonts w:ascii="Arial" w:hAnsi="Arial"/>
          <w:color w:val="FFFFFF"/>
          <w:sz w:val="2"/>
          <w:szCs w:val="2"/>
          <w:rtl/>
        </w:rPr>
        <w:t>5129371</w:t>
      </w:r>
    </w:p>
    <w:p w14:paraId="16DBA534" w14:textId="77777777" w:rsidR="00C17DCE" w:rsidRDefault="001B74FB">
      <w:pPr>
        <w:spacing w:line="360" w:lineRule="auto"/>
        <w:rPr>
          <w:rFonts w:ascii="Arial" w:hAnsi="Arial"/>
          <w:rtl/>
        </w:rPr>
      </w:pPr>
      <w:r w:rsidRPr="001B74FB">
        <w:rPr>
          <w:rFonts w:ascii="Arial" w:hAnsi="Arial"/>
          <w:color w:val="FFFFFF"/>
          <w:sz w:val="2"/>
          <w:szCs w:val="2"/>
          <w:rtl/>
        </w:rPr>
        <w:t>54678313</w:t>
      </w:r>
    </w:p>
    <w:tbl>
      <w:tblPr>
        <w:bidiVisual/>
        <w:tblW w:w="0" w:type="auto"/>
        <w:tblLook w:val="01E0" w:firstRow="1" w:lastRow="1" w:firstColumn="1" w:lastColumn="1" w:noHBand="0" w:noVBand="0"/>
      </w:tblPr>
      <w:tblGrid>
        <w:gridCol w:w="2474"/>
        <w:gridCol w:w="360"/>
        <w:gridCol w:w="2392"/>
        <w:gridCol w:w="308"/>
        <w:gridCol w:w="2520"/>
      </w:tblGrid>
      <w:tr w:rsidR="00C17DCE" w14:paraId="45F19BE8" w14:textId="77777777">
        <w:tc>
          <w:tcPr>
            <w:tcW w:w="2474" w:type="dxa"/>
            <w:tcBorders>
              <w:top w:val="nil"/>
              <w:left w:val="nil"/>
              <w:bottom w:val="single" w:sz="4" w:space="0" w:color="auto"/>
              <w:right w:val="nil"/>
            </w:tcBorders>
            <w:shd w:val="clear" w:color="auto" w:fill="auto"/>
            <w:vAlign w:val="center"/>
          </w:tcPr>
          <w:p w14:paraId="035D89E5" w14:textId="77777777" w:rsidR="00C17DCE" w:rsidRPr="0014522B" w:rsidRDefault="00C17DCE" w:rsidP="0014522B">
            <w:pPr>
              <w:jc w:val="center"/>
              <w:rPr>
                <w:rFonts w:ascii="Courier New" w:hAnsi="Courier New"/>
                <w:b/>
                <w:bCs/>
              </w:rPr>
            </w:pPr>
          </w:p>
        </w:tc>
        <w:tc>
          <w:tcPr>
            <w:tcW w:w="360" w:type="dxa"/>
            <w:shd w:val="clear" w:color="auto" w:fill="auto"/>
            <w:vAlign w:val="center"/>
          </w:tcPr>
          <w:p w14:paraId="367FCD0A" w14:textId="77777777" w:rsidR="00C17DCE" w:rsidRPr="0014522B" w:rsidRDefault="00C17DCE" w:rsidP="0014522B">
            <w:pPr>
              <w:jc w:val="center"/>
              <w:rPr>
                <w:rFonts w:ascii="Courier New" w:hAnsi="Courier New"/>
                <w:b/>
                <w:bCs/>
              </w:rPr>
            </w:pPr>
          </w:p>
        </w:tc>
        <w:tc>
          <w:tcPr>
            <w:tcW w:w="2392" w:type="dxa"/>
            <w:tcBorders>
              <w:top w:val="nil"/>
              <w:left w:val="nil"/>
              <w:bottom w:val="single" w:sz="4" w:space="0" w:color="auto"/>
              <w:right w:val="nil"/>
            </w:tcBorders>
            <w:shd w:val="clear" w:color="auto" w:fill="auto"/>
            <w:vAlign w:val="center"/>
          </w:tcPr>
          <w:p w14:paraId="5FE9D0F9" w14:textId="77777777" w:rsidR="00C17DCE" w:rsidRPr="0014522B" w:rsidRDefault="00C17DCE" w:rsidP="0014522B">
            <w:pPr>
              <w:jc w:val="center"/>
              <w:rPr>
                <w:rFonts w:ascii="Courier New" w:hAnsi="Courier New"/>
                <w:b/>
                <w:bCs/>
              </w:rPr>
            </w:pPr>
          </w:p>
        </w:tc>
        <w:tc>
          <w:tcPr>
            <w:tcW w:w="308" w:type="dxa"/>
            <w:shd w:val="clear" w:color="auto" w:fill="auto"/>
            <w:vAlign w:val="center"/>
          </w:tcPr>
          <w:p w14:paraId="2802C038" w14:textId="77777777" w:rsidR="00C17DCE" w:rsidRPr="0014522B" w:rsidRDefault="00C17DCE" w:rsidP="0014522B">
            <w:pPr>
              <w:jc w:val="center"/>
              <w:rPr>
                <w:rFonts w:ascii="Courier New" w:hAnsi="Courier New"/>
                <w:b/>
                <w:bCs/>
              </w:rPr>
            </w:pPr>
          </w:p>
        </w:tc>
        <w:tc>
          <w:tcPr>
            <w:tcW w:w="2520" w:type="dxa"/>
            <w:tcBorders>
              <w:top w:val="nil"/>
              <w:left w:val="nil"/>
              <w:bottom w:val="single" w:sz="4" w:space="0" w:color="auto"/>
              <w:right w:val="nil"/>
            </w:tcBorders>
            <w:shd w:val="clear" w:color="auto" w:fill="auto"/>
            <w:vAlign w:val="center"/>
          </w:tcPr>
          <w:p w14:paraId="0C94DD11" w14:textId="77777777" w:rsidR="00C17DCE" w:rsidRPr="0014522B" w:rsidRDefault="00C17DCE" w:rsidP="0014522B">
            <w:pPr>
              <w:jc w:val="center"/>
              <w:rPr>
                <w:rFonts w:ascii="Courier New" w:hAnsi="Courier New"/>
                <w:b/>
                <w:bCs/>
              </w:rPr>
            </w:pPr>
          </w:p>
        </w:tc>
      </w:tr>
      <w:tr w:rsidR="00C17DCE" w14:paraId="6D3406BB" w14:textId="77777777">
        <w:tc>
          <w:tcPr>
            <w:tcW w:w="2474" w:type="dxa"/>
            <w:tcBorders>
              <w:top w:val="single" w:sz="4" w:space="0" w:color="auto"/>
              <w:left w:val="nil"/>
              <w:bottom w:val="nil"/>
              <w:right w:val="nil"/>
            </w:tcBorders>
            <w:shd w:val="clear" w:color="auto" w:fill="auto"/>
          </w:tcPr>
          <w:p w14:paraId="60F6FF1A" w14:textId="77777777" w:rsidR="00C17DCE" w:rsidRPr="0014522B" w:rsidRDefault="00D759EB" w:rsidP="0014522B">
            <w:pPr>
              <w:jc w:val="center"/>
              <w:rPr>
                <w:b/>
                <w:bCs/>
                <w:noProof/>
                <w:sz w:val="28"/>
                <w:rtl/>
              </w:rPr>
            </w:pPr>
            <w:r w:rsidRPr="0014522B">
              <w:rPr>
                <w:rFonts w:hint="cs"/>
                <w:b/>
                <w:bCs/>
                <w:sz w:val="28"/>
                <w:rtl/>
              </w:rPr>
              <w:t>י. אלרון, שופט</w:t>
            </w:r>
          </w:p>
          <w:p w14:paraId="7EA570E4" w14:textId="77777777" w:rsidR="00C17DCE" w:rsidRPr="0014522B" w:rsidRDefault="00D759EB" w:rsidP="0014522B">
            <w:pPr>
              <w:jc w:val="center"/>
              <w:rPr>
                <w:b/>
                <w:bCs/>
                <w:noProof/>
                <w:sz w:val="28"/>
              </w:rPr>
            </w:pPr>
            <w:r w:rsidRPr="0014522B">
              <w:rPr>
                <w:rFonts w:hint="cs"/>
                <w:b/>
                <w:bCs/>
                <w:sz w:val="28"/>
                <w:rtl/>
              </w:rPr>
              <w:t>[אב"ד]</w:t>
            </w:r>
          </w:p>
        </w:tc>
        <w:tc>
          <w:tcPr>
            <w:tcW w:w="360" w:type="dxa"/>
            <w:shd w:val="clear" w:color="auto" w:fill="auto"/>
          </w:tcPr>
          <w:p w14:paraId="2BE8E2F9" w14:textId="77777777" w:rsidR="00C17DCE" w:rsidRPr="0014522B" w:rsidRDefault="00C17DCE" w:rsidP="0014522B">
            <w:pPr>
              <w:jc w:val="center"/>
              <w:rPr>
                <w:b/>
                <w:bCs/>
                <w:noProof/>
                <w:color w:val="FF0000"/>
                <w:sz w:val="28"/>
              </w:rPr>
            </w:pPr>
          </w:p>
        </w:tc>
        <w:tc>
          <w:tcPr>
            <w:tcW w:w="2392" w:type="dxa"/>
            <w:tcBorders>
              <w:top w:val="single" w:sz="4" w:space="0" w:color="auto"/>
              <w:left w:val="nil"/>
              <w:bottom w:val="nil"/>
              <w:right w:val="nil"/>
            </w:tcBorders>
            <w:shd w:val="clear" w:color="auto" w:fill="auto"/>
          </w:tcPr>
          <w:p w14:paraId="205845F2" w14:textId="77777777" w:rsidR="00C17DCE" w:rsidRPr="0014522B" w:rsidRDefault="00D759EB" w:rsidP="0014522B">
            <w:pPr>
              <w:pStyle w:val="Heading3"/>
              <w:jc w:val="center"/>
              <w:rPr>
                <w:sz w:val="28"/>
              </w:rPr>
            </w:pPr>
            <w:r w:rsidRPr="0014522B">
              <w:rPr>
                <w:rFonts w:hint="cs"/>
                <w:sz w:val="28"/>
                <w:rtl/>
              </w:rPr>
              <w:t>מ. גלעד, שופט</w:t>
            </w:r>
          </w:p>
        </w:tc>
        <w:tc>
          <w:tcPr>
            <w:tcW w:w="308" w:type="dxa"/>
            <w:shd w:val="clear" w:color="auto" w:fill="auto"/>
          </w:tcPr>
          <w:p w14:paraId="7580266F" w14:textId="77777777" w:rsidR="00C17DCE" w:rsidRPr="0014522B" w:rsidRDefault="00C17DCE" w:rsidP="0014522B">
            <w:pPr>
              <w:jc w:val="center"/>
              <w:rPr>
                <w:b/>
                <w:bCs/>
                <w:noProof/>
                <w:color w:val="FF0000"/>
                <w:sz w:val="28"/>
              </w:rPr>
            </w:pPr>
          </w:p>
        </w:tc>
        <w:tc>
          <w:tcPr>
            <w:tcW w:w="2520" w:type="dxa"/>
            <w:tcBorders>
              <w:top w:val="single" w:sz="4" w:space="0" w:color="auto"/>
              <w:left w:val="nil"/>
              <w:bottom w:val="nil"/>
              <w:right w:val="nil"/>
            </w:tcBorders>
            <w:shd w:val="clear" w:color="auto" w:fill="auto"/>
          </w:tcPr>
          <w:p w14:paraId="504F6224" w14:textId="77777777" w:rsidR="001B74FB" w:rsidRPr="0014522B" w:rsidRDefault="00D759EB" w:rsidP="0014522B">
            <w:pPr>
              <w:jc w:val="center"/>
              <w:rPr>
                <w:b/>
                <w:bCs/>
                <w:noProof/>
                <w:sz w:val="28"/>
              </w:rPr>
            </w:pPr>
            <w:r w:rsidRPr="0014522B">
              <w:rPr>
                <w:rFonts w:hint="cs"/>
                <w:b/>
                <w:bCs/>
                <w:sz w:val="28"/>
                <w:rtl/>
              </w:rPr>
              <w:t>א. אליקים, שופט</w:t>
            </w:r>
          </w:p>
          <w:p w14:paraId="1074D5A0" w14:textId="77777777" w:rsidR="00C17DCE" w:rsidRPr="0014522B" w:rsidRDefault="00C17DCE" w:rsidP="0014522B">
            <w:pPr>
              <w:jc w:val="center"/>
              <w:rPr>
                <w:b/>
                <w:bCs/>
                <w:noProof/>
                <w:sz w:val="28"/>
              </w:rPr>
            </w:pPr>
          </w:p>
        </w:tc>
      </w:tr>
    </w:tbl>
    <w:p w14:paraId="7FF32931" w14:textId="77777777" w:rsidR="001B74FB" w:rsidRPr="001B74FB" w:rsidRDefault="001B74FB" w:rsidP="001B74FB">
      <w:pPr>
        <w:keepNext/>
        <w:rPr>
          <w:rFonts w:ascii="David" w:hAnsi="David"/>
          <w:color w:val="000000"/>
          <w:sz w:val="22"/>
          <w:szCs w:val="22"/>
          <w:rtl/>
        </w:rPr>
      </w:pPr>
    </w:p>
    <w:p w14:paraId="2E804758" w14:textId="77777777" w:rsidR="001B74FB" w:rsidRPr="001B74FB" w:rsidRDefault="001B74FB" w:rsidP="001B74FB">
      <w:pPr>
        <w:keepNext/>
        <w:rPr>
          <w:rFonts w:ascii="David" w:hAnsi="David"/>
          <w:color w:val="000000"/>
          <w:sz w:val="22"/>
          <w:szCs w:val="22"/>
          <w:rtl/>
        </w:rPr>
      </w:pPr>
      <w:r w:rsidRPr="001B74FB">
        <w:rPr>
          <w:rFonts w:ascii="David" w:hAnsi="David"/>
          <w:color w:val="000000"/>
          <w:sz w:val="22"/>
          <w:szCs w:val="22"/>
          <w:rtl/>
        </w:rPr>
        <w:t>הרכב 54678313</w:t>
      </w:r>
    </w:p>
    <w:p w14:paraId="0A3DCF44" w14:textId="77777777" w:rsidR="001B74FB" w:rsidRDefault="001B74FB" w:rsidP="001B74FB">
      <w:r w:rsidRPr="001B74FB">
        <w:rPr>
          <w:color w:val="000000"/>
          <w:rtl/>
        </w:rPr>
        <w:t>נוסח מסמך זה כפוף לשינויי ניסוח ועריכה</w:t>
      </w:r>
    </w:p>
    <w:p w14:paraId="00452472" w14:textId="77777777" w:rsidR="001B74FB" w:rsidRDefault="001B74FB" w:rsidP="001B74FB">
      <w:pPr>
        <w:rPr>
          <w:rtl/>
        </w:rPr>
      </w:pPr>
    </w:p>
    <w:p w14:paraId="7793DA7D" w14:textId="77777777" w:rsidR="001B74FB" w:rsidRDefault="001B74FB" w:rsidP="001B74FB">
      <w:pPr>
        <w:jc w:val="center"/>
        <w:rPr>
          <w:color w:val="0000FF"/>
          <w:u w:val="single"/>
        </w:rPr>
      </w:pPr>
      <w:r w:rsidRPr="00C76660">
        <w:rPr>
          <w:color w:val="000000"/>
          <w:rtl/>
        </w:rPr>
        <w:t>בעניין עריכה ושינויים במסמכי פסיקה, חקיקה ועוד באתר נבו – הקש כאן</w:t>
      </w:r>
    </w:p>
    <w:p w14:paraId="7E31ECA3" w14:textId="77777777" w:rsidR="00C17DCE" w:rsidRPr="001B74FB" w:rsidRDefault="00C17DCE" w:rsidP="001B74FB">
      <w:pPr>
        <w:jc w:val="center"/>
        <w:rPr>
          <w:color w:val="0000FF"/>
          <w:u w:val="single"/>
        </w:rPr>
      </w:pPr>
    </w:p>
    <w:sectPr w:rsidR="00C17DCE" w:rsidRPr="001B74FB" w:rsidSect="001B74FB">
      <w:headerReference w:type="even" r:id="rId78"/>
      <w:headerReference w:type="default" r:id="rId79"/>
      <w:footerReference w:type="even" r:id="rId80"/>
      <w:footerReference w:type="default" r:id="rId81"/>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3">
      <wne:macro wne:macroName="PROJECT.MODULE1.CONTROLWDKEYF4A"/>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5EA48" w14:textId="77777777" w:rsidR="0037197A" w:rsidRDefault="0037197A">
      <w:r>
        <w:separator/>
      </w:r>
    </w:p>
  </w:endnote>
  <w:endnote w:type="continuationSeparator" w:id="0">
    <w:p w14:paraId="2F2E821B" w14:textId="77777777" w:rsidR="0037197A" w:rsidRDefault="00371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CD3D6" w14:textId="77777777" w:rsidR="0037197A" w:rsidRDefault="0037197A" w:rsidP="001B74FB">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39</w:t>
    </w:r>
    <w:r>
      <w:rPr>
        <w:rFonts w:ascii="FrankRuehl" w:hAnsi="FrankRuehl" w:cs="FrankRuehl"/>
        <w:rtl/>
      </w:rPr>
      <w:fldChar w:fldCharType="end"/>
    </w:r>
  </w:p>
  <w:p w14:paraId="228783D3" w14:textId="77777777" w:rsidR="0037197A" w:rsidRPr="001B74FB" w:rsidRDefault="0037197A" w:rsidP="001B74FB">
    <w:pPr>
      <w:pStyle w:val="Footer"/>
      <w:pBdr>
        <w:top w:val="single" w:sz="4" w:space="1" w:color="auto"/>
        <w:between w:val="single" w:sz="4" w:space="0" w:color="auto"/>
      </w:pBdr>
      <w:spacing w:after="60"/>
      <w:jc w:val="center"/>
      <w:rPr>
        <w:rFonts w:ascii="FrankRuehl" w:hAnsi="FrankRuehl" w:cs="FrankRuehl"/>
        <w:color w:val="000000"/>
      </w:rPr>
    </w:pPr>
    <w:r w:rsidRPr="001B74F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A2866" w14:textId="77777777" w:rsidR="0037197A" w:rsidRDefault="0037197A" w:rsidP="001B74FB">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DE78CF">
      <w:rPr>
        <w:rFonts w:ascii="FrankRuehl" w:hAnsi="FrankRuehl" w:cs="FrankRuehl"/>
        <w:noProof/>
        <w:rtl/>
      </w:rPr>
      <w:t>1</w:t>
    </w:r>
    <w:r>
      <w:rPr>
        <w:rFonts w:ascii="FrankRuehl" w:hAnsi="FrankRuehl" w:cs="FrankRuehl"/>
        <w:rtl/>
      </w:rPr>
      <w:fldChar w:fldCharType="end"/>
    </w:r>
  </w:p>
  <w:p w14:paraId="306CC891" w14:textId="77777777" w:rsidR="0037197A" w:rsidRPr="001B74FB" w:rsidRDefault="0037197A" w:rsidP="001B74FB">
    <w:pPr>
      <w:pStyle w:val="Footer"/>
      <w:pBdr>
        <w:top w:val="single" w:sz="4" w:space="1" w:color="auto"/>
        <w:between w:val="single" w:sz="4" w:space="0" w:color="auto"/>
      </w:pBdr>
      <w:spacing w:after="60"/>
      <w:jc w:val="center"/>
      <w:rPr>
        <w:rFonts w:ascii="FrankRuehl" w:hAnsi="FrankRuehl" w:cs="FrankRuehl" w:hint="cs"/>
        <w:color w:val="000000"/>
        <w:rtl/>
      </w:rPr>
    </w:pPr>
    <w:r w:rsidRPr="001B74FB">
      <w:rPr>
        <w:rFonts w:ascii="FrankRuehl" w:hAnsi="FrankRuehl" w:cs="FrankRuehl" w:hint="cs"/>
        <w:color w:val="000000"/>
      </w:rPr>
      <w:pict w14:anchorId="4CE0F4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32E92" w14:textId="77777777" w:rsidR="0037197A" w:rsidRDefault="0037197A">
      <w:r>
        <w:separator/>
      </w:r>
    </w:p>
  </w:footnote>
  <w:footnote w:type="continuationSeparator" w:id="0">
    <w:p w14:paraId="5F661956" w14:textId="77777777" w:rsidR="0037197A" w:rsidRDefault="003719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47ACC" w14:textId="77777777" w:rsidR="0037197A" w:rsidRPr="001B74FB" w:rsidRDefault="0037197A" w:rsidP="001B74F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15656-08-10</w:t>
    </w:r>
    <w:r>
      <w:rPr>
        <w:rFonts w:ascii="David" w:hAnsi="David"/>
        <w:color w:val="000000"/>
        <w:sz w:val="22"/>
        <w:szCs w:val="22"/>
        <w:rtl/>
      </w:rPr>
      <w:tab/>
      <w:t xml:space="preserve"> מדינת ישראל נ' זור בכוראשוילי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B1CE0" w14:textId="77777777" w:rsidR="0037197A" w:rsidRPr="001B74FB" w:rsidRDefault="0037197A" w:rsidP="001B74F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15656-08-10</w:t>
    </w:r>
    <w:r>
      <w:rPr>
        <w:rFonts w:ascii="David" w:hAnsi="David"/>
        <w:color w:val="000000"/>
        <w:sz w:val="22"/>
        <w:szCs w:val="22"/>
        <w:rtl/>
      </w:rPr>
      <w:tab/>
      <w:t xml:space="preserve"> מדינת ישראל נ' זור בכוראשוילי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11400"/>
    <w:multiLevelType w:val="hybridMultilevel"/>
    <w:tmpl w:val="FE1C214E"/>
    <w:lvl w:ilvl="0" w:tplc="E40E7668">
      <w:start w:val="1"/>
      <w:numFmt w:val="decimal"/>
      <w:lvlText w:val="%1."/>
      <w:lvlJc w:val="left"/>
      <w:pPr>
        <w:tabs>
          <w:tab w:val="num" w:pos="511"/>
        </w:tabs>
        <w:ind w:left="511" w:hanging="511"/>
      </w:pPr>
    </w:lvl>
    <w:lvl w:ilvl="1" w:tplc="04090019">
      <w:start w:val="1"/>
      <w:numFmt w:val="lowerLetter"/>
      <w:lvlText w:val="%2."/>
      <w:lvlJc w:val="left"/>
      <w:pPr>
        <w:tabs>
          <w:tab w:val="num" w:pos="1440"/>
        </w:tabs>
        <w:ind w:left="1440" w:hanging="360"/>
      </w:pPr>
    </w:lvl>
    <w:lvl w:ilvl="2" w:tplc="0B169C94">
      <w:start w:val="400"/>
      <w:numFmt w:val="hebrew1"/>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53258409">
    <w:abstractNumId w:val="5"/>
  </w:num>
  <w:num w:numId="2" w16cid:durableId="1246264881">
    <w:abstractNumId w:val="2"/>
  </w:num>
  <w:num w:numId="3" w16cid:durableId="1887791422">
    <w:abstractNumId w:val="3"/>
  </w:num>
  <w:num w:numId="4" w16cid:durableId="933319870">
    <w:abstractNumId w:val="1"/>
  </w:num>
  <w:num w:numId="5" w16cid:durableId="1127166699">
    <w:abstractNumId w:val="4"/>
  </w:num>
  <w:num w:numId="6" w16cid:durableId="814100854">
    <w:abstractNumId w:val="6"/>
  </w:num>
  <w:num w:numId="7" w16cid:durableId="699553514">
    <w:abstractNumId w:val="0"/>
    <w:lvlOverride w:ilvl="0">
      <w:startOverride w:val="1"/>
    </w:lvlOverride>
    <w:lvlOverride w:ilvl="1">
      <w:startOverride w:val="1"/>
    </w:lvlOverride>
    <w:lvlOverride w:ilvl="2">
      <w:startOverride w:val="4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68902333"/>
    <w:docVar w:name="CasePresentationDS" w:val="&lt;?xml version=&quot;1.0&quot;?&gt;_x000a_&lt;CasePresentationDS&gt;_x000a_  &lt;xs:schema id=&quot;CasePresentationDS&quot; targetNamespace=&quot;http://tempuri.org/CasePresentationDS.xsd&quot; xmlns:mstns=&quot;http://tempuri.org/CasePresentationDS.xsd&quot; xmlns=&quot;http://tempuri.org/CasePresentationDS.xsd&quot; xmlns:xs=&quot;http://www.w3.org/2001/XMLSchema&quot; xmlns:msdata=&quot;urn:schemas-microsoft-com:xml-msdata&quot; attributeFormDefault=&quot;qualified&quot; elementFormDefault=&quot;qualified&quot;&gt;_x000a_    &lt;xs:element name=&quot;CasePresentationDS&quot; msdata:IsDataSet=&quot;true&quot; msdata:Locale=&quot;he-IL&quot;&gt;_x000a_      &lt;xs:complexType&gt;_x000a_        &lt;xs:choice maxOccurs=&quot;unbounded&quot;&gt;_x000a_          &lt;xs:element name=&quot;CasePresentationDataSet&quot;&gt;_x000a_            &lt;xs:complexType&gt;_x000a_              &lt;xs:sequence&gt;_x000a_                &lt;xs:element name=&quot;CaseID&quot; type=&quot;xs:int&quot; /&gt;_x000a_                &lt;xs:element name=&quot;CaseMonth&quot; type=&quot;xs:int&quot; /&gt;_x000a_                &lt;xs:element name=&quot;CaseYear&quot; type=&quot;xs:int&quot; /&gt;_x000a_                &lt;xs:element name=&quot;CaseNumber&quot; type=&quot;xs:int&quot; /&gt;_x000a_                &lt;xs:element name=&quot;NumeratorGroupID&quot; type=&quot;xs:int&quot; /&gt;_x000a_                &lt;xs:element name=&quot;CaseName&quot; type=&quot;xs:string&quot; /&gt;_x000a_                &lt;xs:element name=&quot;CourtID&quot; type=&quot;xs:int&quot; /&gt;_x000a_                &lt;xs:element name=&quot;CaseTypeID&quot; type=&quot;xs:int&quot; /&gt;_x000a_                &lt;xs:element name=&quot;CaseInterestID&quot; type=&quot;xs:int&quot; minOccurs=&quot;0&quot; /&gt;_x000a_                &lt;xs:element name=&quot;CaseJudgeName&quot; type=&quot;xs:string&quot; minOccurs=&quot;0&quot; /&gt;_x000a_                &lt;xs:element name=&quot;CaseLinkTypeID&quot; type=&quot;xs:int&quot; minOccurs=&quot;0&quot; /&gt;_x000a_                &lt;xs:element name=&quot;ProcedureID&quot; type=&quot;xs:int&quot; minOccurs=&quot;0&quot; /&gt;_x000a_                &lt;xs:element name=&quot;PreviousCaseYear&quot; type=&quot;xs:string&quot; minOccurs=&quot;0&quot; /&gt;_x000a_                &lt;xs:element name=&quot;PreviousCaseNumber&quot; type=&quot;xs:int&quot; minOccurs=&quot;0&quot; /&gt;_x000a_                &lt;xs:element name=&quot;CaseStatusID&quot; type=&quot;xs:int&quot; /&gt;_x000a_                &lt;xs:element name=&quot;ProceedingID&quot; type=&quot;xs:int&quot; /&gt;_x000a_                &lt;xs:element name=&quot;IsCaseLinked&quot; type=&quot;xs:boolean&quot; /&gt;_x000a_                &lt;xs:element name=&quot;IsCaseConverted&quot; type=&quot;xs:boolean&quot; minOccurs=&quot;0&quot; /&gt;_x000a_                &lt;xs:element name=&quot;PrivilegeID&quot; type=&quot;xs:int&quot; /&gt;_x000a_                &lt;xs:element name=&quot;IsAppealingCaseExist&quot; type=&quot;xs:boolean&quot; minOccurs=&quot;0&quot; /&gt;_x000a_                &lt;xs:element name=&quot;CaseDisplayIdentifier&quot; type=&quot;xs:string&quot; minOccurs=&quot;0&quot; /&gt;_x000a_                &lt;xs:element name=&quot;CaseTypeDesc&quot; type=&quot;xs:string&quot; minOccurs=&quot;0&quot; /&gt;_x000a_                &lt;xs:element name=&quot;CourtDesc&quot; type=&quot;xs:string&quot; minOccurs=&quot;0&quot; /&gt;_x000a_                &lt;xs:element name=&quot;CaseStageDesc&quot; type=&quot;xs:string&quot; /&gt;_x000a_                &lt;xs:element name=&quot;IsPendingExemptionDecision&quot; type=&quot;xs:boolean&quot; minOccurs=&quot;0&quot; /&gt;_x000a_                &lt;xs:element name=&quot;IsPendingEntitlementDecision&quot; type=&quot;xs:boolean&quot; minOccurs=&quot;0&quot; /&gt;_x000a_                &lt;xs:element name=&quot;IsPendingDifferentCaseVerdict&quot; type=&quot;xs:boolean&quot; minOccurs=&quot;0&quot; /&gt;_x000a_                &lt;xs:element name=&quot;IsUnpaidFeeExist&quot; type=&quot;xs:boolean&quot; minOccurs=&quot;0&quot; /&gt;_x000a_                &lt;xs:element name=&quot;IsExecutionDelayed&quot; type=&quot;xs:boolean&quot; minOccurs=&quot;0&quot; /&gt;_x000a_                &lt;xs:element name=&quot;CaseEntitiesArrestResult&quot; type=&quot;xs:string&quot; minOccurs=&quot;0&quot; /&gt;_x000a_                &lt;xs:element name=&quot;CasePreviousSessionDate&quot; type=&quot;xs:dateTime&quot; minOccurs=&quot;0&quot; /&gt;_x000a_                &lt;xs:element name=&quot;CaseNextSessionDate&quot; type=&quot;xs:dateTime&quot; minOccurs=&quot;0&quot; /&gt;_x000a_                &lt;xs:element name=&quot;PreviousCaseNumberDesc&quot; type=&quot;xs:string&quot; minOccurs=&quot;0&quot; /&gt;_x000a_                &lt;xs:element name=&quot;SubCaseNumber&quot; type=&quot;xs:int&quot; minOccurs=&quot;0&quot; /&gt;_x000a_                &lt;xs:element name=&quot;CaseNextDeterminingTask&quot; type=&quot;xs:int&quot; minOccurs=&quot;0&quot; /&gt;_x000a_                &lt;xs:element name=&quot;TemporaryAidStatus&quot; type=&quot;xs:string&quot; minOccurs=&quot;0&quot; /&gt;_x000a_                &lt;xs:element name=&quot;CaseOpenDate&quot; type=&quot;xs:dateTime&quot; /&gt;_x000a_                &lt;xs:element name=&quot;PleaTypeID&quot; type=&quot;xs:int&quot; minOccurs=&quot;0&quot; /&gt;_x000a_                &lt;xs:element name=&quot;CourtLevelID&quot; type=&quot;xs:int&quot; minOccurs=&quot;0&quot; /&gt;_x000a_                &lt;xs:element name=&quot;CourtLevelCaseTypeInterestID&quot; type=&quot;xs:int&quot; minOccurs=&quot;0&quot; /&gt;_x000a_                &lt;xs:element name=&quot;CaseJudgeFirstName&quot; type=&quot;xs:string&quot; minOccurs=&quot;0&quot; /&gt;_x000a_                &lt;xs:element name=&quot;CaseJudgeLastName&quot; type=&quot;xs:string&quot; minOccurs=&quot;0&quot; /&gt;_x000a_                &lt;xs:element name=&quot;JudicalPersonID&quot; type=&quot;xs:string&quot; minOccurs=&quot;0&quot; /&gt;_x000a_                &lt;xs:element name=&quot;IsJudicalPanel&quot; type=&quot;xs:boolean&quot; minOccurs=&quot;0&quot; /&gt;_x000a_                &lt;xs:element name=&quot;CourtDisplayName&quot; type=&quot;xs:string&quot; minOccurs=&quot;0&quot; /&gt;_x000a_                &lt;xs:element name=&quot;IsAllStartDataCollected&quot; type=&quot;xs:boolean&quot; minOccurs=&quot;0&quot; /&gt;_x000a_                &lt;xs:element name=&quot;IsMainCase&quot; type=&quot;xs:boolean&quot; minOccurs=&quot;0&quot; /&gt;_x000a_                &lt;xs:element name=&quot;PreviousCourtID&quot; type=&quot;xs:int&quot; minOccurs=&quot;0&quot; /&gt;_x000a_                &lt;xs:element name=&quot;PreviousCaseTypeID&quot; type=&quot;xs:int&quot; minOccurs=&quot;0&quot; /&gt;_x000a_                &lt;xs:element name=&quot;CaseDesc&quot; type=&quot;xs:string&quot; minOccurs=&quot;0&quot; /&gt;_x000a_                &lt;xs:element name=&quot;isExistMinorSide&quot; type=&quot;xs:boolean&quot; minOccurs=&quot;0&quot; /&gt;_x000a_                &lt;xs:element name=&quot;isExistMinorWitness&quot; type=&quot;xs:boolean&quot; minOccurs=&quot;0&quot; /&gt;_x000a_                &lt;xs:element name=&quot;CaseNextSessionTypeID&quot; type=&quot;xs:int&quot; minOccurs=&quot;0&quot; /&gt;_x000a_                &lt;xs:element name=&quot;CasePreviousSessionTypeID&quot; type=&quot;xs:int&quot; minOccurs=&quot;0&quot; /&gt;_x000a_                &lt;xs:element name=&quot;CasePermitStatus&quot; type=&quot;xs:int&quot; minOccurs=&quot;0&quot; /&gt;_x000a_                &lt;xs:element name=&quot;InstitutionalPathID&quot; type=&quot;xs:int&quot; minOccurs=&quot;0&quot; /&gt;_x000a_                &lt;xs:element name=&quot;PreviousCaseIdentifier&quot; type=&quot;xs:string&quot; minOccurs=&quot;0&quot; /&gt;_x000a_                &lt;xs:element name=&quot;ArchivingActivityID&quot; type=&quot;xs:int&quot; minOccurs=&quot;0&quot; /&gt;_x000a_                &lt;xs:element name=&quot;GettingReasonID&quot; type=&quot;xs:int&quot; minOccurs=&quot;0&quot; /&gt;_x000a_                &lt;xs:element name=&quot;StorageDate&quot; type=&quot;xs:dateTime&quot; minOccurs=&quot;0&quot; /&gt;_x000a_                &lt;xs:element name=&quot;IsDecisionTypeZaveElyon&quot; type=&quot;xs:boolean&quot; minOccurs=&quot;0&quot; /&gt;_x000a_                &lt;xs:element name=&quot;IsGuaranteeDeposit&quot; type=&quot;xs:boolean&quot; minOccurs=&quot;0&quot; /&gt;_x000a_                &lt;xs:element name=&quot;IsFeePaid&quot; type=&quot;xs:boolean&quot; minOccurs=&quot;0&quot; /&gt;_x000a_                &lt;xs:element name=&quot;IsExistCancelledArrest&quot; type=&quot;xs:boolean&quot; minOccurs=&quot;0&quot; /&gt;_x000a_                &lt;xs:element name=&quot;IsExistPrisoner&quot; type=&quot;xs:boolean&quot; minOccurs=&quot;0&quot; /&gt;_x000a_                &lt;xs:element name=&quot;IsExistDetainee&quot; type=&quot;xs:boolean&quot; minOccurs=&quot;0&quot; /&gt;_x000a_                &lt;xs:element name=&quot;IsDebitExist&quot; type=&quot;xs:boolean&quot; minOccurs=&quot;0&quot; /&gt;_x000a_                &lt;xs:element name=&quot;DebitExsitDate&quot; type=&quot;xs:dateTime&quot; minOccurs=&quot;0&quot; /&gt;_x000a_                &lt;xs:element name=&quot;OpenFeeIndication&quot; type=&quot;xs:int&quot; minOccurs=&quot;0&quot; /&gt;_x000a_                &lt;xs:element name=&quot;GuaranteeIndication&quot; type=&quot;xs:int&quot; minOccurs=&quot;0&quot; /&gt;_x000a_                &lt;xs:element name=&quot;DelayedPunishmentDate&quot; type=&quot;xs:dateTime&quot; minOccurs=&quot;0&quot; /&gt;_x000a_                &lt;xs:element name=&quot;IsExistSeizure&quot; type=&quot;xs:boolean&quot; minOccurs=&quot;0&quot; /&gt;_x000a_              &lt;/xs:sequence&gt;_x000a_            &lt;/xs:complexType&gt;_x000a_          &lt;/xs:element&gt;_x000a_        &lt;/xs:choice&gt;_x000a_      &lt;/xs:complexType&gt;_x000a_    &lt;/xs:element&gt;_x000a_  &lt;/xs:schema&gt;_x000a_  &lt;diffgr:diffgram xmlns:msdata=&quot;urn:schemas-microsoft-com:xml-msdata&quot; xmlns:diffgr=&quot;urn:schemas-microsoft-com:xml-diffgram-v1&quot;&gt;_x000a_    &lt;CasePresentationDS xmlns=&quot;http://tempuri.org/CasePresentationDS.xsd&quot;&gt;_x000a_      &lt;CasePresentationDataSet diffgr:id=&quot;CasePresentationDataSet1&quot; msdata:rowOrder=&quot;0&quot; diffgr:hasChanges=&quot;modified&quot;&gt;_x000a_        &lt;CaseID&gt;68902333&lt;/CaseID&gt;_x000a_        &lt;CaseMonth&gt;8&lt;/CaseMonth&gt;_x000a_        &lt;CaseYear&gt;2010&lt;/CaseYear&gt;_x000a_        &lt;CaseNumber&gt;15656&lt;/CaseNumber&gt;_x000a_        &lt;NumeratorGroupID&gt;1&lt;/NumeratorGroupID&gt;_x000a_        &lt;CaseName&gt;מדינת ישראל נ' בכוראשוילי(עציר) ואח'&lt;/CaseName&gt;_x000a_        &lt;CourtID&gt;13&lt;/CourtID&gt;_x000a_        &lt;CaseTypeID&gt;10077&lt;/CaseTypeID&gt;_x000a_        &lt;CaseJudgeName&gt;יוסף אלרון&lt;/CaseJudgeName&gt;_x000a_        &lt;CaseLinkTypeID&gt;9&lt;/CaseLinkTypeID&gt;_x000a_        &lt;ProcedureID&gt;2&lt;/ProcedureID&gt;_x000a_        &lt;CaseStatusID&gt;1&lt;/CaseStatusID&gt;_x000a_        &lt;ProceedingID&gt;2&lt;/ProceedingID&gt;_x000a_        &lt;IsCaseLinked&gt;true&lt;/IsCaseLinked&gt;_x000a_        &lt;PrivilegeID&gt;2&lt;/PrivilegeID&gt;_x000a_        &lt;IsAppealingCaseExist&gt;false&lt;/IsAppealingCaseExist&gt;_x000a_        &lt;CaseDisplayIdentifier&gt;15656-08-10&lt;/CaseDisplayIdentifier&gt;_x000a_        &lt;CaseTypeDesc&gt;תפ&quot;ח&lt;/CaseTypeDesc&gt;_x000a_        &lt;CourtDesc&gt;המחוזי חיפה&lt;/CourtDesc&gt;_x000a_        &lt;CaseStageDesc&gt;תיק אלקטרוני&lt;/CaseStageDesc&gt;_x000a_        &lt;CaseNextDeterminingTask&gt;152&lt;/CaseNextDeterminingTask&gt;_x000a_        &lt;CaseOpenDate&gt;2010-08-09T09:15:00.0000000+03:00&lt;/CaseOpenDate&gt;_x000a_        &lt;PleaTypeID&gt;8&lt;/PleaTypeID&gt;_x000a_        &lt;CourtLevelID&gt;2&lt;/CourtLevelID&gt;_x000a_        &lt;CaseJudgeFirstName&gt;יוסף&lt;/CaseJudgeFirstName&gt;_x000a_        &lt;CaseJudgeLastName&gt;אלרון &lt;/CaseJudgeLastName&gt;_x000a_        &lt;JudicalPersonID&gt;053565529@GOV.IL&lt;/JudicalPersonID&gt;_x000a_        &lt;IsJudicalPanel&gt;true&lt;/IsJudicalPanel&gt;_x000a_        &lt;CourtDisplayName&gt;בית המשפט המחוזי בחיפה&lt;/CourtDisplayName&gt;_x000a_        &lt;IsAllStartDataCollected&gt;true&lt;/IsAllStartDataCollected&gt;_x000a_        &lt;IsMainCase&gt;false&lt;/IsMainCase&gt;_x000a_        &lt;CaseDesc&gt;מעטפה הוכנסה לכספת של תקווה.רבקה&lt;/CaseDesc&gt;_x000a_        &lt;isExistMinorSide&gt;false&lt;/isExistMinorSide&gt;_x000a_        &lt;isExistMinorWitness&gt;false&lt;/isExistMinorWitness&gt;_x000a_        &lt;ArchivingActivityID&gt;2&lt;/ArchivingActivityID&gt;_x000a_        &lt;GettingReasonID&gt;2&lt;/GettingReasonID&gt;_x000a_        &lt;IsDecisionTypeZaveElyon&gt;false&lt;/IsDecisionTypeZaveElyon&gt;_x000a_        &lt;IsGuaranteeDeposit&gt;true&lt;/IsGuaranteeDeposit&gt;_x000a_        &lt;IsExistPrisoner&gt;false&lt;/IsExistPrisoner&gt;_x000a_        &lt;IsExistDetainee&gt;true&lt;/IsExistDetainee&gt;_x000a_        &lt;IsDebitExist&gt;false&lt;/IsDebitExist&gt;_x000a_        &lt;DebitExsitDate&gt;2012-02-13T04:15:00.0000000+02:00&lt;/DebitExsitDate&gt;_x000a_        &lt;IsExistSeizure&gt;false&lt;/IsExistSeizure&gt;_x000a_      &lt;/CasePresentationDataSet&gt;_x000a_    &lt;/CasePresentationDS&gt;_x000a_    &lt;diffgr:before&gt;_x000a_      &lt;CasePresentationDataSet diffgr:id=&quot;CasePresentationDataSet1&quot; msdata:rowOrder=&quot;0&quot; xmlns=&quot;http://tempuri.org/CasePresentationDS.xsd&quot;&gt;_x000a_        &lt;CaseID&gt;68902333&lt;/CaseID&gt;_x000a_        &lt;CaseMonth&gt;8&lt;/CaseMonth&gt;_x000a_        &lt;CaseYear&gt;2010&lt;/CaseYear&gt;_x000a_        &lt;CaseNumber&gt;15656&lt;/CaseNumber&gt;_x000a_        &lt;NumeratorGroupID&gt;1&lt;/NumeratorGroupID&gt;_x000a_        &lt;CaseName&gt;מדינת ישראל נ' בכוראשוילי(עציר) ואח'&lt;/CaseName&gt;_x000a_        &lt;CourtID&gt;13&lt;/CourtID&gt;_x000a_        &lt;CaseTypeID&gt;10077&lt;/CaseTypeID&gt;_x000a_        &lt;CaseJudgeName&gt;יוסף אלרון&lt;/CaseJudgeName&gt;_x000a_        &lt;CaseLinkTypeID&gt;9&lt;/CaseLinkTypeID&gt;_x000a_        &lt;ProcedureID&gt;2&lt;/ProcedureID&gt;_x000a_        &lt;CaseStatusID&gt;1&lt;/CaseStatusID&gt;_x000a_        &lt;ProceedingID&gt;2&lt;/ProceedingID&gt;_x000a_        &lt;IsCaseLinked&gt;true&lt;/IsCaseLinked&gt;_x000a_        &lt;PrivilegeID&gt;2&lt;/PrivilegeID&gt;_x000a_        &lt;IsAppealingCaseExist&gt;false&lt;/IsAppealingCaseExist&gt;_x000a_        &lt;CaseDisplayIdentifier&gt;15656-08-10&lt;/CaseDisplayIdentifier&gt;_x000a_        &lt;CaseTypeDesc&gt;תפ&quot;ח&lt;/CaseTypeDesc&gt;_x000a_        &lt;CourtDesc&gt;המחוזי חיפה&lt;/CourtDesc&gt;_x000a_        &lt;CaseStageDesc&gt;תיק אלקטרוני&lt;/CaseStageDesc&gt;_x000a_        &lt;CaseNextDeterminingTask&gt;152&lt;/CaseNextDeterminingTask&gt;_x000a_        &lt;CaseOpenDate&gt;2010-08-09T09:15:00.0000000+03:00&lt;/CaseOpenDate&gt;_x000a_        &lt;PleaTypeID&gt;8&lt;/PleaTypeID&gt;_x000a_        &lt;CourtLevelID&gt;2&lt;/CourtLevelID&gt;_x000a_        &lt;CaseJudgeFirstName&gt;יוסף&lt;/CaseJudgeFirstName&gt;_x000a_        &lt;CaseJudgeLastName&gt;אלרון &lt;/CaseJudgeLastName&gt;_x000a_        &lt;JudicalPersonID&gt;053565529@GOV.IL&lt;/JudicalPersonID&gt;_x000a_        &lt;IsJudicalPanel&gt;true&lt;/IsJudicalPanel&gt;_x000a_        &lt;CourtDisplayName&gt;בית המשפט המחוזי בחיפה&lt;/CourtDisplayName&gt;_x000a_        &lt;IsAllStartDataCollected&gt;true&lt;/IsAllStartDataCollected&gt;_x000a_        &lt;IsMainCase&gt;false&lt;/IsMainCase&gt;_x000a_        &lt;CaseDesc&gt;מעטפה הוכנסה לכספת של תקווה.רבקה&lt;/CaseDesc&gt;_x000a_        &lt;ArchivingActivityID&gt;2&lt;/ArchivingActivityID&gt;_x000a_        &lt;GettingReasonID&gt;2&lt;/GettingReasonID&gt;_x000a_      &lt;/CasePresentationDataSet&gt;_x000a_    &lt;/diffgr:before&gt;_x000a_  &lt;/diffgr:diffgram&gt;_x000a_&lt;/CasePresentationDS&gt;"/>
    <w:docVar w:name="CourtID" w:val="13"/>
    <w:docVar w:name="DecisionDS" w:val="&lt;?xml version=&quot;1.0&quot;?&gt;_x000a_&lt;DecisionDS&gt;_x000a_  &lt;xs:schema id=&quot;DecisionDS&quot; targetNamespace=&quot;http://www.tempuri.org/DecisionDS.xsd&quot; xmlns:mstns=&quot;http://www.tempuri.org/DecisionDS.xsd&quot; xmlns=&quot;http://www.tempuri.org/DecisionDS.xsd&quot; xmlns:xs=&quot;http://www.w3.org/2001/XMLSchema&quot; xmlns:msdata=&quot;urn:schemas-microsoft-com:xml-msdata&quot; attributeFormDefault=&quot;qualified&quot; elementFormDefault=&quot;qualified&quot;&gt;_x000a_    &lt;xs:element name=&quot;DecisionDS&quot; msdata:IsDataSet=&quot;true&quot; msdata:Locale=&quot;he-IL&quot;&gt;_x000a_      &lt;xs:complexType&gt;_x000a_        &lt;xs:choice maxOccurs=&quot;unbounded&quot;&gt;_x000a_          &lt;xs:element name=&quot;dt_Decision&quot;&gt;_x000a_            &lt;xs:complexType&gt;_x000a_              &lt;xs:sequence&gt;_x000a_                &lt;xs:element name=&quot;DecisionID&quot; msdata:ReadOnly=&quot;true&quot; msdata:AutoIncrement=&quot;true&quot; type=&quot;xs:int&quot; /&gt;_x000a_                &lt;xs:element name=&quot;DecisionNumber&quot; type=&quot;xs:int&quot; minOccurs=&quot;0&quot; /&gt;_x000a_                &lt;xs:element name=&quot;DecisionName&quot; type=&quot;xs:string&quot; /&gt;_x000a_                &lt;xs:element name=&quot;DecisionStatusID&quot; type=&quot;xs:int&quot; /&gt;_x000a_                &lt;xs:element name=&quot;DecisionStatusChangeDate&quot; type=&quot;xs:dateTime&quot; /&gt;_x000a_                &lt;xs:element name=&quot;DecisionSignatureDate&quot; type=&quot;xs:dateTime&quot; minOccurs=&quot;0&quot; /&gt;_x000a_                &lt;xs:element name=&quot;DecisionSignatureUserID&quot; type=&quot;xs:string&quot; minOccurs=&quot;0&quot; /&gt;_x000a_                &lt;xs:element name=&quot;DecisionCreateDate&quot; type=&quot;xs:dateTime&quot; /&gt;_x000a_                &lt;xs:element name=&quot;DecisionChangeDate&quot; type=&quot;xs:dateTime&quot; minOccurs=&quot;0&quot; /&gt;_x000a_                &lt;xs:element name=&quot;DecisionChangeUserID&quot; type=&quot;xs:string&quot; minOccurs=&quot;0&quot; /&gt;_x000a_                &lt;xs:element name=&quot;DecisionDesc&quot; type=&quot;xs:string&quot; minOccurs=&quot;0&quot; /&gt;_x000a_                &lt;xs:element name=&quot;IsChosenDecision&quot; type=&quot;xs:boolean&quot; default=&quot;false&quot; /&gt;_x000a_                &lt;xs:element name=&quot;IsDecisionImplementationTask&quot; type=&quot;xs:boolean&quot; default=&quot;false&quot; minOccurs=&quot;0&quot; /&gt;_x000a_                &lt;xs:element name=&quot;IsDecisionInProtocol&quot; type=&quot;xs:boolean&quot; default=&quot;false&quot; /&gt;_x000a_                &lt;xs:element name=&quot;DecisionTypeID&quot; type=&quot;xs:int&quot; /&gt;_x000a_                &lt;xs:element name=&quot;DecisionText&quot; type=&quot;xs:string&quot; minOccurs=&quot;0&quot; /&gt;_x000a_                &lt;xs:element name=&quot;IsOnlyOneParty&quot; type=&quot;xs:boolean&quot; default=&quot;false&quot; /&gt;_x000a_                &lt;xs:element name=&quot;IsCanceledDecision&quot; type=&quot;xs:boolean&quot; default=&quot;false&quot; /&gt;_x000a_                &lt;xs:element name=&quot;DecisionLinkID&quot; type=&quot;xs:int&quot; minOccurs=&quot;0&quot; /&gt;_x000a_                &lt;xs:element name=&quot;DecisionLinkTypeID&quot; type=&quot;xs:int&quot; minOccurs=&quot;0&quot; /&gt;_x000a_                &lt;xs:element name=&quot;DocumentID&quot; type=&quot;xs:int&quot; minOccurs=&quot;0&quot; /&gt;_x000a_                &lt;xs:element name=&quot;PrivilegeID&quot; type=&quot;xs:int&quot; /&gt;_x000a_                &lt;xs:element name=&quot;IsDecisionConverted&quot; type=&quot;xs:boolean&quot; default=&quot;false&quot; /&gt;_x000a_                &lt;xs:element name=&quot;SignatureUserTypeID&quot; type=&quot;xs:int&quot; minOccurs=&quot;0&quot; /&gt;_x000a_                &lt;xs:element name=&quot;IsOpenedToSecondSide&quot; type=&quot;xs:boolean&quot; default=&quot;false&quot; /&gt;_x000a_                &lt;xs:element name=&quot;IsDecisionAppeled&quot; type=&quot;xs:boolean&quot; default=&quot;false&quot; /&gt;_x000a_                &lt;xs:element name=&quot;DecisionWriterID&quot; type=&quot;xs:string&quot; minOccurs=&quot;0&quot; /&gt;_x000a_                &lt;xs:element name=&quot;IsInstruction&quot; type=&quot;xs:boolean&quot; default=&quot;false&quot; /&gt;_x000a_                &lt;xs:element name=&quot;PreviousCaseID&quot; type=&quot;xs:string&quot; minOccurs=&quot;0&quot; /&gt;_x000a_                &lt;xs:element name=&quot;IsNeedAllSignatures&quot; type=&quot;xs:boolean&quot; default=&quot;false&quot; minOccurs=&quot;0&quot; /&gt;_x000a_                &lt;xs:element name=&quot;DecisionAttributeID&quot; type=&quot;xs:int&quot; minOccurs=&quot;0&quot; /&gt;_x000a_                &lt;xs:element name=&quot;DecisionCreationUserID&quot; type=&quot;xs:string&quot; /&gt;_x000a_                &lt;xs:element name=&quot;DecisionLinkName&quot; type=&quot;xs:string&quot; minOccurs=&quot;0&quot; /&gt;_x000a_                &lt;xs:element name=&quot;DecisionLinkCaseID&quot; type=&quot;xs:int&quot; minOccurs=&quot;0&quot; /&gt;_x000a_                &lt;xs:element name=&quot;DecisionDisplayName&quot; type=&quot;xs:string&quot; minOccurs=&quot;0&quot; /&gt;_x000a_                &lt;xs:element name=&quot;IsScanned&quot; type=&quot;xs:boolean&quot; minOccurs=&quot;0&quot; /&gt;_x000a_                &lt;xs:element name=&quot;DecisionSignatureUserName&quot; type=&quot;xs:string&quot; minOccurs=&quot;0&quot; /&gt;_x000a_                &lt;xs:element name=&quot;ChangePrivilegeUserID&quot; type=&quot;xs:string&quot; minOccurs=&quot;0&quot; /&gt;_x000a_                &lt;xs:element name=&quot;PublishInWebUserID&quot; type=&quot;xs:string&quot; minOccurs=&quot;0&quot; /&gt;_x000a_                &lt;xs:element name=&quot;NotificationTypeID&quot; type=&quot;xs:int&quot; default=&quot;1&quot; minOccurs=&quot;0&quot; /&gt;_x000a_                &lt;xs:element name=&quot;NotificationAuthorizeUserID&quot; type=&quot;xs:string&quot; minOccurs=&quot;0&quot; /&gt;_x000a_                &lt;xs:element name=&quot;DecisionReleaseDate&quot; type=&quot;xs:dateTime&quot; minOccurs=&quot;0&quot; /&gt;_x000a_                &lt;xs:element name=&quot;IsDecisionInNote&quot; type=&quot;xs:boolean&quot; default=&quot;false&quot; /&gt;_x000a_                &lt;xs:element name=&quot;IsOriginal&quot; type=&quot;xs:boolean&quot; minOccurs=&quot;0&quot; /&gt;_x000a_              &lt;/xs:sequence&gt;_x000a_            &lt;/xs:complexType&gt;_x000a_          &lt;/xs:element&gt;_x000a_          &lt;xs:element name=&quot;dt_DecisionCase&quot;&gt;_x000a_            &lt;xs:complexType&gt;_x000a_              &lt;xs:sequence&gt;_x000a_                &lt;xs:element name=&quot;DecisionID&quot; type=&quot;xs:int&quot; /&gt;_x000a_                &lt;xs:element name=&quot;CaseID&quot; type=&quot;xs:int&quot; /&gt;_x000a_                &lt;xs:element name=&quot;IsOriginal&quot; type=&quot;xs:boolean&quot; default=&quot;false&quot; minOccurs=&quot;0&quot; /&gt;_x000a_                &lt;xs:element name=&quot;IsDeleted&quot; type=&quot;xs:boolean&quot; default=&quot;false&quot; /&gt;_x000a_                &lt;xs:element name=&quot;CaseLinkTypeID&quot; type=&quot;xs:int&quot; minOccurs=&quot;0&quot; /&gt;_x000a_                &lt;xs:element name=&quot;CaseName&quot; type=&quot;xs:string&quot; minOccurs=&quot;0&quot; /&gt;_x000a_                &lt;xs:element name=&quot;CaseDisplayIdentifier&quot; type=&quot;xs:string&quot; minOccurs=&quot;0&quot; /&gt;_x000a_              &lt;/xs:sequence&gt;_x000a_            &lt;/xs:complexType&gt;_x000a_          &lt;/xs:element&gt;_x000a_          &lt;xs:element name=&quot;dt_DecisionMotion&quot;&gt;_x000a_            &lt;xs:complexType&gt;_x000a_              &lt;xs:sequence&gt;_x000a_                &lt;xs:element name=&quot;DecisionID&quot; type=&quot;xs:int&quot; /&gt;_x000a_                &lt;xs:element name=&quot;MotionID&quot; type=&quot;xs:int&quot; /&gt;_x000a_                &lt;xs:element name=&quot;DecisionResultID&quot; type=&quot;xs:int&quot; minOccurs=&quot;0&quot; /&gt;_x000a_                &lt;xs:element name=&quot;IsOriginalMotion&quot; type=&quot;xs:boolean&quot; default=&quot;false&quot; minOccurs=&quot;0&quot; /&gt;_x000a_                &lt;xs:element name=&quot;MotionName&quot; type=&quot;xs:string&quot; minOccurs=&quot;0&quot; /&gt;_x000a_                &lt;xs:element name=&quot;MotionOpenDate&quot; type=&quot;xs:dateTime&quot; minOccurs=&quot;0&quot; /&gt;_x000a_                &lt;xs:element name=&quot;CaseID&quot; type=&quot;xs:int&quot; minOccurs=&quot;0&quot; /&gt;_x000a_                &lt;xs:element name=&quot;CaseDisplayIdentifier&quot; type=&quot;xs:string&quot; minOccurs=&quot;0&quot; /&gt;_x000a_                &lt;xs:element name=&quot;ProcessNumber&quot; type=&quot;xs:int&quot; minOccurs=&quot;0&quot; /&gt;_x000a_              &lt;/xs:sequence&gt;_x000a_            &lt;/xs:complexType&gt;_x000a_          &lt;/xs:element&gt;_x000a_          &lt;xs:element name=&quot;dt_DecisionProtocol&quot;&gt;_x000a_            &lt;xs:complexType&gt;_x000a_              &lt;xs:sequence&gt;_x000a_                &lt;xs:element name=&quot;DecisionID&quot; type=&quot;xs:int&quot; /&gt;_x000a_                &lt;xs:element name=&quot;ProtocolID&quot; type=&quot;xs:int&quot; /&gt;_x000a_                &lt;xs:element name=&quot;ProtocolEventID&quot; type=&quot;xs:int&quot; /&gt;_x000a_              &lt;/xs:sequence&gt;_x000a_            &lt;/xs:complexType&gt;_x000a_          &lt;/xs:element&gt;_x000a_          &lt;xs:element name=&quot;dt_DecisionJudgePanel&quot;&gt;_x000a_            &lt;xs:complexType&gt;_x000a_              &lt;xs:sequence&gt;_x000a_                &lt;xs:element name=&quot;DecisionID&quot; type=&quot;xs:int&quot; /&gt;_x000a_                &lt;xs:element name=&quot;JudgeID&quot; type=&quot;xs:string&quot; /&gt;_x000a_                &lt;xs:element name=&quot;DocumentSendDate&quot; type=&quot;xs:dateTime&quot; minOccurs=&quot;0&quot; /&gt;_x000a_                &lt;xs:element name=&quot;FinalDate&quot; type=&quot;xs:dateTime&quot; minOccurs=&quot;0&quot; /&gt;_x000a_                &lt;xs:element name=&quot;SignatureDate&quot; type=&quot;xs:dateTime&quot; minOccurs=&quot;0&quot; /&gt;_x000a_                &lt;xs:element name=&quot;DocumentID&quot; type=&quot;xs:int&quot; minOccurs=&quot;0&quot; /&gt;_x000a_                &lt;xs:element name=&quot;DecisionOpinionDate&quot; type=&quot;xs:dateTime&quot; minOccurs=&quot;0&quot; /&gt;_x000a_                &lt;xs:element name=&quot;WriterViewedDraftDate&quot; type=&quot;xs:dateTime&quot; minOccurs=&quot;0&quot; /&gt;_x000a_                &lt;xs:element name=&quot;IsNeedAllSignatures&quot; type=&quot;xs:boolean&quot; minOccurs=&quot;0&quot; /&gt;_x000a_                &lt;xs:element name=&quot;DocumentIDNotes&quot; type=&quot;xs:int&quot; minOccurs=&quot;0&quot; /&gt;_x000a_                &lt;xs:element name=&quot;OrdinalNumber&quot; type=&quot;xs:int&quot; minOccurs=&quot;0&quot; /&gt;_x000a_              &lt;/xs:sequence&gt;_x000a_            &lt;/xs:complexType&gt;_x000a_          &lt;/xs:element&gt;_x000a_        &lt;/xs:choice&gt;_x000a_      &lt;/xs:complexType&gt;_x000a_      &lt;xs:unique name=&quot;DecisionDSKey1&quot; msdata:PrimaryKey=&quot;true&quot;&gt;_x000a_        &lt;xs:selector xpath=&quot;.//mstns:dt_Decision&quot; /&gt;_x000a_        &lt;xs:field xpath=&quot;mstns:DecisionID&quot; /&gt;_x000a_      &lt;/xs:unique&gt;_x000a_      &lt;xs:unique name=&quot;DecisionDSKey2&quot; msdata:PrimaryKey=&quot;true&quot;&gt;_x000a_        &lt;xs:selector xpath=&quot;.//mstns:dt_DecisionCase&quot; /&gt;_x000a_        &lt;xs:field xpath=&quot;mstns:DecisionID&quot; /&gt;_x000a_        &lt;xs:field xpath=&quot;mstns:CaseID&quot; /&gt;_x000a_      &lt;/xs:unique&gt;_x000a_      &lt;xs:unique name=&quot;DecisionDSKey3&quot; msdata:PrimaryKey=&quot;true&quot;&gt;_x000a_        &lt;xs:selector xpath=&quot;.//mstns:dt_DecisionMotion&quot; /&gt;_x000a_        &lt;xs:field xpath=&quot;mstns:DecisionID&quot; /&gt;_x000a_        &lt;xs:field xpath=&quot;mstns:MotionID&quot; /&gt;_x000a_      &lt;/xs:unique&gt;_x000a_      &lt;xs:unique name=&quot;DecisionDSKey4&quot; msdata:PrimaryKey=&quot;true&quot;&gt;_x000a_        &lt;xs:selector xpath=&quot;.//mstns:dt_DecisionProtocol&quot; /&gt;_x000a_        &lt;xs:field xpath=&quot;mstns:DecisionID&quot; /&gt;_x000a_        &lt;xs:field xpath=&quot;mstns:ProtocolID&quot; /&gt;_x000a_        &lt;xs:field xpath=&quot;mstns:ProtocolEventID&quot; /&gt;_x000a_      &lt;/xs:unique&gt;_x000a_      &lt;xs:unique name=&quot;DecisionDSKey10&quot; msdata:PrimaryKey=&quot;true&quot;&gt;_x000a_        &lt;xs:selector xpath=&quot;.//mstns:dt_DecisionJudgePanel&quot; /&gt;_x000a_        &lt;xs:field xpath=&quot;mstns:DecisionID&quot; /&gt;_x000a_        &lt;xs:field xpath=&quot;mstns:JudgeID&quot; /&gt;_x000a_      &lt;/xs:unique&gt;_x000a_      &lt;xs:keyref name=&quot;dt_Decisiondt_DecisionJudgePanel&quot; refer=&quot;DecisionDSKey1&quot;&gt;_x000a_        &lt;xs:selector xpath=&quot;.//mstns:dt_DecisionJudgePanel&quot; /&gt;_x000a_        &lt;xs:field xpath=&quot;mstns:DecisionID&quot; /&gt;_x000a_      &lt;/xs:keyref&gt;_x000a_      &lt;xs:keyref name=&quot;dt_Decisiondt_DecisionProtocol&quot; refer=&quot;DecisionDSKey1&quot;&gt;_x000a_        &lt;xs:selector xpath=&quot;.//mstns:dt_DecisionProtocol&quot; /&gt;_x000a_        &lt;xs:field xpath=&quot;mstns:DecisionID&quot; /&gt;_x000a_      &lt;/xs:keyref&gt;_x000a_      &lt;xs:keyref name=&quot;dt_Decisiondt_DecisionMotion&quot; refer=&quot;DecisionDSKey1&quot;&gt;_x000a_        &lt;xs:selector xpath=&quot;.//mstns:dt_DecisionMotion&quot; /&gt;_x000a_        &lt;xs:field xpath=&quot;mstns:DecisionID&quot; /&gt;_x000a_      &lt;/xs:keyref&gt;_x000a_      &lt;xs:keyref name=&quot;dt_Decisiondt_DecisionCase&quot; refer=&quot;DecisionDSKey1&quot;&gt;_x000a_        &lt;xs:selector xpath=&quot;.//mstns:dt_DecisionCase&quot; /&gt;_x000a_        &lt;xs:field xpath=&quot;mstns:DecisionID&quot; /&gt;_x000a_      &lt;/xs:keyref&gt;_x000a_    &lt;/xs:element&gt;_x000a_  &lt;/xs:schema&gt;_x000a_  &lt;diffgr:diffgram xmlns:msdata=&quot;urn:schemas-microsoft-com:xml-msdata&quot; xmlns:diffgr=&quot;urn:schemas-microsoft-com:xml-diffgram-v1&quot;&gt;_x000a_    &lt;DecisionDS xmlns=&quot;http://www.tempuri.org/DecisionDS.xsd&quot;&gt;_x000a_      &lt;dt_Decision diffgr:id=&quot;dt_Decision1&quot; msdata:rowOrder=&quot;0&quot;&gt;_x000a_        &lt;DecisionID&gt;79395079&lt;/DecisionID&gt;_x000a_        &lt;DecisionName&gt;הכרעת דין  מתאריך  05/02/12  שניתנה ע&quot;י  יוסף אלרון&lt;/DecisionName&gt;_x000a_        &lt;DecisionStatusID&gt;1&lt;/DecisionStatusID&gt;_x000a_        &lt;DecisionStatusChangeDate&gt;2012-02-13T11:45:24.6600000+02:00&lt;/DecisionStatusChangeDate&gt;_x000a_        &lt;DecisionSignatureDate&gt;2012-02-05T15:49:16.6730000+02:00&lt;/DecisionSignatureDate&gt;_x000a_        &lt;DecisionSignatureUserID&gt;053565529@GOV.IL&lt;/DecisionSignatureUserID&gt;_x000a_        &lt;DecisionCreateDate&gt;2012-02-05T15:54:22.2800000+02:00&lt;/DecisionCreateDate&gt;_x000a_        &lt;DecisionChangeDate&gt;2012-02-13T11:45:26.1100000+02:00&lt;/DecisionChangeDate&gt;_x000a_        &lt;DecisionChangeUserID&gt;053565529@GOV.IL&lt;/DecisionChangeUserID&gt;_x000a_        &lt;IsChosenDecision&gt;false&lt;/IsChosenDecision&gt;_x000a_        &lt;IsDecisionImplementationTask&gt;true&lt;/IsDecisionImplementationTask&gt;_x000a_        &lt;IsDecisionInProtocol&gt;false&lt;/IsDecisionInProtocol&gt;_x000a_        &lt;DecisionTypeID&gt;3&lt;/DecisionTypeID&gt;_x000a_        &lt;IsOnlyOneParty&gt;false&lt;/IsOnlyOneParty&gt;_x000a_        &lt;IsCanceledDecision&gt;false&lt;/IsCanceledDecision&gt;_x000a_        &lt;DocumentID&gt;136086206&lt;/DocumentID&gt;_x000a_        &lt;PrivilegeID&gt;2&lt;/PrivilegeID&gt;_x000a_        &lt;IsDecisionConverted&gt;false&lt;/IsDecisionConverted&gt;_x000a_        &lt;IsOpenedToSecondSide&gt;false&lt;/IsOpenedToSecondSide&gt;_x000a_        &lt;IsDecisionAppeled&gt;false&lt;/IsDecisionAppeled&gt;_x000a_        &lt;DecisionWriterID&gt;053565529@GOV.IL&lt;/DecisionWriterID&gt;_x000a_        &lt;IsInstruction&gt;false&lt;/IsInstruction&gt;_x000a_        &lt;IsNeedAllSignatures&gt;false&lt;/IsNeedAllSignatures&gt;_x000a_        &lt;DecisionAttributeID&gt;1&lt;/DecisionAttributeID&gt;_x000a_        &lt;DecisionCreationUserID&gt;053565529@GOV.IL&lt;/DecisionCreationUserID&gt;_x000a_        &lt;DecisionDisplayName&gt;הכרעת דין  מתאריך  05/02/12  שניתנה ע&quot;י  יוסף אלרון&lt;/DecisionDisplayName&gt;_x000a_        &lt;IsScanned&gt;false&lt;/IsScanned&gt;_x000a_        &lt;DecisionSignatureUserName&gt;יוסף אלרון&lt;/DecisionSignatureUserName&gt;_x000a_        &lt;NotificationTypeID&gt;1&lt;/NotificationTypeID&gt;_x000a_        &lt;IsDecisionInNote&gt;false&lt;/IsDecisionInNote&gt;_x000a_      &lt;/dt_Decision&gt;_x000a_      &lt;dt_DecisionCase diffgr:id=&quot;dt_DecisionCase1&quot; msdata:rowOrder=&quot;0&quot;&gt;_x000a_        &lt;DecisionID&gt;79395079&lt;/DecisionID&gt;_x000a_        &lt;CaseID&gt;68902333&lt;/CaseID&gt;_x000a_        &lt;IsOriginal&gt;true&lt;/IsOriginal&gt;_x000a_        &lt;IsDeleted&gt;false&lt;/IsDeleted&gt;_x000a_        &lt;CaseName&gt;מדינת ישראל נ' בכוראשוילי(עציר) ואח'&lt;/CaseName&gt;_x000a_        &lt;CaseDisplayIdentifier&gt;15656-08-10 תפ&quot;ח&lt;/CaseDisplayIdentifier&gt;_x000a_      &lt;/dt_DecisionCase&gt;_x000a_      &lt;dt_DecisionJudgePanel diffgr:id=&quot;dt_DecisionJudgePanel1&quot; msdata:rowOrder=&quot;0&quot;&gt;_x000a_        &lt;DecisionID&gt;79395079&lt;/DecisionID&gt;_x000a_        &lt;JudgeID&gt;053565529@GOV.IL&lt;/JudgeID&gt;_x000a_        &lt;OrdinalNumber&gt;1&lt;/OrdinalNumber&gt;_x000a_      &lt;/dt_DecisionJudgePanel&gt;_x000a_      &lt;dt_DecisionJudgePanel diffgr:id=&quot;dt_DecisionJudgePanel2&quot; msdata:rowOrder=&quot;1&quot;&gt;_x000a_        &lt;DecisionID&gt;79395079&lt;/DecisionID&gt;_x000a_        &lt;JudgeID&gt;067578955@GOV.IL&lt;/JudgeID&gt;_x000a_        &lt;OrdinalNumber&gt;2&lt;/OrdinalNumber&gt;_x000a_      &lt;/dt_DecisionJudgePanel&gt;_x000a_      &lt;dt_DecisionJudgePanel diffgr:id=&quot;dt_DecisionJudgePanel3&quot; msdata:rowOrder=&quot;2&quot;&gt;_x000a_        &lt;DecisionID&gt;79395079&lt;/DecisionID&gt;_x000a_        &lt;JudgeID&gt;054674635@GOV.IL&lt;/JudgeID&gt;_x000a_        &lt;OrdinalNumber&gt;3&lt;/OrdinalNumber&gt;_x000a_      &lt;/dt_DecisionJudgePanel&gt;_x000a_    &lt;/DecisionDS&gt;_x000a_  &lt;/diffgr:diffgram&gt;_x000a_&lt;/DecisionDS&gt;"/>
    <w:docVar w:name="DecisionID" w:val="79395079"/>
    <w:docVar w:name="docID" w:val="136086206"/>
    <w:docVar w:name="judgeUPN" w:val="053565529@GOV.IL"/>
    <w:docVar w:name="MyInfo" w:val="This document was extracted from Nevo's site"/>
    <w:docVar w:name="NGCS.caseInterestID" w:val="-1"/>
    <w:docVar w:name="NGCS.caseTypeID" w:val="10077"/>
    <w:docVar w:name="NGCS.courtID" w:val="13"/>
    <w:docVar w:name="NGCS.isReservedAddressPlace" w:val="0"/>
    <w:docVar w:name="NGCS.isReservedVoucherPlace" w:val="0"/>
    <w:docVar w:name="NGCS.proceedingID" w:val="2"/>
    <w:docVar w:name="NGCS.TemplateCaseInterestID" w:val="-1"/>
    <w:docVar w:name="NGCS.TemplateCaseTypeID" w:val="10077"/>
    <w:docVar w:name="NGCS.TemplateCategoryID" w:val="80"/>
    <w:docVar w:name="NGCS.TemplateCourtID" w:val="13"/>
    <w:docVar w:name="NGCS.TemplateProceedingID" w:val="2"/>
    <w:docVar w:name="NGCS.userUPN" w:val="053565529@GOV.IL"/>
    <w:docVar w:name="noteDocID" w:val="136086206"/>
  </w:docVars>
  <w:rsids>
    <w:rsidRoot w:val="00C17DCE"/>
    <w:rsid w:val="0014522B"/>
    <w:rsid w:val="00151435"/>
    <w:rsid w:val="001B74FB"/>
    <w:rsid w:val="00367188"/>
    <w:rsid w:val="0037197A"/>
    <w:rsid w:val="003E13D7"/>
    <w:rsid w:val="0048595E"/>
    <w:rsid w:val="00490D35"/>
    <w:rsid w:val="005644D6"/>
    <w:rsid w:val="0082685F"/>
    <w:rsid w:val="008502A3"/>
    <w:rsid w:val="008A6516"/>
    <w:rsid w:val="009A4F66"/>
    <w:rsid w:val="009C583F"/>
    <w:rsid w:val="00C17DCE"/>
    <w:rsid w:val="00C76660"/>
    <w:rsid w:val="00C872BA"/>
    <w:rsid w:val="00C97BA3"/>
    <w:rsid w:val="00D447FF"/>
    <w:rsid w:val="00D759EB"/>
    <w:rsid w:val="00DE78C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3074"/>
    <o:shapelayout v:ext="edit">
      <o:idmap v:ext="edit" data="1"/>
    </o:shapelayout>
  </w:shapeDefaults>
  <w:decimalSymbol w:val="."/>
  <w:listSeparator w:val=","/>
  <w14:docId w14:val="76226C71"/>
  <w15:chartTrackingRefBased/>
  <w15:docId w15:val="{A20280B1-A154-435A-ABA5-39CB058EB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7DCE"/>
    <w:pPr>
      <w:bidi/>
    </w:pPr>
    <w:rPr>
      <w:rFonts w:ascii="Arial (W1)" w:hAnsi="Arial (W1)" w:cs="David"/>
      <w:sz w:val="24"/>
      <w:szCs w:val="24"/>
    </w:rPr>
  </w:style>
  <w:style w:type="paragraph" w:styleId="Heading3">
    <w:name w:val="heading 3"/>
    <w:basedOn w:val="Normal"/>
    <w:next w:val="Normal"/>
    <w:qFormat/>
    <w:rsid w:val="00C17DCE"/>
    <w:pPr>
      <w:keepNext/>
      <w:spacing w:line="360" w:lineRule="auto"/>
      <w:jc w:val="both"/>
      <w:outlineLvl w:val="2"/>
    </w:pPr>
    <w:rPr>
      <w:rFonts w:ascii="Times New Roman" w:hAnsi="Times New Roman"/>
      <w:b/>
      <w:bCs/>
      <w:noProof/>
      <w:sz w:val="20"/>
      <w:lang w:eastAsia="he-IL"/>
    </w:rPr>
  </w:style>
  <w:style w:type="paragraph" w:styleId="Heading4">
    <w:name w:val="heading 4"/>
    <w:basedOn w:val="Normal"/>
    <w:next w:val="Normal"/>
    <w:qFormat/>
    <w:rsid w:val="00C17DCE"/>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17DCE"/>
    <w:pPr>
      <w:tabs>
        <w:tab w:val="center" w:pos="4153"/>
        <w:tab w:val="right" w:pos="8306"/>
      </w:tabs>
    </w:pPr>
  </w:style>
  <w:style w:type="paragraph" w:styleId="Footer">
    <w:name w:val="footer"/>
    <w:basedOn w:val="Normal"/>
    <w:rsid w:val="00C17DCE"/>
    <w:pPr>
      <w:tabs>
        <w:tab w:val="center" w:pos="4153"/>
        <w:tab w:val="right" w:pos="8306"/>
      </w:tabs>
    </w:pPr>
  </w:style>
  <w:style w:type="table" w:styleId="TableGrid">
    <w:name w:val="Table Grid"/>
    <w:basedOn w:val="TableNormal"/>
    <w:rsid w:val="00C17DC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C17DCE"/>
    <w:rPr>
      <w:sz w:val="16"/>
      <w:szCs w:val="16"/>
    </w:rPr>
  </w:style>
  <w:style w:type="paragraph" w:styleId="CommentText">
    <w:name w:val="annotation text"/>
    <w:basedOn w:val="Normal"/>
    <w:semiHidden/>
    <w:rsid w:val="00C17DCE"/>
    <w:rPr>
      <w:rFonts w:cs="Times New Roman"/>
    </w:rPr>
  </w:style>
  <w:style w:type="paragraph" w:styleId="BalloonText">
    <w:name w:val="Balloon Text"/>
    <w:basedOn w:val="Normal"/>
    <w:semiHidden/>
    <w:rsid w:val="00C17DCE"/>
    <w:rPr>
      <w:rFonts w:ascii="Tahoma" w:hAnsi="Tahoma" w:cs="Tahoma"/>
      <w:sz w:val="16"/>
      <w:szCs w:val="16"/>
    </w:rPr>
  </w:style>
  <w:style w:type="character" w:customStyle="1" w:styleId="Ruller4">
    <w:name w:val="Ruller4 תו"/>
    <w:link w:val="Ruller40"/>
    <w:locked/>
    <w:rsid w:val="00C17DCE"/>
    <w:rPr>
      <w:rFonts w:ascii="Arial TUR" w:hAnsi="Arial TUR" w:cs="FrankRuehl"/>
      <w:spacing w:val="10"/>
      <w:sz w:val="22"/>
      <w:szCs w:val="28"/>
      <w:lang w:val="en-US" w:eastAsia="en-US" w:bidi="he-IL"/>
    </w:rPr>
  </w:style>
  <w:style w:type="paragraph" w:customStyle="1" w:styleId="Ruller40">
    <w:name w:val="Ruller4"/>
    <w:basedOn w:val="Normal"/>
    <w:link w:val="Ruller4"/>
    <w:rsid w:val="00C17DCE"/>
    <w:pPr>
      <w:tabs>
        <w:tab w:val="left" w:pos="800"/>
      </w:tabs>
      <w:overflowPunct w:val="0"/>
      <w:adjustRightInd w:val="0"/>
      <w:spacing w:line="360" w:lineRule="auto"/>
      <w:jc w:val="both"/>
    </w:pPr>
    <w:rPr>
      <w:rFonts w:ascii="Arial TUR" w:hAnsi="Arial TUR" w:cs="FrankRuehl"/>
      <w:spacing w:val="10"/>
      <w:sz w:val="22"/>
      <w:szCs w:val="28"/>
    </w:rPr>
  </w:style>
  <w:style w:type="paragraph" w:customStyle="1" w:styleId="Ruller5">
    <w:name w:val="Ruller5"/>
    <w:basedOn w:val="Normal"/>
    <w:rsid w:val="00C17DCE"/>
    <w:pPr>
      <w:overflowPunct w:val="0"/>
      <w:adjustRightInd w:val="0"/>
      <w:ind w:left="1642" w:right="1282"/>
      <w:jc w:val="both"/>
    </w:pPr>
    <w:rPr>
      <w:rFonts w:ascii="Arial TUR" w:hAnsi="Arial TUR" w:cs="FrankRuehl"/>
      <w:spacing w:val="10"/>
      <w:sz w:val="22"/>
      <w:szCs w:val="28"/>
    </w:rPr>
  </w:style>
  <w:style w:type="character" w:customStyle="1" w:styleId="default">
    <w:name w:val="default"/>
    <w:rsid w:val="00C17DCE"/>
    <w:rPr>
      <w:rFonts w:ascii="Times New Roman" w:hAnsi="Times New Roman" w:cs="Times New Roman" w:hint="default"/>
      <w:sz w:val="26"/>
      <w:szCs w:val="26"/>
    </w:rPr>
  </w:style>
  <w:style w:type="character" w:styleId="PageNumber">
    <w:name w:val="page number"/>
    <w:basedOn w:val="DefaultParagraphFont"/>
    <w:rsid w:val="001B74FB"/>
  </w:style>
  <w:style w:type="character" w:styleId="Hyperlink">
    <w:name w:val="Hyperlink"/>
    <w:rsid w:val="001B74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64068">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70301/329.a.1" TargetMode="External"/><Relationship Id="rId21" Type="http://schemas.openxmlformats.org/officeDocument/2006/relationships/hyperlink" Target="http://www.nevo.co.il/law/74903" TargetMode="External"/><Relationship Id="rId42" Type="http://schemas.openxmlformats.org/officeDocument/2006/relationships/hyperlink" Target="http://www.nevo.co.il/law/70301/345.b.3.4.5" TargetMode="External"/><Relationship Id="rId47" Type="http://schemas.openxmlformats.org/officeDocument/2006/relationships/hyperlink" Target="http://www.nevo.co.il/case/6128327" TargetMode="External"/><Relationship Id="rId63" Type="http://schemas.openxmlformats.org/officeDocument/2006/relationships/hyperlink" Target="http://www.nevo.co.il/case/5726579" TargetMode="External"/><Relationship Id="rId68" Type="http://schemas.openxmlformats.org/officeDocument/2006/relationships/hyperlink" Target="http://www.nevo.co.il/case/6249234" TargetMode="External"/><Relationship Id="rId16" Type="http://schemas.openxmlformats.org/officeDocument/2006/relationships/hyperlink" Target="http://www.nevo.co.il/law/70301/345.b.5" TargetMode="External"/><Relationship Id="rId11" Type="http://schemas.openxmlformats.org/officeDocument/2006/relationships/hyperlink" Target="http://www.nevo.co.il/law/70301/345.a.1" TargetMode="External"/><Relationship Id="rId32" Type="http://schemas.openxmlformats.org/officeDocument/2006/relationships/hyperlink" Target="http://www.nevo.co.il/law/70301/345.b.5" TargetMode="External"/><Relationship Id="rId37" Type="http://schemas.openxmlformats.org/officeDocument/2006/relationships/hyperlink" Target="http://www.nevo.co.il/law/74903/143a.b.1" TargetMode="External"/><Relationship Id="rId53" Type="http://schemas.openxmlformats.org/officeDocument/2006/relationships/hyperlink" Target="http://www.nevo.co.il/law/70301/499.a.1" TargetMode="External"/><Relationship Id="rId58" Type="http://schemas.openxmlformats.org/officeDocument/2006/relationships/hyperlink" Target="http://www.nevo.co.il/case/6169945" TargetMode="External"/><Relationship Id="rId74" Type="http://schemas.openxmlformats.org/officeDocument/2006/relationships/image" Target="media/image1.emf"/><Relationship Id="rId79"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www.nevo.co.il/case/5726579" TargetMode="External"/><Relationship Id="rId82" Type="http://schemas.openxmlformats.org/officeDocument/2006/relationships/fontTable" Target="fontTable.xml"/><Relationship Id="rId19" Type="http://schemas.openxmlformats.org/officeDocument/2006/relationships/hyperlink" Target="http://www.nevo.co.il/law/70301/402.b" TargetMode="External"/><Relationship Id="rId14" Type="http://schemas.openxmlformats.org/officeDocument/2006/relationships/hyperlink" Target="http://www.nevo.co.il/law/70301/345.b.3.4.5" TargetMode="External"/><Relationship Id="rId22" Type="http://schemas.openxmlformats.org/officeDocument/2006/relationships/hyperlink" Target="http://www.nevo.co.il/law/74903/143a.b.1" TargetMode="External"/><Relationship Id="rId27" Type="http://schemas.openxmlformats.org/officeDocument/2006/relationships/hyperlink" Target="http://www.nevo.co.il/law/70301/29" TargetMode="External"/><Relationship Id="rId30" Type="http://schemas.openxmlformats.org/officeDocument/2006/relationships/hyperlink" Target="http://www.nevo.co.il/law/70301/345.b.3" TargetMode="External"/><Relationship Id="rId35" Type="http://schemas.openxmlformats.org/officeDocument/2006/relationships/hyperlink" Target="http://www.nevo.co.il/law/70301/29" TargetMode="External"/><Relationship Id="rId43" Type="http://schemas.openxmlformats.org/officeDocument/2006/relationships/hyperlink" Target="http://www.nevo.co.il/law/74903/184" TargetMode="External"/><Relationship Id="rId48" Type="http://schemas.openxmlformats.org/officeDocument/2006/relationships/hyperlink" Target="http://www.nevo.co.il/case/5939128" TargetMode="External"/><Relationship Id="rId56" Type="http://schemas.openxmlformats.org/officeDocument/2006/relationships/hyperlink" Target="http://www.nevo.co.il/law/70301" TargetMode="External"/><Relationship Id="rId64" Type="http://schemas.openxmlformats.org/officeDocument/2006/relationships/hyperlink" Target="http://www.nevo.co.il/law/74903" TargetMode="External"/><Relationship Id="rId69" Type="http://schemas.openxmlformats.org/officeDocument/2006/relationships/hyperlink" Target="http://www.nevo.co.il/case/6249234" TargetMode="External"/><Relationship Id="rId77" Type="http://schemas.openxmlformats.org/officeDocument/2006/relationships/hyperlink" Target="http://www.nevo.co.il/law/70301" TargetMode="External"/><Relationship Id="rId8" Type="http://schemas.openxmlformats.org/officeDocument/2006/relationships/hyperlink" Target="http://www.nevo.co.il/law/70301" TargetMode="External"/><Relationship Id="rId51" Type="http://schemas.openxmlformats.org/officeDocument/2006/relationships/hyperlink" Target="http://www.nevo.co.il/case/17931845" TargetMode="External"/><Relationship Id="rId72" Type="http://schemas.openxmlformats.org/officeDocument/2006/relationships/hyperlink" Target="http://www.nevo.co.il/case/5747789"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nevo.co.il/law/70301/345.a.4" TargetMode="External"/><Relationship Id="rId17" Type="http://schemas.openxmlformats.org/officeDocument/2006/relationships/hyperlink" Target="http://www.nevo.co.il/law/70301/348.b" TargetMode="External"/><Relationship Id="rId25" Type="http://schemas.openxmlformats.org/officeDocument/2006/relationships/hyperlink" Target="http://www.nevo.co.il/law/70301/499.a.1" TargetMode="External"/><Relationship Id="rId33" Type="http://schemas.openxmlformats.org/officeDocument/2006/relationships/hyperlink" Target="http://www.nevo.co.il/law/70301/345.a.1" TargetMode="External"/><Relationship Id="rId38" Type="http://schemas.openxmlformats.org/officeDocument/2006/relationships/hyperlink" Target="http://www.nevo.co.il/law/74903" TargetMode="External"/><Relationship Id="rId46" Type="http://schemas.openxmlformats.org/officeDocument/2006/relationships/hyperlink" Target="http://www.nevo.co.il/case/6158592" TargetMode="External"/><Relationship Id="rId59" Type="http://schemas.openxmlformats.org/officeDocument/2006/relationships/hyperlink" Target="http://www.nevo.co.il/case/5786577" TargetMode="External"/><Relationship Id="rId67" Type="http://schemas.openxmlformats.org/officeDocument/2006/relationships/hyperlink" Target="http://www.nevo.co.il/case/6144887" TargetMode="External"/><Relationship Id="rId20" Type="http://schemas.openxmlformats.org/officeDocument/2006/relationships/hyperlink" Target="http://www.nevo.co.il/law/70301/499.a.1"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34kd" TargetMode="External"/><Relationship Id="rId62" Type="http://schemas.openxmlformats.org/officeDocument/2006/relationships/hyperlink" Target="http://www.nevo.co.il/law/70301" TargetMode="External"/><Relationship Id="rId70" Type="http://schemas.openxmlformats.org/officeDocument/2006/relationships/hyperlink" Target="http://www.nevo.co.il/law/74903" TargetMode="External"/><Relationship Id="rId75" Type="http://schemas.openxmlformats.org/officeDocument/2006/relationships/image" Target="media/image2.png"/><Relationship Id="rId83"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345.b.4" TargetMode="External"/><Relationship Id="rId23" Type="http://schemas.openxmlformats.org/officeDocument/2006/relationships/hyperlink" Target="http://www.nevo.co.il/law/74903/144" TargetMode="External"/><Relationship Id="rId28" Type="http://schemas.openxmlformats.org/officeDocument/2006/relationships/hyperlink" Target="http://www.nevo.co.il/law/70301/402.b"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5758526" TargetMode="External"/><Relationship Id="rId57" Type="http://schemas.openxmlformats.org/officeDocument/2006/relationships/hyperlink" Target="http://www.nevo.co.il/case/6139775" TargetMode="External"/><Relationship Id="rId10" Type="http://schemas.openxmlformats.org/officeDocument/2006/relationships/hyperlink" Target="http://www.nevo.co.il/law/70301/329.a.1" TargetMode="External"/><Relationship Id="rId31" Type="http://schemas.openxmlformats.org/officeDocument/2006/relationships/hyperlink" Target="http://www.nevo.co.il/law/70301/345.b.4" TargetMode="External"/><Relationship Id="rId44" Type="http://schemas.openxmlformats.org/officeDocument/2006/relationships/hyperlink" Target="http://www.nevo.co.il/law/74903" TargetMode="External"/><Relationship Id="rId52" Type="http://schemas.openxmlformats.org/officeDocument/2006/relationships/hyperlink" Target="http://www.nevo.co.il/case/5861678" TargetMode="External"/><Relationship Id="rId60" Type="http://schemas.openxmlformats.org/officeDocument/2006/relationships/hyperlink" Target="http://www.nevo.co.il/case/5786578" TargetMode="External"/><Relationship Id="rId65" Type="http://schemas.openxmlformats.org/officeDocument/2006/relationships/hyperlink" Target="http://www.nevo.co.il/case/6144887" TargetMode="External"/><Relationship Id="rId73" Type="http://schemas.openxmlformats.org/officeDocument/2006/relationships/hyperlink" Target="http://www.nevo.co.il/law/70301"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nevo.co.il/law/70301/29" TargetMode="External"/><Relationship Id="rId13" Type="http://schemas.openxmlformats.org/officeDocument/2006/relationships/hyperlink" Target="http://www.nevo.co.il/law/70301/345.b.3" TargetMode="External"/><Relationship Id="rId18" Type="http://schemas.openxmlformats.org/officeDocument/2006/relationships/hyperlink" Target="http://www.nevo.co.il/law/70301/34kd" TargetMode="External"/><Relationship Id="rId39" Type="http://schemas.openxmlformats.org/officeDocument/2006/relationships/hyperlink" Target="http://www.nevo.co.il/law/74903/144" TargetMode="External"/><Relationship Id="rId34" Type="http://schemas.openxmlformats.org/officeDocument/2006/relationships/hyperlink" Target="http://www.nevo.co.il/law/70301/345.a.4" TargetMode="External"/><Relationship Id="rId50" Type="http://schemas.openxmlformats.org/officeDocument/2006/relationships/hyperlink" Target="http://www.nevo.co.il/case/5939128" TargetMode="External"/><Relationship Id="rId55" Type="http://schemas.openxmlformats.org/officeDocument/2006/relationships/hyperlink" Target="http://www.nevo.co.il/case/5786577" TargetMode="External"/><Relationship Id="rId76" Type="http://schemas.openxmlformats.org/officeDocument/2006/relationships/image" Target="media/image3.png"/><Relationship Id="rId7" Type="http://schemas.openxmlformats.org/officeDocument/2006/relationships/endnotes" Target="endnotes.xml"/><Relationship Id="rId71" Type="http://schemas.openxmlformats.org/officeDocument/2006/relationships/hyperlink" Target="http://www.nevo.co.il/case/5747789" TargetMode="External"/><Relationship Id="rId2" Type="http://schemas.openxmlformats.org/officeDocument/2006/relationships/numbering" Target="numbering.xml"/><Relationship Id="rId29" Type="http://schemas.openxmlformats.org/officeDocument/2006/relationships/hyperlink" Target="http://www.nevo.co.il/law/70301/29" TargetMode="External"/><Relationship Id="rId24" Type="http://schemas.openxmlformats.org/officeDocument/2006/relationships/hyperlink" Target="http://www.nevo.co.il/law/74903/184" TargetMode="External"/><Relationship Id="rId40" Type="http://schemas.openxmlformats.org/officeDocument/2006/relationships/hyperlink" Target="http://www.nevo.co.il/law/70301/348.b" TargetMode="External"/><Relationship Id="rId45" Type="http://schemas.openxmlformats.org/officeDocument/2006/relationships/hyperlink" Target="http://www.nevo.co.il/case/6158591" TargetMode="External"/><Relationship Id="rId66" Type="http://schemas.openxmlformats.org/officeDocument/2006/relationships/hyperlink" Target="http://www.nevo.co.il/case/1792284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10912</Words>
  <Characters>62201</Characters>
  <Application>Microsoft Office Word</Application>
  <DocSecurity>0</DocSecurity>
  <Lines>518</Lines>
  <Paragraphs>145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72968</CharactersWithSpaces>
  <SharedDoc>false</SharedDoc>
  <HLinks>
    <vt:vector size="402" baseType="variant">
      <vt:variant>
        <vt:i4>7995492</vt:i4>
      </vt:variant>
      <vt:variant>
        <vt:i4>198</vt:i4>
      </vt:variant>
      <vt:variant>
        <vt:i4>0</vt:i4>
      </vt:variant>
      <vt:variant>
        <vt:i4>5</vt:i4>
      </vt:variant>
      <vt:variant>
        <vt:lpwstr>http://www.nevo.co.il/law/70301</vt:lpwstr>
      </vt:variant>
      <vt:variant>
        <vt:lpwstr/>
      </vt:variant>
      <vt:variant>
        <vt:i4>7995492</vt:i4>
      </vt:variant>
      <vt:variant>
        <vt:i4>195</vt:i4>
      </vt:variant>
      <vt:variant>
        <vt:i4>0</vt:i4>
      </vt:variant>
      <vt:variant>
        <vt:i4>5</vt:i4>
      </vt:variant>
      <vt:variant>
        <vt:lpwstr>http://www.nevo.co.il/law/70301</vt:lpwstr>
      </vt:variant>
      <vt:variant>
        <vt:lpwstr/>
      </vt:variant>
      <vt:variant>
        <vt:i4>4128892</vt:i4>
      </vt:variant>
      <vt:variant>
        <vt:i4>192</vt:i4>
      </vt:variant>
      <vt:variant>
        <vt:i4>0</vt:i4>
      </vt:variant>
      <vt:variant>
        <vt:i4>5</vt:i4>
      </vt:variant>
      <vt:variant>
        <vt:lpwstr>http://www.nevo.co.il/case/5747789</vt:lpwstr>
      </vt:variant>
      <vt:variant>
        <vt:lpwstr/>
      </vt:variant>
      <vt:variant>
        <vt:i4>4128892</vt:i4>
      </vt:variant>
      <vt:variant>
        <vt:i4>189</vt:i4>
      </vt:variant>
      <vt:variant>
        <vt:i4>0</vt:i4>
      </vt:variant>
      <vt:variant>
        <vt:i4>5</vt:i4>
      </vt:variant>
      <vt:variant>
        <vt:lpwstr>http://www.nevo.co.il/case/5747789</vt:lpwstr>
      </vt:variant>
      <vt:variant>
        <vt:lpwstr/>
      </vt:variant>
      <vt:variant>
        <vt:i4>8257646</vt:i4>
      </vt:variant>
      <vt:variant>
        <vt:i4>186</vt:i4>
      </vt:variant>
      <vt:variant>
        <vt:i4>0</vt:i4>
      </vt:variant>
      <vt:variant>
        <vt:i4>5</vt:i4>
      </vt:variant>
      <vt:variant>
        <vt:lpwstr>http://www.nevo.co.il/law/74903</vt:lpwstr>
      </vt:variant>
      <vt:variant>
        <vt:lpwstr/>
      </vt:variant>
      <vt:variant>
        <vt:i4>3407996</vt:i4>
      </vt:variant>
      <vt:variant>
        <vt:i4>183</vt:i4>
      </vt:variant>
      <vt:variant>
        <vt:i4>0</vt:i4>
      </vt:variant>
      <vt:variant>
        <vt:i4>5</vt:i4>
      </vt:variant>
      <vt:variant>
        <vt:lpwstr>http://www.nevo.co.il/case/6249234</vt:lpwstr>
      </vt:variant>
      <vt:variant>
        <vt:lpwstr/>
      </vt:variant>
      <vt:variant>
        <vt:i4>3407996</vt:i4>
      </vt:variant>
      <vt:variant>
        <vt:i4>180</vt:i4>
      </vt:variant>
      <vt:variant>
        <vt:i4>0</vt:i4>
      </vt:variant>
      <vt:variant>
        <vt:i4>5</vt:i4>
      </vt:variant>
      <vt:variant>
        <vt:lpwstr>http://www.nevo.co.il/case/6249234</vt:lpwstr>
      </vt:variant>
      <vt:variant>
        <vt:lpwstr/>
      </vt:variant>
      <vt:variant>
        <vt:i4>3997817</vt:i4>
      </vt:variant>
      <vt:variant>
        <vt:i4>177</vt:i4>
      </vt:variant>
      <vt:variant>
        <vt:i4>0</vt:i4>
      </vt:variant>
      <vt:variant>
        <vt:i4>5</vt:i4>
      </vt:variant>
      <vt:variant>
        <vt:lpwstr>http://www.nevo.co.il/case/6144887</vt:lpwstr>
      </vt:variant>
      <vt:variant>
        <vt:lpwstr/>
      </vt:variant>
      <vt:variant>
        <vt:i4>4063353</vt:i4>
      </vt:variant>
      <vt:variant>
        <vt:i4>174</vt:i4>
      </vt:variant>
      <vt:variant>
        <vt:i4>0</vt:i4>
      </vt:variant>
      <vt:variant>
        <vt:i4>5</vt:i4>
      </vt:variant>
      <vt:variant>
        <vt:lpwstr>http://www.nevo.co.il/case/17922849</vt:lpwstr>
      </vt:variant>
      <vt:variant>
        <vt:lpwstr/>
      </vt:variant>
      <vt:variant>
        <vt:i4>3997817</vt:i4>
      </vt:variant>
      <vt:variant>
        <vt:i4>171</vt:i4>
      </vt:variant>
      <vt:variant>
        <vt:i4>0</vt:i4>
      </vt:variant>
      <vt:variant>
        <vt:i4>5</vt:i4>
      </vt:variant>
      <vt:variant>
        <vt:lpwstr>http://www.nevo.co.il/case/6144887</vt:lpwstr>
      </vt:variant>
      <vt:variant>
        <vt:lpwstr/>
      </vt:variant>
      <vt:variant>
        <vt:i4>8257646</vt:i4>
      </vt:variant>
      <vt:variant>
        <vt:i4>168</vt:i4>
      </vt:variant>
      <vt:variant>
        <vt:i4>0</vt:i4>
      </vt:variant>
      <vt:variant>
        <vt:i4>5</vt:i4>
      </vt:variant>
      <vt:variant>
        <vt:lpwstr>http://www.nevo.co.il/law/74903</vt:lpwstr>
      </vt:variant>
      <vt:variant>
        <vt:lpwstr/>
      </vt:variant>
      <vt:variant>
        <vt:i4>3866738</vt:i4>
      </vt:variant>
      <vt:variant>
        <vt:i4>165</vt:i4>
      </vt:variant>
      <vt:variant>
        <vt:i4>0</vt:i4>
      </vt:variant>
      <vt:variant>
        <vt:i4>5</vt:i4>
      </vt:variant>
      <vt:variant>
        <vt:lpwstr>http://www.nevo.co.il/case/5726579</vt:lpwstr>
      </vt:variant>
      <vt:variant>
        <vt:lpwstr/>
      </vt:variant>
      <vt:variant>
        <vt:i4>7995492</vt:i4>
      </vt:variant>
      <vt:variant>
        <vt:i4>162</vt:i4>
      </vt:variant>
      <vt:variant>
        <vt:i4>0</vt:i4>
      </vt:variant>
      <vt:variant>
        <vt:i4>5</vt:i4>
      </vt:variant>
      <vt:variant>
        <vt:lpwstr>http://www.nevo.co.il/law/70301</vt:lpwstr>
      </vt:variant>
      <vt:variant>
        <vt:lpwstr/>
      </vt:variant>
      <vt:variant>
        <vt:i4>3866738</vt:i4>
      </vt:variant>
      <vt:variant>
        <vt:i4>159</vt:i4>
      </vt:variant>
      <vt:variant>
        <vt:i4>0</vt:i4>
      </vt:variant>
      <vt:variant>
        <vt:i4>5</vt:i4>
      </vt:variant>
      <vt:variant>
        <vt:lpwstr>http://www.nevo.co.il/case/5726579</vt:lpwstr>
      </vt:variant>
      <vt:variant>
        <vt:lpwstr/>
      </vt:variant>
      <vt:variant>
        <vt:i4>3145842</vt:i4>
      </vt:variant>
      <vt:variant>
        <vt:i4>156</vt:i4>
      </vt:variant>
      <vt:variant>
        <vt:i4>0</vt:i4>
      </vt:variant>
      <vt:variant>
        <vt:i4>5</vt:i4>
      </vt:variant>
      <vt:variant>
        <vt:lpwstr>http://www.nevo.co.il/case/5786578</vt:lpwstr>
      </vt:variant>
      <vt:variant>
        <vt:lpwstr/>
      </vt:variant>
      <vt:variant>
        <vt:i4>4128882</vt:i4>
      </vt:variant>
      <vt:variant>
        <vt:i4>153</vt:i4>
      </vt:variant>
      <vt:variant>
        <vt:i4>0</vt:i4>
      </vt:variant>
      <vt:variant>
        <vt:i4>5</vt:i4>
      </vt:variant>
      <vt:variant>
        <vt:lpwstr>http://www.nevo.co.il/case/5786577</vt:lpwstr>
      </vt:variant>
      <vt:variant>
        <vt:lpwstr/>
      </vt:variant>
      <vt:variant>
        <vt:i4>3932280</vt:i4>
      </vt:variant>
      <vt:variant>
        <vt:i4>150</vt:i4>
      </vt:variant>
      <vt:variant>
        <vt:i4>0</vt:i4>
      </vt:variant>
      <vt:variant>
        <vt:i4>5</vt:i4>
      </vt:variant>
      <vt:variant>
        <vt:lpwstr>http://www.nevo.co.il/case/6169945</vt:lpwstr>
      </vt:variant>
      <vt:variant>
        <vt:lpwstr/>
      </vt:variant>
      <vt:variant>
        <vt:i4>3604603</vt:i4>
      </vt:variant>
      <vt:variant>
        <vt:i4>147</vt:i4>
      </vt:variant>
      <vt:variant>
        <vt:i4>0</vt:i4>
      </vt:variant>
      <vt:variant>
        <vt:i4>5</vt:i4>
      </vt:variant>
      <vt:variant>
        <vt:lpwstr>http://www.nevo.co.il/case/6139775</vt:lpwstr>
      </vt:variant>
      <vt:variant>
        <vt:lpwstr/>
      </vt:variant>
      <vt:variant>
        <vt:i4>7995492</vt:i4>
      </vt:variant>
      <vt:variant>
        <vt:i4>144</vt:i4>
      </vt:variant>
      <vt:variant>
        <vt:i4>0</vt:i4>
      </vt:variant>
      <vt:variant>
        <vt:i4>5</vt:i4>
      </vt:variant>
      <vt:variant>
        <vt:lpwstr>http://www.nevo.co.il/law/70301</vt:lpwstr>
      </vt:variant>
      <vt:variant>
        <vt:lpwstr/>
      </vt:variant>
      <vt:variant>
        <vt:i4>4128882</vt:i4>
      </vt:variant>
      <vt:variant>
        <vt:i4>141</vt:i4>
      </vt:variant>
      <vt:variant>
        <vt:i4>0</vt:i4>
      </vt:variant>
      <vt:variant>
        <vt:i4>5</vt:i4>
      </vt:variant>
      <vt:variant>
        <vt:lpwstr>http://www.nevo.co.il/case/5786577</vt:lpwstr>
      </vt:variant>
      <vt:variant>
        <vt:lpwstr/>
      </vt:variant>
      <vt:variant>
        <vt:i4>327693</vt:i4>
      </vt:variant>
      <vt:variant>
        <vt:i4>138</vt:i4>
      </vt:variant>
      <vt:variant>
        <vt:i4>0</vt:i4>
      </vt:variant>
      <vt:variant>
        <vt:i4>5</vt:i4>
      </vt:variant>
      <vt:variant>
        <vt:lpwstr>http://www.nevo.co.il/law/70301/34kd</vt:lpwstr>
      </vt:variant>
      <vt:variant>
        <vt:lpwstr/>
      </vt:variant>
      <vt:variant>
        <vt:i4>7077945</vt:i4>
      </vt:variant>
      <vt:variant>
        <vt:i4>135</vt:i4>
      </vt:variant>
      <vt:variant>
        <vt:i4>0</vt:i4>
      </vt:variant>
      <vt:variant>
        <vt:i4>5</vt:i4>
      </vt:variant>
      <vt:variant>
        <vt:lpwstr>http://www.nevo.co.il/law/70301/499.a.1</vt:lpwstr>
      </vt:variant>
      <vt:variant>
        <vt:lpwstr/>
      </vt:variant>
      <vt:variant>
        <vt:i4>3997818</vt:i4>
      </vt:variant>
      <vt:variant>
        <vt:i4>132</vt:i4>
      </vt:variant>
      <vt:variant>
        <vt:i4>0</vt:i4>
      </vt:variant>
      <vt:variant>
        <vt:i4>5</vt:i4>
      </vt:variant>
      <vt:variant>
        <vt:lpwstr>http://www.nevo.co.il/case/5861678</vt:lpwstr>
      </vt:variant>
      <vt:variant>
        <vt:lpwstr/>
      </vt:variant>
      <vt:variant>
        <vt:i4>3997816</vt:i4>
      </vt:variant>
      <vt:variant>
        <vt:i4>129</vt:i4>
      </vt:variant>
      <vt:variant>
        <vt:i4>0</vt:i4>
      </vt:variant>
      <vt:variant>
        <vt:i4>5</vt:i4>
      </vt:variant>
      <vt:variant>
        <vt:lpwstr>http://www.nevo.co.il/case/17931845</vt:lpwstr>
      </vt:variant>
      <vt:variant>
        <vt:lpwstr/>
      </vt:variant>
      <vt:variant>
        <vt:i4>4128886</vt:i4>
      </vt:variant>
      <vt:variant>
        <vt:i4>126</vt:i4>
      </vt:variant>
      <vt:variant>
        <vt:i4>0</vt:i4>
      </vt:variant>
      <vt:variant>
        <vt:i4>5</vt:i4>
      </vt:variant>
      <vt:variant>
        <vt:lpwstr>http://www.nevo.co.il/case/5939128</vt:lpwstr>
      </vt:variant>
      <vt:variant>
        <vt:lpwstr/>
      </vt:variant>
      <vt:variant>
        <vt:i4>3342457</vt:i4>
      </vt:variant>
      <vt:variant>
        <vt:i4>123</vt:i4>
      </vt:variant>
      <vt:variant>
        <vt:i4>0</vt:i4>
      </vt:variant>
      <vt:variant>
        <vt:i4>5</vt:i4>
      </vt:variant>
      <vt:variant>
        <vt:lpwstr>http://www.nevo.co.il/case/5758526</vt:lpwstr>
      </vt:variant>
      <vt:variant>
        <vt:lpwstr/>
      </vt:variant>
      <vt:variant>
        <vt:i4>4128886</vt:i4>
      </vt:variant>
      <vt:variant>
        <vt:i4>120</vt:i4>
      </vt:variant>
      <vt:variant>
        <vt:i4>0</vt:i4>
      </vt:variant>
      <vt:variant>
        <vt:i4>5</vt:i4>
      </vt:variant>
      <vt:variant>
        <vt:lpwstr>http://www.nevo.co.il/case/5939128</vt:lpwstr>
      </vt:variant>
      <vt:variant>
        <vt:lpwstr/>
      </vt:variant>
      <vt:variant>
        <vt:i4>3145855</vt:i4>
      </vt:variant>
      <vt:variant>
        <vt:i4>117</vt:i4>
      </vt:variant>
      <vt:variant>
        <vt:i4>0</vt:i4>
      </vt:variant>
      <vt:variant>
        <vt:i4>5</vt:i4>
      </vt:variant>
      <vt:variant>
        <vt:lpwstr>http://www.nevo.co.il/case/6128327</vt:lpwstr>
      </vt:variant>
      <vt:variant>
        <vt:lpwstr/>
      </vt:variant>
      <vt:variant>
        <vt:i4>3407988</vt:i4>
      </vt:variant>
      <vt:variant>
        <vt:i4>114</vt:i4>
      </vt:variant>
      <vt:variant>
        <vt:i4>0</vt:i4>
      </vt:variant>
      <vt:variant>
        <vt:i4>5</vt:i4>
      </vt:variant>
      <vt:variant>
        <vt:lpwstr>http://www.nevo.co.il/case/6158592</vt:lpwstr>
      </vt:variant>
      <vt:variant>
        <vt:lpwstr/>
      </vt:variant>
      <vt:variant>
        <vt:i4>3604596</vt:i4>
      </vt:variant>
      <vt:variant>
        <vt:i4>111</vt:i4>
      </vt:variant>
      <vt:variant>
        <vt:i4>0</vt:i4>
      </vt:variant>
      <vt:variant>
        <vt:i4>5</vt:i4>
      </vt:variant>
      <vt:variant>
        <vt:lpwstr>http://www.nevo.co.il/case/6158591</vt:lpwstr>
      </vt:variant>
      <vt:variant>
        <vt:lpwstr/>
      </vt:variant>
      <vt:variant>
        <vt:i4>8257646</vt:i4>
      </vt:variant>
      <vt:variant>
        <vt:i4>108</vt:i4>
      </vt:variant>
      <vt:variant>
        <vt:i4>0</vt:i4>
      </vt:variant>
      <vt:variant>
        <vt:i4>5</vt:i4>
      </vt:variant>
      <vt:variant>
        <vt:lpwstr>http://www.nevo.co.il/law/74903</vt:lpwstr>
      </vt:variant>
      <vt:variant>
        <vt:lpwstr/>
      </vt:variant>
      <vt:variant>
        <vt:i4>6881388</vt:i4>
      </vt:variant>
      <vt:variant>
        <vt:i4>105</vt:i4>
      </vt:variant>
      <vt:variant>
        <vt:i4>0</vt:i4>
      </vt:variant>
      <vt:variant>
        <vt:i4>5</vt:i4>
      </vt:variant>
      <vt:variant>
        <vt:lpwstr>http://www.nevo.co.il/law/74903/184</vt:lpwstr>
      </vt:variant>
      <vt:variant>
        <vt:lpwstr/>
      </vt:variant>
      <vt:variant>
        <vt:i4>6357046</vt:i4>
      </vt:variant>
      <vt:variant>
        <vt:i4>102</vt:i4>
      </vt:variant>
      <vt:variant>
        <vt:i4>0</vt:i4>
      </vt:variant>
      <vt:variant>
        <vt:i4>5</vt:i4>
      </vt:variant>
      <vt:variant>
        <vt:lpwstr>http://www.nevo.co.il/law/70301/345.b.3.4.5</vt:lpwstr>
      </vt:variant>
      <vt:variant>
        <vt:lpwstr/>
      </vt:variant>
      <vt:variant>
        <vt:i4>7995492</vt:i4>
      </vt:variant>
      <vt:variant>
        <vt:i4>99</vt:i4>
      </vt:variant>
      <vt:variant>
        <vt:i4>0</vt:i4>
      </vt:variant>
      <vt:variant>
        <vt:i4>5</vt:i4>
      </vt:variant>
      <vt:variant>
        <vt:lpwstr>http://www.nevo.co.il/law/70301</vt:lpwstr>
      </vt:variant>
      <vt:variant>
        <vt:lpwstr/>
      </vt:variant>
      <vt:variant>
        <vt:i4>5177438</vt:i4>
      </vt:variant>
      <vt:variant>
        <vt:i4>96</vt:i4>
      </vt:variant>
      <vt:variant>
        <vt:i4>0</vt:i4>
      </vt:variant>
      <vt:variant>
        <vt:i4>5</vt:i4>
      </vt:variant>
      <vt:variant>
        <vt:lpwstr>http://www.nevo.co.il/law/70301/348.b</vt:lpwstr>
      </vt:variant>
      <vt:variant>
        <vt:lpwstr/>
      </vt:variant>
      <vt:variant>
        <vt:i4>6619244</vt:i4>
      </vt:variant>
      <vt:variant>
        <vt:i4>93</vt:i4>
      </vt:variant>
      <vt:variant>
        <vt:i4>0</vt:i4>
      </vt:variant>
      <vt:variant>
        <vt:i4>5</vt:i4>
      </vt:variant>
      <vt:variant>
        <vt:lpwstr>http://www.nevo.co.il/law/74903/144</vt:lpwstr>
      </vt:variant>
      <vt:variant>
        <vt:lpwstr/>
      </vt:variant>
      <vt:variant>
        <vt:i4>8257646</vt:i4>
      </vt:variant>
      <vt:variant>
        <vt:i4>90</vt:i4>
      </vt:variant>
      <vt:variant>
        <vt:i4>0</vt:i4>
      </vt:variant>
      <vt:variant>
        <vt:i4>5</vt:i4>
      </vt:variant>
      <vt:variant>
        <vt:lpwstr>http://www.nevo.co.il/law/74903</vt:lpwstr>
      </vt:variant>
      <vt:variant>
        <vt:lpwstr/>
      </vt:variant>
      <vt:variant>
        <vt:i4>5701727</vt:i4>
      </vt:variant>
      <vt:variant>
        <vt:i4>87</vt:i4>
      </vt:variant>
      <vt:variant>
        <vt:i4>0</vt:i4>
      </vt:variant>
      <vt:variant>
        <vt:i4>5</vt:i4>
      </vt:variant>
      <vt:variant>
        <vt:lpwstr>http://www.nevo.co.il/law/74903/143a.b.1</vt:lpwstr>
      </vt:variant>
      <vt:variant>
        <vt:lpwstr/>
      </vt:variant>
      <vt:variant>
        <vt:i4>7995492</vt:i4>
      </vt:variant>
      <vt:variant>
        <vt:i4>84</vt:i4>
      </vt:variant>
      <vt:variant>
        <vt:i4>0</vt:i4>
      </vt:variant>
      <vt:variant>
        <vt:i4>5</vt:i4>
      </vt:variant>
      <vt:variant>
        <vt:lpwstr>http://www.nevo.co.il/law/70301</vt:lpwstr>
      </vt:variant>
      <vt:variant>
        <vt:lpwstr/>
      </vt:variant>
      <vt:variant>
        <vt:i4>7077991</vt:i4>
      </vt:variant>
      <vt:variant>
        <vt:i4>81</vt:i4>
      </vt:variant>
      <vt:variant>
        <vt:i4>0</vt:i4>
      </vt:variant>
      <vt:variant>
        <vt:i4>5</vt:i4>
      </vt:variant>
      <vt:variant>
        <vt:lpwstr>http://www.nevo.co.il/law/70301/29</vt:lpwstr>
      </vt:variant>
      <vt:variant>
        <vt:lpwstr/>
      </vt:variant>
      <vt:variant>
        <vt:i4>6357042</vt:i4>
      </vt:variant>
      <vt:variant>
        <vt:i4>78</vt:i4>
      </vt:variant>
      <vt:variant>
        <vt:i4>0</vt:i4>
      </vt:variant>
      <vt:variant>
        <vt:i4>5</vt:i4>
      </vt:variant>
      <vt:variant>
        <vt:lpwstr>http://www.nevo.co.il/law/70301/345.a.4</vt:lpwstr>
      </vt:variant>
      <vt:variant>
        <vt:lpwstr/>
      </vt:variant>
      <vt:variant>
        <vt:i4>6357042</vt:i4>
      </vt:variant>
      <vt:variant>
        <vt:i4>75</vt:i4>
      </vt:variant>
      <vt:variant>
        <vt:i4>0</vt:i4>
      </vt:variant>
      <vt:variant>
        <vt:i4>5</vt:i4>
      </vt:variant>
      <vt:variant>
        <vt:lpwstr>http://www.nevo.co.il/law/70301/345.a.1</vt:lpwstr>
      </vt:variant>
      <vt:variant>
        <vt:lpwstr/>
      </vt:variant>
      <vt:variant>
        <vt:i4>6357041</vt:i4>
      </vt:variant>
      <vt:variant>
        <vt:i4>72</vt:i4>
      </vt:variant>
      <vt:variant>
        <vt:i4>0</vt:i4>
      </vt:variant>
      <vt:variant>
        <vt:i4>5</vt:i4>
      </vt:variant>
      <vt:variant>
        <vt:lpwstr>http://www.nevo.co.il/law/70301/345.b.5</vt:lpwstr>
      </vt:variant>
      <vt:variant>
        <vt:lpwstr/>
      </vt:variant>
      <vt:variant>
        <vt:i4>6357041</vt:i4>
      </vt:variant>
      <vt:variant>
        <vt:i4>69</vt:i4>
      </vt:variant>
      <vt:variant>
        <vt:i4>0</vt:i4>
      </vt:variant>
      <vt:variant>
        <vt:i4>5</vt:i4>
      </vt:variant>
      <vt:variant>
        <vt:lpwstr>http://www.nevo.co.il/law/70301/345.b.4</vt:lpwstr>
      </vt:variant>
      <vt:variant>
        <vt:lpwstr/>
      </vt:variant>
      <vt:variant>
        <vt:i4>6357041</vt:i4>
      </vt:variant>
      <vt:variant>
        <vt:i4>66</vt:i4>
      </vt:variant>
      <vt:variant>
        <vt:i4>0</vt:i4>
      </vt:variant>
      <vt:variant>
        <vt:i4>5</vt:i4>
      </vt:variant>
      <vt:variant>
        <vt:lpwstr>http://www.nevo.co.il/law/70301/345.b.3</vt:lpwstr>
      </vt:variant>
      <vt:variant>
        <vt:lpwstr/>
      </vt:variant>
      <vt:variant>
        <vt:i4>7077991</vt:i4>
      </vt:variant>
      <vt:variant>
        <vt:i4>63</vt:i4>
      </vt:variant>
      <vt:variant>
        <vt:i4>0</vt:i4>
      </vt:variant>
      <vt:variant>
        <vt:i4>5</vt:i4>
      </vt:variant>
      <vt:variant>
        <vt:lpwstr>http://www.nevo.co.il/law/70301/29</vt:lpwstr>
      </vt:variant>
      <vt:variant>
        <vt:lpwstr/>
      </vt:variant>
      <vt:variant>
        <vt:i4>4915283</vt:i4>
      </vt:variant>
      <vt:variant>
        <vt:i4>60</vt:i4>
      </vt:variant>
      <vt:variant>
        <vt:i4>0</vt:i4>
      </vt:variant>
      <vt:variant>
        <vt:i4>5</vt:i4>
      </vt:variant>
      <vt:variant>
        <vt:lpwstr>http://www.nevo.co.il/law/70301/402.b</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6750270</vt:i4>
      </vt:variant>
      <vt:variant>
        <vt:i4>54</vt:i4>
      </vt:variant>
      <vt:variant>
        <vt:i4>0</vt:i4>
      </vt:variant>
      <vt:variant>
        <vt:i4>5</vt:i4>
      </vt:variant>
      <vt:variant>
        <vt:lpwstr>http://www.nevo.co.il/law/70301/329.a.1</vt:lpwstr>
      </vt:variant>
      <vt:variant>
        <vt:lpwstr/>
      </vt:variant>
      <vt:variant>
        <vt:i4>7077945</vt:i4>
      </vt:variant>
      <vt:variant>
        <vt:i4>51</vt:i4>
      </vt:variant>
      <vt:variant>
        <vt:i4>0</vt:i4>
      </vt:variant>
      <vt:variant>
        <vt:i4>5</vt:i4>
      </vt:variant>
      <vt:variant>
        <vt:lpwstr>http://www.nevo.co.il/law/70301/499.a.1</vt:lpwstr>
      </vt:variant>
      <vt:variant>
        <vt:lpwstr/>
      </vt:variant>
      <vt:variant>
        <vt:i4>6881388</vt:i4>
      </vt:variant>
      <vt:variant>
        <vt:i4>48</vt:i4>
      </vt:variant>
      <vt:variant>
        <vt:i4>0</vt:i4>
      </vt:variant>
      <vt:variant>
        <vt:i4>5</vt:i4>
      </vt:variant>
      <vt:variant>
        <vt:lpwstr>http://www.nevo.co.il/law/74903/184</vt:lpwstr>
      </vt:variant>
      <vt:variant>
        <vt:lpwstr/>
      </vt:variant>
      <vt:variant>
        <vt:i4>6619244</vt:i4>
      </vt:variant>
      <vt:variant>
        <vt:i4>45</vt:i4>
      </vt:variant>
      <vt:variant>
        <vt:i4>0</vt:i4>
      </vt:variant>
      <vt:variant>
        <vt:i4>5</vt:i4>
      </vt:variant>
      <vt:variant>
        <vt:lpwstr>http://www.nevo.co.il/law/74903/144</vt:lpwstr>
      </vt:variant>
      <vt:variant>
        <vt:lpwstr/>
      </vt:variant>
      <vt:variant>
        <vt:i4>5701727</vt:i4>
      </vt:variant>
      <vt:variant>
        <vt:i4>42</vt:i4>
      </vt:variant>
      <vt:variant>
        <vt:i4>0</vt:i4>
      </vt:variant>
      <vt:variant>
        <vt:i4>5</vt:i4>
      </vt:variant>
      <vt:variant>
        <vt:lpwstr>http://www.nevo.co.il/law/74903/143a.b.1</vt:lpwstr>
      </vt:variant>
      <vt:variant>
        <vt:lpwstr/>
      </vt:variant>
      <vt:variant>
        <vt:i4>8257646</vt:i4>
      </vt:variant>
      <vt:variant>
        <vt:i4>39</vt:i4>
      </vt:variant>
      <vt:variant>
        <vt:i4>0</vt:i4>
      </vt:variant>
      <vt:variant>
        <vt:i4>5</vt:i4>
      </vt:variant>
      <vt:variant>
        <vt:lpwstr>http://www.nevo.co.il/law/74903</vt:lpwstr>
      </vt:variant>
      <vt:variant>
        <vt:lpwstr/>
      </vt:variant>
      <vt:variant>
        <vt:i4>7077945</vt:i4>
      </vt:variant>
      <vt:variant>
        <vt:i4>36</vt:i4>
      </vt:variant>
      <vt:variant>
        <vt:i4>0</vt:i4>
      </vt:variant>
      <vt:variant>
        <vt:i4>5</vt:i4>
      </vt:variant>
      <vt:variant>
        <vt:lpwstr>http://www.nevo.co.il/law/70301/499.a.1</vt:lpwstr>
      </vt:variant>
      <vt:variant>
        <vt:lpwstr/>
      </vt:variant>
      <vt:variant>
        <vt:i4>4915283</vt:i4>
      </vt:variant>
      <vt:variant>
        <vt:i4>33</vt:i4>
      </vt:variant>
      <vt:variant>
        <vt:i4>0</vt:i4>
      </vt:variant>
      <vt:variant>
        <vt:i4>5</vt:i4>
      </vt:variant>
      <vt:variant>
        <vt:lpwstr>http://www.nevo.co.il/law/70301/402.b</vt:lpwstr>
      </vt:variant>
      <vt:variant>
        <vt:lpwstr/>
      </vt:variant>
      <vt:variant>
        <vt:i4>327693</vt:i4>
      </vt:variant>
      <vt:variant>
        <vt:i4>30</vt:i4>
      </vt:variant>
      <vt:variant>
        <vt:i4>0</vt:i4>
      </vt:variant>
      <vt:variant>
        <vt:i4>5</vt:i4>
      </vt:variant>
      <vt:variant>
        <vt:lpwstr>http://www.nevo.co.il/law/70301/34kd</vt:lpwstr>
      </vt:variant>
      <vt:variant>
        <vt:lpwstr/>
      </vt:variant>
      <vt:variant>
        <vt:i4>5177438</vt:i4>
      </vt:variant>
      <vt:variant>
        <vt:i4>27</vt:i4>
      </vt:variant>
      <vt:variant>
        <vt:i4>0</vt:i4>
      </vt:variant>
      <vt:variant>
        <vt:i4>5</vt:i4>
      </vt:variant>
      <vt:variant>
        <vt:lpwstr>http://www.nevo.co.il/law/70301/348.b</vt:lpwstr>
      </vt:variant>
      <vt:variant>
        <vt:lpwstr/>
      </vt:variant>
      <vt:variant>
        <vt:i4>6357041</vt:i4>
      </vt:variant>
      <vt:variant>
        <vt:i4>24</vt:i4>
      </vt:variant>
      <vt:variant>
        <vt:i4>0</vt:i4>
      </vt:variant>
      <vt:variant>
        <vt:i4>5</vt:i4>
      </vt:variant>
      <vt:variant>
        <vt:lpwstr>http://www.nevo.co.il/law/70301/345.b.5</vt:lpwstr>
      </vt:variant>
      <vt:variant>
        <vt:lpwstr/>
      </vt:variant>
      <vt:variant>
        <vt:i4>6357041</vt:i4>
      </vt:variant>
      <vt:variant>
        <vt:i4>21</vt:i4>
      </vt:variant>
      <vt:variant>
        <vt:i4>0</vt:i4>
      </vt:variant>
      <vt:variant>
        <vt:i4>5</vt:i4>
      </vt:variant>
      <vt:variant>
        <vt:lpwstr>http://www.nevo.co.il/law/70301/345.b.4</vt:lpwstr>
      </vt:variant>
      <vt:variant>
        <vt:lpwstr/>
      </vt:variant>
      <vt:variant>
        <vt:i4>6357046</vt:i4>
      </vt:variant>
      <vt:variant>
        <vt:i4>18</vt:i4>
      </vt:variant>
      <vt:variant>
        <vt:i4>0</vt:i4>
      </vt:variant>
      <vt:variant>
        <vt:i4>5</vt:i4>
      </vt:variant>
      <vt:variant>
        <vt:lpwstr>http://www.nevo.co.il/law/70301/345.b.3.4.5</vt:lpwstr>
      </vt:variant>
      <vt:variant>
        <vt:lpwstr/>
      </vt:variant>
      <vt:variant>
        <vt:i4>6357041</vt:i4>
      </vt:variant>
      <vt:variant>
        <vt:i4>15</vt:i4>
      </vt:variant>
      <vt:variant>
        <vt:i4>0</vt:i4>
      </vt:variant>
      <vt:variant>
        <vt:i4>5</vt:i4>
      </vt:variant>
      <vt:variant>
        <vt:lpwstr>http://www.nevo.co.il/law/70301/345.b.3</vt:lpwstr>
      </vt:variant>
      <vt:variant>
        <vt:lpwstr/>
      </vt:variant>
      <vt:variant>
        <vt:i4>6357042</vt:i4>
      </vt:variant>
      <vt:variant>
        <vt:i4>12</vt:i4>
      </vt:variant>
      <vt:variant>
        <vt:i4>0</vt:i4>
      </vt:variant>
      <vt:variant>
        <vt:i4>5</vt:i4>
      </vt:variant>
      <vt:variant>
        <vt:lpwstr>http://www.nevo.co.il/law/70301/345.a.4</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6750270</vt:i4>
      </vt:variant>
      <vt:variant>
        <vt:i4>6</vt:i4>
      </vt:variant>
      <vt:variant>
        <vt:i4>0</vt:i4>
      </vt:variant>
      <vt:variant>
        <vt:i4>5</vt:i4>
      </vt:variant>
      <vt:variant>
        <vt:lpwstr>http://www.nevo.co.il/law/70301/329.a.1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2012-02-13T06:03:00Z</cp:lastPrinted>
  <dcterms:created xsi:type="dcterms:W3CDTF">2022-05-24T09:50:00Z</dcterms:created>
  <dcterms:modified xsi:type="dcterms:W3CDTF">2022-05-24T09:50:00Z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15656</vt:lpwstr>
  </property>
  <property fmtid="{D5CDD505-2E9C-101B-9397-08002B2CF9AE}" pid="6" name="NEWPARTB">
    <vt:lpwstr>08</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זור בכוראשוילי;ודים גיאסוב</vt:lpwstr>
  </property>
  <property fmtid="{D5CDD505-2E9C-101B-9397-08002B2CF9AE}" pid="10" name="JUDGE">
    <vt:lpwstr>י' אלרון;מ' גלעד;א' אליקים</vt:lpwstr>
  </property>
  <property fmtid="{D5CDD505-2E9C-101B-9397-08002B2CF9AE}" pid="11" name="CITY">
    <vt:lpwstr>חי'</vt:lpwstr>
  </property>
  <property fmtid="{D5CDD505-2E9C-101B-9397-08002B2CF9AE}" pid="12" name="DATE">
    <vt:lpwstr>20120213</vt:lpwstr>
  </property>
  <property fmtid="{D5CDD505-2E9C-101B-9397-08002B2CF9AE}" pid="13" name="TYPE_N_DATE">
    <vt:lpwstr>39020120213</vt:lpwstr>
  </property>
  <property fmtid="{D5CDD505-2E9C-101B-9397-08002B2CF9AE}" pid="14" name="WORDNUMPAGES">
    <vt:lpwstr>39</vt:lpwstr>
  </property>
  <property fmtid="{D5CDD505-2E9C-101B-9397-08002B2CF9AE}" pid="15" name="TYPE_ABS_DATE">
    <vt:lpwstr>390020120213</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6158591;6158592;6128327;5939128:2;5758526;17931845;5861678;5786577:2;6139775;6169945;5786578;5726579:2;6144887:2;17922849;6249234:2;5747789:2</vt:lpwstr>
  </property>
  <property fmtid="{D5CDD505-2E9C-101B-9397-08002B2CF9AE}" pid="36" name="CASENOTES1">
    <vt:lpwstr>ProcID=213&amp;PartA=8380&amp;PartC=83</vt:lpwstr>
  </property>
  <property fmtid="{D5CDD505-2E9C-101B-9397-08002B2CF9AE}" pid="37" name="CASENOTES2">
    <vt:lpwstr>ProcID=213&amp;PartA=96&amp;PartC=95</vt:lpwstr>
  </property>
  <property fmtid="{D5CDD505-2E9C-101B-9397-08002B2CF9AE}" pid="38" name="LAWLISTTMP1">
    <vt:lpwstr>70301/499.a.1:2;329.a.1;029:3;402.b;345.b.3;345.b.4;345.b.5;345.a.1;345.a.4;348.b;345.b.3.4.5;34kd</vt:lpwstr>
  </property>
  <property fmtid="{D5CDD505-2E9C-101B-9397-08002B2CF9AE}" pid="39" name="LAWLISTTMP2">
    <vt:lpwstr>74903/143a.b.1;144;184</vt:lpwstr>
  </property>
</Properties>
</file>