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1"/>
        <w:gridCol w:w="3679"/>
      </w:tblGrid>
      <w:tr w:rsidR="00856FAB" w:rsidRPr="009E4038" w14:paraId="6982EE01" w14:textId="77777777">
        <w:trPr>
          <w:trHeight w:hRule="exact" w:val="418"/>
          <w:jc w:val="center"/>
        </w:trPr>
        <w:tc>
          <w:tcPr>
            <w:tcW w:w="8720" w:type="dxa"/>
            <w:gridSpan w:val="2"/>
          </w:tcPr>
          <w:p w14:paraId="74BBF3BF" w14:textId="77777777" w:rsidR="00856FAB" w:rsidRPr="009E4038" w:rsidRDefault="009E4038">
            <w:pPr>
              <w:pStyle w:val="Header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9E4038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המשפט המחוזי מרכז-לוד</w:t>
            </w:r>
          </w:p>
        </w:tc>
      </w:tr>
      <w:tr w:rsidR="00856FAB" w:rsidRPr="009E4038" w14:paraId="4B54C138" w14:textId="77777777">
        <w:trPr>
          <w:trHeight w:val="337"/>
          <w:jc w:val="center"/>
        </w:trPr>
        <w:tc>
          <w:tcPr>
            <w:tcW w:w="5041" w:type="dxa"/>
          </w:tcPr>
          <w:p w14:paraId="5EF193DF" w14:textId="77777777" w:rsidR="00856FAB" w:rsidRPr="009E4038" w:rsidRDefault="009E4038" w:rsidP="008807D1">
            <w:pPr>
              <w:rPr>
                <w:b/>
                <w:bCs/>
                <w:sz w:val="26"/>
                <w:szCs w:val="26"/>
                <w:rtl/>
              </w:rPr>
            </w:pPr>
            <w:r w:rsidRPr="009E4038">
              <w:rPr>
                <w:b/>
                <w:bCs/>
                <w:sz w:val="26"/>
                <w:szCs w:val="26"/>
                <w:rtl/>
              </w:rPr>
              <w:t>תפ"ח</w:t>
            </w: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E4038">
              <w:rPr>
                <w:b/>
                <w:bCs/>
                <w:sz w:val="26"/>
                <w:szCs w:val="26"/>
                <w:rtl/>
              </w:rPr>
              <w:t>558-03-13</w:t>
            </w: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14:paraId="74C2C759" w14:textId="77777777" w:rsidR="00856FAB" w:rsidRPr="009E4038" w:rsidRDefault="00856FAB">
            <w:pPr>
              <w:pStyle w:val="Header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6F668C67" w14:textId="77777777" w:rsidR="00856FAB" w:rsidRPr="009E4038" w:rsidRDefault="009E4038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9E4038">
              <w:rPr>
                <w:b/>
                <w:bCs/>
                <w:sz w:val="26"/>
                <w:szCs w:val="26"/>
                <w:rtl/>
              </w:rPr>
              <w:t>14 ינואר 2014</w:t>
            </w:r>
          </w:p>
          <w:p w14:paraId="4C253AFC" w14:textId="77777777" w:rsidR="00856FAB" w:rsidRPr="009E4038" w:rsidRDefault="00856FAB">
            <w:pPr>
              <w:pStyle w:val="Header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14:paraId="0D855BDC" w14:textId="77777777" w:rsidR="00856FAB" w:rsidRPr="009E4038" w:rsidRDefault="00856FAB">
      <w:pPr>
        <w:pStyle w:val="Header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5021CA95" w14:textId="77777777" w:rsidR="00856FAB" w:rsidRPr="009E4038" w:rsidRDefault="00856FAB">
      <w:pPr>
        <w:rPr>
          <w:rStyle w:val="LineNumber"/>
          <w:rFonts w:ascii="Arial" w:hAnsi="Arial"/>
          <w:sz w:val="6"/>
          <w:szCs w:val="6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216"/>
        <w:gridCol w:w="2790"/>
        <w:gridCol w:w="2633"/>
        <w:gridCol w:w="81"/>
      </w:tblGrid>
      <w:tr w:rsidR="00856FAB" w:rsidRPr="009E4038" w14:paraId="21BA4335" w14:textId="77777777">
        <w:trPr>
          <w:gridAfter w:val="1"/>
          <w:wAfter w:w="54" w:type="dxa"/>
          <w:trHeight w:val="337"/>
          <w:jc w:val="center"/>
        </w:trPr>
        <w:tc>
          <w:tcPr>
            <w:tcW w:w="6060" w:type="dxa"/>
            <w:gridSpan w:val="2"/>
          </w:tcPr>
          <w:p w14:paraId="3B6590CB" w14:textId="77777777" w:rsidR="00856FAB" w:rsidRPr="009E4038" w:rsidRDefault="009E4038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>לפני:</w:t>
            </w:r>
          </w:p>
          <w:p w14:paraId="42708D58" w14:textId="77777777" w:rsidR="00856FAB" w:rsidRPr="009E4038" w:rsidRDefault="009E4038">
            <w:pPr>
              <w:rPr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>כב' השופט מנחם פינקלשטיין, סג"נ – אב"ד</w:t>
            </w:r>
          </w:p>
          <w:p w14:paraId="72EB3B63" w14:textId="77777777" w:rsidR="00856FAB" w:rsidRPr="009E4038" w:rsidRDefault="009E4038">
            <w:pPr>
              <w:rPr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>כב' השופטת ליאורה ברודי</w:t>
            </w:r>
          </w:p>
          <w:p w14:paraId="45523DAD" w14:textId="77777777" w:rsidR="00856FAB" w:rsidRPr="009E4038" w:rsidRDefault="009E4038">
            <w:pPr>
              <w:rPr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hint="cs"/>
                <w:b/>
                <w:bCs/>
                <w:sz w:val="26"/>
                <w:szCs w:val="26"/>
                <w:rtl/>
              </w:rPr>
              <w:t>כב' השופט רמי אמיר</w:t>
            </w:r>
          </w:p>
          <w:p w14:paraId="7F14E14C" w14:textId="77777777" w:rsidR="00856FAB" w:rsidRPr="009E4038" w:rsidRDefault="00856FAB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660" w:type="dxa"/>
          </w:tcPr>
          <w:p w14:paraId="5F141D70" w14:textId="77777777" w:rsidR="00856FAB" w:rsidRPr="009E4038" w:rsidRDefault="00856FAB">
            <w:pPr>
              <w:pStyle w:val="Header"/>
              <w:jc w:val="both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56FAB" w:rsidRPr="009E4038" w14:paraId="37498D50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01B102DA" w14:textId="77777777" w:rsidR="00856FAB" w:rsidRPr="009E4038" w:rsidRDefault="009E403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  <w:r w:rsidRPr="009E40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E4038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מאשימה</w:t>
            </w:r>
          </w:p>
        </w:tc>
        <w:tc>
          <w:tcPr>
            <w:tcW w:w="5562" w:type="dxa"/>
            <w:gridSpan w:val="3"/>
          </w:tcPr>
          <w:p w14:paraId="7EC71A51" w14:textId="77777777" w:rsidR="00856FAB" w:rsidRPr="009E4038" w:rsidRDefault="009E4038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9E4038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מדינת ישראל</w:t>
            </w:r>
          </w:p>
        </w:tc>
      </w:tr>
      <w:bookmarkEnd w:id="0"/>
      <w:tr w:rsidR="00856FAB" w:rsidRPr="009E4038" w14:paraId="134E5AA3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4"/>
          </w:tcPr>
          <w:p w14:paraId="1BBF1899" w14:textId="77777777" w:rsidR="00856FAB" w:rsidRPr="009E4038" w:rsidRDefault="00856FAB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0D1F5397" w14:textId="77777777" w:rsidR="00856FAB" w:rsidRPr="009E4038" w:rsidRDefault="009E4038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5D68F91" w14:textId="77777777" w:rsidR="00856FAB" w:rsidRPr="009E4038" w:rsidRDefault="00856FAB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856FAB" w:rsidRPr="009E4038" w14:paraId="0C1F1F70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3240" w:type="dxa"/>
          </w:tcPr>
          <w:p w14:paraId="3FF7D217" w14:textId="77777777" w:rsidR="00856FAB" w:rsidRPr="009E4038" w:rsidRDefault="009E4038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9E4038"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  <w:t>נאשם</w:t>
            </w:r>
          </w:p>
        </w:tc>
        <w:tc>
          <w:tcPr>
            <w:tcW w:w="5562" w:type="dxa"/>
            <w:gridSpan w:val="3"/>
          </w:tcPr>
          <w:p w14:paraId="2143A302" w14:textId="77777777" w:rsidR="00856FAB" w:rsidRPr="009E4038" w:rsidRDefault="009E4038" w:rsidP="008807D1">
            <w:pPr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</w:pPr>
            <w:r w:rsidRPr="009E4038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="008807D1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פלוני</w:t>
            </w:r>
          </w:p>
          <w:p w14:paraId="3AD157B9" w14:textId="77777777" w:rsidR="00856FAB" w:rsidRPr="009E4038" w:rsidRDefault="00856FAB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2105CD41" w14:textId="77777777" w:rsidR="00856FAB" w:rsidRPr="009E4038" w:rsidRDefault="009E4038">
      <w:pPr>
        <w:rPr>
          <w:rStyle w:val="LineNumber"/>
          <w:rFonts w:ascii="Arial" w:hAnsi="Arial"/>
          <w:sz w:val="6"/>
          <w:szCs w:val="6"/>
          <w:rtl/>
        </w:rPr>
      </w:pPr>
      <w:r w:rsidRPr="009E4038">
        <w:rPr>
          <w:rStyle w:val="LineNumber"/>
          <w:rFonts w:ascii="Arial" w:hAnsi="Arial"/>
          <w:sz w:val="6"/>
          <w:szCs w:val="6"/>
          <w:rtl/>
        </w:rPr>
        <w:t>&lt;#2#&gt;</w:t>
      </w:r>
    </w:p>
    <w:p w14:paraId="769FE79D" w14:textId="77777777" w:rsidR="00856FAB" w:rsidRPr="009E4038" w:rsidRDefault="009E4038">
      <w:pPr>
        <w:pStyle w:val="12"/>
        <w:rPr>
          <w:u w:val="none"/>
          <w:rtl/>
        </w:rPr>
      </w:pPr>
      <w:r w:rsidRPr="009E4038">
        <w:rPr>
          <w:rFonts w:hint="cs"/>
          <w:u w:val="none"/>
          <w:rtl/>
        </w:rPr>
        <w:t>נוכחים:</w:t>
      </w:r>
    </w:p>
    <w:p w14:paraId="6F856A4B" w14:textId="77777777" w:rsidR="00856FAB" w:rsidRPr="009E4038" w:rsidRDefault="009E4038">
      <w:pPr>
        <w:pStyle w:val="12"/>
        <w:rPr>
          <w:b w:val="0"/>
          <w:bCs w:val="0"/>
          <w:u w:val="none"/>
          <w:rtl/>
        </w:rPr>
      </w:pPr>
      <w:bookmarkStart w:id="2" w:name="FirstLawyer"/>
      <w:r w:rsidRPr="009E4038">
        <w:rPr>
          <w:rFonts w:hint="cs"/>
          <w:b w:val="0"/>
          <w:bCs w:val="0"/>
          <w:u w:val="none"/>
          <w:rtl/>
        </w:rPr>
        <w:t>ב"כ</w:t>
      </w:r>
      <w:bookmarkEnd w:id="2"/>
      <w:r w:rsidRPr="009E4038">
        <w:rPr>
          <w:rFonts w:hint="cs"/>
          <w:b w:val="0"/>
          <w:bCs w:val="0"/>
          <w:u w:val="none"/>
          <w:rtl/>
        </w:rPr>
        <w:t xml:space="preserve"> המאשימה עו"ד נאוה טולדנו</w:t>
      </w:r>
    </w:p>
    <w:p w14:paraId="6C4BAD9D" w14:textId="77777777" w:rsidR="00856FAB" w:rsidRPr="009E4038" w:rsidRDefault="009E4038">
      <w:pPr>
        <w:pStyle w:val="12"/>
        <w:rPr>
          <w:b w:val="0"/>
          <w:bCs w:val="0"/>
          <w:u w:val="none"/>
          <w:rtl/>
        </w:rPr>
      </w:pPr>
      <w:r w:rsidRPr="009E4038">
        <w:rPr>
          <w:rFonts w:hint="cs"/>
          <w:b w:val="0"/>
          <w:bCs w:val="0"/>
          <w:u w:val="none"/>
          <w:rtl/>
        </w:rPr>
        <w:t xml:space="preserve">ב"כ הנאשם עו"ד </w:t>
      </w:r>
      <w:r w:rsidRPr="009E4038">
        <w:rPr>
          <w:b w:val="0"/>
          <w:bCs w:val="0"/>
          <w:u w:val="none"/>
          <w:rtl/>
        </w:rPr>
        <w:t>אלון</w:t>
      </w:r>
      <w:r w:rsidRPr="009E4038">
        <w:rPr>
          <w:rFonts w:hint="cs"/>
          <w:b w:val="0"/>
          <w:bCs w:val="0"/>
          <w:u w:val="none"/>
          <w:rtl/>
        </w:rPr>
        <w:t xml:space="preserve"> </w:t>
      </w:r>
      <w:r w:rsidRPr="009E4038">
        <w:rPr>
          <w:b w:val="0"/>
          <w:bCs w:val="0"/>
          <w:u w:val="none"/>
          <w:rtl/>
        </w:rPr>
        <w:t>אייזנברג</w:t>
      </w:r>
      <w:r w:rsidRPr="009E4038">
        <w:rPr>
          <w:rFonts w:hint="cs"/>
          <w:b w:val="0"/>
          <w:bCs w:val="0"/>
          <w:u w:val="none"/>
          <w:rtl/>
        </w:rPr>
        <w:t xml:space="preserve">  </w:t>
      </w:r>
    </w:p>
    <w:p w14:paraId="2E504F4E" w14:textId="77777777" w:rsidR="00856FAB" w:rsidRPr="009E4038" w:rsidRDefault="009E4038">
      <w:pPr>
        <w:pStyle w:val="12"/>
        <w:rPr>
          <w:u w:val="none"/>
          <w:rtl/>
        </w:rPr>
      </w:pPr>
      <w:r w:rsidRPr="009E4038">
        <w:rPr>
          <w:rFonts w:hint="cs"/>
          <w:b w:val="0"/>
          <w:bCs w:val="0"/>
          <w:u w:val="none"/>
          <w:rtl/>
        </w:rPr>
        <w:t>הנאשם התייצב</w:t>
      </w:r>
    </w:p>
    <w:p w14:paraId="59FF3322" w14:textId="77777777" w:rsidR="00D3251E" w:rsidRDefault="00D3251E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bookmarkStart w:id="3" w:name="LawTable"/>
    </w:p>
    <w:p w14:paraId="2E598A5A" w14:textId="77777777" w:rsidR="00D3251E" w:rsidRPr="00D3251E" w:rsidRDefault="00D3251E" w:rsidP="00D3251E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D3251E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3C1D60DC" w14:textId="77777777" w:rsidR="00D3251E" w:rsidRPr="00D3251E" w:rsidRDefault="00D3251E" w:rsidP="00D3251E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D3251E">
        <w:rPr>
          <w:rFonts w:ascii="FrankRuehl" w:hAnsi="FrankRuehl" w:cs="FrankRuehl"/>
          <w:rtl/>
        </w:rPr>
        <w:t xml:space="preserve">: סע'  </w:t>
      </w:r>
      <w:hyperlink r:id="rId7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351(ג)(1)</w:t>
        </w:r>
      </w:hyperlink>
      <w:r w:rsidRPr="00D3251E">
        <w:rPr>
          <w:rFonts w:ascii="FrankRuehl" w:hAnsi="FrankRuehl" w:cs="FrankRuehl"/>
          <w:rtl/>
        </w:rPr>
        <w:t xml:space="preserve">, </w:t>
      </w:r>
      <w:hyperlink r:id="rId8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351(ג)(3)</w:t>
        </w:r>
      </w:hyperlink>
      <w:r w:rsidRPr="00D3251E">
        <w:rPr>
          <w:rFonts w:ascii="FrankRuehl" w:hAnsi="FrankRuehl" w:cs="FrankRuehl"/>
          <w:rtl/>
        </w:rPr>
        <w:t xml:space="preserve">, </w:t>
      </w:r>
      <w:hyperlink r:id="rId9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368ב(א)</w:t>
        </w:r>
      </w:hyperlink>
      <w:r w:rsidRPr="00D3251E">
        <w:rPr>
          <w:rFonts w:ascii="FrankRuehl" w:hAnsi="FrankRuehl" w:cs="FrankRuehl"/>
          <w:rtl/>
        </w:rPr>
        <w:t xml:space="preserve">, </w:t>
      </w:r>
      <w:hyperlink r:id="rId10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379</w:t>
        </w:r>
      </w:hyperlink>
      <w:r w:rsidRPr="00D3251E">
        <w:rPr>
          <w:rFonts w:ascii="FrankRuehl" w:hAnsi="FrankRuehl" w:cs="FrankRuehl"/>
          <w:rtl/>
        </w:rPr>
        <w:t xml:space="preserve">, </w:t>
      </w:r>
      <w:hyperlink r:id="rId11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382(ב)(2)</w:t>
        </w:r>
      </w:hyperlink>
      <w:r w:rsidRPr="00D3251E">
        <w:rPr>
          <w:rFonts w:ascii="FrankRuehl" w:hAnsi="FrankRuehl" w:cs="FrankRuehl"/>
          <w:rtl/>
        </w:rPr>
        <w:t xml:space="preserve">, </w:t>
      </w:r>
      <w:hyperlink r:id="rId12" w:history="1">
        <w:r w:rsidRPr="00D3251E">
          <w:rPr>
            <w:rFonts w:ascii="FrankRuehl" w:hAnsi="FrankRuehl" w:cs="FrankRuehl"/>
            <w:color w:val="0000FF"/>
            <w:u w:val="single"/>
            <w:rtl/>
          </w:rPr>
          <w:t>382(ג)</w:t>
        </w:r>
      </w:hyperlink>
    </w:p>
    <w:p w14:paraId="4E199A4F" w14:textId="77777777" w:rsidR="00D3251E" w:rsidRDefault="00D3251E">
      <w:pPr>
        <w:spacing w:line="360" w:lineRule="auto"/>
        <w:jc w:val="center"/>
        <w:rPr>
          <w:rFonts w:ascii="Arial" w:hAnsi="Arial"/>
          <w:sz w:val="28"/>
          <w:rtl/>
        </w:rPr>
      </w:pPr>
      <w:bookmarkStart w:id="4" w:name="LawTable_End"/>
    </w:p>
    <w:bookmarkEnd w:id="3"/>
    <w:bookmarkEnd w:id="4"/>
    <w:p w14:paraId="47419FFE" w14:textId="77777777" w:rsidR="00856FAB" w:rsidRPr="009E4038" w:rsidRDefault="009E40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9E4038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3BA39E34" w14:textId="77777777" w:rsidR="009E4038" w:rsidRPr="009E4038" w:rsidRDefault="009E40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0EF8FCF2" w14:textId="77777777" w:rsidR="009E4038" w:rsidRPr="009E4038" w:rsidRDefault="009E4038" w:rsidP="009E40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5" w:name="PsakDin"/>
      <w:r w:rsidRPr="009E4038">
        <w:rPr>
          <w:rFonts w:ascii="Arial" w:hAnsi="Arial"/>
          <w:b/>
          <w:bCs/>
          <w:sz w:val="28"/>
          <w:szCs w:val="28"/>
          <w:u w:val="single"/>
          <w:rtl/>
        </w:rPr>
        <w:t>הכרעת דין</w:t>
      </w:r>
    </w:p>
    <w:bookmarkEnd w:id="5"/>
    <w:p w14:paraId="010C9168" w14:textId="77777777" w:rsidR="00856FAB" w:rsidRDefault="00856FAB">
      <w:pPr>
        <w:spacing w:line="360" w:lineRule="auto"/>
        <w:jc w:val="both"/>
        <w:rPr>
          <w:rtl/>
        </w:rPr>
      </w:pPr>
    </w:p>
    <w:p w14:paraId="5A32ECD1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t>על יסוד הודייתו של הנאשם בכתב אישום מתוקן, אנו מרשיעים אותו בעבירות הבאות:</w:t>
      </w:r>
    </w:p>
    <w:p w14:paraId="6EB3E3F1" w14:textId="77777777" w:rsidR="00856FAB" w:rsidRDefault="00856FAB">
      <w:pPr>
        <w:spacing w:line="360" w:lineRule="auto"/>
        <w:jc w:val="both"/>
        <w:rPr>
          <w:rtl/>
        </w:rPr>
      </w:pPr>
    </w:p>
    <w:p w14:paraId="063C8DF0" w14:textId="77777777" w:rsidR="00856FAB" w:rsidRDefault="009E4038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אישום ראשון</w:t>
      </w:r>
    </w:p>
    <w:p w14:paraId="5C1DED8D" w14:textId="77777777" w:rsidR="00856FAB" w:rsidRDefault="009E403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 xml:space="preserve">מעשה מגונה בקטינה שטרם מלאו לה 14 בידי בן משפחה, עבירה לפי </w:t>
      </w:r>
      <w:hyperlink r:id="rId13" w:history="1">
        <w:r w:rsidR="00D3251E" w:rsidRPr="00D3251E">
          <w:rPr>
            <w:color w:val="0000FF"/>
            <w:u w:val="single"/>
            <w:rtl/>
          </w:rPr>
          <w:t>סעיף 351(ג)(1)</w:t>
        </w:r>
      </w:hyperlink>
      <w:r>
        <w:rPr>
          <w:rFonts w:hint="cs"/>
          <w:rtl/>
        </w:rPr>
        <w:t xml:space="preserve"> ל</w:t>
      </w:r>
      <w:hyperlink r:id="rId14" w:history="1">
        <w:r w:rsidRPr="009E4038">
          <w:rPr>
            <w:color w:val="0000FF"/>
            <w:u w:val="single"/>
            <w:rtl/>
          </w:rPr>
          <w:t>חוק העונשין</w:t>
        </w:r>
      </w:hyperlink>
      <w:r>
        <w:rPr>
          <w:rFonts w:hint="cs"/>
          <w:rtl/>
        </w:rPr>
        <w:t xml:space="preserve">, התשל"ז </w:t>
      </w:r>
      <w:r>
        <w:rPr>
          <w:rtl/>
        </w:rPr>
        <w:t>–</w:t>
      </w:r>
      <w:r>
        <w:rPr>
          <w:rFonts w:hint="cs"/>
          <w:rtl/>
        </w:rPr>
        <w:t xml:space="preserve"> 1977 (להלן: </w:t>
      </w:r>
      <w:r>
        <w:rPr>
          <w:rFonts w:hint="cs"/>
          <w:b/>
          <w:bCs/>
          <w:rtl/>
        </w:rPr>
        <w:t>"החוק"</w:t>
      </w:r>
      <w:r>
        <w:rPr>
          <w:rFonts w:hint="cs"/>
          <w:rtl/>
        </w:rPr>
        <w:t>),(ריבוי עבירות).</w:t>
      </w:r>
    </w:p>
    <w:p w14:paraId="032F315D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  <w:t xml:space="preserve">מעשה מגונה בקטינה בידי בן משפחה, עבירה לפי </w:t>
      </w:r>
      <w:hyperlink r:id="rId15" w:history="1">
        <w:r w:rsidR="00D3251E" w:rsidRPr="00D3251E">
          <w:rPr>
            <w:color w:val="0000FF"/>
            <w:u w:val="single"/>
            <w:rtl/>
          </w:rPr>
          <w:t>סעיף 351(ג)(3)</w:t>
        </w:r>
      </w:hyperlink>
      <w:r>
        <w:rPr>
          <w:rFonts w:hint="cs"/>
          <w:rtl/>
        </w:rPr>
        <w:t xml:space="preserve"> לחוק (ריבוי עבירות).</w:t>
      </w:r>
    </w:p>
    <w:p w14:paraId="448568EB" w14:textId="77777777" w:rsidR="00856FAB" w:rsidRDefault="00856FAB">
      <w:pPr>
        <w:spacing w:line="360" w:lineRule="auto"/>
        <w:jc w:val="both"/>
        <w:rPr>
          <w:rtl/>
        </w:rPr>
      </w:pPr>
    </w:p>
    <w:p w14:paraId="4D16D8B0" w14:textId="77777777" w:rsidR="00856FAB" w:rsidRDefault="009E4038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אישום שני</w:t>
      </w:r>
    </w:p>
    <w:p w14:paraId="0083B634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תקיפת קטין או חסר ישע, עבירה לפי </w:t>
      </w:r>
      <w:hyperlink r:id="rId16" w:history="1">
        <w:r w:rsidR="00D3251E" w:rsidRPr="00D3251E">
          <w:rPr>
            <w:color w:val="0000FF"/>
            <w:u w:val="single"/>
            <w:rtl/>
          </w:rPr>
          <w:t>סעיף 368ב(א)</w:t>
        </w:r>
      </w:hyperlink>
      <w:r>
        <w:rPr>
          <w:rFonts w:hint="cs"/>
          <w:rtl/>
        </w:rPr>
        <w:t xml:space="preserve"> סיפא לחוק.</w:t>
      </w:r>
    </w:p>
    <w:p w14:paraId="57F18955" w14:textId="77777777" w:rsidR="00856FAB" w:rsidRDefault="00856FAB">
      <w:pPr>
        <w:spacing w:line="360" w:lineRule="auto"/>
        <w:jc w:val="both"/>
        <w:rPr>
          <w:b/>
          <w:bCs/>
          <w:rtl/>
        </w:rPr>
      </w:pPr>
    </w:p>
    <w:p w14:paraId="682E74AB" w14:textId="77777777" w:rsidR="00856FAB" w:rsidRDefault="009E4038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אישום שלישי</w:t>
      </w:r>
    </w:p>
    <w:p w14:paraId="593EB3EA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תקיפת בנסיבות מחמירות, עבירה לפי </w:t>
      </w:r>
      <w:hyperlink r:id="rId17" w:history="1">
        <w:r w:rsidR="00D3251E" w:rsidRPr="00D3251E">
          <w:rPr>
            <w:color w:val="0000FF"/>
            <w:u w:val="single"/>
            <w:rtl/>
          </w:rPr>
          <w:t>סעיף 379</w:t>
        </w:r>
      </w:hyperlink>
      <w:r>
        <w:rPr>
          <w:rFonts w:hint="cs"/>
          <w:rtl/>
        </w:rPr>
        <w:t xml:space="preserve"> ביחד עם </w:t>
      </w:r>
      <w:hyperlink r:id="rId18" w:history="1">
        <w:r w:rsidR="00D3251E" w:rsidRPr="00D3251E">
          <w:rPr>
            <w:color w:val="0000FF"/>
            <w:u w:val="single"/>
            <w:rtl/>
          </w:rPr>
          <w:t>סעיף 382(ב)(2)</w:t>
        </w:r>
      </w:hyperlink>
      <w:r>
        <w:rPr>
          <w:rFonts w:hint="cs"/>
          <w:rtl/>
        </w:rPr>
        <w:t xml:space="preserve"> לחוק.</w:t>
      </w:r>
    </w:p>
    <w:p w14:paraId="5588F225" w14:textId="77777777" w:rsidR="00856FAB" w:rsidRDefault="00856FAB">
      <w:pPr>
        <w:spacing w:line="360" w:lineRule="auto"/>
        <w:jc w:val="both"/>
        <w:rPr>
          <w:b/>
          <w:bCs/>
          <w:rtl/>
        </w:rPr>
      </w:pPr>
    </w:p>
    <w:p w14:paraId="01BE62FE" w14:textId="77777777" w:rsidR="00856FAB" w:rsidRDefault="009E4038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אישום רביעי</w:t>
      </w:r>
    </w:p>
    <w:p w14:paraId="7FE84CD0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 תקיפה בנסיבות מחמירות עבירה לפי </w:t>
      </w:r>
      <w:hyperlink r:id="rId19" w:history="1">
        <w:r w:rsidR="00D3251E" w:rsidRPr="00D3251E">
          <w:rPr>
            <w:color w:val="0000FF"/>
            <w:u w:val="single"/>
            <w:rtl/>
          </w:rPr>
          <w:t>סעיף 379</w:t>
        </w:r>
      </w:hyperlink>
      <w:r>
        <w:rPr>
          <w:rFonts w:hint="cs"/>
          <w:rtl/>
        </w:rPr>
        <w:t xml:space="preserve"> ביחד עם </w:t>
      </w:r>
      <w:hyperlink r:id="rId20" w:history="1">
        <w:r w:rsidR="00D3251E" w:rsidRPr="00D3251E">
          <w:rPr>
            <w:color w:val="0000FF"/>
            <w:u w:val="single"/>
            <w:rtl/>
          </w:rPr>
          <w:t>סעיף 382(ג)</w:t>
        </w:r>
      </w:hyperlink>
      <w:r>
        <w:rPr>
          <w:rFonts w:hint="cs"/>
          <w:rtl/>
        </w:rPr>
        <w:t xml:space="preserve"> לחוק.</w:t>
      </w:r>
    </w:p>
    <w:p w14:paraId="0DD7BDA8" w14:textId="77777777" w:rsidR="00856FAB" w:rsidRDefault="00856FAB">
      <w:pPr>
        <w:spacing w:line="360" w:lineRule="auto"/>
        <w:jc w:val="both"/>
        <w:rPr>
          <w:rtl/>
        </w:rPr>
      </w:pPr>
    </w:p>
    <w:p w14:paraId="2893846A" w14:textId="77777777" w:rsidR="00856FAB" w:rsidRDefault="009E4038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3E4B9AB1" w14:textId="77777777" w:rsidR="00856FAB" w:rsidRDefault="009E4038">
      <w:pPr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ניתנה והודעה היום י"ג שבט תשע"ד, 14/01/2014 במעמד הנוכחים. </w:t>
      </w:r>
    </w:p>
    <w:p w14:paraId="757A5D60" w14:textId="77777777" w:rsidR="00856FAB" w:rsidRDefault="00856FAB">
      <w:pPr>
        <w:rPr>
          <w:rtl/>
        </w:rPr>
      </w:pPr>
    </w:p>
    <w:p w14:paraId="725D2D59" w14:textId="77777777" w:rsidR="00856FAB" w:rsidRDefault="00856FAB">
      <w:pPr>
        <w:spacing w:line="360" w:lineRule="auto"/>
        <w:jc w:val="both"/>
        <w:rPr>
          <w:rStyle w:val="LineNumber"/>
          <w:rtl/>
        </w:rPr>
      </w:pPr>
    </w:p>
    <w:tbl>
      <w:tblPr>
        <w:bidiVisual/>
        <w:tblW w:w="9640" w:type="dxa"/>
        <w:tblInd w:w="-500" w:type="dxa"/>
        <w:tblLook w:val="01E0" w:firstRow="1" w:lastRow="1" w:firstColumn="1" w:lastColumn="1" w:noHBand="0" w:noVBand="0"/>
      </w:tblPr>
      <w:tblGrid>
        <w:gridCol w:w="3357"/>
        <w:gridCol w:w="2665"/>
        <w:gridCol w:w="3618"/>
      </w:tblGrid>
      <w:tr w:rsidR="00856FAB" w14:paraId="73F19F05" w14:textId="77777777">
        <w:trPr>
          <w:trHeight w:val="875"/>
        </w:trPr>
        <w:tc>
          <w:tcPr>
            <w:tcW w:w="3357" w:type="dxa"/>
          </w:tcPr>
          <w:p w14:paraId="7BA1AABC" w14:textId="77777777" w:rsidR="00856FAB" w:rsidRDefault="00856FA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65" w:type="dxa"/>
          </w:tcPr>
          <w:p w14:paraId="041FF4CC" w14:textId="77777777" w:rsidR="00856FAB" w:rsidRDefault="00856FAB">
            <w:pPr>
              <w:spacing w:line="360" w:lineRule="auto"/>
              <w:jc w:val="center"/>
              <w:rPr>
                <w:rFonts w:ascii="Times New Roman" w:eastAsia="Times New Roman" w:hAnsi="Times New Roman" w:cs="FrankRuehl"/>
                <w:rtl/>
              </w:rPr>
            </w:pPr>
          </w:p>
          <w:p w14:paraId="58FEEB62" w14:textId="77777777" w:rsidR="00856FAB" w:rsidRDefault="009E40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    </w:t>
            </w:r>
          </w:p>
        </w:tc>
        <w:tc>
          <w:tcPr>
            <w:tcW w:w="3618" w:type="dxa"/>
          </w:tcPr>
          <w:p w14:paraId="4698EE0F" w14:textId="77777777" w:rsidR="00856FAB" w:rsidRDefault="00856FA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56FAB" w14:paraId="2B66D6DE" w14:textId="77777777">
        <w:trPr>
          <w:trHeight w:val="98"/>
        </w:trPr>
        <w:tc>
          <w:tcPr>
            <w:tcW w:w="3357" w:type="dxa"/>
          </w:tcPr>
          <w:p w14:paraId="176E8066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מנחם  פינקלשטיין, שופט</w:t>
            </w:r>
          </w:p>
          <w:p w14:paraId="05408D05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סג"נ – אב"ד</w:t>
            </w:r>
          </w:p>
        </w:tc>
        <w:tc>
          <w:tcPr>
            <w:tcW w:w="2665" w:type="dxa"/>
          </w:tcPr>
          <w:p w14:paraId="186EA2A1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ליאורה ברודי, שופטת</w:t>
            </w:r>
          </w:p>
        </w:tc>
        <w:tc>
          <w:tcPr>
            <w:tcW w:w="3618" w:type="dxa"/>
          </w:tcPr>
          <w:p w14:paraId="6761BB99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רמי אמיר, שופט</w:t>
            </w:r>
          </w:p>
        </w:tc>
      </w:tr>
    </w:tbl>
    <w:p w14:paraId="234DC6E9" w14:textId="77777777" w:rsidR="00856FAB" w:rsidRDefault="009E4038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tl/>
        </w:rPr>
        <w:t xml:space="preserve">  </w:t>
      </w:r>
    </w:p>
    <w:p w14:paraId="79D49E53" w14:textId="77777777" w:rsidR="00856FAB" w:rsidRDefault="009E4038">
      <w:pPr>
        <w:spacing w:line="360" w:lineRule="auto"/>
        <w:jc w:val="both"/>
        <w:rPr>
          <w:rStyle w:val="LineNumber"/>
          <w:sz w:val="6"/>
          <w:szCs w:val="6"/>
          <w:rtl/>
        </w:rPr>
      </w:pPr>
      <w:r>
        <w:rPr>
          <w:rStyle w:val="LineNumber"/>
          <w:sz w:val="6"/>
          <w:szCs w:val="6"/>
          <w:rtl/>
        </w:rPr>
        <w:t>&lt;#8#&gt;</w:t>
      </w:r>
    </w:p>
    <w:p w14:paraId="6CCAD381" w14:textId="77777777" w:rsidR="00856FAB" w:rsidRDefault="009E4038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r>
        <w:rPr>
          <w:rFonts w:ascii="Arial" w:hAnsi="Arial"/>
          <w:b/>
          <w:bCs/>
          <w:sz w:val="28"/>
          <w:szCs w:val="28"/>
          <w:u w:val="single"/>
          <w:rtl/>
        </w:rPr>
        <w:t>החלטה</w:t>
      </w:r>
    </w:p>
    <w:p w14:paraId="3C20F7B8" w14:textId="77777777" w:rsidR="00856FAB" w:rsidRDefault="00856FAB">
      <w:pPr>
        <w:spacing w:line="360" w:lineRule="auto"/>
        <w:jc w:val="both"/>
        <w:rPr>
          <w:rtl/>
        </w:rPr>
      </w:pPr>
    </w:p>
    <w:p w14:paraId="57CC316C" w14:textId="77777777" w:rsidR="00856FAB" w:rsidRDefault="009E4038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Fonts w:hint="cs"/>
          <w:rtl/>
        </w:rPr>
        <w:t xml:space="preserve">הטיעון לעונש יהיה ביום </w:t>
      </w:r>
      <w:r>
        <w:rPr>
          <w:rStyle w:val="LineNumber"/>
          <w:rFonts w:hint="cs"/>
          <w:b/>
          <w:bCs/>
          <w:u w:val="single"/>
          <w:rtl/>
        </w:rPr>
        <w:t>24.3.14 שעה 13:00.</w:t>
      </w:r>
    </w:p>
    <w:p w14:paraId="4F90E56F" w14:textId="77777777" w:rsidR="00856FAB" w:rsidRDefault="00856FAB">
      <w:pPr>
        <w:spacing w:line="360" w:lineRule="auto"/>
        <w:jc w:val="both"/>
        <w:rPr>
          <w:rStyle w:val="LineNumber"/>
          <w:rtl/>
        </w:rPr>
      </w:pPr>
    </w:p>
    <w:p w14:paraId="04BEAE11" w14:textId="77777777" w:rsidR="00856FAB" w:rsidRDefault="009E4038">
      <w:pPr>
        <w:spacing w:line="360" w:lineRule="auto"/>
        <w:jc w:val="both"/>
        <w:rPr>
          <w:rStyle w:val="LineNumber"/>
          <w:b/>
          <w:bCs/>
          <w:rtl/>
        </w:rPr>
      </w:pPr>
      <w:r>
        <w:rPr>
          <w:rStyle w:val="LineNumber"/>
          <w:rFonts w:hint="cs"/>
          <w:b/>
          <w:bCs/>
          <w:rtl/>
        </w:rPr>
        <w:t>הודעה לנאשם חובת התייצבותו במועד האמור.</w:t>
      </w:r>
    </w:p>
    <w:p w14:paraId="22287461" w14:textId="77777777" w:rsidR="00856FAB" w:rsidRDefault="00856FAB">
      <w:pPr>
        <w:spacing w:line="360" w:lineRule="auto"/>
        <w:jc w:val="both"/>
        <w:rPr>
          <w:rStyle w:val="LineNumber"/>
          <w:b/>
          <w:bCs/>
          <w:rtl/>
        </w:rPr>
      </w:pPr>
    </w:p>
    <w:p w14:paraId="05057B8B" w14:textId="77777777" w:rsidR="00856FAB" w:rsidRDefault="009E4038">
      <w:pPr>
        <w:spacing w:line="360" w:lineRule="auto"/>
        <w:jc w:val="both"/>
        <w:rPr>
          <w:rStyle w:val="LineNumber"/>
          <w:b/>
          <w:bCs/>
          <w:rtl/>
        </w:rPr>
      </w:pPr>
      <w:r>
        <w:rPr>
          <w:rStyle w:val="LineNumber"/>
          <w:rFonts w:hint="cs"/>
          <w:b/>
          <w:bCs/>
          <w:rtl/>
        </w:rPr>
        <w:t>שירות המבחן למבוגרים מתבקש להכין תסקיר על אודות הנאשם ולשלוח אותו לביהמ"ש ולב"כ הצדדים עד ליום 17.3.14.</w:t>
      </w:r>
    </w:p>
    <w:p w14:paraId="3E612FDB" w14:textId="77777777" w:rsidR="00856FAB" w:rsidRDefault="009E4038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Fonts w:hint="cs"/>
          <w:rtl/>
        </w:rPr>
        <w:t>תשומת לב שירות המבחן לכך שהוכן בזמנו תסקיר מעצר והנאשם מצוי בפיקוח מעצר.</w:t>
      </w:r>
    </w:p>
    <w:p w14:paraId="3175AC6B" w14:textId="77777777" w:rsidR="00856FAB" w:rsidRDefault="009E4038" w:rsidP="008807D1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Fonts w:hint="cs"/>
          <w:rtl/>
        </w:rPr>
        <w:t xml:space="preserve">כתובת הנאשם: </w:t>
      </w:r>
      <w:r w:rsidR="008807D1">
        <w:rPr>
          <w:rStyle w:val="LineNumber"/>
          <w:rFonts w:hint="cs"/>
          <w:rtl/>
        </w:rPr>
        <w:t>-----</w:t>
      </w:r>
      <w:r>
        <w:rPr>
          <w:rStyle w:val="LineNumber"/>
          <w:rFonts w:hint="cs"/>
          <w:rtl/>
        </w:rPr>
        <w:t xml:space="preserve">. </w:t>
      </w:r>
    </w:p>
    <w:p w14:paraId="0A643FC5" w14:textId="77777777" w:rsidR="00856FAB" w:rsidRDefault="009E4038" w:rsidP="008807D1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Fonts w:hint="cs"/>
          <w:rtl/>
        </w:rPr>
        <w:t xml:space="preserve">טלפון: </w:t>
      </w:r>
      <w:r w:rsidR="008807D1">
        <w:rPr>
          <w:rStyle w:val="LineNumber"/>
          <w:rFonts w:hint="cs"/>
          <w:rtl/>
        </w:rPr>
        <w:t>----</w:t>
      </w:r>
      <w:r>
        <w:rPr>
          <w:rStyle w:val="LineNumber"/>
          <w:rFonts w:hint="cs"/>
          <w:rtl/>
        </w:rPr>
        <w:t>.</w:t>
      </w:r>
    </w:p>
    <w:p w14:paraId="42EF1333" w14:textId="77777777" w:rsidR="00856FAB" w:rsidRDefault="009E4038">
      <w:pPr>
        <w:spacing w:line="360" w:lineRule="auto"/>
        <w:jc w:val="both"/>
        <w:rPr>
          <w:rStyle w:val="LineNumber"/>
          <w:rtl/>
        </w:rPr>
      </w:pPr>
      <w:r>
        <w:rPr>
          <w:rStyle w:val="LineNumber"/>
          <w:rFonts w:hint="cs"/>
          <w:rtl/>
        </w:rPr>
        <w:t>טלפון של הסנגור: 052-8876238, פקס: 03-6096277.</w:t>
      </w:r>
    </w:p>
    <w:p w14:paraId="68C072ED" w14:textId="77777777" w:rsidR="00856FAB" w:rsidRDefault="00856FAB">
      <w:pPr>
        <w:spacing w:line="360" w:lineRule="auto"/>
        <w:jc w:val="both"/>
        <w:rPr>
          <w:rStyle w:val="LineNumber"/>
          <w:rtl/>
        </w:rPr>
      </w:pPr>
    </w:p>
    <w:p w14:paraId="3A05E16A" w14:textId="77777777" w:rsidR="00856FAB" w:rsidRDefault="009E4038">
      <w:pPr>
        <w:spacing w:line="360" w:lineRule="auto"/>
        <w:jc w:val="both"/>
        <w:rPr>
          <w:b/>
          <w:bCs/>
          <w:rtl/>
        </w:rPr>
      </w:pPr>
      <w:r>
        <w:rPr>
          <w:rStyle w:val="LineNumber"/>
          <w:rFonts w:hint="cs"/>
          <w:b/>
          <w:bCs/>
          <w:rtl/>
        </w:rPr>
        <w:t>המזכירות תעביר החלטה זו לשירות המבחן למבוגרים.</w:t>
      </w:r>
    </w:p>
    <w:p w14:paraId="0EA567E4" w14:textId="77777777" w:rsidR="00856FAB" w:rsidRDefault="00856FAB">
      <w:pPr>
        <w:spacing w:line="360" w:lineRule="auto"/>
        <w:jc w:val="both"/>
        <w:rPr>
          <w:b/>
          <w:bCs/>
          <w:rtl/>
        </w:rPr>
      </w:pPr>
    </w:p>
    <w:p w14:paraId="7A8F5B22" w14:textId="77777777" w:rsidR="00856FAB" w:rsidRDefault="009E4038">
      <w:pPr>
        <w:spacing w:line="360" w:lineRule="auto"/>
        <w:jc w:val="both"/>
        <w:rPr>
          <w:rtl/>
        </w:rPr>
      </w:pPr>
      <w:r>
        <w:rPr>
          <w:rFonts w:hint="cs"/>
          <w:rtl/>
        </w:rPr>
        <w:t>ב"כ המאשימה תודיע לביהמ"ש עד ליום 20.1.14 את העמדה או הבקשה בכל הנוגע לתסקיר או הצהרת קורבן.</w:t>
      </w:r>
      <w:bookmarkStart w:id="6" w:name="_GoBack"/>
      <w:bookmarkEnd w:id="6"/>
    </w:p>
    <w:p w14:paraId="68A8283A" w14:textId="77777777" w:rsidR="00856FAB" w:rsidRDefault="00856FAB">
      <w:pPr>
        <w:spacing w:line="360" w:lineRule="auto"/>
        <w:jc w:val="both"/>
        <w:rPr>
          <w:rtl/>
        </w:rPr>
      </w:pPr>
    </w:p>
    <w:p w14:paraId="161C2319" w14:textId="77777777" w:rsidR="00856FAB" w:rsidRDefault="009E4038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507B2A62" w14:textId="77777777" w:rsidR="00856FAB" w:rsidRDefault="009E4038">
      <w:pPr>
        <w:rPr>
          <w:rtl/>
        </w:rPr>
      </w:pPr>
      <w:r w:rsidRPr="009E4038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sz w:val="28"/>
          <w:szCs w:val="28"/>
          <w:rtl/>
        </w:rPr>
        <w:t xml:space="preserve">ניתנה והודעה היום י"ג שבט תשע"ד, 14/01/2014 במעמד הנוכחים.  </w:t>
      </w:r>
    </w:p>
    <w:tbl>
      <w:tblPr>
        <w:bidiVisual/>
        <w:tblW w:w="9640" w:type="dxa"/>
        <w:tblInd w:w="-500" w:type="dxa"/>
        <w:tblLook w:val="01E0" w:firstRow="1" w:lastRow="1" w:firstColumn="1" w:lastColumn="1" w:noHBand="0" w:noVBand="0"/>
      </w:tblPr>
      <w:tblGrid>
        <w:gridCol w:w="3357"/>
        <w:gridCol w:w="2665"/>
        <w:gridCol w:w="3618"/>
      </w:tblGrid>
      <w:tr w:rsidR="00856FAB" w14:paraId="7C80323B" w14:textId="77777777">
        <w:trPr>
          <w:trHeight w:val="875"/>
        </w:trPr>
        <w:tc>
          <w:tcPr>
            <w:tcW w:w="3357" w:type="dxa"/>
          </w:tcPr>
          <w:p w14:paraId="2015C333" w14:textId="77777777" w:rsidR="00856FAB" w:rsidRPr="009E4038" w:rsidRDefault="009E4038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9E4038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</w:tc>
        <w:tc>
          <w:tcPr>
            <w:tcW w:w="2665" w:type="dxa"/>
          </w:tcPr>
          <w:p w14:paraId="7DEE4DF2" w14:textId="77777777" w:rsidR="00856FAB" w:rsidRDefault="00856FAB">
            <w:pPr>
              <w:spacing w:line="360" w:lineRule="auto"/>
              <w:jc w:val="center"/>
              <w:rPr>
                <w:rFonts w:ascii="Times New Roman" w:eastAsia="Times New Roman" w:hAnsi="Times New Roman" w:cs="FrankRuehl"/>
                <w:rtl/>
              </w:rPr>
            </w:pPr>
          </w:p>
          <w:p w14:paraId="3A3135A0" w14:textId="77777777" w:rsidR="00856FAB" w:rsidRDefault="009E40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rtl/>
              </w:rPr>
              <w:t xml:space="preserve">     </w:t>
            </w:r>
          </w:p>
        </w:tc>
        <w:tc>
          <w:tcPr>
            <w:tcW w:w="3618" w:type="dxa"/>
          </w:tcPr>
          <w:p w14:paraId="0CE30695" w14:textId="77777777" w:rsidR="00856FAB" w:rsidRDefault="00856FAB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56FAB" w14:paraId="5B17F6EA" w14:textId="77777777">
        <w:trPr>
          <w:trHeight w:val="98"/>
        </w:trPr>
        <w:tc>
          <w:tcPr>
            <w:tcW w:w="3357" w:type="dxa"/>
          </w:tcPr>
          <w:p w14:paraId="5D13F2CC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מנחם  פינקלשטיין, שופט</w:t>
            </w:r>
          </w:p>
          <w:p w14:paraId="61567591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סג"נ – אב"ד</w:t>
            </w:r>
          </w:p>
        </w:tc>
        <w:tc>
          <w:tcPr>
            <w:tcW w:w="2665" w:type="dxa"/>
          </w:tcPr>
          <w:p w14:paraId="4CE92660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ליאורה ברודי, שופטת</w:t>
            </w:r>
          </w:p>
        </w:tc>
        <w:tc>
          <w:tcPr>
            <w:tcW w:w="3618" w:type="dxa"/>
          </w:tcPr>
          <w:p w14:paraId="2771FD87" w14:textId="77777777" w:rsidR="00856FAB" w:rsidRDefault="009E4038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רמי אמיר, שופט</w:t>
            </w:r>
          </w:p>
        </w:tc>
      </w:tr>
    </w:tbl>
    <w:p w14:paraId="416844CD" w14:textId="77777777" w:rsidR="00856FAB" w:rsidRPr="008807D1" w:rsidRDefault="008807D1">
      <w:pPr>
        <w:spacing w:line="360" w:lineRule="auto"/>
        <w:jc w:val="both"/>
        <w:rPr>
          <w:rStyle w:val="LineNumber"/>
          <w:color w:val="FFFFFF"/>
          <w:sz w:val="2"/>
          <w:szCs w:val="2"/>
          <w:rtl/>
        </w:rPr>
      </w:pPr>
      <w:r w:rsidRPr="008807D1">
        <w:rPr>
          <w:rStyle w:val="LineNumber"/>
          <w:color w:val="FFFFFF"/>
          <w:sz w:val="2"/>
          <w:szCs w:val="2"/>
          <w:rtl/>
        </w:rPr>
        <w:t>5129371</w:t>
      </w:r>
    </w:p>
    <w:p w14:paraId="5824457C" w14:textId="77777777" w:rsidR="009E4038" w:rsidRPr="008807D1" w:rsidRDefault="008807D1" w:rsidP="009E4038">
      <w:pPr>
        <w:keepNext/>
        <w:rPr>
          <w:color w:val="FFFFFF"/>
          <w:sz w:val="2"/>
          <w:szCs w:val="2"/>
          <w:rtl/>
        </w:rPr>
      </w:pPr>
      <w:r w:rsidRPr="008807D1">
        <w:rPr>
          <w:color w:val="FFFFFF"/>
          <w:sz w:val="2"/>
          <w:szCs w:val="2"/>
          <w:rtl/>
        </w:rPr>
        <w:t>54678313</w:t>
      </w:r>
    </w:p>
    <w:p w14:paraId="028A9E29" w14:textId="77777777" w:rsidR="009E4038" w:rsidRDefault="009E4038" w:rsidP="009E4038">
      <w:pPr>
        <w:rPr>
          <w:rtl/>
        </w:rPr>
      </w:pPr>
    </w:p>
    <w:p w14:paraId="1AE244E4" w14:textId="77777777" w:rsidR="009E4038" w:rsidRDefault="009E4038" w:rsidP="009E4038">
      <w:pPr>
        <w:jc w:val="center"/>
        <w:rPr>
          <w:color w:val="0000FF"/>
          <w:u w:val="single"/>
        </w:rPr>
      </w:pPr>
      <w:hyperlink r:id="rId2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579A8EE" w14:textId="77777777" w:rsidR="008807D1" w:rsidRPr="008807D1" w:rsidRDefault="008807D1" w:rsidP="008807D1">
      <w:pPr>
        <w:keepNext/>
        <w:rPr>
          <w:color w:val="000000"/>
          <w:sz w:val="22"/>
          <w:szCs w:val="22"/>
          <w:rtl/>
        </w:rPr>
      </w:pPr>
    </w:p>
    <w:p w14:paraId="5752BBF4" w14:textId="77777777" w:rsidR="008807D1" w:rsidRPr="008807D1" w:rsidRDefault="008807D1" w:rsidP="008807D1">
      <w:pPr>
        <w:keepNext/>
        <w:rPr>
          <w:color w:val="000000"/>
          <w:sz w:val="22"/>
          <w:szCs w:val="22"/>
          <w:rtl/>
        </w:rPr>
      </w:pPr>
      <w:r w:rsidRPr="008807D1">
        <w:rPr>
          <w:color w:val="000000"/>
          <w:sz w:val="22"/>
          <w:szCs w:val="22"/>
          <w:rtl/>
        </w:rPr>
        <w:t>מנחם פינקלשטיין 54678313-/</w:t>
      </w:r>
    </w:p>
    <w:p w14:paraId="1C016578" w14:textId="77777777" w:rsidR="00856FAB" w:rsidRPr="009E4038" w:rsidRDefault="008807D1" w:rsidP="008807D1">
      <w:pPr>
        <w:rPr>
          <w:color w:val="0000FF"/>
          <w:u w:val="single"/>
        </w:rPr>
      </w:pPr>
      <w:r w:rsidRPr="008807D1">
        <w:rPr>
          <w:color w:val="000000"/>
          <w:u w:val="single"/>
          <w:rtl/>
        </w:rPr>
        <w:t>נוסח מסמך זה כפוף לשינויי ניסוח ועריכה</w:t>
      </w:r>
    </w:p>
    <w:sectPr w:rsidR="00856FAB" w:rsidRPr="009E4038" w:rsidSect="008807D1">
      <w:headerReference w:type="even" r:id="rId22"/>
      <w:headerReference w:type="default" r:id="rId23"/>
      <w:footerReference w:type="even" r:id="rId24"/>
      <w:footerReference w:type="default" r:id="rId25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5ACD" w14:textId="77777777" w:rsidR="00130107" w:rsidRPr="008778D2" w:rsidRDefault="00130107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71966490" w14:textId="77777777" w:rsidR="00130107" w:rsidRPr="008778D2" w:rsidRDefault="00130107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B9C1" w14:textId="77777777" w:rsidR="008807D1" w:rsidRDefault="008807D1" w:rsidP="008807D1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F9105F7" w14:textId="77777777" w:rsidR="00856FAB" w:rsidRPr="008807D1" w:rsidRDefault="008807D1" w:rsidP="008807D1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807D1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A8874" w14:textId="77777777" w:rsidR="008807D1" w:rsidRDefault="008807D1" w:rsidP="008807D1">
    <w:pPr>
      <w:pStyle w:val="Footer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401B01E" w14:textId="77777777" w:rsidR="00856FAB" w:rsidRPr="008807D1" w:rsidRDefault="008807D1" w:rsidP="008807D1">
    <w:pPr>
      <w:pStyle w:val="Footer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8807D1">
      <w:rPr>
        <w:rFonts w:ascii="FrankRuehl" w:hAnsi="FrankRuehl" w:cs="FrankRuehl"/>
        <w:color w:val="000000"/>
      </w:rPr>
      <w:pict w14:anchorId="747D48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E80A9" w14:textId="77777777" w:rsidR="00130107" w:rsidRPr="008778D2" w:rsidRDefault="00130107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042F3386" w14:textId="77777777" w:rsidR="00130107" w:rsidRPr="008778D2" w:rsidRDefault="00130107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1253" w14:textId="77777777" w:rsidR="009E4038" w:rsidRPr="008807D1" w:rsidRDefault="008807D1" w:rsidP="008807D1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558-03-13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83D4" w14:textId="77777777" w:rsidR="009E4038" w:rsidRPr="008807D1" w:rsidRDefault="008807D1" w:rsidP="008807D1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תפח (מרכז) 558-03-13</w:t>
    </w:r>
    <w:r>
      <w:rPr>
        <w:color w:val="000000"/>
        <w:sz w:val="22"/>
        <w:szCs w:val="22"/>
        <w:rtl/>
      </w:rPr>
      <w:tab/>
      <w:t xml:space="preserve"> מדינת ישראל נ' פלוני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56FAB"/>
    <w:rsid w:val="00130107"/>
    <w:rsid w:val="006C39E2"/>
    <w:rsid w:val="007958C9"/>
    <w:rsid w:val="00856FAB"/>
    <w:rsid w:val="008807D1"/>
    <w:rsid w:val="009E4038"/>
    <w:rsid w:val="00D3251E"/>
    <w:rsid w:val="00DF1A3E"/>
    <w:rsid w:val="00E2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A32F0A"/>
  <w15:chartTrackingRefBased/>
  <w15:docId w15:val="{EA4B327C-98C0-4265-98F5-5AD49958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6FAB"/>
    <w:pPr>
      <w:bidi/>
    </w:pPr>
    <w:rPr>
      <w:rFonts w:ascii="David" w:eastAsia="David" w:hAnsi="David"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56FA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56FA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56FAB"/>
  </w:style>
  <w:style w:type="character" w:styleId="LineNumber">
    <w:name w:val="line number"/>
    <w:basedOn w:val="DefaultParagraphFont"/>
    <w:rsid w:val="00856FAB"/>
    <w:rPr>
      <w:rFonts w:cs="Arial"/>
      <w:szCs w:val="20"/>
    </w:rPr>
  </w:style>
  <w:style w:type="paragraph" w:customStyle="1" w:styleId="12">
    <w:name w:val="רגיל + ‏12 נק'"/>
    <w:aliases w:val="מיושר לשני הצדדים,מרווח בין שורות:  שורה וחצי"/>
    <w:basedOn w:val="Normal"/>
    <w:rsid w:val="00856FAB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Normal"/>
    <w:rsid w:val="00856FAB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rsid w:val="009E4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51.c.3" TargetMode="External"/><Relationship Id="rId13" Type="http://schemas.openxmlformats.org/officeDocument/2006/relationships/hyperlink" Target="http://www.nevo.co.il/law/70301/351.c.1" TargetMode="External"/><Relationship Id="rId18" Type="http://schemas.openxmlformats.org/officeDocument/2006/relationships/hyperlink" Target="http://www.nevo.co.il/law/70301/382.b.2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nevo.co.il/advertisements/nevo-100.doc" TargetMode="External"/><Relationship Id="rId7" Type="http://schemas.openxmlformats.org/officeDocument/2006/relationships/hyperlink" Target="http://www.nevo.co.il/law/70301/351.c.1" TargetMode="External"/><Relationship Id="rId12" Type="http://schemas.openxmlformats.org/officeDocument/2006/relationships/hyperlink" Target="http://www.nevo.co.il/law/70301/382.c" TargetMode="External"/><Relationship Id="rId17" Type="http://schemas.openxmlformats.org/officeDocument/2006/relationships/hyperlink" Target="http://www.nevo.co.il/law/70301/379" TargetMode="External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://www.nevo.co.il/law/70301/368b.a" TargetMode="External"/><Relationship Id="rId20" Type="http://schemas.openxmlformats.org/officeDocument/2006/relationships/hyperlink" Target="http://www.nevo.co.il/law/70301/382.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82.b.2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://www.nevo.co.il/law/70301/351.c.3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ww.nevo.co.il/law/70301/379" TargetMode="External"/><Relationship Id="rId19" Type="http://schemas.openxmlformats.org/officeDocument/2006/relationships/hyperlink" Target="http://www.nevo.co.il/law/70301/37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70301/368b.a" TargetMode="External"/><Relationship Id="rId14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2812</CharactersWithSpaces>
  <SharedDoc>false</SharedDoc>
  <HLinks>
    <vt:vector size="96" baseType="variant">
      <vt:variant>
        <vt:i4>393283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4390996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http://www.nevo.co.il/law/70301/382.c</vt:lpwstr>
      </vt:variant>
      <vt:variant>
        <vt:lpwstr/>
      </vt:variant>
      <vt:variant>
        <vt:i4>6422630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7143478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http://www.nevo.co.il/law/70301/382.b.2</vt:lpwstr>
      </vt:variant>
      <vt:variant>
        <vt:lpwstr/>
      </vt:variant>
      <vt:variant>
        <vt:i4>6422630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6291568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http://www.nevo.co.il/law/70301/368b.a</vt:lpwstr>
      </vt:variant>
      <vt:variant>
        <vt:lpwstr/>
      </vt:variant>
      <vt:variant>
        <vt:i4>6291508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http://www.nevo.co.il/law/70301/351.c.3</vt:lpwstr>
      </vt:variant>
      <vt:variant>
        <vt:lpwstr/>
      </vt:variant>
      <vt:variant>
        <vt:i4>7995492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6291508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4390996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http://www.nevo.co.il/law/70301/382.c</vt:lpwstr>
      </vt:variant>
      <vt:variant>
        <vt:lpwstr/>
      </vt:variant>
      <vt:variant>
        <vt:i4>7143478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http://www.nevo.co.il/law/70301/382.b.2</vt:lpwstr>
      </vt:variant>
      <vt:variant>
        <vt:lpwstr/>
      </vt:variant>
      <vt:variant>
        <vt:i4>6422630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http://www.nevo.co.il/law/70301/379</vt:lpwstr>
      </vt:variant>
      <vt:variant>
        <vt:lpwstr/>
      </vt:variant>
      <vt:variant>
        <vt:i4>6291568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http://www.nevo.co.il/law/70301/368b.a</vt:lpwstr>
      </vt:variant>
      <vt:variant>
        <vt:lpwstr/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http://www.nevo.co.il/law/70301/351.c.3</vt:lpwstr>
      </vt:variant>
      <vt:variant>
        <vt:lpwstr/>
      </vt:variant>
      <vt:variant>
        <vt:i4>6291508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http://www.nevo.co.il/law/70301/351.c.1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Eliya Habba</cp:lastModifiedBy>
  <cp:revision>2</cp:revision>
  <dcterms:created xsi:type="dcterms:W3CDTF">2022-05-24T09:58:00Z</dcterms:created>
  <dcterms:modified xsi:type="dcterms:W3CDTF">2022-05-24T09:58:00Z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הכרעת-דין</vt:lpwstr>
  </property>
  <property fmtid="{D5CDD505-2E9C-101B-9397-08002B2CF9AE}" pid="4" name="NEWPROC">
    <vt:lpwstr>תפח</vt:lpwstr>
  </property>
  <property fmtid="{D5CDD505-2E9C-101B-9397-08002B2CF9AE}" pid="5" name="NEWPARTA">
    <vt:lpwstr>558</vt:lpwstr>
  </property>
  <property fmtid="{D5CDD505-2E9C-101B-9397-08002B2CF9AE}" pid="6" name="NEWPARTB">
    <vt:lpwstr>03</vt:lpwstr>
  </property>
  <property fmtid="{D5CDD505-2E9C-101B-9397-08002B2CF9AE}" pid="7" name="NEWPARTC">
    <vt:lpwstr>13</vt:lpwstr>
  </property>
  <property fmtid="{D5CDD505-2E9C-101B-9397-08002B2CF9AE}" pid="8" name="APPELLANT">
    <vt:lpwstr>מדינת ישראל</vt:lpwstr>
  </property>
  <property fmtid="{D5CDD505-2E9C-101B-9397-08002B2CF9AE}" pid="9" name="APPELLEE">
    <vt:lpwstr>פלוני</vt:lpwstr>
  </property>
  <property fmtid="{D5CDD505-2E9C-101B-9397-08002B2CF9AE}" pid="10" name="LAWYER">
    <vt:lpwstr>נאוה טולדנו;אלון אייזנברג</vt:lpwstr>
  </property>
  <property fmtid="{D5CDD505-2E9C-101B-9397-08002B2CF9AE}" pid="11" name="JUDGE">
    <vt:lpwstr>מנחם פינקלשטיין;ליאורה ברודי;רמי אמיר</vt:lpwstr>
  </property>
  <property fmtid="{D5CDD505-2E9C-101B-9397-08002B2CF9AE}" pid="12" name="CITY">
    <vt:lpwstr>מרכז</vt:lpwstr>
  </property>
  <property fmtid="{D5CDD505-2E9C-101B-9397-08002B2CF9AE}" pid="13" name="DATE">
    <vt:lpwstr>20140114</vt:lpwstr>
  </property>
  <property fmtid="{D5CDD505-2E9C-101B-9397-08002B2CF9AE}" pid="14" name="TYPE_N_DATE">
    <vt:lpwstr>39020140114</vt:lpwstr>
  </property>
  <property fmtid="{D5CDD505-2E9C-101B-9397-08002B2CF9AE}" pid="15" name="WORDNUMPAGES">
    <vt:lpwstr>3</vt:lpwstr>
  </property>
  <property fmtid="{D5CDD505-2E9C-101B-9397-08002B2CF9AE}" pid="16" name="TYPE_ABS_DATE">
    <vt:lpwstr>390020140114</vt:lpwstr>
  </property>
  <property fmtid="{D5CDD505-2E9C-101B-9397-08002B2CF9AE}" pid="17" name="APPELLANT1">
    <vt:lpwstr/>
  </property>
  <property fmtid="{D5CDD505-2E9C-101B-9397-08002B2CF9AE}" pid="18" name="APPELLANT2">
    <vt:lpwstr/>
  </property>
  <property fmtid="{D5CDD505-2E9C-101B-9397-08002B2CF9AE}" pid="19" name="APPELLEE1">
    <vt:lpwstr/>
  </property>
  <property fmtid="{D5CDD505-2E9C-101B-9397-08002B2CF9AE}" pid="20" name="APPELLEE2">
    <vt:lpwstr/>
  </property>
  <property fmtid="{D5CDD505-2E9C-101B-9397-08002B2CF9AE}" pid="21" name="PROCESS">
    <vt:lpwstr/>
  </property>
  <property fmtid="{D5CDD505-2E9C-101B-9397-08002B2CF9AE}" pid="22" name="PROCNUM">
    <vt:lpwstr/>
  </property>
  <property fmtid="{D5CDD505-2E9C-101B-9397-08002B2CF9AE}" pid="23" name="PROCYEAR">
    <vt:lpwstr/>
  </property>
  <property fmtid="{D5CDD505-2E9C-101B-9397-08002B2CF9AE}" pid="24" name="VOLUME">
    <vt:lpwstr/>
  </property>
  <property fmtid="{D5CDD505-2E9C-101B-9397-08002B2CF9AE}" pid="25" name="PART">
    <vt:lpwstr/>
  </property>
  <property fmtid="{D5CDD505-2E9C-101B-9397-08002B2CF9AE}" pid="26" name="PAGE">
    <vt:lpwstr/>
  </property>
  <property fmtid="{D5CDD505-2E9C-101B-9397-08002B2CF9AE}" pid="27" name="PADIMAIL">
    <vt:lpwstr/>
  </property>
  <property fmtid="{D5CDD505-2E9C-101B-9397-08002B2CF9AE}" pid="28" name="DELEMATA">
    <vt:lpwstr/>
  </property>
  <property fmtid="{D5CDD505-2E9C-101B-9397-08002B2CF9AE}" pid="29" name="LINKK1">
    <vt:lpwstr/>
  </property>
  <property fmtid="{D5CDD505-2E9C-101B-9397-08002B2CF9AE}" pid="30" name="LINKK2">
    <vt:lpwstr/>
  </property>
  <property fmtid="{D5CDD505-2E9C-101B-9397-08002B2CF9AE}" pid="31" name="LINKK3">
    <vt:lpwstr/>
  </property>
  <property fmtid="{D5CDD505-2E9C-101B-9397-08002B2CF9AE}" pid="32" name="LINKK4">
    <vt:lpwstr/>
  </property>
  <property fmtid="{D5CDD505-2E9C-101B-9397-08002B2CF9AE}" pid="33" name="LINKK5">
    <vt:lpwstr/>
  </property>
  <property fmtid="{D5CDD505-2E9C-101B-9397-08002B2CF9AE}" pid="34" name="LAWLISTTMP1">
    <vt:lpwstr>70301/351.c.1;351.c.3;368b.a;379;382.b.2;382.c</vt:lpwstr>
  </property>
</Properties>
</file>