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21198C" w:rsidRPr="00DE39B2" w14:paraId="5FEA3A49" w14:textId="77777777" w:rsidTr="00DE39B2">
        <w:trPr>
          <w:trHeight w:hRule="exact" w:val="418"/>
          <w:jc w:val="center"/>
        </w:trPr>
        <w:tc>
          <w:tcPr>
            <w:tcW w:w="8721" w:type="dxa"/>
            <w:gridSpan w:val="2"/>
          </w:tcPr>
          <w:p w14:paraId="2CDE1C23" w14:textId="77777777" w:rsidR="0021198C" w:rsidRPr="00DE39B2" w:rsidRDefault="0021198C" w:rsidP="00DE39B2">
            <w:pPr>
              <w:pStyle w:val="Header"/>
              <w:jc w:val="center"/>
              <w:rPr>
                <w:rtl/>
              </w:rPr>
            </w:pPr>
            <w:bookmarkStart w:id="0" w:name="LastJudge"/>
            <w:r w:rsidRPr="00DE39B2">
              <w:rPr>
                <w:rtl/>
              </w:rPr>
              <w:t>בית המשפט המחוזי בתל אביב - יפו</w:t>
            </w:r>
          </w:p>
        </w:tc>
      </w:tr>
      <w:tr w:rsidR="0021198C" w:rsidRPr="00DE39B2" w14:paraId="20829699" w14:textId="77777777" w:rsidTr="00DE39B2">
        <w:trPr>
          <w:trHeight w:val="337"/>
          <w:jc w:val="center"/>
        </w:trPr>
        <w:tc>
          <w:tcPr>
            <w:tcW w:w="5047" w:type="dxa"/>
          </w:tcPr>
          <w:p w14:paraId="37CAFEFA" w14:textId="77777777" w:rsidR="0021198C" w:rsidRPr="00DE39B2" w:rsidRDefault="0021198C" w:rsidP="00DE39B2">
            <w:pPr>
              <w:pStyle w:val="Header"/>
              <w:rPr>
                <w:rFonts w:cs="FrankRuehl"/>
                <w:sz w:val="28"/>
                <w:szCs w:val="28"/>
                <w:rtl/>
              </w:rPr>
            </w:pPr>
          </w:p>
        </w:tc>
        <w:tc>
          <w:tcPr>
            <w:tcW w:w="3674" w:type="dxa"/>
          </w:tcPr>
          <w:p w14:paraId="01A48B59" w14:textId="77777777" w:rsidR="0021198C" w:rsidRPr="00DE39B2" w:rsidRDefault="0021198C" w:rsidP="00DE39B2">
            <w:pPr>
              <w:pStyle w:val="Header"/>
              <w:jc w:val="center"/>
              <w:rPr>
                <w:rFonts w:cs="FrankRuehl"/>
                <w:sz w:val="28"/>
                <w:szCs w:val="28"/>
                <w:rtl/>
              </w:rPr>
            </w:pPr>
            <w:r w:rsidRPr="00DE39B2">
              <w:rPr>
                <w:rFonts w:cs="FrankRuehl" w:hint="cs"/>
                <w:sz w:val="28"/>
                <w:szCs w:val="28"/>
                <w:rtl/>
              </w:rPr>
              <w:t>21 מרץ 2017</w:t>
            </w:r>
          </w:p>
        </w:tc>
      </w:tr>
      <w:tr w:rsidR="0021198C" w:rsidRPr="00DE39B2" w14:paraId="4ACB8123" w14:textId="77777777" w:rsidTr="00DE39B2">
        <w:trPr>
          <w:trHeight w:val="337"/>
          <w:jc w:val="center"/>
        </w:trPr>
        <w:tc>
          <w:tcPr>
            <w:tcW w:w="8721" w:type="dxa"/>
            <w:gridSpan w:val="2"/>
          </w:tcPr>
          <w:p w14:paraId="4CD82713" w14:textId="77777777" w:rsidR="0021198C" w:rsidRPr="00DE39B2" w:rsidRDefault="0021198C" w:rsidP="00DE39B2">
            <w:pPr>
              <w:rPr>
                <w:rFonts w:cs="FrankRuehl"/>
                <w:sz w:val="28"/>
                <w:szCs w:val="28"/>
                <w:rtl/>
              </w:rPr>
            </w:pPr>
            <w:r w:rsidRPr="00DE39B2">
              <w:rPr>
                <w:rFonts w:cs="FrankRuehl"/>
                <w:sz w:val="28"/>
                <w:szCs w:val="28"/>
                <w:rtl/>
              </w:rPr>
              <w:t>ת"פ</w:t>
            </w:r>
            <w:r w:rsidRPr="00DE39B2">
              <w:rPr>
                <w:rFonts w:cs="FrankRuehl" w:hint="cs"/>
                <w:sz w:val="28"/>
                <w:szCs w:val="28"/>
                <w:rtl/>
              </w:rPr>
              <w:t xml:space="preserve"> </w:t>
            </w:r>
            <w:r w:rsidRPr="00DE39B2">
              <w:rPr>
                <w:rFonts w:cs="FrankRuehl"/>
                <w:sz w:val="28"/>
                <w:szCs w:val="28"/>
                <w:rtl/>
              </w:rPr>
              <w:t>61448-11-15</w:t>
            </w:r>
            <w:r w:rsidRPr="00DE39B2">
              <w:rPr>
                <w:rFonts w:cs="FrankRuehl" w:hint="cs"/>
                <w:sz w:val="28"/>
                <w:szCs w:val="28"/>
                <w:rtl/>
              </w:rPr>
              <w:t xml:space="preserve"> </w:t>
            </w:r>
            <w:r w:rsidRPr="00DE39B2">
              <w:rPr>
                <w:rFonts w:cs="FrankRuehl"/>
                <w:sz w:val="28"/>
                <w:szCs w:val="28"/>
                <w:rtl/>
              </w:rPr>
              <w:t>מדינת ישראל נ' פרנקו(עצור בפיקוח)</w:t>
            </w:r>
          </w:p>
          <w:p w14:paraId="1B5FF1CA" w14:textId="77777777" w:rsidR="0021198C" w:rsidRPr="00DE39B2" w:rsidRDefault="0021198C" w:rsidP="00DE39B2">
            <w:pPr>
              <w:pStyle w:val="Header"/>
              <w:rPr>
                <w:rtl/>
              </w:rPr>
            </w:pPr>
          </w:p>
        </w:tc>
      </w:tr>
    </w:tbl>
    <w:p w14:paraId="7C2602BD" w14:textId="77777777" w:rsidR="0021198C" w:rsidRPr="00DE39B2" w:rsidRDefault="0021198C" w:rsidP="0021198C">
      <w:pPr>
        <w:pStyle w:val="Header"/>
      </w:pPr>
      <w:r w:rsidRPr="00DE39B2">
        <w:rPr>
          <w:rFonts w:hint="cs"/>
          <w:rtl/>
        </w:rPr>
        <w:t xml:space="preserve"> </w:t>
      </w:r>
    </w:p>
    <w:p w14:paraId="5944037F" w14:textId="77777777" w:rsidR="0021198C" w:rsidRPr="00DE39B2" w:rsidRDefault="0021198C" w:rsidP="0021198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21198C" w:rsidRPr="00DE39B2" w14:paraId="6E3F3167" w14:textId="77777777" w:rsidTr="00DE39B2">
        <w:trPr>
          <w:trHeight w:val="295"/>
          <w:jc w:val="center"/>
        </w:trPr>
        <w:tc>
          <w:tcPr>
            <w:tcW w:w="743" w:type="dxa"/>
            <w:tcBorders>
              <w:top w:val="nil"/>
              <w:left w:val="nil"/>
              <w:bottom w:val="nil"/>
              <w:right w:val="nil"/>
            </w:tcBorders>
            <w:shd w:val="clear" w:color="auto" w:fill="auto"/>
          </w:tcPr>
          <w:p w14:paraId="2146FC46" w14:textId="77777777" w:rsidR="0021198C" w:rsidRPr="00DE39B2" w:rsidRDefault="0021198C" w:rsidP="00DE39B2">
            <w:pPr>
              <w:jc w:val="both"/>
              <w:rPr>
                <w:rFonts w:ascii="Arial" w:hAnsi="Arial"/>
                <w:b/>
                <w:bCs/>
                <w:sz w:val="26"/>
                <w:szCs w:val="26"/>
              </w:rPr>
            </w:pPr>
            <w:r w:rsidRPr="00DE39B2">
              <w:rPr>
                <w:rFonts w:ascii="Arial" w:hAnsi="Arial" w:hint="cs"/>
                <w:b/>
                <w:bCs/>
                <w:sz w:val="26"/>
                <w:szCs w:val="26"/>
                <w:rtl/>
              </w:rPr>
              <w:t>ב</w:t>
            </w:r>
            <w:r w:rsidRPr="00DE39B2">
              <w:rPr>
                <w:rFonts w:ascii="Arial" w:hAnsi="Arial"/>
                <w:b/>
                <w:bCs/>
                <w:sz w:val="26"/>
                <w:szCs w:val="26"/>
                <w:rtl/>
              </w:rPr>
              <w:t xml:space="preserve">פני </w:t>
            </w:r>
          </w:p>
        </w:tc>
        <w:tc>
          <w:tcPr>
            <w:tcW w:w="8077" w:type="dxa"/>
            <w:tcBorders>
              <w:top w:val="nil"/>
              <w:left w:val="nil"/>
              <w:bottom w:val="nil"/>
              <w:right w:val="nil"/>
            </w:tcBorders>
            <w:shd w:val="clear" w:color="auto" w:fill="auto"/>
          </w:tcPr>
          <w:p w14:paraId="3B48DACD" w14:textId="77777777" w:rsidR="0021198C" w:rsidRPr="00DE39B2" w:rsidRDefault="0021198C" w:rsidP="00DE39B2">
            <w:pPr>
              <w:rPr>
                <w:rFonts w:ascii="Arial" w:hAnsi="Arial"/>
                <w:b/>
                <w:bCs/>
                <w:sz w:val="26"/>
                <w:szCs w:val="26"/>
                <w:rtl/>
              </w:rPr>
            </w:pPr>
            <w:r w:rsidRPr="00DE39B2">
              <w:rPr>
                <w:rFonts w:ascii="Arial" w:hAnsi="Arial" w:hint="cs"/>
                <w:b/>
                <w:bCs/>
                <w:sz w:val="26"/>
                <w:szCs w:val="26"/>
                <w:rtl/>
              </w:rPr>
              <w:t xml:space="preserve">כב' השופט העמית, צבי גורפינקל                                              </w:t>
            </w:r>
          </w:p>
          <w:p w14:paraId="74FECE59" w14:textId="77777777" w:rsidR="0021198C" w:rsidRPr="00DE39B2" w:rsidRDefault="0021198C" w:rsidP="00DE39B2">
            <w:pPr>
              <w:rPr>
                <w:rFonts w:ascii="Arial" w:hAnsi="Arial"/>
                <w:sz w:val="26"/>
                <w:szCs w:val="26"/>
                <w:highlight w:val="yellow"/>
              </w:rPr>
            </w:pPr>
          </w:p>
        </w:tc>
      </w:tr>
      <w:tr w:rsidR="0021198C" w:rsidRPr="00DE39B2" w14:paraId="4F825F53" w14:textId="77777777" w:rsidTr="00DE39B2">
        <w:trPr>
          <w:trHeight w:val="295"/>
          <w:jc w:val="center"/>
        </w:trPr>
        <w:tc>
          <w:tcPr>
            <w:tcW w:w="743" w:type="dxa"/>
            <w:tcBorders>
              <w:top w:val="nil"/>
              <w:left w:val="nil"/>
              <w:bottom w:val="nil"/>
              <w:right w:val="nil"/>
            </w:tcBorders>
            <w:shd w:val="clear" w:color="auto" w:fill="auto"/>
          </w:tcPr>
          <w:p w14:paraId="09572D0A" w14:textId="77777777" w:rsidR="0021198C" w:rsidRPr="00DE39B2" w:rsidRDefault="0021198C" w:rsidP="00DE39B2">
            <w:pPr>
              <w:jc w:val="both"/>
              <w:rPr>
                <w:rFonts w:ascii="Arial" w:hAnsi="Arial"/>
                <w:b/>
                <w:bCs/>
                <w:sz w:val="26"/>
                <w:szCs w:val="26"/>
                <w:rtl/>
              </w:rPr>
            </w:pPr>
          </w:p>
        </w:tc>
        <w:tc>
          <w:tcPr>
            <w:tcW w:w="8077" w:type="dxa"/>
            <w:tcBorders>
              <w:top w:val="nil"/>
              <w:left w:val="nil"/>
              <w:bottom w:val="nil"/>
              <w:right w:val="nil"/>
            </w:tcBorders>
            <w:shd w:val="clear" w:color="auto" w:fill="auto"/>
          </w:tcPr>
          <w:p w14:paraId="70678C68" w14:textId="77777777" w:rsidR="0021198C" w:rsidRPr="00DE39B2" w:rsidRDefault="0021198C" w:rsidP="00DE39B2">
            <w:pPr>
              <w:rPr>
                <w:rFonts w:ascii="Arial" w:hAnsi="Arial"/>
                <w:b/>
                <w:bCs/>
                <w:sz w:val="26"/>
                <w:szCs w:val="26"/>
                <w:rtl/>
              </w:rPr>
            </w:pPr>
          </w:p>
        </w:tc>
      </w:tr>
    </w:tbl>
    <w:p w14:paraId="578FE292" w14:textId="77777777" w:rsidR="0021198C" w:rsidRPr="00DE39B2" w:rsidRDefault="0021198C" w:rsidP="0021198C">
      <w:pPr>
        <w:rPr>
          <w:rtl/>
        </w:rPr>
      </w:pPr>
    </w:p>
    <w:p w14:paraId="45F3D8B3" w14:textId="77777777" w:rsidR="0021198C" w:rsidRPr="00DE39B2" w:rsidRDefault="0021198C" w:rsidP="0021198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1"/>
        <w:gridCol w:w="4547"/>
        <w:gridCol w:w="3402"/>
      </w:tblGrid>
      <w:tr w:rsidR="0021198C" w:rsidRPr="00DE39B2" w14:paraId="468DD638" w14:textId="77777777" w:rsidTr="00DE39B2">
        <w:trPr>
          <w:trHeight w:val="355"/>
          <w:jc w:val="center"/>
        </w:trPr>
        <w:tc>
          <w:tcPr>
            <w:tcW w:w="871" w:type="dxa"/>
            <w:tcBorders>
              <w:top w:val="nil"/>
              <w:left w:val="nil"/>
              <w:bottom w:val="nil"/>
              <w:right w:val="nil"/>
            </w:tcBorders>
            <w:shd w:val="clear" w:color="auto" w:fill="auto"/>
          </w:tcPr>
          <w:p w14:paraId="36CD26D1" w14:textId="77777777" w:rsidR="0021198C" w:rsidRPr="00DE39B2" w:rsidRDefault="0021198C" w:rsidP="00DE39B2">
            <w:pPr>
              <w:jc w:val="both"/>
              <w:rPr>
                <w:rFonts w:ascii="Arial" w:hAnsi="Arial"/>
                <w:sz w:val="26"/>
                <w:szCs w:val="26"/>
                <w:rtl/>
              </w:rPr>
            </w:pPr>
            <w:bookmarkStart w:id="1" w:name="FirstAppellant"/>
            <w:bookmarkStart w:id="2" w:name="FirstLawyer"/>
          </w:p>
          <w:p w14:paraId="7756E6F4" w14:textId="77777777" w:rsidR="0021198C" w:rsidRPr="00DE39B2" w:rsidRDefault="0021198C" w:rsidP="00DE39B2">
            <w:pPr>
              <w:jc w:val="both"/>
              <w:rPr>
                <w:rFonts w:ascii="Arial" w:hAnsi="Arial"/>
                <w:sz w:val="26"/>
                <w:szCs w:val="26"/>
              </w:rPr>
            </w:pPr>
            <w:r w:rsidRPr="00DE39B2">
              <w:rPr>
                <w:rFonts w:ascii="Arial" w:hAnsi="Arial" w:hint="cs"/>
                <w:sz w:val="26"/>
                <w:szCs w:val="26"/>
                <w:rtl/>
              </w:rPr>
              <w:t>בעניין:</w:t>
            </w:r>
          </w:p>
        </w:tc>
        <w:tc>
          <w:tcPr>
            <w:tcW w:w="4547" w:type="dxa"/>
            <w:tcBorders>
              <w:top w:val="nil"/>
              <w:left w:val="nil"/>
              <w:bottom w:val="nil"/>
              <w:right w:val="nil"/>
            </w:tcBorders>
            <w:shd w:val="clear" w:color="auto" w:fill="auto"/>
          </w:tcPr>
          <w:p w14:paraId="5BE72656" w14:textId="77777777" w:rsidR="0021198C" w:rsidRPr="00DE39B2" w:rsidRDefault="0021198C" w:rsidP="00DE39B2">
            <w:pPr>
              <w:jc w:val="both"/>
              <w:rPr>
                <w:rFonts w:ascii="Arial" w:hAnsi="Arial"/>
                <w:sz w:val="26"/>
                <w:szCs w:val="26"/>
                <w:rtl/>
              </w:rPr>
            </w:pPr>
          </w:p>
          <w:p w14:paraId="4DB68948" w14:textId="77777777" w:rsidR="0021198C" w:rsidRPr="00DE39B2" w:rsidRDefault="0021198C" w:rsidP="00DE39B2">
            <w:pPr>
              <w:jc w:val="both"/>
              <w:rPr>
                <w:sz w:val="26"/>
                <w:szCs w:val="26"/>
                <w:rtl/>
              </w:rPr>
            </w:pPr>
            <w:r w:rsidRPr="00DE39B2">
              <w:rPr>
                <w:rFonts w:ascii="Arial" w:hAnsi="Arial" w:hint="cs"/>
                <w:sz w:val="26"/>
                <w:szCs w:val="26"/>
                <w:rtl/>
              </w:rPr>
              <w:t xml:space="preserve"> </w:t>
            </w:r>
            <w:r w:rsidRPr="00DE39B2">
              <w:rPr>
                <w:rFonts w:hint="cs"/>
                <w:sz w:val="26"/>
                <w:szCs w:val="26"/>
                <w:rtl/>
              </w:rPr>
              <w:t>מדינת ישראל</w:t>
            </w:r>
          </w:p>
          <w:p w14:paraId="6EBD7967" w14:textId="77777777" w:rsidR="0021198C" w:rsidRPr="00DE39B2" w:rsidRDefault="0021198C" w:rsidP="00DE39B2">
            <w:pPr>
              <w:jc w:val="both"/>
              <w:rPr>
                <w:rFonts w:ascii="Arial" w:hAnsi="Arial"/>
                <w:sz w:val="26"/>
                <w:szCs w:val="26"/>
              </w:rPr>
            </w:pPr>
            <w:r w:rsidRPr="00DE39B2">
              <w:rPr>
                <w:rFonts w:hint="cs"/>
                <w:sz w:val="26"/>
                <w:szCs w:val="26"/>
                <w:rtl/>
              </w:rPr>
              <w:t>ע"י ב"כ עו"ד</w:t>
            </w:r>
            <w:r w:rsidRPr="00DE39B2">
              <w:rPr>
                <w:rFonts w:ascii="Arial" w:hAnsi="Arial" w:hint="cs"/>
                <w:sz w:val="26"/>
                <w:szCs w:val="26"/>
                <w:rtl/>
              </w:rPr>
              <w:t xml:space="preserve"> גיא רוסו</w:t>
            </w:r>
          </w:p>
        </w:tc>
        <w:tc>
          <w:tcPr>
            <w:tcW w:w="3402" w:type="dxa"/>
            <w:tcBorders>
              <w:top w:val="nil"/>
              <w:left w:val="nil"/>
              <w:bottom w:val="nil"/>
              <w:right w:val="nil"/>
            </w:tcBorders>
            <w:shd w:val="clear" w:color="auto" w:fill="auto"/>
          </w:tcPr>
          <w:p w14:paraId="75E753FC" w14:textId="77777777" w:rsidR="0021198C" w:rsidRPr="00DE39B2" w:rsidRDefault="0021198C" w:rsidP="00DE39B2">
            <w:pPr>
              <w:jc w:val="both"/>
              <w:rPr>
                <w:rFonts w:ascii="Arial" w:hAnsi="Arial"/>
                <w:sz w:val="26"/>
                <w:szCs w:val="26"/>
              </w:rPr>
            </w:pPr>
          </w:p>
        </w:tc>
      </w:tr>
      <w:bookmarkEnd w:id="1"/>
      <w:bookmarkEnd w:id="2"/>
      <w:tr w:rsidR="0021198C" w:rsidRPr="00DE39B2" w14:paraId="76CA028B" w14:textId="77777777" w:rsidTr="00DE39B2">
        <w:trPr>
          <w:trHeight w:val="355"/>
          <w:jc w:val="center"/>
        </w:trPr>
        <w:tc>
          <w:tcPr>
            <w:tcW w:w="871" w:type="dxa"/>
            <w:tcBorders>
              <w:top w:val="nil"/>
              <w:left w:val="nil"/>
              <w:bottom w:val="nil"/>
              <w:right w:val="nil"/>
            </w:tcBorders>
            <w:shd w:val="clear" w:color="auto" w:fill="auto"/>
          </w:tcPr>
          <w:p w14:paraId="4A5FFCEF" w14:textId="77777777" w:rsidR="0021198C" w:rsidRPr="00DE39B2" w:rsidRDefault="0021198C" w:rsidP="00DE39B2">
            <w:pPr>
              <w:jc w:val="both"/>
              <w:rPr>
                <w:rFonts w:ascii="Arial" w:hAnsi="Arial"/>
                <w:sz w:val="26"/>
                <w:szCs w:val="26"/>
                <w:rtl/>
              </w:rPr>
            </w:pPr>
          </w:p>
        </w:tc>
        <w:tc>
          <w:tcPr>
            <w:tcW w:w="4547" w:type="dxa"/>
            <w:tcBorders>
              <w:top w:val="nil"/>
              <w:left w:val="nil"/>
              <w:bottom w:val="nil"/>
              <w:right w:val="nil"/>
            </w:tcBorders>
            <w:shd w:val="clear" w:color="auto" w:fill="auto"/>
          </w:tcPr>
          <w:p w14:paraId="5F772774" w14:textId="77777777" w:rsidR="0021198C" w:rsidRPr="00DE39B2" w:rsidRDefault="0021198C" w:rsidP="00DE39B2">
            <w:pPr>
              <w:jc w:val="both"/>
              <w:rPr>
                <w:sz w:val="26"/>
                <w:szCs w:val="26"/>
                <w:rtl/>
              </w:rPr>
            </w:pPr>
          </w:p>
        </w:tc>
        <w:tc>
          <w:tcPr>
            <w:tcW w:w="3402" w:type="dxa"/>
            <w:tcBorders>
              <w:top w:val="nil"/>
              <w:left w:val="nil"/>
              <w:bottom w:val="nil"/>
              <w:right w:val="nil"/>
            </w:tcBorders>
            <w:shd w:val="clear" w:color="auto" w:fill="auto"/>
          </w:tcPr>
          <w:p w14:paraId="793163AE" w14:textId="77777777" w:rsidR="0021198C" w:rsidRPr="00DE39B2" w:rsidRDefault="0021198C" w:rsidP="00DE39B2">
            <w:pPr>
              <w:jc w:val="right"/>
              <w:rPr>
                <w:rFonts w:ascii="Arial" w:hAnsi="Arial"/>
                <w:sz w:val="26"/>
                <w:szCs w:val="26"/>
                <w:rtl/>
              </w:rPr>
            </w:pPr>
            <w:r w:rsidRPr="00DE39B2">
              <w:rPr>
                <w:rFonts w:ascii="Arial" w:hAnsi="Arial" w:hint="cs"/>
                <w:sz w:val="26"/>
                <w:szCs w:val="26"/>
                <w:rtl/>
              </w:rPr>
              <w:t>ה</w:t>
            </w:r>
            <w:r w:rsidRPr="00DE39B2">
              <w:rPr>
                <w:rFonts w:hint="cs"/>
                <w:sz w:val="26"/>
                <w:szCs w:val="26"/>
                <w:rtl/>
              </w:rPr>
              <w:t>מאשימה</w:t>
            </w:r>
          </w:p>
        </w:tc>
      </w:tr>
      <w:tr w:rsidR="0021198C" w:rsidRPr="00DE39B2" w14:paraId="12B5FEE8" w14:textId="77777777" w:rsidTr="00DE39B2">
        <w:trPr>
          <w:trHeight w:val="355"/>
          <w:jc w:val="center"/>
        </w:trPr>
        <w:tc>
          <w:tcPr>
            <w:tcW w:w="871" w:type="dxa"/>
            <w:tcBorders>
              <w:top w:val="nil"/>
              <w:left w:val="nil"/>
              <w:bottom w:val="nil"/>
              <w:right w:val="nil"/>
            </w:tcBorders>
            <w:shd w:val="clear" w:color="auto" w:fill="auto"/>
          </w:tcPr>
          <w:p w14:paraId="3ED083E9" w14:textId="77777777" w:rsidR="0021198C" w:rsidRPr="00DE39B2" w:rsidRDefault="0021198C" w:rsidP="00DE39B2">
            <w:pPr>
              <w:jc w:val="both"/>
              <w:rPr>
                <w:rFonts w:ascii="Arial" w:hAnsi="Arial"/>
                <w:sz w:val="26"/>
                <w:szCs w:val="26"/>
                <w:rtl/>
              </w:rPr>
            </w:pPr>
          </w:p>
        </w:tc>
        <w:tc>
          <w:tcPr>
            <w:tcW w:w="7949" w:type="dxa"/>
            <w:gridSpan w:val="2"/>
            <w:tcBorders>
              <w:top w:val="nil"/>
              <w:left w:val="nil"/>
              <w:bottom w:val="nil"/>
              <w:right w:val="nil"/>
            </w:tcBorders>
            <w:shd w:val="clear" w:color="auto" w:fill="auto"/>
          </w:tcPr>
          <w:p w14:paraId="60614D65" w14:textId="77777777" w:rsidR="0021198C" w:rsidRPr="00DE39B2" w:rsidRDefault="0021198C" w:rsidP="00DE39B2">
            <w:pPr>
              <w:jc w:val="center"/>
              <w:rPr>
                <w:rFonts w:ascii="Arial" w:hAnsi="Arial"/>
                <w:b/>
                <w:bCs/>
                <w:sz w:val="26"/>
                <w:szCs w:val="26"/>
                <w:rtl/>
              </w:rPr>
            </w:pPr>
          </w:p>
          <w:p w14:paraId="0FE30E09" w14:textId="77777777" w:rsidR="0021198C" w:rsidRPr="00DE39B2" w:rsidRDefault="0021198C" w:rsidP="00DE39B2">
            <w:pPr>
              <w:jc w:val="center"/>
              <w:rPr>
                <w:rFonts w:ascii="Arial" w:hAnsi="Arial"/>
                <w:b/>
                <w:bCs/>
                <w:sz w:val="26"/>
                <w:szCs w:val="26"/>
                <w:rtl/>
              </w:rPr>
            </w:pPr>
            <w:r w:rsidRPr="00DE39B2">
              <w:rPr>
                <w:rFonts w:ascii="Arial" w:hAnsi="Arial"/>
                <w:b/>
                <w:bCs/>
                <w:sz w:val="26"/>
                <w:szCs w:val="26"/>
                <w:rtl/>
              </w:rPr>
              <w:t>נגד</w:t>
            </w:r>
          </w:p>
          <w:p w14:paraId="149E29CB" w14:textId="77777777" w:rsidR="0021198C" w:rsidRPr="00DE39B2" w:rsidRDefault="0021198C" w:rsidP="00DE39B2">
            <w:pPr>
              <w:jc w:val="both"/>
              <w:rPr>
                <w:rFonts w:ascii="Arial" w:hAnsi="Arial"/>
                <w:sz w:val="26"/>
                <w:szCs w:val="26"/>
              </w:rPr>
            </w:pPr>
          </w:p>
        </w:tc>
      </w:tr>
      <w:tr w:rsidR="0021198C" w:rsidRPr="00DE39B2" w14:paraId="7AE5FF32" w14:textId="77777777" w:rsidTr="00DE39B2">
        <w:trPr>
          <w:trHeight w:val="355"/>
          <w:jc w:val="center"/>
        </w:trPr>
        <w:tc>
          <w:tcPr>
            <w:tcW w:w="871" w:type="dxa"/>
            <w:tcBorders>
              <w:top w:val="nil"/>
              <w:left w:val="nil"/>
              <w:bottom w:val="nil"/>
              <w:right w:val="nil"/>
            </w:tcBorders>
            <w:shd w:val="clear" w:color="auto" w:fill="auto"/>
          </w:tcPr>
          <w:p w14:paraId="6B00B98F" w14:textId="77777777" w:rsidR="0021198C" w:rsidRPr="00DE39B2" w:rsidRDefault="0021198C" w:rsidP="00DE39B2">
            <w:pPr>
              <w:jc w:val="both"/>
              <w:rPr>
                <w:rFonts w:ascii="Arial" w:hAnsi="Arial"/>
                <w:sz w:val="26"/>
                <w:szCs w:val="26"/>
                <w:rtl/>
              </w:rPr>
            </w:pPr>
          </w:p>
        </w:tc>
        <w:tc>
          <w:tcPr>
            <w:tcW w:w="4547" w:type="dxa"/>
            <w:tcBorders>
              <w:top w:val="nil"/>
              <w:left w:val="nil"/>
              <w:bottom w:val="nil"/>
              <w:right w:val="nil"/>
            </w:tcBorders>
            <w:shd w:val="clear" w:color="auto" w:fill="auto"/>
          </w:tcPr>
          <w:p w14:paraId="15DB9465" w14:textId="77777777" w:rsidR="0021198C" w:rsidRPr="00DE39B2" w:rsidRDefault="0021198C" w:rsidP="00DE39B2">
            <w:pPr>
              <w:jc w:val="both"/>
              <w:rPr>
                <w:sz w:val="26"/>
                <w:szCs w:val="26"/>
                <w:rtl/>
              </w:rPr>
            </w:pPr>
            <w:r w:rsidRPr="00DE39B2">
              <w:rPr>
                <w:rFonts w:ascii="Arial" w:hAnsi="Arial" w:hint="cs"/>
                <w:sz w:val="26"/>
                <w:szCs w:val="26"/>
                <w:rtl/>
              </w:rPr>
              <w:t xml:space="preserve"> </w:t>
            </w:r>
            <w:r w:rsidRPr="00DE39B2">
              <w:rPr>
                <w:rFonts w:hint="cs"/>
                <w:sz w:val="26"/>
                <w:szCs w:val="26"/>
                <w:rtl/>
              </w:rPr>
              <w:t>מור מרדכי פרנקו (עצור בפיקוח)</w:t>
            </w:r>
          </w:p>
          <w:p w14:paraId="23D89A78" w14:textId="77777777" w:rsidR="0021198C" w:rsidRPr="00DE39B2" w:rsidRDefault="0021198C" w:rsidP="00DE39B2">
            <w:pPr>
              <w:jc w:val="both"/>
              <w:rPr>
                <w:sz w:val="26"/>
                <w:szCs w:val="26"/>
                <w:rtl/>
              </w:rPr>
            </w:pPr>
            <w:r w:rsidRPr="00DE39B2">
              <w:rPr>
                <w:rFonts w:hint="cs"/>
                <w:sz w:val="26"/>
                <w:szCs w:val="26"/>
                <w:rtl/>
              </w:rPr>
              <w:t xml:space="preserve">ע"י ב"כ עוה"ד יעל פינקלמן </w:t>
            </w:r>
            <w:r w:rsidRPr="00DE39B2">
              <w:rPr>
                <w:sz w:val="26"/>
                <w:szCs w:val="26"/>
                <w:rtl/>
              </w:rPr>
              <w:t>–</w:t>
            </w:r>
            <w:r w:rsidRPr="00DE39B2">
              <w:rPr>
                <w:rFonts w:hint="cs"/>
                <w:sz w:val="26"/>
                <w:szCs w:val="26"/>
                <w:rtl/>
              </w:rPr>
              <w:t xml:space="preserve"> ניסן ודינה שוגול</w:t>
            </w:r>
          </w:p>
        </w:tc>
        <w:tc>
          <w:tcPr>
            <w:tcW w:w="3402" w:type="dxa"/>
            <w:tcBorders>
              <w:top w:val="nil"/>
              <w:left w:val="nil"/>
              <w:bottom w:val="nil"/>
              <w:right w:val="nil"/>
            </w:tcBorders>
            <w:shd w:val="clear" w:color="auto" w:fill="auto"/>
          </w:tcPr>
          <w:p w14:paraId="47AAB4C7" w14:textId="77777777" w:rsidR="0021198C" w:rsidRPr="00DE39B2" w:rsidRDefault="0021198C" w:rsidP="00DE39B2">
            <w:pPr>
              <w:jc w:val="right"/>
              <w:rPr>
                <w:rFonts w:ascii="Arial" w:hAnsi="Arial"/>
                <w:sz w:val="26"/>
                <w:szCs w:val="26"/>
              </w:rPr>
            </w:pPr>
          </w:p>
        </w:tc>
      </w:tr>
      <w:tr w:rsidR="0021198C" w:rsidRPr="00DE39B2" w14:paraId="71E7070F" w14:textId="77777777" w:rsidTr="00DE39B2">
        <w:trPr>
          <w:trHeight w:val="355"/>
          <w:jc w:val="center"/>
        </w:trPr>
        <w:tc>
          <w:tcPr>
            <w:tcW w:w="871" w:type="dxa"/>
            <w:tcBorders>
              <w:top w:val="nil"/>
              <w:left w:val="nil"/>
              <w:bottom w:val="nil"/>
              <w:right w:val="nil"/>
            </w:tcBorders>
            <w:shd w:val="clear" w:color="auto" w:fill="auto"/>
          </w:tcPr>
          <w:p w14:paraId="647C1740" w14:textId="77777777" w:rsidR="0021198C" w:rsidRPr="00DE39B2" w:rsidRDefault="0021198C" w:rsidP="00DE39B2">
            <w:pPr>
              <w:jc w:val="both"/>
              <w:rPr>
                <w:rFonts w:ascii="Arial" w:hAnsi="Arial"/>
                <w:sz w:val="26"/>
                <w:szCs w:val="26"/>
                <w:rtl/>
              </w:rPr>
            </w:pPr>
          </w:p>
        </w:tc>
        <w:tc>
          <w:tcPr>
            <w:tcW w:w="4547" w:type="dxa"/>
            <w:tcBorders>
              <w:top w:val="nil"/>
              <w:left w:val="nil"/>
              <w:bottom w:val="nil"/>
              <w:right w:val="nil"/>
            </w:tcBorders>
            <w:shd w:val="clear" w:color="auto" w:fill="auto"/>
          </w:tcPr>
          <w:p w14:paraId="0794D648" w14:textId="77777777" w:rsidR="0021198C" w:rsidRPr="00DE39B2" w:rsidRDefault="0021198C" w:rsidP="00DE39B2">
            <w:pPr>
              <w:jc w:val="both"/>
              <w:rPr>
                <w:sz w:val="26"/>
                <w:szCs w:val="26"/>
                <w:rtl/>
              </w:rPr>
            </w:pPr>
          </w:p>
        </w:tc>
        <w:tc>
          <w:tcPr>
            <w:tcW w:w="3402" w:type="dxa"/>
            <w:tcBorders>
              <w:top w:val="nil"/>
              <w:left w:val="nil"/>
              <w:bottom w:val="nil"/>
              <w:right w:val="nil"/>
            </w:tcBorders>
            <w:shd w:val="clear" w:color="auto" w:fill="auto"/>
          </w:tcPr>
          <w:p w14:paraId="73ED4E70" w14:textId="77777777" w:rsidR="0021198C" w:rsidRPr="00DE39B2" w:rsidRDefault="0021198C" w:rsidP="00DE39B2">
            <w:pPr>
              <w:jc w:val="right"/>
              <w:rPr>
                <w:rFonts w:ascii="Arial" w:hAnsi="Arial"/>
                <w:sz w:val="26"/>
                <w:szCs w:val="26"/>
              </w:rPr>
            </w:pPr>
            <w:r w:rsidRPr="00DE39B2">
              <w:rPr>
                <w:rFonts w:ascii="Arial" w:hAnsi="Arial" w:hint="cs"/>
                <w:sz w:val="26"/>
                <w:szCs w:val="26"/>
                <w:rtl/>
              </w:rPr>
              <w:t>ה</w:t>
            </w:r>
            <w:r w:rsidRPr="00DE39B2">
              <w:rPr>
                <w:rFonts w:hint="cs"/>
                <w:sz w:val="26"/>
                <w:szCs w:val="26"/>
                <w:rtl/>
              </w:rPr>
              <w:t>נאשם</w:t>
            </w:r>
          </w:p>
        </w:tc>
      </w:tr>
    </w:tbl>
    <w:p w14:paraId="4706CBB3" w14:textId="77777777" w:rsidR="00E970E1" w:rsidRDefault="00E970E1" w:rsidP="0021198C">
      <w:pPr>
        <w:rPr>
          <w:rtl/>
        </w:rPr>
      </w:pPr>
      <w:bookmarkStart w:id="3" w:name="LawTable"/>
      <w:bookmarkEnd w:id="3"/>
    </w:p>
    <w:p w14:paraId="6AC1789A" w14:textId="77777777" w:rsidR="00E970E1" w:rsidRPr="00E970E1" w:rsidRDefault="00E970E1" w:rsidP="00E970E1">
      <w:pPr>
        <w:spacing w:after="120" w:line="240" w:lineRule="exact"/>
        <w:ind w:left="283" w:hanging="283"/>
        <w:jc w:val="both"/>
        <w:rPr>
          <w:rFonts w:ascii="FrankRuehl" w:hAnsi="FrankRuehl" w:cs="FrankRuehl"/>
          <w:rtl/>
        </w:rPr>
      </w:pPr>
    </w:p>
    <w:p w14:paraId="1B3C9F56" w14:textId="77777777" w:rsidR="00E970E1" w:rsidRPr="00E970E1" w:rsidRDefault="00E970E1" w:rsidP="00E970E1">
      <w:pPr>
        <w:spacing w:after="120" w:line="240" w:lineRule="exact"/>
        <w:ind w:left="283" w:hanging="283"/>
        <w:jc w:val="both"/>
        <w:rPr>
          <w:rFonts w:ascii="FrankRuehl" w:hAnsi="FrankRuehl" w:cs="FrankRuehl"/>
          <w:rtl/>
        </w:rPr>
      </w:pPr>
      <w:r w:rsidRPr="00E970E1">
        <w:rPr>
          <w:rFonts w:ascii="FrankRuehl" w:hAnsi="FrankRuehl" w:cs="FrankRuehl"/>
          <w:rtl/>
        </w:rPr>
        <w:t xml:space="preserve">חקיקה שאוזכרה: </w:t>
      </w:r>
    </w:p>
    <w:p w14:paraId="7FB97596" w14:textId="77777777" w:rsidR="00E970E1" w:rsidRPr="00E970E1" w:rsidRDefault="00E970E1" w:rsidP="00E970E1">
      <w:pPr>
        <w:spacing w:after="120" w:line="240" w:lineRule="exact"/>
        <w:ind w:left="283" w:hanging="283"/>
        <w:jc w:val="both"/>
        <w:rPr>
          <w:rFonts w:ascii="FrankRuehl" w:hAnsi="FrankRuehl" w:cs="FrankRuehl"/>
          <w:rtl/>
        </w:rPr>
      </w:pPr>
      <w:hyperlink r:id="rId6" w:history="1">
        <w:r w:rsidRPr="00E970E1">
          <w:rPr>
            <w:rFonts w:ascii="FrankRuehl" w:hAnsi="FrankRuehl" w:cs="FrankRuehl"/>
            <w:color w:val="0000FF"/>
            <w:u w:val="single"/>
            <w:rtl/>
          </w:rPr>
          <w:t>חוק העונשין, תשל"ז-1977</w:t>
        </w:r>
      </w:hyperlink>
      <w:r w:rsidRPr="00E970E1">
        <w:rPr>
          <w:rFonts w:ascii="FrankRuehl" w:hAnsi="FrankRuehl" w:cs="FrankRuehl"/>
          <w:rtl/>
        </w:rPr>
        <w:t xml:space="preserve">: סע'  </w:t>
      </w:r>
      <w:hyperlink r:id="rId7" w:history="1">
        <w:r w:rsidRPr="00E970E1">
          <w:rPr>
            <w:rFonts w:ascii="FrankRuehl" w:hAnsi="FrankRuehl" w:cs="FrankRuehl"/>
            <w:color w:val="0000FF"/>
            <w:u w:val="single"/>
            <w:rtl/>
          </w:rPr>
          <w:t>25</w:t>
        </w:r>
      </w:hyperlink>
      <w:r w:rsidRPr="00E970E1">
        <w:rPr>
          <w:rFonts w:ascii="FrankRuehl" w:hAnsi="FrankRuehl" w:cs="FrankRuehl"/>
          <w:rtl/>
        </w:rPr>
        <w:t xml:space="preserve">, </w:t>
      </w:r>
      <w:hyperlink r:id="rId8" w:history="1">
        <w:r w:rsidRPr="00E970E1">
          <w:rPr>
            <w:rFonts w:ascii="FrankRuehl" w:hAnsi="FrankRuehl" w:cs="FrankRuehl"/>
            <w:color w:val="0000FF"/>
            <w:u w:val="single"/>
            <w:rtl/>
          </w:rPr>
          <w:t>192</w:t>
        </w:r>
      </w:hyperlink>
      <w:r w:rsidRPr="00E970E1">
        <w:rPr>
          <w:rFonts w:ascii="FrankRuehl" w:hAnsi="FrankRuehl" w:cs="FrankRuehl"/>
          <w:rtl/>
        </w:rPr>
        <w:t xml:space="preserve">, </w:t>
      </w:r>
      <w:hyperlink r:id="rId9" w:history="1">
        <w:r w:rsidRPr="00E970E1">
          <w:rPr>
            <w:rFonts w:ascii="FrankRuehl" w:hAnsi="FrankRuehl" w:cs="FrankRuehl"/>
            <w:color w:val="0000FF"/>
            <w:u w:val="single"/>
            <w:rtl/>
          </w:rPr>
          <w:t>216 (א) (1)</w:t>
        </w:r>
      </w:hyperlink>
      <w:r w:rsidRPr="00E970E1">
        <w:rPr>
          <w:rFonts w:ascii="FrankRuehl" w:hAnsi="FrankRuehl" w:cs="FrankRuehl"/>
          <w:rtl/>
        </w:rPr>
        <w:t xml:space="preserve">, </w:t>
      </w:r>
      <w:hyperlink r:id="rId10" w:history="1">
        <w:r w:rsidRPr="00E970E1">
          <w:rPr>
            <w:rFonts w:ascii="FrankRuehl" w:hAnsi="FrankRuehl" w:cs="FrankRuehl"/>
            <w:color w:val="0000FF"/>
            <w:u w:val="single"/>
            <w:rtl/>
          </w:rPr>
          <w:t>243</w:t>
        </w:r>
      </w:hyperlink>
      <w:r w:rsidRPr="00E970E1">
        <w:rPr>
          <w:rFonts w:ascii="FrankRuehl" w:hAnsi="FrankRuehl" w:cs="FrankRuehl"/>
          <w:rtl/>
        </w:rPr>
        <w:t xml:space="preserve">, </w:t>
      </w:r>
      <w:hyperlink r:id="rId11" w:history="1">
        <w:r w:rsidRPr="00E970E1">
          <w:rPr>
            <w:rFonts w:ascii="FrankRuehl" w:hAnsi="FrankRuehl" w:cs="FrankRuehl"/>
            <w:color w:val="0000FF"/>
            <w:u w:val="single"/>
            <w:rtl/>
          </w:rPr>
          <w:t>273</w:t>
        </w:r>
      </w:hyperlink>
      <w:r w:rsidRPr="00E970E1">
        <w:rPr>
          <w:rFonts w:ascii="FrankRuehl" w:hAnsi="FrankRuehl" w:cs="FrankRuehl"/>
          <w:rtl/>
        </w:rPr>
        <w:t xml:space="preserve">, </w:t>
      </w:r>
      <w:hyperlink r:id="rId12" w:history="1">
        <w:r w:rsidRPr="00E970E1">
          <w:rPr>
            <w:rFonts w:ascii="FrankRuehl" w:hAnsi="FrankRuehl" w:cs="FrankRuehl"/>
            <w:color w:val="0000FF"/>
            <w:u w:val="single"/>
            <w:rtl/>
          </w:rPr>
          <w:t>288</w:t>
        </w:r>
      </w:hyperlink>
      <w:r w:rsidRPr="00E970E1">
        <w:rPr>
          <w:rFonts w:ascii="FrankRuehl" w:hAnsi="FrankRuehl" w:cs="FrankRuehl"/>
          <w:rtl/>
        </w:rPr>
        <w:t xml:space="preserve">, </w:t>
      </w:r>
      <w:hyperlink r:id="rId13" w:history="1">
        <w:r w:rsidRPr="00E970E1">
          <w:rPr>
            <w:rFonts w:ascii="FrankRuehl" w:hAnsi="FrankRuehl" w:cs="FrankRuehl"/>
            <w:color w:val="0000FF"/>
            <w:u w:val="single"/>
            <w:rtl/>
          </w:rPr>
          <w:t>332 (2)</w:t>
        </w:r>
      </w:hyperlink>
      <w:r w:rsidRPr="00E970E1">
        <w:rPr>
          <w:rFonts w:ascii="FrankRuehl" w:hAnsi="FrankRuehl" w:cs="FrankRuehl"/>
          <w:rtl/>
        </w:rPr>
        <w:t xml:space="preserve">, </w:t>
      </w:r>
      <w:hyperlink r:id="rId14" w:history="1">
        <w:r w:rsidRPr="00E970E1">
          <w:rPr>
            <w:rFonts w:ascii="FrankRuehl" w:hAnsi="FrankRuehl" w:cs="FrankRuehl"/>
            <w:color w:val="0000FF"/>
            <w:u w:val="single"/>
            <w:rtl/>
          </w:rPr>
          <w:t>349 (א)</w:t>
        </w:r>
      </w:hyperlink>
      <w:r w:rsidRPr="00E970E1">
        <w:rPr>
          <w:rFonts w:ascii="FrankRuehl" w:hAnsi="FrankRuehl" w:cs="FrankRuehl"/>
          <w:rtl/>
        </w:rPr>
        <w:t xml:space="preserve">, </w:t>
      </w:r>
      <w:hyperlink r:id="rId15" w:history="1">
        <w:r w:rsidRPr="00E970E1">
          <w:rPr>
            <w:rFonts w:ascii="FrankRuehl" w:hAnsi="FrankRuehl" w:cs="FrankRuehl"/>
            <w:color w:val="0000FF"/>
            <w:u w:val="single"/>
            <w:rtl/>
          </w:rPr>
          <w:t>413 ג'</w:t>
        </w:r>
      </w:hyperlink>
      <w:r w:rsidRPr="00E970E1">
        <w:rPr>
          <w:rFonts w:ascii="FrankRuehl" w:hAnsi="FrankRuehl" w:cs="FrankRuehl"/>
          <w:rtl/>
        </w:rPr>
        <w:t xml:space="preserve">, </w:t>
      </w:r>
      <w:hyperlink r:id="rId16" w:history="1">
        <w:r w:rsidRPr="00E970E1">
          <w:rPr>
            <w:rFonts w:ascii="FrankRuehl" w:hAnsi="FrankRuehl" w:cs="FrankRuehl"/>
            <w:color w:val="0000FF"/>
            <w:u w:val="single"/>
            <w:rtl/>
          </w:rPr>
          <w:t>428</w:t>
        </w:r>
      </w:hyperlink>
    </w:p>
    <w:p w14:paraId="08E10969" w14:textId="77777777" w:rsidR="00E970E1" w:rsidRPr="00E970E1" w:rsidRDefault="00E970E1" w:rsidP="00E970E1">
      <w:pPr>
        <w:spacing w:after="120" w:line="240" w:lineRule="exact"/>
        <w:ind w:left="283" w:hanging="283"/>
        <w:jc w:val="both"/>
        <w:rPr>
          <w:rFonts w:ascii="FrankRuehl" w:hAnsi="FrankRuehl" w:cs="FrankRuehl"/>
          <w:rtl/>
        </w:rPr>
      </w:pPr>
      <w:hyperlink r:id="rId17" w:history="1">
        <w:r w:rsidRPr="00E970E1">
          <w:rPr>
            <w:rFonts w:ascii="FrankRuehl" w:hAnsi="FrankRuehl" w:cs="FrankRuehl"/>
            <w:color w:val="0000FF"/>
            <w:u w:val="single"/>
            <w:rtl/>
          </w:rPr>
          <w:t>פקודת התעבורה [נוסח חדש]</w:t>
        </w:r>
      </w:hyperlink>
      <w:r w:rsidRPr="00E970E1">
        <w:rPr>
          <w:rFonts w:ascii="FrankRuehl" w:hAnsi="FrankRuehl" w:cs="FrankRuehl"/>
          <w:rtl/>
        </w:rPr>
        <w:t xml:space="preserve">: סע'  </w:t>
      </w:r>
      <w:hyperlink r:id="rId18" w:history="1">
        <w:r w:rsidRPr="00E970E1">
          <w:rPr>
            <w:rFonts w:ascii="FrankRuehl" w:hAnsi="FrankRuehl" w:cs="FrankRuehl"/>
            <w:color w:val="0000FF"/>
            <w:u w:val="single"/>
            <w:rtl/>
          </w:rPr>
          <w:t>10 (א)</w:t>
        </w:r>
      </w:hyperlink>
    </w:p>
    <w:p w14:paraId="3C32B5D2" w14:textId="77777777" w:rsidR="0021198C" w:rsidRPr="00DE39B2" w:rsidRDefault="0021198C" w:rsidP="0021198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1198C" w14:paraId="2818FDF4" w14:textId="77777777" w:rsidTr="00DE39B2">
        <w:trPr>
          <w:trHeight w:val="355"/>
          <w:jc w:val="center"/>
        </w:trPr>
        <w:tc>
          <w:tcPr>
            <w:tcW w:w="8820" w:type="dxa"/>
            <w:tcBorders>
              <w:top w:val="nil"/>
              <w:left w:val="nil"/>
              <w:bottom w:val="nil"/>
              <w:right w:val="nil"/>
            </w:tcBorders>
            <w:shd w:val="clear" w:color="auto" w:fill="auto"/>
          </w:tcPr>
          <w:p w14:paraId="0076075E" w14:textId="77777777" w:rsidR="00DE39B2" w:rsidRPr="00DE39B2" w:rsidRDefault="00DE39B2" w:rsidP="00DE39B2">
            <w:pPr>
              <w:jc w:val="center"/>
              <w:rPr>
                <w:rFonts w:ascii="Arial" w:hAnsi="Arial" w:cs="FrankRuehl"/>
                <w:b/>
                <w:bCs/>
                <w:sz w:val="32"/>
                <w:szCs w:val="32"/>
                <w:u w:val="single"/>
                <w:rtl/>
              </w:rPr>
            </w:pPr>
            <w:bookmarkStart w:id="4" w:name="PsakDin" w:colFirst="0" w:colLast="0"/>
            <w:bookmarkEnd w:id="0"/>
            <w:r w:rsidRPr="00DE39B2">
              <w:rPr>
                <w:rFonts w:ascii="Arial" w:hAnsi="Arial" w:cs="FrankRuehl"/>
                <w:b/>
                <w:bCs/>
                <w:sz w:val="32"/>
                <w:szCs w:val="32"/>
                <w:u w:val="single"/>
                <w:rtl/>
              </w:rPr>
              <w:t>הכרעת דין</w:t>
            </w:r>
          </w:p>
          <w:p w14:paraId="4B055EF7" w14:textId="77777777" w:rsidR="0021198C" w:rsidRPr="00DE39B2" w:rsidRDefault="0021198C" w:rsidP="00DE39B2">
            <w:pPr>
              <w:jc w:val="center"/>
              <w:rPr>
                <w:rFonts w:ascii="Arial" w:hAnsi="Arial" w:cs="FrankRuehl"/>
                <w:bCs/>
                <w:sz w:val="32"/>
                <w:szCs w:val="32"/>
                <w:u w:val="single"/>
                <w:rtl/>
              </w:rPr>
            </w:pPr>
          </w:p>
        </w:tc>
      </w:tr>
      <w:bookmarkEnd w:id="4"/>
    </w:tbl>
    <w:p w14:paraId="61D33EDF" w14:textId="77777777" w:rsidR="0021198C" w:rsidRDefault="0021198C" w:rsidP="0021198C">
      <w:pPr>
        <w:rPr>
          <w:rFonts w:ascii="Arial" w:hAnsi="Arial" w:cs="FrankRuehl"/>
          <w:sz w:val="28"/>
          <w:szCs w:val="28"/>
          <w:rtl/>
        </w:rPr>
      </w:pPr>
    </w:p>
    <w:p w14:paraId="001FEAED" w14:textId="77777777" w:rsidR="0021198C" w:rsidRDefault="0021198C" w:rsidP="0021198C">
      <w:pPr>
        <w:spacing w:line="360" w:lineRule="auto"/>
        <w:rPr>
          <w:rFonts w:ascii="Arial" w:hAnsi="Arial"/>
          <w:rtl/>
        </w:rPr>
      </w:pPr>
      <w:r w:rsidRPr="00DE7361">
        <w:rPr>
          <w:rFonts w:ascii="Arial" w:hAnsi="Arial" w:hint="cs"/>
          <w:u w:val="single"/>
          <w:rtl/>
        </w:rPr>
        <w:t xml:space="preserve">בפרט </w:t>
      </w:r>
      <w:r>
        <w:rPr>
          <w:rFonts w:ascii="Arial" w:hAnsi="Arial" w:hint="cs"/>
          <w:u w:val="single"/>
          <w:rtl/>
        </w:rPr>
        <w:t>האישום הראשו</w:t>
      </w:r>
      <w:r>
        <w:rPr>
          <w:rFonts w:ascii="Arial" w:hAnsi="Arial" w:hint="cs"/>
          <w:rtl/>
        </w:rPr>
        <w:t xml:space="preserve">ן נטען כי </w:t>
      </w:r>
      <w:bookmarkStart w:id="5" w:name="ABSTRACT_START"/>
      <w:bookmarkEnd w:id="5"/>
      <w:r>
        <w:rPr>
          <w:rFonts w:ascii="Arial" w:hAnsi="Arial" w:hint="cs"/>
          <w:rtl/>
        </w:rPr>
        <w:t xml:space="preserve">בין הנאשם לאחים אייל ומשה בן משה קימת היכרות, ובין האחים לבין מוסא בן חיים וחיים כהן היו קשרים עסקיים. </w:t>
      </w:r>
    </w:p>
    <w:p w14:paraId="63842784" w14:textId="77777777" w:rsidR="0021198C" w:rsidRDefault="0021198C" w:rsidP="0021198C">
      <w:pPr>
        <w:spacing w:line="360" w:lineRule="auto"/>
        <w:rPr>
          <w:rFonts w:ascii="Arial" w:hAnsi="Arial"/>
          <w:rtl/>
        </w:rPr>
      </w:pPr>
      <w:r>
        <w:rPr>
          <w:rFonts w:ascii="Arial" w:hAnsi="Arial" w:hint="cs"/>
          <w:rtl/>
        </w:rPr>
        <w:t xml:space="preserve">ביום 27.8.15 נתגלע סכסוך כספי בין האחים בן משה ובין מוסא וחיים והאחים דרשו ממוסא וחיים לתת להם כסף לצורך רכישת אופנוע. האופנוע נרכש ואייל בן משה העביר באמצעות אחרים את הבעלות עליו מהמוכר אל הנאשם. העברת הבעלות נעשתה בידיעתו ובהסכמתו של הנאשם. </w:t>
      </w:r>
    </w:p>
    <w:p w14:paraId="5FECCD3E" w14:textId="77777777" w:rsidR="0021198C" w:rsidRDefault="0021198C" w:rsidP="0021198C">
      <w:pPr>
        <w:spacing w:line="360" w:lineRule="auto"/>
        <w:rPr>
          <w:rFonts w:ascii="Arial" w:hAnsi="Arial"/>
          <w:rtl/>
        </w:rPr>
      </w:pPr>
      <w:bookmarkStart w:id="6" w:name="ABSTRACT_END"/>
      <w:bookmarkEnd w:id="6"/>
    </w:p>
    <w:p w14:paraId="1A8AA708" w14:textId="77777777" w:rsidR="0021198C" w:rsidRDefault="0021198C" w:rsidP="0021198C">
      <w:pPr>
        <w:spacing w:line="360" w:lineRule="auto"/>
        <w:rPr>
          <w:rFonts w:ascii="Arial" w:hAnsi="Arial"/>
          <w:rtl/>
        </w:rPr>
      </w:pPr>
      <w:r>
        <w:rPr>
          <w:rFonts w:ascii="Arial" w:hAnsi="Arial" w:hint="cs"/>
          <w:rtl/>
        </w:rPr>
        <w:t xml:space="preserve">בהמשך פרט האישום נטען האחים איימו על מוסא ביום 29.8.15 בנוכחות הנאשם כי יפגעו בו ובבני משפחתו אם לא ישלם להם כספים וקשרו קשר עם הנאשם ואנשים נוספים להטיל אימה על מוסא וחיים על ידי כך שחבורת האנשים תגיע לביתו של מוסא בקבוצה גדולה כדי להתעמת עמו. במסגרת הקשר הגיעו בני החבורה, ובהם הנאשם לביתו של מוסא והמתינו לבואו במשך זמן רב. בשעה 01:27 לאחר חצות הבחינה אשתו של מוסא כי אנשים נכנסו לחצר הבית, בעוד חלק אחר מבני החבורה </w:t>
      </w:r>
      <w:r>
        <w:rPr>
          <w:rFonts w:ascii="Arial" w:hAnsi="Arial" w:hint="cs"/>
          <w:rtl/>
        </w:rPr>
        <w:lastRenderedPageBreak/>
        <w:t xml:space="preserve">נשאר בחוץ, ומאחר שמוסא לא היה בבית ואשתו היתה לבדה עם הילדים היא התקשרה למשטרה וניידת הגיעה למקום. </w:t>
      </w:r>
    </w:p>
    <w:p w14:paraId="543699C6" w14:textId="77777777" w:rsidR="0021198C" w:rsidRDefault="0021198C" w:rsidP="0021198C">
      <w:pPr>
        <w:spacing w:line="360" w:lineRule="auto"/>
        <w:rPr>
          <w:rFonts w:ascii="Arial" w:hAnsi="Arial"/>
          <w:rtl/>
        </w:rPr>
      </w:pPr>
    </w:p>
    <w:p w14:paraId="4DB61FCA" w14:textId="77777777" w:rsidR="0021198C" w:rsidRDefault="0021198C" w:rsidP="0021198C">
      <w:pPr>
        <w:spacing w:line="360" w:lineRule="auto"/>
        <w:rPr>
          <w:rFonts w:ascii="Arial" w:hAnsi="Arial"/>
          <w:rtl/>
        </w:rPr>
      </w:pPr>
      <w:r>
        <w:rPr>
          <w:rFonts w:ascii="Arial" w:hAnsi="Arial" w:hint="cs"/>
          <w:rtl/>
        </w:rPr>
        <w:t xml:space="preserve">רס"ל מנגיסטו בלטה הבחין בקבוצת האנשים שהיתה מחוץ לחצר, ובהם הנאשם אולם לא הבחין באנשים שהיו בתוך החצר והסתתרו כאשר הגיעה הניידת. לפיכך לא היתה בשלב זה כל התייחסות להתכנסות בני החבורה לצורך איומים, אולם בחיפוש שנערך ברכבו של הנאשם נתגלו שישה פלאפונים סלולריים החשודים כגנובים ולפיכך עיכב רס"ל מנגיסטו את הנאשם לחקירה. </w:t>
      </w:r>
    </w:p>
    <w:p w14:paraId="5EEE6092" w14:textId="77777777" w:rsidR="0021198C" w:rsidRDefault="0021198C" w:rsidP="0021198C">
      <w:pPr>
        <w:spacing w:line="360" w:lineRule="auto"/>
        <w:rPr>
          <w:rFonts w:ascii="Arial" w:hAnsi="Arial"/>
          <w:rtl/>
        </w:rPr>
      </w:pPr>
    </w:p>
    <w:p w14:paraId="79FBB939" w14:textId="77777777" w:rsidR="0021198C" w:rsidRDefault="0021198C" w:rsidP="0021198C">
      <w:pPr>
        <w:spacing w:line="360" w:lineRule="auto"/>
        <w:rPr>
          <w:rFonts w:ascii="Arial" w:hAnsi="Arial"/>
          <w:rtl/>
        </w:rPr>
      </w:pPr>
      <w:r>
        <w:rPr>
          <w:rFonts w:ascii="Arial" w:hAnsi="Arial" w:hint="cs"/>
          <w:rtl/>
        </w:rPr>
        <w:t xml:space="preserve">הנאשם הגיע עם רס"ל מנגיסטו לתחנת המשטרה בבת ים ושם איים עליו הנאשם כי זיהה אותו, סימן אותו ויראה לו בדיוק מי הוא. בנוסף קילל אותו באומרו "יה כושי מפגין אפס, לך תזדיין, אני עוד אזיין אותך כושי לא מקובל פה". בהמשך הלילה ביקש הנאשם לגשת לשירותים בתחנה ולאחר שחזר והוכנס לתא פנה לרס"ל מנגיסטו ואמר לו "תראה אני אשתין פה מה תעשה לי" לאחר מכן הטיל את מימיו בתא העצורים. בהמשך הוסיף הנאשם לקלל את רס"ל מנגיסטו באומרו כי "יזיין את אשתו, יזיין את אמו, אתיופי כושי לא מקובל". </w:t>
      </w:r>
    </w:p>
    <w:p w14:paraId="48FDA708" w14:textId="77777777" w:rsidR="0021198C" w:rsidRDefault="0021198C" w:rsidP="0021198C">
      <w:pPr>
        <w:spacing w:line="360" w:lineRule="auto"/>
        <w:rPr>
          <w:rFonts w:ascii="Arial" w:hAnsi="Arial"/>
          <w:rtl/>
        </w:rPr>
      </w:pPr>
    </w:p>
    <w:p w14:paraId="45FDCA54" w14:textId="77777777" w:rsidR="0021198C" w:rsidRDefault="0021198C" w:rsidP="0021198C">
      <w:pPr>
        <w:spacing w:line="360" w:lineRule="auto"/>
        <w:rPr>
          <w:rFonts w:ascii="Arial" w:hAnsi="Arial"/>
          <w:rtl/>
        </w:rPr>
      </w:pPr>
      <w:r>
        <w:rPr>
          <w:rFonts w:ascii="Arial" w:hAnsi="Arial" w:hint="cs"/>
          <w:rtl/>
        </w:rPr>
        <w:t xml:space="preserve">הנאשם כפר בכל העובדות המתייחסות להיותו בקרבת ביתו של מוסא לצורך איומים וסחיטה, וטען כי הגיע למקום באקראי, אולם הודה בכל האירועים שהתרחשו בתחנת המשטרה עם רס"ל מנגיסטו, כאשר האחרון העיד בבית המשפט ואישר את כל הפרטים שצויינו קודם. </w:t>
      </w:r>
    </w:p>
    <w:p w14:paraId="3447CBFD" w14:textId="77777777" w:rsidR="0021198C" w:rsidRDefault="0021198C" w:rsidP="0021198C">
      <w:pPr>
        <w:spacing w:line="360" w:lineRule="auto"/>
        <w:rPr>
          <w:rFonts w:ascii="Arial" w:hAnsi="Arial"/>
          <w:rtl/>
        </w:rPr>
      </w:pPr>
    </w:p>
    <w:p w14:paraId="416969B9" w14:textId="77777777" w:rsidR="0021198C" w:rsidRDefault="0021198C" w:rsidP="0021198C">
      <w:pPr>
        <w:spacing w:line="360" w:lineRule="auto"/>
        <w:rPr>
          <w:rFonts w:ascii="Arial" w:hAnsi="Arial"/>
          <w:rtl/>
        </w:rPr>
      </w:pPr>
      <w:r>
        <w:rPr>
          <w:rFonts w:ascii="Arial" w:hAnsi="Arial" w:hint="cs"/>
          <w:rtl/>
        </w:rPr>
        <w:t xml:space="preserve">על סמך הודאתו של הנאשם ועדותו של רס"ל מנגיסטו שמהימנה, אני מרשיע את הנאשם בעבירות של איומים, לפי </w:t>
      </w:r>
      <w:hyperlink r:id="rId19" w:history="1">
        <w:r w:rsidR="00E970E1" w:rsidRPr="00E970E1">
          <w:rPr>
            <w:rFonts w:ascii="Arial" w:hAnsi="Arial"/>
            <w:color w:val="0000FF"/>
            <w:u w:val="single"/>
            <w:rtl/>
          </w:rPr>
          <w:t>סעיף 192</w:t>
        </w:r>
      </w:hyperlink>
      <w:r>
        <w:rPr>
          <w:rFonts w:ascii="Arial" w:hAnsi="Arial" w:hint="cs"/>
          <w:rtl/>
        </w:rPr>
        <w:t xml:space="preserve"> ל</w:t>
      </w:r>
      <w:hyperlink r:id="rId20" w:history="1">
        <w:r w:rsidR="00DE39B2" w:rsidRPr="00DE39B2">
          <w:rPr>
            <w:rFonts w:ascii="Arial" w:hAnsi="Arial"/>
            <w:color w:val="0000FF"/>
            <w:u w:val="single"/>
            <w:rtl/>
          </w:rPr>
          <w:t>חוק העונשין</w:t>
        </w:r>
      </w:hyperlink>
      <w:r>
        <w:rPr>
          <w:rFonts w:ascii="Arial" w:hAnsi="Arial" w:hint="cs"/>
          <w:rtl/>
        </w:rPr>
        <w:t xml:space="preserve"> תשל"ז-1977, והעלבת עובד ציבור לפי </w:t>
      </w:r>
      <w:hyperlink r:id="rId21" w:history="1">
        <w:r w:rsidR="00E970E1" w:rsidRPr="00E970E1">
          <w:rPr>
            <w:rFonts w:ascii="Arial" w:hAnsi="Arial"/>
            <w:color w:val="0000FF"/>
            <w:u w:val="single"/>
            <w:rtl/>
          </w:rPr>
          <w:t>סעיף 288</w:t>
        </w:r>
      </w:hyperlink>
      <w:r>
        <w:rPr>
          <w:rFonts w:ascii="Arial" w:hAnsi="Arial" w:hint="cs"/>
          <w:rtl/>
        </w:rPr>
        <w:t xml:space="preserve"> לחוק העונשין. </w:t>
      </w:r>
    </w:p>
    <w:p w14:paraId="0409BC9F" w14:textId="77777777" w:rsidR="0021198C" w:rsidRDefault="0021198C" w:rsidP="0021198C">
      <w:pPr>
        <w:spacing w:line="360" w:lineRule="auto"/>
        <w:rPr>
          <w:rFonts w:ascii="Arial" w:hAnsi="Arial"/>
          <w:rtl/>
        </w:rPr>
      </w:pPr>
    </w:p>
    <w:p w14:paraId="0495CE25" w14:textId="77777777" w:rsidR="0021198C" w:rsidRDefault="0021198C" w:rsidP="0021198C">
      <w:pPr>
        <w:spacing w:line="360" w:lineRule="auto"/>
        <w:rPr>
          <w:rFonts w:ascii="Arial" w:hAnsi="Arial"/>
          <w:rtl/>
        </w:rPr>
      </w:pPr>
      <w:r>
        <w:rPr>
          <w:rFonts w:ascii="Arial" w:hAnsi="Arial" w:hint="cs"/>
          <w:rtl/>
        </w:rPr>
        <w:t xml:space="preserve">הנאשם הואשם בגין העובדה שהשתין בתא המעצר גם בעבירה של מעשה מגונה בפומבי מאחר שחשף את איבר מינו בתחנה אולם אין לומר שמדובר כאן בהתנהגות מינית אלא בהתנהגות פרועה ומגונה במקום ציבורי ולפיכך, בהסכמת התביעה אני מרשיע את הנאשם בעבירה של התנהגות פסולה במקום ציבורי לפי סעיף </w:t>
      </w:r>
      <w:hyperlink r:id="rId22" w:history="1">
        <w:r w:rsidR="00E970E1" w:rsidRPr="00E970E1">
          <w:rPr>
            <w:rFonts w:ascii="Arial" w:hAnsi="Arial"/>
            <w:color w:val="0000FF"/>
            <w:u w:val="single"/>
            <w:rtl/>
          </w:rPr>
          <w:t>216 (א) (1)</w:t>
        </w:r>
      </w:hyperlink>
      <w:r>
        <w:rPr>
          <w:rFonts w:ascii="Arial" w:hAnsi="Arial" w:hint="cs"/>
          <w:rtl/>
        </w:rPr>
        <w:t xml:space="preserve"> ל</w:t>
      </w:r>
      <w:hyperlink r:id="rId23" w:history="1">
        <w:r w:rsidR="00DE39B2" w:rsidRPr="00DE39B2">
          <w:rPr>
            <w:rFonts w:ascii="Arial" w:hAnsi="Arial"/>
            <w:color w:val="0000FF"/>
            <w:u w:val="single"/>
            <w:rtl/>
          </w:rPr>
          <w:t>חוק העונשין</w:t>
        </w:r>
      </w:hyperlink>
      <w:r>
        <w:rPr>
          <w:rFonts w:ascii="Arial" w:hAnsi="Arial" w:hint="cs"/>
          <w:rtl/>
        </w:rPr>
        <w:t xml:space="preserve">, זאת חלף העבירה של מעשה מגונה בפומבי לפי </w:t>
      </w:r>
      <w:hyperlink r:id="rId24" w:history="1">
        <w:r w:rsidR="00E970E1" w:rsidRPr="00E970E1">
          <w:rPr>
            <w:rFonts w:ascii="Arial" w:hAnsi="Arial"/>
            <w:color w:val="0000FF"/>
            <w:u w:val="single"/>
            <w:rtl/>
          </w:rPr>
          <w:t>סעיף 349 (א)</w:t>
        </w:r>
      </w:hyperlink>
      <w:r>
        <w:rPr>
          <w:rFonts w:ascii="Arial" w:hAnsi="Arial" w:hint="cs"/>
          <w:rtl/>
        </w:rPr>
        <w:t xml:space="preserve"> לחוק העונשין, שיוחסה לו במקור בכתב האישום. </w:t>
      </w:r>
    </w:p>
    <w:p w14:paraId="021225A1" w14:textId="77777777" w:rsidR="0021198C" w:rsidRDefault="0021198C" w:rsidP="0021198C">
      <w:pPr>
        <w:spacing w:line="360" w:lineRule="auto"/>
        <w:rPr>
          <w:rFonts w:ascii="Arial" w:hAnsi="Arial"/>
          <w:rtl/>
        </w:rPr>
      </w:pPr>
    </w:p>
    <w:p w14:paraId="0D3A5035" w14:textId="77777777" w:rsidR="0021198C" w:rsidRDefault="0021198C" w:rsidP="0021198C">
      <w:pPr>
        <w:spacing w:line="360" w:lineRule="auto"/>
        <w:rPr>
          <w:rFonts w:ascii="Arial" w:hAnsi="Arial"/>
          <w:rtl/>
        </w:rPr>
      </w:pPr>
      <w:r>
        <w:rPr>
          <w:rFonts w:ascii="Arial" w:hAnsi="Arial" w:hint="cs"/>
          <w:rtl/>
        </w:rPr>
        <w:t xml:space="preserve">כאמור הנאשם כפר בעבירת הסחיטה באיומים בצוותא לפי </w:t>
      </w:r>
      <w:hyperlink r:id="rId25" w:history="1">
        <w:r w:rsidR="00E970E1" w:rsidRPr="00E970E1">
          <w:rPr>
            <w:rFonts w:ascii="Arial" w:hAnsi="Arial"/>
            <w:color w:val="0000FF"/>
            <w:u w:val="single"/>
            <w:rtl/>
          </w:rPr>
          <w:t>סעיף 428</w:t>
        </w:r>
      </w:hyperlink>
      <w:r>
        <w:rPr>
          <w:rFonts w:ascii="Arial" w:hAnsi="Arial" w:hint="cs"/>
          <w:rtl/>
        </w:rPr>
        <w:t xml:space="preserve"> רישא ל</w:t>
      </w:r>
      <w:hyperlink r:id="rId26" w:history="1">
        <w:r w:rsidR="00DE39B2" w:rsidRPr="00DE39B2">
          <w:rPr>
            <w:rFonts w:ascii="Arial" w:hAnsi="Arial"/>
            <w:color w:val="0000FF"/>
            <w:u w:val="single"/>
            <w:rtl/>
          </w:rPr>
          <w:t>חוק העונשין</w:t>
        </w:r>
      </w:hyperlink>
      <w:r>
        <w:rPr>
          <w:rFonts w:ascii="Arial" w:hAnsi="Arial" w:hint="cs"/>
          <w:rtl/>
        </w:rPr>
        <w:t xml:space="preserve">, שיוחסה לו בפרט אישום זה. לפיכך יש צורך בסקירת הראיות. </w:t>
      </w:r>
    </w:p>
    <w:p w14:paraId="1123B602" w14:textId="77777777" w:rsidR="0021198C" w:rsidRDefault="0021198C" w:rsidP="0021198C">
      <w:pPr>
        <w:spacing w:line="360" w:lineRule="auto"/>
        <w:rPr>
          <w:rFonts w:ascii="Arial" w:hAnsi="Arial"/>
          <w:rtl/>
        </w:rPr>
      </w:pPr>
      <w:r>
        <w:rPr>
          <w:rFonts w:ascii="Arial" w:hAnsi="Arial" w:hint="cs"/>
          <w:rtl/>
        </w:rPr>
        <w:t xml:space="preserve">מהעדויות והראיות שהובאו בפני בית המשפט ברור שהאחים בן משה ניסו לסחוט באיומים את מוסא. אייל בן משה הוא הגורם הדומיננטי והמפעיל את בני החבורה ואישר את רצונו לרכוש קטנוע ואת קשריו העסקיים עם חיים. </w:t>
      </w:r>
    </w:p>
    <w:p w14:paraId="220A3067" w14:textId="77777777" w:rsidR="0021198C" w:rsidRDefault="0021198C" w:rsidP="0021198C">
      <w:pPr>
        <w:spacing w:line="360" w:lineRule="auto"/>
        <w:rPr>
          <w:rFonts w:ascii="Arial" w:hAnsi="Arial"/>
          <w:rtl/>
        </w:rPr>
      </w:pPr>
      <w:r>
        <w:rPr>
          <w:rFonts w:ascii="Arial" w:hAnsi="Arial" w:hint="cs"/>
          <w:rtl/>
        </w:rPr>
        <w:lastRenderedPageBreak/>
        <w:t xml:space="preserve">לבית המשפט הוגשו האזנות סתר שבין אייל למוסא מהם עולה כי איל דרש ממוסא לשלם לו כספים כדי לרכוש קטנוע. </w:t>
      </w:r>
    </w:p>
    <w:p w14:paraId="7BEFA729" w14:textId="77777777" w:rsidR="0021198C" w:rsidRDefault="0021198C" w:rsidP="0021198C">
      <w:pPr>
        <w:spacing w:line="360" w:lineRule="auto"/>
        <w:rPr>
          <w:rFonts w:ascii="Arial" w:hAnsi="Arial"/>
          <w:rtl/>
        </w:rPr>
      </w:pPr>
    </w:p>
    <w:p w14:paraId="33ECB9E2" w14:textId="77777777" w:rsidR="0021198C" w:rsidRDefault="0021198C" w:rsidP="0021198C">
      <w:pPr>
        <w:spacing w:line="360" w:lineRule="auto"/>
        <w:rPr>
          <w:rFonts w:ascii="Arial" w:hAnsi="Arial"/>
          <w:rtl/>
        </w:rPr>
      </w:pPr>
      <w:r>
        <w:rPr>
          <w:rFonts w:ascii="Arial" w:hAnsi="Arial" w:hint="cs"/>
          <w:rtl/>
        </w:rPr>
        <w:t xml:space="preserve">קשריו של הנאשם עם האחים בן משה הוכחו הן בהאזנות סתר שבוצעו לשיחותיו ובעיקר מתמלול שיחה ארוכה שערך עם מדובב שהוכנס לתאו. בפני המדובב אישר הנאשם כי ידע שבן משה סוחט את מוסא, לאחר שהיה נוכח בבית המלון שבו היה אייל ושמע על המזימה לקרוא לאנשים רבים על מנת להגיע לביתו של מוסא כדי לאיים עליו. הנאשם טוען כי דבריו בפני המדובב הינם התרברבות גרידא ואינם אמיתיים, אולם בחינת הדברים מגלה כי הנאשם מסר למדובב פרטים רבים, שאינם קשורים בהכרח לפרשה כגון: סכסוך שקיים עם צלי טנצר שכתוצאה מכך פגעו בעסקו של טנצר והנאשם מפרט בפני המדובב  את מיקום המקומות שבהם היתה הפגיעה, עובדה זאת לא היתה ידועה כלל למשטרה וכתוצאה מדבריו של הנאשם בפני המדובב הסתבר כי הפרטים אכן נכונים. כמו כן דבריו בעניין שמעון רביבו, שהמשטרה לא ידעה על נוכחותו במקום, אומתו גם הם. גם בשיחתו של הנאשם עם חברו עדן עולה שהנאשם מאשר שהיה בביתו של מוסא עם עדן, כיוון שלא היתה לו ברירה. כמו כן אמר לעדן כי משה הורה לו לדווח על גניבת האופנוע. </w:t>
      </w:r>
    </w:p>
    <w:p w14:paraId="1BA3D737" w14:textId="77777777" w:rsidR="0021198C" w:rsidRDefault="0021198C" w:rsidP="0021198C">
      <w:pPr>
        <w:spacing w:line="360" w:lineRule="auto"/>
        <w:rPr>
          <w:rFonts w:ascii="Arial" w:hAnsi="Arial"/>
          <w:rtl/>
        </w:rPr>
      </w:pPr>
    </w:p>
    <w:p w14:paraId="778410B9" w14:textId="77777777" w:rsidR="0021198C" w:rsidRDefault="0021198C" w:rsidP="0021198C">
      <w:pPr>
        <w:spacing w:line="360" w:lineRule="auto"/>
        <w:rPr>
          <w:rFonts w:ascii="Arial" w:hAnsi="Arial"/>
          <w:rtl/>
        </w:rPr>
      </w:pPr>
      <w:r>
        <w:rPr>
          <w:rFonts w:ascii="Arial" w:hAnsi="Arial" w:hint="cs"/>
          <w:rtl/>
        </w:rPr>
        <w:t xml:space="preserve">עדותו של הנאשם בבית המשפט איננה מהימנה, ואינני מאמין לו כי הגיע באקראי לביתו של מוסא. אין כל סבירות שבשעה 1.00 לאחר חצות יגיע הנאשם ללא סיבה לקרבת ביתו של מוסא, כאשר לדבריו בפני המדובב ברור שעשרות אנשים זומנו על ידי אייל בן משה להגיע לביתו של מוסא בשעת לילה מאוחרת, הכל כדי לאיים עליו כדי לסחוט אותו. הנאשם ידע זאת כיוון שהיה בבית המלון עם משה בעת שנוצרה מזימה לשלוח אנשים רבים לביתו של מוסא כדי לאיים עליו. </w:t>
      </w:r>
    </w:p>
    <w:p w14:paraId="20828ECE" w14:textId="77777777" w:rsidR="0021198C" w:rsidRDefault="0021198C" w:rsidP="0021198C">
      <w:pPr>
        <w:spacing w:line="360" w:lineRule="auto"/>
        <w:rPr>
          <w:rFonts w:ascii="Arial" w:hAnsi="Arial"/>
          <w:rtl/>
        </w:rPr>
      </w:pPr>
    </w:p>
    <w:p w14:paraId="4BAD4994" w14:textId="77777777" w:rsidR="0021198C" w:rsidRDefault="0021198C" w:rsidP="0021198C">
      <w:pPr>
        <w:spacing w:line="360" w:lineRule="auto"/>
        <w:rPr>
          <w:rFonts w:ascii="Arial" w:hAnsi="Arial"/>
          <w:rtl/>
        </w:rPr>
      </w:pPr>
      <w:r>
        <w:rPr>
          <w:rFonts w:ascii="Arial" w:hAnsi="Arial" w:hint="cs"/>
          <w:rtl/>
        </w:rPr>
        <w:t xml:space="preserve">ברור שהנאשם אינו מרכיב מרכזי במזימת הסחיטה אלא משמש ככלי בידיו של בן משה, כפי ששימש כלי לצורך רישום הבעלות של האופנוע על שמו, על פי דרישתו של בן משה. </w:t>
      </w:r>
    </w:p>
    <w:p w14:paraId="51EC9D50" w14:textId="77777777" w:rsidR="0021198C" w:rsidRDefault="0021198C" w:rsidP="0021198C">
      <w:pPr>
        <w:spacing w:line="360" w:lineRule="auto"/>
        <w:rPr>
          <w:rFonts w:ascii="Arial" w:hAnsi="Arial"/>
          <w:rtl/>
        </w:rPr>
      </w:pPr>
    </w:p>
    <w:p w14:paraId="7D5BEB23" w14:textId="77777777" w:rsidR="0021198C" w:rsidRDefault="0021198C" w:rsidP="0021198C">
      <w:pPr>
        <w:spacing w:line="360" w:lineRule="auto"/>
        <w:rPr>
          <w:rFonts w:ascii="Arial" w:hAnsi="Arial"/>
          <w:rtl/>
        </w:rPr>
      </w:pPr>
      <w:r>
        <w:rPr>
          <w:rFonts w:ascii="Arial" w:hAnsi="Arial" w:hint="cs"/>
          <w:rtl/>
        </w:rPr>
        <w:t xml:space="preserve">מכל הנסיבות ברור שהימצאו של הנאשם בקרבת ביתו של מוסא אינה מקרית, הוא הגיע למקום כתוצאה מהוראתו של בן משה, בדיוק כפי שעשרות הנוכחים הנוספים הגיעו לשם לצורך הטלת אימה על מוסא, חלקם נכנסו לחצר הבית והסתתרו כאשר המשטרה הגיעה למקום, וחלקם ובהם הנאשם, היו מחוץ לבית. הנאשם הוא חלק  מהחבורה שהגיעה בצוותא למקום על מנת לאיים על מוסא כדי לשלם את חובו לבן משה ומבחינה משפטית הוא נחשב כמבצע בצוותא יחד עם כל בני החבורה עבירה של סחיטה באיומים, ולפיכך אני מרשיע אותו גם בעבירה של סחיטה באיומים בצוותא לפי </w:t>
      </w:r>
      <w:hyperlink r:id="rId27" w:history="1">
        <w:r w:rsidR="00E970E1" w:rsidRPr="00E970E1">
          <w:rPr>
            <w:rFonts w:ascii="Arial" w:hAnsi="Arial"/>
            <w:color w:val="0000FF"/>
            <w:u w:val="single"/>
            <w:rtl/>
          </w:rPr>
          <w:t>סעיף 428</w:t>
        </w:r>
      </w:hyperlink>
      <w:r>
        <w:rPr>
          <w:rFonts w:ascii="Arial" w:hAnsi="Arial" w:hint="cs"/>
          <w:rtl/>
        </w:rPr>
        <w:t xml:space="preserve"> רישא ל</w:t>
      </w:r>
      <w:hyperlink r:id="rId28" w:history="1">
        <w:r w:rsidR="00DE39B2" w:rsidRPr="00DE39B2">
          <w:rPr>
            <w:rFonts w:ascii="Arial" w:hAnsi="Arial"/>
            <w:color w:val="0000FF"/>
            <w:u w:val="single"/>
            <w:rtl/>
          </w:rPr>
          <w:t>חוק העונשין</w:t>
        </w:r>
      </w:hyperlink>
      <w:r>
        <w:rPr>
          <w:rFonts w:ascii="Arial" w:hAnsi="Arial" w:hint="cs"/>
          <w:rtl/>
        </w:rPr>
        <w:t xml:space="preserve">. </w:t>
      </w:r>
    </w:p>
    <w:p w14:paraId="4A589F31" w14:textId="77777777" w:rsidR="0021198C" w:rsidRDefault="0021198C" w:rsidP="0021198C">
      <w:pPr>
        <w:spacing w:line="360" w:lineRule="auto"/>
        <w:rPr>
          <w:rFonts w:ascii="Arial" w:hAnsi="Arial"/>
          <w:rtl/>
        </w:rPr>
      </w:pPr>
      <w:r w:rsidRPr="007571A0">
        <w:rPr>
          <w:rFonts w:ascii="Arial" w:hAnsi="Arial" w:hint="cs"/>
          <w:u w:val="single"/>
          <w:rtl/>
        </w:rPr>
        <w:t>בפרט הא</w:t>
      </w:r>
      <w:r>
        <w:rPr>
          <w:rFonts w:ascii="Arial" w:hAnsi="Arial" w:hint="cs"/>
          <w:u w:val="single"/>
          <w:rtl/>
        </w:rPr>
        <w:t>ישום השני</w:t>
      </w:r>
      <w:r>
        <w:rPr>
          <w:rFonts w:ascii="Arial" w:hAnsi="Arial" w:hint="cs"/>
          <w:rtl/>
        </w:rPr>
        <w:t xml:space="preserve"> נטען כי בהמשך לאירוע הסחיטה המתואר בפרט הראשון, גמלה בליבו של משה בן משה לחבול במוסא חבלה חמורה, והוא קשר קשר עם אחרים להניח מטען חבלה מאולתר בסמוך לבית משפחתו של מוסא בחולון. הקושרים הגיעו למקום והניחו מטען חבלה מאולתר ליד שני בלוני </w:t>
      </w:r>
      <w:r>
        <w:rPr>
          <w:rFonts w:ascii="Arial" w:hAnsi="Arial" w:hint="cs"/>
          <w:rtl/>
        </w:rPr>
        <w:lastRenderedPageBreak/>
        <w:t xml:space="preserve">גז שהיו צמודים לקיר בית משפחתו של מוסא ופוצצו אותו, וכתוצאה מכך נגרם נזק רב לבית המשפחה. </w:t>
      </w:r>
    </w:p>
    <w:p w14:paraId="44DFEFD8" w14:textId="77777777" w:rsidR="0021198C" w:rsidRDefault="0021198C" w:rsidP="0021198C">
      <w:pPr>
        <w:spacing w:line="360" w:lineRule="auto"/>
        <w:rPr>
          <w:rFonts w:ascii="Arial" w:hAnsi="Arial"/>
          <w:rtl/>
        </w:rPr>
      </w:pPr>
    </w:p>
    <w:p w14:paraId="5E011186" w14:textId="77777777" w:rsidR="0021198C" w:rsidRDefault="0021198C" w:rsidP="0021198C">
      <w:pPr>
        <w:spacing w:line="360" w:lineRule="auto"/>
        <w:rPr>
          <w:rFonts w:ascii="Arial" w:hAnsi="Arial"/>
          <w:rtl/>
        </w:rPr>
      </w:pPr>
      <w:r>
        <w:rPr>
          <w:rFonts w:ascii="Arial" w:hAnsi="Arial" w:hint="cs"/>
          <w:rtl/>
        </w:rPr>
        <w:t xml:space="preserve">במהלך ביצוע התוכנית עשו הקושרים שימוש בקטנוע מסוג טימקס הרשום בבעלות הנאשם. לאחר פיצוץ המטען הורה משה בן משה לנאשם להגיש תלונה במשטרה לפיה הקטנוע נגנב ביום 1.11.15, דהיינו יום אחד לפני הנחת מטען החבלה בביתו של מוסא ופיצוצו, וביום 9.11.15 הגיש הנאשם תלונה במשטרה לפיה הקטנוע נגנב ביום 1.11.15 אחרי שהחנה אותו ברחוב. התביעה טוענת כי התלונה שהגיש הנאשם במשטרה בקשר לגניבת הקטנוע היא כוזבת, ומיוחסת לו עבירה של ידיעות  כוזבות לפי </w:t>
      </w:r>
      <w:hyperlink r:id="rId29" w:history="1">
        <w:r w:rsidR="00E970E1" w:rsidRPr="00E970E1">
          <w:rPr>
            <w:rFonts w:ascii="Arial" w:hAnsi="Arial"/>
            <w:color w:val="0000FF"/>
            <w:u w:val="single"/>
            <w:rtl/>
          </w:rPr>
          <w:t>סעיף 243</w:t>
        </w:r>
      </w:hyperlink>
      <w:r>
        <w:rPr>
          <w:rFonts w:ascii="Arial" w:hAnsi="Arial" w:hint="cs"/>
          <w:rtl/>
        </w:rPr>
        <w:t xml:space="preserve"> סיפא ל</w:t>
      </w:r>
      <w:hyperlink r:id="rId30" w:history="1">
        <w:r w:rsidR="00DE39B2" w:rsidRPr="00DE39B2">
          <w:rPr>
            <w:rFonts w:ascii="Arial" w:hAnsi="Arial"/>
            <w:color w:val="0000FF"/>
            <w:u w:val="single"/>
            <w:rtl/>
          </w:rPr>
          <w:t>חוק העונשין</w:t>
        </w:r>
      </w:hyperlink>
      <w:r>
        <w:rPr>
          <w:rFonts w:ascii="Arial" w:hAnsi="Arial" w:hint="cs"/>
          <w:rtl/>
        </w:rPr>
        <w:t xml:space="preserve">. </w:t>
      </w:r>
    </w:p>
    <w:p w14:paraId="6A0A3CA3" w14:textId="77777777" w:rsidR="0021198C" w:rsidRDefault="0021198C" w:rsidP="0021198C">
      <w:pPr>
        <w:spacing w:line="360" w:lineRule="auto"/>
        <w:rPr>
          <w:rFonts w:ascii="Arial" w:hAnsi="Arial"/>
          <w:rtl/>
        </w:rPr>
      </w:pPr>
    </w:p>
    <w:p w14:paraId="25C515D4" w14:textId="77777777" w:rsidR="0021198C" w:rsidRDefault="0021198C" w:rsidP="0021198C">
      <w:pPr>
        <w:spacing w:line="360" w:lineRule="auto"/>
        <w:rPr>
          <w:rFonts w:ascii="Arial" w:hAnsi="Arial"/>
          <w:rtl/>
        </w:rPr>
      </w:pPr>
      <w:r>
        <w:rPr>
          <w:rFonts w:ascii="Arial" w:hAnsi="Arial" w:hint="cs"/>
          <w:rtl/>
        </w:rPr>
        <w:t xml:space="preserve">אין חולק שלנאשם אין רישיון נהיגה לקטנוע מסוג טימקס, אין חולק שהקטנוע רשום על שם הנאשם, והנאשם לא עשה כל שימוש בקטנוע זה. הודעתו של הנאשם כאילו החנה את הקטנוע ברחוב ביום 1.11.15 ומשם נגנב, אינה אמיתית כיוון שהנאשם לא השתמש כאמור בקטנוע ולא החנה אותו כלל ברחוב והתלונה שהגיש במשטרה היתה על סמך הוראתו של בן משה בלבד בלא שהנאשם היה מעורב בהנחת הקטנוע במקום שממנו נגנב. </w:t>
      </w:r>
    </w:p>
    <w:p w14:paraId="14E32CFA" w14:textId="77777777" w:rsidR="0021198C" w:rsidRDefault="0021198C" w:rsidP="0021198C">
      <w:pPr>
        <w:spacing w:line="360" w:lineRule="auto"/>
        <w:rPr>
          <w:rFonts w:ascii="Arial" w:hAnsi="Arial"/>
          <w:rtl/>
        </w:rPr>
      </w:pPr>
    </w:p>
    <w:p w14:paraId="6A4126D1" w14:textId="77777777" w:rsidR="0021198C" w:rsidRDefault="0021198C" w:rsidP="0021198C">
      <w:pPr>
        <w:spacing w:line="360" w:lineRule="auto"/>
        <w:rPr>
          <w:rFonts w:ascii="Arial" w:hAnsi="Arial"/>
          <w:rtl/>
        </w:rPr>
      </w:pPr>
      <w:r>
        <w:rPr>
          <w:rFonts w:ascii="Arial" w:hAnsi="Arial" w:hint="cs"/>
          <w:rtl/>
        </w:rPr>
        <w:t xml:space="preserve">מתוך הודאתו של הנאשם בדבר גניבת הקטנוע ת/32, ברור שהנאשם אינו דובר אמת. לטענתו </w:t>
      </w:r>
    </w:p>
    <w:p w14:paraId="607B2260" w14:textId="77777777" w:rsidR="0021198C" w:rsidRDefault="0021198C" w:rsidP="0021198C">
      <w:pPr>
        <w:spacing w:line="360" w:lineRule="auto"/>
        <w:rPr>
          <w:rFonts w:ascii="Arial" w:hAnsi="Arial"/>
          <w:rtl/>
        </w:rPr>
      </w:pPr>
      <w:r>
        <w:rPr>
          <w:rFonts w:ascii="Arial" w:hAnsi="Arial" w:hint="cs"/>
          <w:rtl/>
        </w:rPr>
        <w:t xml:space="preserve">החנה את הקטנוע בחולון למרות שהוא מתגורר בבת ים כדי להשאירו לחבר, אולם סירב לנקוב בשמו של אותו חבר. אם אכן מדובר בפעולה תמימה ולא פלילית אין סיבה שהנאשם לא ימסור את שמו של החבר שאמור היה כביכול לקחת את הקטנוע, אלא אם הנאשם ידע שהדבר אינו אמת. כמו כן הסיפא של ההודעה מחשידה: "מה שמדאיג אותי שמישהו לא יעשה משהו לא חוקי עם הקטנוע". אם מדובר בדיווח תמים של גניבת קטנוע, התוספת של חשש מביצוע מעשה פלילי מיותרת, והדבר מלמד שהנאשם היה מודע לכך שהדיווח על הגניבה נועד למנוע יצירת קשר בין הקטנוע למעשה פלילי שבוצע. </w:t>
      </w:r>
    </w:p>
    <w:p w14:paraId="6EE29FC7" w14:textId="77777777" w:rsidR="0021198C" w:rsidRDefault="0021198C" w:rsidP="0021198C">
      <w:pPr>
        <w:spacing w:line="360" w:lineRule="auto"/>
        <w:rPr>
          <w:rFonts w:ascii="Arial" w:hAnsi="Arial"/>
          <w:rtl/>
        </w:rPr>
      </w:pPr>
    </w:p>
    <w:p w14:paraId="07188C82" w14:textId="77777777" w:rsidR="0021198C" w:rsidRDefault="0021198C" w:rsidP="0021198C">
      <w:pPr>
        <w:spacing w:line="360" w:lineRule="auto"/>
        <w:rPr>
          <w:rFonts w:ascii="Arial" w:hAnsi="Arial"/>
          <w:rtl/>
        </w:rPr>
      </w:pPr>
      <w:r>
        <w:rPr>
          <w:rFonts w:ascii="Arial" w:hAnsi="Arial" w:hint="cs"/>
          <w:rtl/>
        </w:rPr>
        <w:t xml:space="preserve">לאור זאת אני קובע כי הנאשם שימש ככלי שרת בידיו של בן משה ומילא אחר הוראותיו, אולם תלונתו במשטרה על גניבת הקטנוע לא היתה בגין עובדה שבידיעתו אלא עקב הוראה שקיבל ממשה לדווח על הגניבה, והודעתו במשטרה היתה כוזבת ועל כן אני מרשיעו בעבירה שיוחסה לו  בפרט אישום זה. </w:t>
      </w:r>
    </w:p>
    <w:p w14:paraId="53D30A67" w14:textId="77777777" w:rsidR="0021198C" w:rsidRDefault="0021198C" w:rsidP="0021198C">
      <w:pPr>
        <w:spacing w:line="360" w:lineRule="auto"/>
        <w:rPr>
          <w:rFonts w:ascii="Arial" w:hAnsi="Arial"/>
          <w:rtl/>
        </w:rPr>
      </w:pPr>
    </w:p>
    <w:p w14:paraId="6242ED94" w14:textId="77777777" w:rsidR="0021198C" w:rsidRDefault="0021198C" w:rsidP="0021198C">
      <w:pPr>
        <w:spacing w:line="360" w:lineRule="auto"/>
        <w:rPr>
          <w:rFonts w:ascii="Arial" w:hAnsi="Arial"/>
          <w:rtl/>
        </w:rPr>
      </w:pPr>
      <w:r>
        <w:rPr>
          <w:rFonts w:ascii="Arial" w:hAnsi="Arial" w:hint="cs"/>
          <w:u w:val="single"/>
          <w:rtl/>
        </w:rPr>
        <w:t>בפרט האישום השלישי</w:t>
      </w:r>
      <w:r>
        <w:rPr>
          <w:rFonts w:ascii="Arial" w:hAnsi="Arial" w:hint="cs"/>
          <w:rtl/>
        </w:rPr>
        <w:t xml:space="preserve"> נטען כי הנאשם נהג בקטנוע טימקס בלא שיש בידיו רישיון לנהיגה בסוג זה של קטנוע, וזאת ללא אישורו של בעל הקטנוע. בעת שרכב על הקטנוע בבת ים, הוא נהג בצורה פרועה וניידת משטרה הבחינה בכך והחלה לרדוף אחריו. במהלך המרדף נסע הנאשם בצורה פרועה וחלף על פני שישה צמתים בניגוד לאור אדום שדלק ברמזור, עבור במהירות בין נתיבי התנועה תוך שהוא מסכן את הנוסעים ובגין זאת יוחסו לו עבירות של סיכון חיי אדם בנתיב תחבורה לפי סעיף </w:t>
      </w:r>
      <w:hyperlink r:id="rId31" w:history="1">
        <w:r w:rsidR="00E970E1" w:rsidRPr="00E970E1">
          <w:rPr>
            <w:rFonts w:ascii="Arial" w:hAnsi="Arial"/>
            <w:color w:val="0000FF"/>
            <w:u w:val="single"/>
            <w:rtl/>
          </w:rPr>
          <w:t>332 (2)</w:t>
        </w:r>
      </w:hyperlink>
      <w:r>
        <w:rPr>
          <w:rFonts w:ascii="Arial" w:hAnsi="Arial" w:hint="cs"/>
          <w:rtl/>
        </w:rPr>
        <w:t xml:space="preserve"> ל</w:t>
      </w:r>
      <w:hyperlink r:id="rId32" w:history="1">
        <w:r w:rsidR="00DE39B2" w:rsidRPr="00DE39B2">
          <w:rPr>
            <w:rFonts w:ascii="Arial" w:hAnsi="Arial"/>
            <w:color w:val="0000FF"/>
            <w:u w:val="single"/>
            <w:rtl/>
          </w:rPr>
          <w:t>חוק העונשין</w:t>
        </w:r>
      </w:hyperlink>
      <w:r>
        <w:rPr>
          <w:rFonts w:ascii="Arial" w:hAnsi="Arial" w:hint="cs"/>
          <w:rtl/>
        </w:rPr>
        <w:t xml:space="preserve">, נהיגה ללא רישיון נהיגה לפי </w:t>
      </w:r>
      <w:hyperlink r:id="rId33" w:history="1">
        <w:r w:rsidR="00E970E1" w:rsidRPr="00E970E1">
          <w:rPr>
            <w:rFonts w:ascii="Arial" w:hAnsi="Arial"/>
            <w:color w:val="0000FF"/>
            <w:u w:val="single"/>
            <w:rtl/>
          </w:rPr>
          <w:t>סעיף 10 (א)</w:t>
        </w:r>
      </w:hyperlink>
      <w:r>
        <w:rPr>
          <w:rFonts w:ascii="Arial" w:hAnsi="Arial" w:hint="cs"/>
          <w:rtl/>
        </w:rPr>
        <w:t xml:space="preserve"> ל</w:t>
      </w:r>
      <w:hyperlink r:id="rId34" w:history="1">
        <w:r w:rsidR="00DE39B2" w:rsidRPr="00DE39B2">
          <w:rPr>
            <w:rFonts w:ascii="Arial" w:hAnsi="Arial"/>
            <w:color w:val="0000FF"/>
            <w:u w:val="single"/>
            <w:rtl/>
          </w:rPr>
          <w:t>פקודת התעבורה</w:t>
        </w:r>
      </w:hyperlink>
      <w:r>
        <w:rPr>
          <w:rFonts w:ascii="Arial" w:hAnsi="Arial" w:hint="cs"/>
          <w:rtl/>
        </w:rPr>
        <w:t xml:space="preserve">, שימוש ברכב  ללא רשות לפי </w:t>
      </w:r>
      <w:hyperlink r:id="rId35" w:history="1">
        <w:r w:rsidR="00E970E1" w:rsidRPr="00E970E1">
          <w:rPr>
            <w:rFonts w:ascii="Arial" w:hAnsi="Arial"/>
            <w:color w:val="0000FF"/>
            <w:u w:val="single"/>
            <w:rtl/>
          </w:rPr>
          <w:t>סעיף 413 ג'</w:t>
        </w:r>
      </w:hyperlink>
      <w:r>
        <w:rPr>
          <w:rFonts w:ascii="Arial" w:hAnsi="Arial" w:hint="cs"/>
          <w:rtl/>
        </w:rPr>
        <w:t xml:space="preserve"> סיפא לחוק העונשין. </w:t>
      </w:r>
    </w:p>
    <w:p w14:paraId="3CA130A4" w14:textId="77777777" w:rsidR="0021198C" w:rsidRDefault="0021198C" w:rsidP="0021198C">
      <w:pPr>
        <w:spacing w:line="360" w:lineRule="auto"/>
        <w:rPr>
          <w:rFonts w:ascii="Arial" w:hAnsi="Arial"/>
          <w:rtl/>
        </w:rPr>
      </w:pPr>
    </w:p>
    <w:p w14:paraId="0ED3D04F" w14:textId="77777777" w:rsidR="0021198C" w:rsidRDefault="0021198C" w:rsidP="0021198C">
      <w:pPr>
        <w:spacing w:line="360" w:lineRule="auto"/>
        <w:rPr>
          <w:rFonts w:ascii="Arial" w:hAnsi="Arial"/>
          <w:rtl/>
        </w:rPr>
      </w:pPr>
      <w:r>
        <w:rPr>
          <w:rFonts w:ascii="Arial" w:hAnsi="Arial" w:hint="cs"/>
          <w:rtl/>
        </w:rPr>
        <w:t xml:space="preserve">מלכתחילה כפר הנאשם בעובדות כתב האישום, אולם בהמשך משהתייצבו השוטרים למתן עדות בבית המשפט, חזר בו הנאשם והודה בכל העובדות המפורטים בפרט האישום השלישי, ועל כן אני מרשיע אותו בכל העבירות שיוחסו לו בפרט אישום זה. </w:t>
      </w:r>
    </w:p>
    <w:p w14:paraId="6EEB1A2C" w14:textId="77777777" w:rsidR="0021198C" w:rsidRDefault="0021198C" w:rsidP="0021198C">
      <w:pPr>
        <w:spacing w:line="360" w:lineRule="auto"/>
        <w:rPr>
          <w:rFonts w:ascii="Arial" w:hAnsi="Arial"/>
          <w:rtl/>
        </w:rPr>
      </w:pPr>
    </w:p>
    <w:p w14:paraId="4C580205" w14:textId="77777777" w:rsidR="0021198C" w:rsidRDefault="0021198C" w:rsidP="0021198C">
      <w:pPr>
        <w:spacing w:line="360" w:lineRule="auto"/>
        <w:rPr>
          <w:rFonts w:ascii="Arial" w:hAnsi="Arial"/>
          <w:rtl/>
        </w:rPr>
      </w:pPr>
      <w:r>
        <w:rPr>
          <w:rFonts w:ascii="Arial" w:hAnsi="Arial" w:hint="cs"/>
          <w:u w:val="single"/>
          <w:rtl/>
        </w:rPr>
        <w:t>בפרט האישום הרביעי</w:t>
      </w:r>
      <w:r>
        <w:rPr>
          <w:rFonts w:ascii="Arial" w:hAnsi="Arial" w:hint="cs"/>
          <w:rtl/>
        </w:rPr>
        <w:t xml:space="preserve"> נטען כי ביום 11.11.15 הגיעו שוטרים לביתו של הנאשם כדי לבצע צו מעצר שהוצא נגדו. במהלך ביצוע הצו איים הנאשם על השוטרים וקלל אותם, בין היתר אמר לרס"ר גלעד פרץ "אני אזין את הבת שלך ואצלם את זה ואשלח לך, אני אדקור את הבן שלך, אני אאנוס את הבת שלך ולכל אחד יש ילדים והורים, אני אחתוך את הבת שלך לחתיכות". כמו כן ניסה הנאשם לזרוק אגרטל זכוכית על השוטרים וירק על רס"ר פרץ גלעד ורס"ל אילוז גל. בגין זאת יוחסו לו עבירות של ניסיון לתקיפת שוטרים לפי </w:t>
      </w:r>
      <w:hyperlink r:id="rId36" w:history="1">
        <w:r w:rsidR="00E970E1" w:rsidRPr="00E970E1">
          <w:rPr>
            <w:rFonts w:ascii="Arial" w:hAnsi="Arial"/>
            <w:color w:val="0000FF"/>
            <w:u w:val="single"/>
            <w:rtl/>
          </w:rPr>
          <w:t>סעיף 273</w:t>
        </w:r>
      </w:hyperlink>
      <w:r>
        <w:rPr>
          <w:rFonts w:ascii="Arial" w:hAnsi="Arial" w:hint="cs"/>
          <w:rtl/>
        </w:rPr>
        <w:t xml:space="preserve"> יחד עם </w:t>
      </w:r>
      <w:hyperlink r:id="rId37" w:history="1">
        <w:r w:rsidR="00E970E1" w:rsidRPr="00E970E1">
          <w:rPr>
            <w:rFonts w:ascii="Arial" w:hAnsi="Arial"/>
            <w:color w:val="0000FF"/>
            <w:u w:val="single"/>
            <w:rtl/>
          </w:rPr>
          <w:t>סעיף 25</w:t>
        </w:r>
      </w:hyperlink>
      <w:r>
        <w:rPr>
          <w:rFonts w:ascii="Arial" w:hAnsi="Arial" w:hint="cs"/>
          <w:rtl/>
        </w:rPr>
        <w:t xml:space="preserve"> ל</w:t>
      </w:r>
      <w:hyperlink r:id="rId38" w:history="1">
        <w:r w:rsidR="00DE39B2" w:rsidRPr="00DE39B2">
          <w:rPr>
            <w:rFonts w:ascii="Arial" w:hAnsi="Arial"/>
            <w:color w:val="0000FF"/>
            <w:u w:val="single"/>
            <w:rtl/>
          </w:rPr>
          <w:t>חוק העונשין</w:t>
        </w:r>
      </w:hyperlink>
      <w:r>
        <w:rPr>
          <w:rFonts w:ascii="Arial" w:hAnsi="Arial" w:hint="cs"/>
          <w:rtl/>
        </w:rPr>
        <w:t xml:space="preserve">, איומים לפי </w:t>
      </w:r>
      <w:hyperlink r:id="rId39" w:history="1">
        <w:r w:rsidR="00E970E1" w:rsidRPr="00E970E1">
          <w:rPr>
            <w:rFonts w:ascii="Arial" w:hAnsi="Arial"/>
            <w:color w:val="0000FF"/>
            <w:u w:val="single"/>
            <w:rtl/>
          </w:rPr>
          <w:t>סעיף 192</w:t>
        </w:r>
      </w:hyperlink>
      <w:r>
        <w:rPr>
          <w:rFonts w:ascii="Arial" w:hAnsi="Arial" w:hint="cs"/>
          <w:rtl/>
        </w:rPr>
        <w:t xml:space="preserve"> לחוק העונשין, והעלבת עובד ציבור לפי </w:t>
      </w:r>
      <w:hyperlink r:id="rId40" w:history="1">
        <w:r w:rsidR="00E970E1" w:rsidRPr="00E970E1">
          <w:rPr>
            <w:rFonts w:ascii="Arial" w:hAnsi="Arial"/>
            <w:color w:val="0000FF"/>
            <w:u w:val="single"/>
            <w:rtl/>
          </w:rPr>
          <w:t>סעיף 288</w:t>
        </w:r>
      </w:hyperlink>
      <w:r>
        <w:rPr>
          <w:rFonts w:ascii="Arial" w:hAnsi="Arial" w:hint="cs"/>
          <w:rtl/>
        </w:rPr>
        <w:t xml:space="preserve"> לחוק העונשין. </w:t>
      </w:r>
    </w:p>
    <w:p w14:paraId="6752535B" w14:textId="77777777" w:rsidR="0021198C" w:rsidRDefault="0021198C" w:rsidP="0021198C">
      <w:pPr>
        <w:spacing w:line="360" w:lineRule="auto"/>
        <w:rPr>
          <w:rFonts w:ascii="Arial" w:hAnsi="Arial"/>
          <w:rtl/>
        </w:rPr>
      </w:pPr>
    </w:p>
    <w:p w14:paraId="5C54A638" w14:textId="77777777" w:rsidR="0021198C" w:rsidRDefault="0021198C" w:rsidP="0021198C">
      <w:pPr>
        <w:spacing w:line="360" w:lineRule="auto"/>
        <w:rPr>
          <w:rFonts w:ascii="Arial" w:hAnsi="Arial"/>
          <w:rtl/>
        </w:rPr>
      </w:pPr>
      <w:r>
        <w:rPr>
          <w:rFonts w:ascii="Arial" w:hAnsi="Arial" w:hint="cs"/>
          <w:rtl/>
        </w:rPr>
        <w:t xml:space="preserve">השוטרים העידו בבית המשפט  ולאחר מכן הנאשם הודה בעובדות ולאור זאת אני מרשיע אותו בכל העבירות שיוחסו לו בפרט אישום זה. </w:t>
      </w:r>
    </w:p>
    <w:p w14:paraId="36799C38" w14:textId="77777777" w:rsidR="0021198C" w:rsidRDefault="0021198C" w:rsidP="0021198C">
      <w:pPr>
        <w:spacing w:line="360" w:lineRule="auto"/>
        <w:rPr>
          <w:rFonts w:ascii="Arial" w:hAnsi="Arial"/>
          <w:rtl/>
        </w:rPr>
      </w:pPr>
    </w:p>
    <w:p w14:paraId="726ADD11" w14:textId="77777777" w:rsidR="0021198C" w:rsidRDefault="0021198C" w:rsidP="0021198C">
      <w:pPr>
        <w:rPr>
          <w:rFonts w:ascii="Arial" w:hAnsi="Arial" w:cs="FrankRuehl"/>
          <w:sz w:val="28"/>
          <w:szCs w:val="28"/>
          <w:rtl/>
        </w:rPr>
      </w:pPr>
    </w:p>
    <w:p w14:paraId="08AFD562" w14:textId="77777777" w:rsidR="0021198C" w:rsidRPr="00DE39B2" w:rsidRDefault="00DE39B2" w:rsidP="0021198C">
      <w:pPr>
        <w:rPr>
          <w:rFonts w:ascii="Arial" w:hAnsi="Arial" w:cs="FrankRuehl"/>
          <w:color w:val="FFFFFF"/>
          <w:sz w:val="2"/>
          <w:szCs w:val="2"/>
          <w:rtl/>
        </w:rPr>
      </w:pPr>
      <w:r w:rsidRPr="00DE39B2">
        <w:rPr>
          <w:rFonts w:ascii="Arial" w:hAnsi="Arial" w:cs="FrankRuehl"/>
          <w:color w:val="FFFFFF"/>
          <w:sz w:val="2"/>
          <w:szCs w:val="2"/>
          <w:rtl/>
        </w:rPr>
        <w:t>5129371</w:t>
      </w:r>
    </w:p>
    <w:p w14:paraId="5C99BBFC" w14:textId="77777777" w:rsidR="0021198C" w:rsidRDefault="00DE39B2" w:rsidP="0021198C">
      <w:pPr>
        <w:rPr>
          <w:rFonts w:ascii="Arial" w:hAnsi="Arial" w:cs="Arial"/>
          <w:rtl/>
        </w:rPr>
      </w:pPr>
      <w:r w:rsidRPr="00DE39B2">
        <w:rPr>
          <w:rFonts w:ascii="Arial" w:hAnsi="Arial" w:cs="FrankRuehl"/>
          <w:color w:val="FFFFFF"/>
          <w:sz w:val="2"/>
          <w:szCs w:val="2"/>
          <w:rtl/>
        </w:rPr>
        <w:t>54678313</w:t>
      </w:r>
      <w:r>
        <w:rPr>
          <w:rFonts w:ascii="Arial" w:hAnsi="Arial" w:cs="FrankRuehl"/>
          <w:sz w:val="28"/>
          <w:szCs w:val="28"/>
          <w:rtl/>
        </w:rPr>
        <w:t xml:space="preserve">ניתנה היום,  כ"ג באדר תשע"ז, 21 במרץ 2017, במעמד הצדדים </w:t>
      </w:r>
    </w:p>
    <w:p w14:paraId="10CD92E8" w14:textId="77777777" w:rsidR="0021198C" w:rsidRDefault="0021198C" w:rsidP="0021198C"/>
    <w:p w14:paraId="39899863" w14:textId="77777777" w:rsidR="0021198C" w:rsidRDefault="0021198C" w:rsidP="0021198C">
      <w:pPr>
        <w:rPr>
          <w:rFonts w:ascii="Arial" w:hAnsi="Arial" w:cs="FrankRuehl"/>
          <w:sz w:val="28"/>
          <w:szCs w:val="28"/>
          <w:rtl/>
        </w:rPr>
      </w:pPr>
    </w:p>
    <w:p w14:paraId="6EA7DA17" w14:textId="77777777" w:rsidR="0021198C" w:rsidRDefault="0021198C" w:rsidP="0021198C">
      <w:pPr>
        <w:rPr>
          <w:rFonts w:ascii="Arial" w:hAnsi="Arial" w:cs="FrankRuehl"/>
          <w:sz w:val="28"/>
          <w:szCs w:val="28"/>
          <w:rtl/>
        </w:rPr>
      </w:pPr>
    </w:p>
    <w:p w14:paraId="3866932D" w14:textId="77777777" w:rsidR="0021198C" w:rsidRDefault="00E970E1" w:rsidP="0021198C">
      <w:pPr>
        <w:rPr>
          <w:rFonts w:ascii="Arial" w:hAnsi="Arial" w:cs="FrankRuehl"/>
          <w:sz w:val="28"/>
          <w:szCs w:val="28"/>
          <w:rtl/>
        </w:rPr>
      </w:pPr>
      <w:r w:rsidRPr="00E970E1">
        <w:rPr>
          <w:rFonts w:ascii="Arial" w:hAnsi="Arial" w:cs="FrankRuehl"/>
          <w:color w:val="FFFFFF"/>
          <w:sz w:val="2"/>
          <w:szCs w:val="2"/>
          <w:rtl/>
        </w:rPr>
        <w:t>5129371</w:t>
      </w:r>
      <w:r w:rsidR="0021198C">
        <w:rPr>
          <w:rFonts w:ascii="Arial" w:hAnsi="Arial" w:cs="FrankRuehl"/>
          <w:sz w:val="28"/>
          <w:szCs w:val="28"/>
          <w:rtl/>
        </w:rPr>
        <w:tab/>
      </w:r>
      <w:r w:rsidR="0021198C">
        <w:rPr>
          <w:rFonts w:ascii="Arial" w:hAnsi="Arial" w:cs="FrankRuehl"/>
          <w:sz w:val="28"/>
          <w:szCs w:val="28"/>
          <w:rtl/>
        </w:rPr>
        <w:tab/>
      </w:r>
      <w:r w:rsidR="0021198C">
        <w:rPr>
          <w:rFonts w:ascii="Arial" w:hAnsi="Arial" w:cs="FrankRuehl"/>
          <w:sz w:val="28"/>
          <w:szCs w:val="28"/>
          <w:rtl/>
        </w:rPr>
        <w:tab/>
      </w:r>
      <w:r w:rsidR="0021198C">
        <w:rPr>
          <w:rFonts w:ascii="Arial" w:hAnsi="Arial" w:cs="FrankRuehl"/>
          <w:sz w:val="28"/>
          <w:szCs w:val="28"/>
          <w:rtl/>
        </w:rPr>
        <w:tab/>
      </w:r>
      <w:r w:rsidR="0021198C">
        <w:rPr>
          <w:rFonts w:ascii="Arial" w:hAnsi="Arial" w:cs="FrankRuehl"/>
          <w:sz w:val="28"/>
          <w:szCs w:val="28"/>
          <w:rtl/>
        </w:rPr>
        <w:tab/>
      </w:r>
      <w:r w:rsidR="0021198C">
        <w:rPr>
          <w:rFonts w:ascii="Arial" w:hAnsi="Arial" w:cs="FrankRuehl"/>
          <w:sz w:val="28"/>
          <w:szCs w:val="28"/>
          <w:rtl/>
        </w:rPr>
        <w:tab/>
      </w:r>
      <w:r w:rsidR="0021198C">
        <w:rPr>
          <w:rFonts w:ascii="Arial" w:hAnsi="Arial" w:cs="FrankRuehl"/>
          <w:sz w:val="28"/>
          <w:szCs w:val="28"/>
          <w:rtl/>
        </w:rPr>
        <w:tab/>
      </w:r>
      <w:r w:rsidR="0021198C">
        <w:rPr>
          <w:rFonts w:ascii="Arial" w:hAnsi="Arial" w:cs="FrankRuehl"/>
          <w:sz w:val="28"/>
          <w:szCs w:val="28"/>
          <w:rtl/>
        </w:rPr>
        <w:tab/>
      </w:r>
      <w:r w:rsidR="0021198C">
        <w:rPr>
          <w:rFonts w:ascii="Arial" w:hAnsi="Arial" w:cs="FrankRuehl" w:hint="cs"/>
          <w:sz w:val="28"/>
          <w:szCs w:val="28"/>
          <w:rtl/>
        </w:rPr>
        <w:t>צבי גורפינקל, שופט עמית</w:t>
      </w:r>
    </w:p>
    <w:p w14:paraId="5228F1B3" w14:textId="77777777" w:rsidR="00DE39B2" w:rsidRPr="00E970E1" w:rsidRDefault="00E970E1" w:rsidP="00DE39B2">
      <w:pPr>
        <w:keepNext/>
        <w:rPr>
          <w:rFonts w:ascii="David" w:hAnsi="David"/>
          <w:color w:val="FFFFFF"/>
          <w:sz w:val="2"/>
          <w:szCs w:val="2"/>
          <w:rtl/>
        </w:rPr>
      </w:pPr>
      <w:r w:rsidRPr="00E970E1">
        <w:rPr>
          <w:rFonts w:ascii="David" w:hAnsi="David"/>
          <w:color w:val="FFFFFF"/>
          <w:sz w:val="2"/>
          <w:szCs w:val="2"/>
          <w:rtl/>
        </w:rPr>
        <w:t>54678313</w:t>
      </w:r>
    </w:p>
    <w:p w14:paraId="07CD3D64" w14:textId="77777777" w:rsidR="00DE39B2" w:rsidRPr="00DE39B2" w:rsidRDefault="00DE39B2" w:rsidP="00DE39B2">
      <w:pPr>
        <w:keepNext/>
        <w:rPr>
          <w:rFonts w:ascii="David" w:hAnsi="David"/>
          <w:color w:val="000000"/>
          <w:sz w:val="22"/>
          <w:szCs w:val="22"/>
          <w:rtl/>
        </w:rPr>
      </w:pPr>
      <w:r w:rsidRPr="00DE39B2">
        <w:rPr>
          <w:rFonts w:ascii="David" w:hAnsi="David"/>
          <w:color w:val="000000"/>
          <w:sz w:val="22"/>
          <w:szCs w:val="22"/>
          <w:rtl/>
        </w:rPr>
        <w:t>העמית 54678313</w:t>
      </w:r>
    </w:p>
    <w:p w14:paraId="67B8E53D" w14:textId="77777777" w:rsidR="00DE39B2" w:rsidRDefault="00DE39B2" w:rsidP="00DE39B2">
      <w:r w:rsidRPr="00DE39B2">
        <w:rPr>
          <w:color w:val="000000"/>
          <w:rtl/>
        </w:rPr>
        <w:t>נוסח מסמך זה כפוף לשינויי ניסוח ועריכה</w:t>
      </w:r>
    </w:p>
    <w:p w14:paraId="3B3F530A" w14:textId="77777777" w:rsidR="00DE39B2" w:rsidRDefault="00DE39B2" w:rsidP="00DE39B2">
      <w:pPr>
        <w:rPr>
          <w:rtl/>
        </w:rPr>
      </w:pPr>
    </w:p>
    <w:p w14:paraId="07618678" w14:textId="77777777" w:rsidR="00DE39B2" w:rsidRDefault="00DE39B2" w:rsidP="00DE39B2">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43706948" w14:textId="77777777" w:rsidR="00E970E1" w:rsidRPr="00E970E1" w:rsidRDefault="00E970E1" w:rsidP="00E970E1">
      <w:pPr>
        <w:keepNext/>
        <w:rPr>
          <w:rFonts w:ascii="David" w:hAnsi="David"/>
          <w:color w:val="000000"/>
          <w:sz w:val="22"/>
          <w:szCs w:val="22"/>
          <w:rtl/>
        </w:rPr>
      </w:pPr>
    </w:p>
    <w:sectPr w:rsidR="00E970E1" w:rsidRPr="00E970E1" w:rsidSect="00E970E1">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3F06B" w14:textId="77777777" w:rsidR="003A620A" w:rsidRDefault="003A620A">
      <w:r>
        <w:separator/>
      </w:r>
    </w:p>
  </w:endnote>
  <w:endnote w:type="continuationSeparator" w:id="0">
    <w:p w14:paraId="44DE5838" w14:textId="77777777" w:rsidR="003A620A" w:rsidRDefault="003A6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D4689" w14:textId="77777777" w:rsidR="003A620A" w:rsidRDefault="003A620A" w:rsidP="00E970E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3A27D634" w14:textId="77777777" w:rsidR="003A620A" w:rsidRPr="00E970E1" w:rsidRDefault="003A620A" w:rsidP="00E970E1">
    <w:pPr>
      <w:pStyle w:val="Footer"/>
      <w:pBdr>
        <w:top w:val="single" w:sz="4" w:space="1" w:color="auto"/>
        <w:between w:val="single" w:sz="4" w:space="0" w:color="auto"/>
      </w:pBdr>
      <w:spacing w:after="60"/>
      <w:jc w:val="center"/>
      <w:rPr>
        <w:rFonts w:ascii="FrankRuehl" w:hAnsi="FrankRuehl" w:cs="FrankRuehl"/>
        <w:color w:val="000000"/>
      </w:rPr>
    </w:pPr>
    <w:r w:rsidRPr="00E970E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8009C" w14:textId="77777777" w:rsidR="003A620A" w:rsidRDefault="003A620A" w:rsidP="00E970E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5BF5">
      <w:rPr>
        <w:rFonts w:ascii="FrankRuehl" w:hAnsi="FrankRuehl" w:cs="FrankRuehl"/>
        <w:rtl/>
      </w:rPr>
      <w:t>1</w:t>
    </w:r>
    <w:r>
      <w:rPr>
        <w:rFonts w:ascii="FrankRuehl" w:hAnsi="FrankRuehl" w:cs="FrankRuehl"/>
        <w:rtl/>
      </w:rPr>
      <w:fldChar w:fldCharType="end"/>
    </w:r>
  </w:p>
  <w:p w14:paraId="113C2562" w14:textId="77777777" w:rsidR="003A620A" w:rsidRPr="00E970E1" w:rsidRDefault="003A620A" w:rsidP="00E970E1">
    <w:pPr>
      <w:pStyle w:val="Footer"/>
      <w:pBdr>
        <w:top w:val="single" w:sz="4" w:space="1" w:color="auto"/>
        <w:between w:val="single" w:sz="4" w:space="0" w:color="auto"/>
      </w:pBdr>
      <w:spacing w:after="60"/>
      <w:jc w:val="center"/>
      <w:rPr>
        <w:rFonts w:ascii="FrankRuehl" w:hAnsi="FrankRuehl" w:cs="FrankRuehl"/>
        <w:color w:val="000000"/>
      </w:rPr>
    </w:pPr>
    <w:r w:rsidRPr="00E970E1">
      <w:rPr>
        <w:rFonts w:ascii="FrankRuehl" w:hAnsi="FrankRuehl" w:cs="FrankRuehl"/>
        <w:color w:val="000000"/>
      </w:rPr>
      <w:pict w14:anchorId="75F95E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3D821" w14:textId="77777777" w:rsidR="003A620A" w:rsidRDefault="003A620A">
      <w:r>
        <w:separator/>
      </w:r>
    </w:p>
  </w:footnote>
  <w:footnote w:type="continuationSeparator" w:id="0">
    <w:p w14:paraId="17822E01" w14:textId="77777777" w:rsidR="003A620A" w:rsidRDefault="003A6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3F828" w14:textId="77777777" w:rsidR="003A620A" w:rsidRPr="00E970E1" w:rsidRDefault="003A620A" w:rsidP="00E970E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61448-11-15</w:t>
    </w:r>
    <w:r>
      <w:rPr>
        <w:rFonts w:ascii="David" w:hAnsi="David"/>
        <w:color w:val="000000"/>
        <w:sz w:val="22"/>
        <w:szCs w:val="22"/>
        <w:rtl/>
      </w:rPr>
      <w:tab/>
      <w:t xml:space="preserve"> מדינת ישראל נ' מור מרדכי פרנקו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D46A6" w14:textId="77777777" w:rsidR="003A620A" w:rsidRPr="00E970E1" w:rsidRDefault="003A620A" w:rsidP="00E970E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61448-11-15</w:t>
    </w:r>
    <w:r>
      <w:rPr>
        <w:rFonts w:ascii="David" w:hAnsi="David"/>
        <w:color w:val="000000"/>
        <w:sz w:val="22"/>
        <w:szCs w:val="22"/>
        <w:rtl/>
      </w:rPr>
      <w:tab/>
      <w:t xml:space="preserve"> מדינת ישראל נ' מור מרדכי פרנקו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1198C"/>
    <w:rsid w:val="00004B4A"/>
    <w:rsid w:val="000258C6"/>
    <w:rsid w:val="00092DB2"/>
    <w:rsid w:val="000B222D"/>
    <w:rsid w:val="000F3716"/>
    <w:rsid w:val="000F776E"/>
    <w:rsid w:val="001163D9"/>
    <w:rsid w:val="00123268"/>
    <w:rsid w:val="0013605C"/>
    <w:rsid w:val="0015154B"/>
    <w:rsid w:val="0017711A"/>
    <w:rsid w:val="00203146"/>
    <w:rsid w:val="0021198C"/>
    <w:rsid w:val="002474C9"/>
    <w:rsid w:val="002B1389"/>
    <w:rsid w:val="002D2C1C"/>
    <w:rsid w:val="002E4BA2"/>
    <w:rsid w:val="00327617"/>
    <w:rsid w:val="00371D27"/>
    <w:rsid w:val="00374124"/>
    <w:rsid w:val="0039304E"/>
    <w:rsid w:val="003A620A"/>
    <w:rsid w:val="003C709F"/>
    <w:rsid w:val="003D65D3"/>
    <w:rsid w:val="003E51B4"/>
    <w:rsid w:val="003F02C5"/>
    <w:rsid w:val="004D1A95"/>
    <w:rsid w:val="004D5997"/>
    <w:rsid w:val="00533D5C"/>
    <w:rsid w:val="00551C5E"/>
    <w:rsid w:val="005638FB"/>
    <w:rsid w:val="00582B08"/>
    <w:rsid w:val="005847C1"/>
    <w:rsid w:val="005B4DDE"/>
    <w:rsid w:val="005E305D"/>
    <w:rsid w:val="00671477"/>
    <w:rsid w:val="00675BF5"/>
    <w:rsid w:val="006D1E81"/>
    <w:rsid w:val="00710EDB"/>
    <w:rsid w:val="007171C2"/>
    <w:rsid w:val="00720984"/>
    <w:rsid w:val="007900C5"/>
    <w:rsid w:val="007A3B68"/>
    <w:rsid w:val="007D10E0"/>
    <w:rsid w:val="007E62CB"/>
    <w:rsid w:val="008043FC"/>
    <w:rsid w:val="008057C3"/>
    <w:rsid w:val="00845102"/>
    <w:rsid w:val="00860D56"/>
    <w:rsid w:val="00866CE3"/>
    <w:rsid w:val="00875CAA"/>
    <w:rsid w:val="008760F0"/>
    <w:rsid w:val="008B2C82"/>
    <w:rsid w:val="008D4AF6"/>
    <w:rsid w:val="00901DEA"/>
    <w:rsid w:val="00913EC5"/>
    <w:rsid w:val="00946CA3"/>
    <w:rsid w:val="009A4E50"/>
    <w:rsid w:val="009A720E"/>
    <w:rsid w:val="009B1F78"/>
    <w:rsid w:val="009B4682"/>
    <w:rsid w:val="00A03304"/>
    <w:rsid w:val="00A24369"/>
    <w:rsid w:val="00A472AB"/>
    <w:rsid w:val="00A52B25"/>
    <w:rsid w:val="00A96648"/>
    <w:rsid w:val="00AE1669"/>
    <w:rsid w:val="00B07251"/>
    <w:rsid w:val="00B10977"/>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54C63"/>
    <w:rsid w:val="00C66536"/>
    <w:rsid w:val="00C6661F"/>
    <w:rsid w:val="00C9418A"/>
    <w:rsid w:val="00D11A80"/>
    <w:rsid w:val="00D308EF"/>
    <w:rsid w:val="00D357B5"/>
    <w:rsid w:val="00D40041"/>
    <w:rsid w:val="00D56203"/>
    <w:rsid w:val="00D807AC"/>
    <w:rsid w:val="00DD36BA"/>
    <w:rsid w:val="00DE1662"/>
    <w:rsid w:val="00DE39B2"/>
    <w:rsid w:val="00E34F7B"/>
    <w:rsid w:val="00E45CCB"/>
    <w:rsid w:val="00E61C95"/>
    <w:rsid w:val="00E970E1"/>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47AA0BD"/>
  <w15:chartTrackingRefBased/>
  <w15:docId w15:val="{82AF9C26-9819-4214-9176-96811A4B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198C"/>
    <w:pPr>
      <w:bidi/>
    </w:pPr>
    <w:rPr>
      <w:rFonts w:cs="David"/>
      <w:noProof/>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1198C"/>
    <w:pPr>
      <w:tabs>
        <w:tab w:val="center" w:pos="4153"/>
        <w:tab w:val="right" w:pos="8306"/>
      </w:tabs>
    </w:pPr>
  </w:style>
  <w:style w:type="paragraph" w:styleId="Footer">
    <w:name w:val="footer"/>
    <w:basedOn w:val="Normal"/>
    <w:rsid w:val="0021198C"/>
    <w:pPr>
      <w:tabs>
        <w:tab w:val="center" w:pos="4153"/>
        <w:tab w:val="right" w:pos="8306"/>
      </w:tabs>
    </w:pPr>
  </w:style>
  <w:style w:type="character" w:styleId="PageNumber">
    <w:name w:val="page number"/>
    <w:basedOn w:val="DefaultParagraphFont"/>
    <w:rsid w:val="00DE39B2"/>
  </w:style>
  <w:style w:type="character" w:styleId="Hyperlink">
    <w:name w:val="Hyperlink"/>
    <w:basedOn w:val="DefaultParagraphFont"/>
    <w:rsid w:val="00DE39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2.2" TargetMode="External"/><Relationship Id="rId18" Type="http://schemas.openxmlformats.org/officeDocument/2006/relationships/hyperlink" Target="http://www.nevo.co.il/law/5227/10.a"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192" TargetMode="External"/><Relationship Id="rId21" Type="http://schemas.openxmlformats.org/officeDocument/2006/relationships/hyperlink" Target="http://www.nevo.co.il/law/70301/288" TargetMode="External"/><Relationship Id="rId34" Type="http://schemas.openxmlformats.org/officeDocument/2006/relationships/hyperlink" Target="http://www.nevo.co.il/law/5227"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428" TargetMode="External"/><Relationship Id="rId29" Type="http://schemas.openxmlformats.org/officeDocument/2006/relationships/hyperlink" Target="http://www.nevo.co.il/law/70301/243"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73" TargetMode="External"/><Relationship Id="rId24" Type="http://schemas.openxmlformats.org/officeDocument/2006/relationships/hyperlink" Target="http://www.nevo.co.il/law/70301/349.a"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25" TargetMode="External"/><Relationship Id="rId40" Type="http://schemas.openxmlformats.org/officeDocument/2006/relationships/hyperlink" Target="http://www.nevo.co.il/law/70301/288"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413c"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273" TargetMode="External"/><Relationship Id="rId10" Type="http://schemas.openxmlformats.org/officeDocument/2006/relationships/hyperlink" Target="http://www.nevo.co.il/law/70301/243" TargetMode="External"/><Relationship Id="rId19" Type="http://schemas.openxmlformats.org/officeDocument/2006/relationships/hyperlink" Target="http://www.nevo.co.il/law/70301/192" TargetMode="External"/><Relationship Id="rId31" Type="http://schemas.openxmlformats.org/officeDocument/2006/relationships/hyperlink" Target="http://www.nevo.co.il/law/70301/332.2"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216.a.1" TargetMode="External"/><Relationship Id="rId14" Type="http://schemas.openxmlformats.org/officeDocument/2006/relationships/hyperlink" Target="http://www.nevo.co.il/law/70301/349.a" TargetMode="External"/><Relationship Id="rId22" Type="http://schemas.openxmlformats.org/officeDocument/2006/relationships/hyperlink" Target="http://www.nevo.co.il/law/70301/216.a.1" TargetMode="External"/><Relationship Id="rId27" Type="http://schemas.openxmlformats.org/officeDocument/2006/relationships/hyperlink" Target="http://www.nevo.co.il/law/70301/428"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413c" TargetMode="External"/><Relationship Id="rId43" Type="http://schemas.openxmlformats.org/officeDocument/2006/relationships/header" Target="header2.xml"/><Relationship Id="rId8" Type="http://schemas.openxmlformats.org/officeDocument/2006/relationships/hyperlink" Target="http://www.nevo.co.il/law/70301/192" TargetMode="External"/><Relationship Id="rId3" Type="http://schemas.openxmlformats.org/officeDocument/2006/relationships/webSettings" Target="webSettings.xml"/><Relationship Id="rId12" Type="http://schemas.openxmlformats.org/officeDocument/2006/relationships/hyperlink" Target="http://www.nevo.co.il/law/70301/288" TargetMode="External"/><Relationship Id="rId17" Type="http://schemas.openxmlformats.org/officeDocument/2006/relationships/hyperlink" Target="http://www.nevo.co.il/law/5227" TargetMode="External"/><Relationship Id="rId25" Type="http://schemas.openxmlformats.org/officeDocument/2006/relationships/hyperlink" Target="http://www.nevo.co.il/law/70301/428" TargetMode="External"/><Relationship Id="rId33" Type="http://schemas.openxmlformats.org/officeDocument/2006/relationships/hyperlink" Target="http://www.nevo.co.il/law/5227/10.a" TargetMode="External"/><Relationship Id="rId38" Type="http://schemas.openxmlformats.org/officeDocument/2006/relationships/hyperlink" Target="http://www.nevo.co.il/law/70301" TargetMode="External"/><Relationship Id="rId46"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11000</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7143527</vt:i4>
      </vt:variant>
      <vt:variant>
        <vt:i4>102</vt:i4>
      </vt:variant>
      <vt:variant>
        <vt:i4>0</vt:i4>
      </vt:variant>
      <vt:variant>
        <vt:i4>5</vt:i4>
      </vt:variant>
      <vt:variant>
        <vt:lpwstr>http://www.nevo.co.il/law/70301/288</vt:lpwstr>
      </vt:variant>
      <vt:variant>
        <vt:lpwstr/>
      </vt:variant>
      <vt:variant>
        <vt:i4>7077988</vt:i4>
      </vt:variant>
      <vt:variant>
        <vt:i4>99</vt:i4>
      </vt:variant>
      <vt:variant>
        <vt:i4>0</vt:i4>
      </vt:variant>
      <vt:variant>
        <vt:i4>5</vt:i4>
      </vt:variant>
      <vt:variant>
        <vt:lpwstr>http://www.nevo.co.il/law/70301/192</vt:lpwstr>
      </vt:variant>
      <vt:variant>
        <vt:lpwstr/>
      </vt:variant>
      <vt:variant>
        <vt:i4>7995492</vt:i4>
      </vt:variant>
      <vt:variant>
        <vt:i4>96</vt:i4>
      </vt:variant>
      <vt:variant>
        <vt:i4>0</vt:i4>
      </vt:variant>
      <vt:variant>
        <vt:i4>5</vt:i4>
      </vt:variant>
      <vt:variant>
        <vt:lpwstr>http://www.nevo.co.il/law/70301</vt:lpwstr>
      </vt:variant>
      <vt:variant>
        <vt:lpwstr/>
      </vt:variant>
      <vt:variant>
        <vt:i4>6291559</vt:i4>
      </vt:variant>
      <vt:variant>
        <vt:i4>93</vt:i4>
      </vt:variant>
      <vt:variant>
        <vt:i4>0</vt:i4>
      </vt:variant>
      <vt:variant>
        <vt:i4>5</vt:i4>
      </vt:variant>
      <vt:variant>
        <vt:lpwstr>http://www.nevo.co.il/law/70301/25</vt:lpwstr>
      </vt:variant>
      <vt:variant>
        <vt:lpwstr/>
      </vt:variant>
      <vt:variant>
        <vt:i4>6422631</vt:i4>
      </vt:variant>
      <vt:variant>
        <vt:i4>90</vt:i4>
      </vt:variant>
      <vt:variant>
        <vt:i4>0</vt:i4>
      </vt:variant>
      <vt:variant>
        <vt:i4>5</vt:i4>
      </vt:variant>
      <vt:variant>
        <vt:lpwstr>http://www.nevo.co.il/law/70301/273</vt:lpwstr>
      </vt:variant>
      <vt:variant>
        <vt:lpwstr/>
      </vt:variant>
      <vt:variant>
        <vt:i4>458834</vt:i4>
      </vt:variant>
      <vt:variant>
        <vt:i4>87</vt:i4>
      </vt:variant>
      <vt:variant>
        <vt:i4>0</vt:i4>
      </vt:variant>
      <vt:variant>
        <vt:i4>5</vt:i4>
      </vt:variant>
      <vt:variant>
        <vt:lpwstr>http://www.nevo.co.il/law/70301/413c</vt:lpwstr>
      </vt:variant>
      <vt:variant>
        <vt:lpwstr/>
      </vt:variant>
      <vt:variant>
        <vt:i4>8323175</vt:i4>
      </vt:variant>
      <vt:variant>
        <vt:i4>84</vt:i4>
      </vt:variant>
      <vt:variant>
        <vt:i4>0</vt:i4>
      </vt:variant>
      <vt:variant>
        <vt:i4>5</vt:i4>
      </vt:variant>
      <vt:variant>
        <vt:lpwstr>http://www.nevo.co.il/law/5227</vt:lpwstr>
      </vt:variant>
      <vt:variant>
        <vt:lpwstr/>
      </vt:variant>
      <vt:variant>
        <vt:i4>6291576</vt:i4>
      </vt:variant>
      <vt:variant>
        <vt:i4>81</vt:i4>
      </vt:variant>
      <vt:variant>
        <vt:i4>0</vt:i4>
      </vt:variant>
      <vt:variant>
        <vt:i4>5</vt:i4>
      </vt:variant>
      <vt:variant>
        <vt:lpwstr>http://www.nevo.co.il/law/5227/10.a</vt:lpwstr>
      </vt:variant>
      <vt:variant>
        <vt:lpwstr/>
      </vt:variant>
      <vt:variant>
        <vt:i4>7995492</vt:i4>
      </vt:variant>
      <vt:variant>
        <vt:i4>78</vt:i4>
      </vt:variant>
      <vt:variant>
        <vt:i4>0</vt:i4>
      </vt:variant>
      <vt:variant>
        <vt:i4>5</vt:i4>
      </vt:variant>
      <vt:variant>
        <vt:lpwstr>http://www.nevo.co.il/law/70301</vt:lpwstr>
      </vt:variant>
      <vt:variant>
        <vt:lpwstr/>
      </vt:variant>
      <vt:variant>
        <vt:i4>4718676</vt:i4>
      </vt:variant>
      <vt:variant>
        <vt:i4>75</vt:i4>
      </vt:variant>
      <vt:variant>
        <vt:i4>0</vt:i4>
      </vt:variant>
      <vt:variant>
        <vt:i4>5</vt:i4>
      </vt:variant>
      <vt:variant>
        <vt:lpwstr>http://www.nevo.co.il/law/70301/332.2</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6357095</vt:i4>
      </vt:variant>
      <vt:variant>
        <vt:i4>69</vt:i4>
      </vt:variant>
      <vt:variant>
        <vt:i4>0</vt:i4>
      </vt:variant>
      <vt:variant>
        <vt:i4>5</vt:i4>
      </vt:variant>
      <vt:variant>
        <vt:lpwstr>http://www.nevo.co.il/law/70301/243</vt:lpwstr>
      </vt:variant>
      <vt:variant>
        <vt:lpwstr/>
      </vt:variant>
      <vt:variant>
        <vt:i4>7995492</vt:i4>
      </vt:variant>
      <vt:variant>
        <vt:i4>66</vt:i4>
      </vt:variant>
      <vt:variant>
        <vt:i4>0</vt:i4>
      </vt:variant>
      <vt:variant>
        <vt:i4>5</vt:i4>
      </vt:variant>
      <vt:variant>
        <vt:lpwstr>http://www.nevo.co.il/law/70301</vt:lpwstr>
      </vt:variant>
      <vt:variant>
        <vt:lpwstr/>
      </vt:variant>
      <vt:variant>
        <vt:i4>6750305</vt:i4>
      </vt:variant>
      <vt:variant>
        <vt:i4>63</vt:i4>
      </vt:variant>
      <vt:variant>
        <vt:i4>0</vt:i4>
      </vt:variant>
      <vt:variant>
        <vt:i4>5</vt:i4>
      </vt:variant>
      <vt:variant>
        <vt:lpwstr>http://www.nevo.co.il/law/70301/428</vt:lpwstr>
      </vt:variant>
      <vt:variant>
        <vt:lpwstr/>
      </vt:variant>
      <vt:variant>
        <vt:i4>7995492</vt:i4>
      </vt:variant>
      <vt:variant>
        <vt:i4>60</vt:i4>
      </vt:variant>
      <vt:variant>
        <vt:i4>0</vt:i4>
      </vt:variant>
      <vt:variant>
        <vt:i4>5</vt:i4>
      </vt:variant>
      <vt:variant>
        <vt:lpwstr>http://www.nevo.co.il/law/70301</vt:lpwstr>
      </vt:variant>
      <vt:variant>
        <vt:lpwstr/>
      </vt:variant>
      <vt:variant>
        <vt:i4>6750305</vt:i4>
      </vt:variant>
      <vt:variant>
        <vt:i4>57</vt:i4>
      </vt:variant>
      <vt:variant>
        <vt:i4>0</vt:i4>
      </vt:variant>
      <vt:variant>
        <vt:i4>5</vt:i4>
      </vt:variant>
      <vt:variant>
        <vt:lpwstr>http://www.nevo.co.il/law/70301/428</vt:lpwstr>
      </vt:variant>
      <vt:variant>
        <vt:lpwstr/>
      </vt:variant>
      <vt:variant>
        <vt:i4>5177439</vt:i4>
      </vt:variant>
      <vt:variant>
        <vt:i4>54</vt:i4>
      </vt:variant>
      <vt:variant>
        <vt:i4>0</vt:i4>
      </vt:variant>
      <vt:variant>
        <vt:i4>5</vt:i4>
      </vt:variant>
      <vt:variant>
        <vt:lpwstr>http://www.nevo.co.il/law/70301/349.a</vt:lpwstr>
      </vt:variant>
      <vt:variant>
        <vt:lpwstr/>
      </vt:variant>
      <vt:variant>
        <vt:i4>7995492</vt:i4>
      </vt:variant>
      <vt:variant>
        <vt:i4>51</vt:i4>
      </vt:variant>
      <vt:variant>
        <vt:i4>0</vt:i4>
      </vt:variant>
      <vt:variant>
        <vt:i4>5</vt:i4>
      </vt:variant>
      <vt:variant>
        <vt:lpwstr>http://www.nevo.co.il/law/70301</vt:lpwstr>
      </vt:variant>
      <vt:variant>
        <vt:lpwstr/>
      </vt:variant>
      <vt:variant>
        <vt:i4>6553648</vt:i4>
      </vt:variant>
      <vt:variant>
        <vt:i4>48</vt:i4>
      </vt:variant>
      <vt:variant>
        <vt:i4>0</vt:i4>
      </vt:variant>
      <vt:variant>
        <vt:i4>5</vt:i4>
      </vt:variant>
      <vt:variant>
        <vt:lpwstr>http://www.nevo.co.il/law/70301/216.a.1</vt:lpwstr>
      </vt:variant>
      <vt:variant>
        <vt:lpwstr/>
      </vt:variant>
      <vt:variant>
        <vt:i4>7143527</vt:i4>
      </vt:variant>
      <vt:variant>
        <vt:i4>45</vt:i4>
      </vt:variant>
      <vt:variant>
        <vt:i4>0</vt:i4>
      </vt:variant>
      <vt:variant>
        <vt:i4>5</vt:i4>
      </vt:variant>
      <vt:variant>
        <vt:lpwstr>http://www.nevo.co.il/law/70301/288</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7077988</vt:i4>
      </vt:variant>
      <vt:variant>
        <vt:i4>39</vt:i4>
      </vt:variant>
      <vt:variant>
        <vt:i4>0</vt:i4>
      </vt:variant>
      <vt:variant>
        <vt:i4>5</vt:i4>
      </vt:variant>
      <vt:variant>
        <vt:lpwstr>http://www.nevo.co.il/law/70301/192</vt:lpwstr>
      </vt:variant>
      <vt:variant>
        <vt:lpwstr/>
      </vt:variant>
      <vt:variant>
        <vt:i4>6291576</vt:i4>
      </vt:variant>
      <vt:variant>
        <vt:i4>36</vt:i4>
      </vt:variant>
      <vt:variant>
        <vt:i4>0</vt:i4>
      </vt:variant>
      <vt:variant>
        <vt:i4>5</vt:i4>
      </vt:variant>
      <vt:variant>
        <vt:lpwstr>http://www.nevo.co.il/law/5227/10.a</vt:lpwstr>
      </vt:variant>
      <vt:variant>
        <vt:lpwstr/>
      </vt:variant>
      <vt:variant>
        <vt:i4>8323175</vt:i4>
      </vt:variant>
      <vt:variant>
        <vt:i4>33</vt:i4>
      </vt:variant>
      <vt:variant>
        <vt:i4>0</vt:i4>
      </vt:variant>
      <vt:variant>
        <vt:i4>5</vt:i4>
      </vt:variant>
      <vt:variant>
        <vt:lpwstr>http://www.nevo.co.il/law/5227</vt:lpwstr>
      </vt:variant>
      <vt:variant>
        <vt:lpwstr/>
      </vt:variant>
      <vt:variant>
        <vt:i4>6750305</vt:i4>
      </vt:variant>
      <vt:variant>
        <vt:i4>30</vt:i4>
      </vt:variant>
      <vt:variant>
        <vt:i4>0</vt:i4>
      </vt:variant>
      <vt:variant>
        <vt:i4>5</vt:i4>
      </vt:variant>
      <vt:variant>
        <vt:lpwstr>http://www.nevo.co.il/law/70301/428</vt:lpwstr>
      </vt:variant>
      <vt:variant>
        <vt:lpwstr/>
      </vt:variant>
      <vt:variant>
        <vt:i4>458834</vt:i4>
      </vt:variant>
      <vt:variant>
        <vt:i4>27</vt:i4>
      </vt:variant>
      <vt:variant>
        <vt:i4>0</vt:i4>
      </vt:variant>
      <vt:variant>
        <vt:i4>5</vt:i4>
      </vt:variant>
      <vt:variant>
        <vt:lpwstr>http://www.nevo.co.il/law/70301/413c</vt:lpwstr>
      </vt:variant>
      <vt:variant>
        <vt:lpwstr/>
      </vt:variant>
      <vt:variant>
        <vt:i4>5177439</vt:i4>
      </vt:variant>
      <vt:variant>
        <vt:i4>24</vt:i4>
      </vt:variant>
      <vt:variant>
        <vt:i4>0</vt:i4>
      </vt:variant>
      <vt:variant>
        <vt:i4>5</vt:i4>
      </vt:variant>
      <vt:variant>
        <vt:lpwstr>http://www.nevo.co.il/law/70301/349.a</vt:lpwstr>
      </vt:variant>
      <vt:variant>
        <vt:lpwstr/>
      </vt:variant>
      <vt:variant>
        <vt:i4>4718676</vt:i4>
      </vt:variant>
      <vt:variant>
        <vt:i4>21</vt:i4>
      </vt:variant>
      <vt:variant>
        <vt:i4>0</vt:i4>
      </vt:variant>
      <vt:variant>
        <vt:i4>5</vt:i4>
      </vt:variant>
      <vt:variant>
        <vt:lpwstr>http://www.nevo.co.il/law/70301/332.2</vt:lpwstr>
      </vt:variant>
      <vt:variant>
        <vt:lpwstr/>
      </vt:variant>
      <vt:variant>
        <vt:i4>7143527</vt:i4>
      </vt:variant>
      <vt:variant>
        <vt:i4>18</vt:i4>
      </vt:variant>
      <vt:variant>
        <vt:i4>0</vt:i4>
      </vt:variant>
      <vt:variant>
        <vt:i4>5</vt:i4>
      </vt:variant>
      <vt:variant>
        <vt:lpwstr>http://www.nevo.co.il/law/70301/288</vt:lpwstr>
      </vt:variant>
      <vt:variant>
        <vt:lpwstr/>
      </vt:variant>
      <vt:variant>
        <vt:i4>6422631</vt:i4>
      </vt:variant>
      <vt:variant>
        <vt:i4>15</vt:i4>
      </vt:variant>
      <vt:variant>
        <vt:i4>0</vt:i4>
      </vt:variant>
      <vt:variant>
        <vt:i4>5</vt:i4>
      </vt:variant>
      <vt:variant>
        <vt:lpwstr>http://www.nevo.co.il/law/70301/273</vt:lpwstr>
      </vt:variant>
      <vt:variant>
        <vt:lpwstr/>
      </vt:variant>
      <vt:variant>
        <vt:i4>6357095</vt:i4>
      </vt:variant>
      <vt:variant>
        <vt:i4>12</vt:i4>
      </vt:variant>
      <vt:variant>
        <vt:i4>0</vt:i4>
      </vt:variant>
      <vt:variant>
        <vt:i4>5</vt:i4>
      </vt:variant>
      <vt:variant>
        <vt:lpwstr>http://www.nevo.co.il/law/70301/243</vt:lpwstr>
      </vt:variant>
      <vt:variant>
        <vt:lpwstr/>
      </vt:variant>
      <vt:variant>
        <vt:i4>6553648</vt:i4>
      </vt:variant>
      <vt:variant>
        <vt:i4>9</vt:i4>
      </vt:variant>
      <vt:variant>
        <vt:i4>0</vt:i4>
      </vt:variant>
      <vt:variant>
        <vt:i4>5</vt:i4>
      </vt:variant>
      <vt:variant>
        <vt:lpwstr>http://www.nevo.co.il/law/70301/216.a.1</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2022-05-24T10:03:00Z</dcterms:created>
  <dcterms:modified xsi:type="dcterms:W3CDTF">2022-05-24T10:03:00Z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61448</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מור מרדכי פרנקו </vt:lpwstr>
  </property>
  <property fmtid="{D5CDD505-2E9C-101B-9397-08002B2CF9AE}" pid="10" name="LAWYER">
    <vt:lpwstr>גיא רוסו;יעל פינקלמן ניסן;דינה שוגול</vt:lpwstr>
  </property>
  <property fmtid="{D5CDD505-2E9C-101B-9397-08002B2CF9AE}" pid="11" name="JUDGE">
    <vt:lpwstr>צבי גורפינקל</vt:lpwstr>
  </property>
  <property fmtid="{D5CDD505-2E9C-101B-9397-08002B2CF9AE}" pid="12" name="CITY">
    <vt:lpwstr>ת"א</vt:lpwstr>
  </property>
  <property fmtid="{D5CDD505-2E9C-101B-9397-08002B2CF9AE}" pid="13" name="DATE">
    <vt:lpwstr>20170321</vt:lpwstr>
  </property>
  <property fmtid="{D5CDD505-2E9C-101B-9397-08002B2CF9AE}" pid="14" name="TYPE_N_DATE">
    <vt:lpwstr>39020170321</vt:lpwstr>
  </property>
  <property fmtid="{D5CDD505-2E9C-101B-9397-08002B2CF9AE}" pid="15" name="WORDNUMPAGES">
    <vt:lpwstr>5</vt:lpwstr>
  </property>
  <property fmtid="{D5CDD505-2E9C-101B-9397-08002B2CF9AE}" pid="16" name="TYPE_ABS_DATE">
    <vt:lpwstr>390020170321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LAWLISTTMP1">
    <vt:lpwstr>70301/192:2;288:2;216.a.1;349.a;428:2;243;332.2;413c;273;025</vt:lpwstr>
  </property>
  <property fmtid="{D5CDD505-2E9C-101B-9397-08002B2CF9AE}" pid="35" name="LAWLISTTMP2">
    <vt:lpwstr>5227/010.a</vt:lpwstr>
  </property>
  <property fmtid="{D5CDD505-2E9C-101B-9397-08002B2CF9AE}" pid="36" name="ISABSTRACT">
    <vt:lpwstr>Y</vt:lpwstr>
  </property>
</Properties>
</file>