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D1B05" w:rsidRPr="0097011E" w14:paraId="585FFE8D" w14:textId="77777777" w:rsidTr="00CD69F5">
        <w:trPr>
          <w:trHeight w:hRule="exact" w:val="704"/>
          <w:jc w:val="center"/>
        </w:trPr>
        <w:tc>
          <w:tcPr>
            <w:tcW w:w="8721" w:type="dxa"/>
            <w:gridSpan w:val="2"/>
          </w:tcPr>
          <w:p w14:paraId="7AC7A709" w14:textId="77777777" w:rsidR="009D1B05" w:rsidRPr="0097011E" w:rsidRDefault="009D1B05" w:rsidP="00CD69F5">
            <w:pPr>
              <w:pStyle w:val="Header"/>
              <w:jc w:val="center"/>
              <w:rPr>
                <w:rFonts w:ascii="Tahoma" w:hAnsi="Tahoma"/>
                <w:noProof w:val="0"/>
                <w:color w:val="000080"/>
                <w:sz w:val="32"/>
                <w:szCs w:val="32"/>
                <w:rtl/>
              </w:rPr>
            </w:pPr>
            <w:bookmarkStart w:id="0" w:name="FirstLawyer"/>
            <w:bookmarkStart w:id="1" w:name="LastJudge"/>
            <w:r w:rsidRPr="0097011E">
              <w:rPr>
                <w:rFonts w:ascii="Tahoma" w:hAnsi="Tahoma"/>
                <w:color w:val="000080"/>
                <w:sz w:val="32"/>
                <w:szCs w:val="32"/>
                <w:rtl/>
              </w:rPr>
              <w:t>בית המשפט המחוזי בירושלים</w:t>
            </w:r>
          </w:p>
        </w:tc>
      </w:tr>
      <w:tr w:rsidR="009D1B05" w:rsidRPr="0097011E" w14:paraId="6ABA1A18" w14:textId="77777777" w:rsidTr="00CD69F5">
        <w:trPr>
          <w:trHeight w:val="337"/>
          <w:jc w:val="center"/>
        </w:trPr>
        <w:tc>
          <w:tcPr>
            <w:tcW w:w="5047" w:type="dxa"/>
          </w:tcPr>
          <w:p w14:paraId="75B551D8" w14:textId="77777777" w:rsidR="009D1B05" w:rsidRPr="0097011E" w:rsidRDefault="009D1B05" w:rsidP="00CD69F5">
            <w:pPr>
              <w:rPr>
                <w:b/>
                <w:bCs/>
                <w:noProof w:val="0"/>
                <w:sz w:val="26"/>
                <w:szCs w:val="26"/>
                <w:rtl/>
              </w:rPr>
            </w:pPr>
          </w:p>
        </w:tc>
        <w:tc>
          <w:tcPr>
            <w:tcW w:w="3674" w:type="dxa"/>
          </w:tcPr>
          <w:p w14:paraId="4811B784" w14:textId="77777777" w:rsidR="009D1B05" w:rsidRPr="0097011E" w:rsidRDefault="009D1B05" w:rsidP="00CD69F5">
            <w:pPr>
              <w:pStyle w:val="Header"/>
              <w:jc w:val="right"/>
              <w:rPr>
                <w:b/>
                <w:bCs/>
                <w:noProof w:val="0"/>
                <w:sz w:val="26"/>
                <w:szCs w:val="26"/>
                <w:rtl/>
              </w:rPr>
            </w:pPr>
          </w:p>
        </w:tc>
      </w:tr>
      <w:tr w:rsidR="009D1B05" w:rsidRPr="0097011E" w14:paraId="4920F464" w14:textId="77777777" w:rsidTr="00CD69F5">
        <w:trPr>
          <w:trHeight w:val="337"/>
          <w:jc w:val="center"/>
        </w:trPr>
        <w:tc>
          <w:tcPr>
            <w:tcW w:w="8721" w:type="dxa"/>
            <w:gridSpan w:val="2"/>
          </w:tcPr>
          <w:p w14:paraId="0087EE14" w14:textId="77777777" w:rsidR="009D1B05" w:rsidRPr="0097011E" w:rsidRDefault="009D1B05" w:rsidP="00CD69F5">
            <w:pPr>
              <w:rPr>
                <w:b/>
                <w:bCs/>
                <w:noProof w:val="0"/>
                <w:sz w:val="26"/>
                <w:szCs w:val="26"/>
                <w:rtl/>
              </w:rPr>
            </w:pPr>
            <w:r w:rsidRPr="0097011E">
              <w:rPr>
                <w:b/>
                <w:bCs/>
                <w:noProof w:val="0"/>
                <w:sz w:val="26"/>
                <w:szCs w:val="26"/>
                <w:rtl/>
              </w:rPr>
              <w:t>ת"פ 46997-12-15 מדינת ישראל נ' אלקסאס</w:t>
            </w:r>
          </w:p>
          <w:p w14:paraId="79C52332" w14:textId="77777777" w:rsidR="009D1B05" w:rsidRPr="0097011E" w:rsidRDefault="009D1B05" w:rsidP="00CD69F5">
            <w:pPr>
              <w:rPr>
                <w:b/>
                <w:bCs/>
                <w:noProof w:val="0"/>
                <w:sz w:val="2"/>
                <w:szCs w:val="2"/>
                <w:rtl/>
              </w:rPr>
            </w:pPr>
          </w:p>
          <w:p w14:paraId="1AE41C45" w14:textId="77777777" w:rsidR="009D1B05" w:rsidRPr="0097011E" w:rsidRDefault="009D1B05" w:rsidP="00CD69F5">
            <w:pPr>
              <w:rPr>
                <w:sz w:val="20"/>
                <w:szCs w:val="20"/>
                <w:rtl/>
              </w:rPr>
            </w:pPr>
            <w:r w:rsidRPr="0097011E">
              <w:rPr>
                <w:rFonts w:hint="cs"/>
                <w:rtl/>
              </w:rPr>
              <w:t xml:space="preserve">                           </w:t>
            </w:r>
            <w:r w:rsidRPr="0097011E">
              <w:rPr>
                <w:rFonts w:hint="cs"/>
                <w:sz w:val="20"/>
                <w:szCs w:val="20"/>
                <w:rtl/>
              </w:rPr>
              <w:t xml:space="preserve">                                       </w:t>
            </w:r>
          </w:p>
          <w:p w14:paraId="3C1D3FAF" w14:textId="77777777" w:rsidR="009D1B05" w:rsidRPr="0097011E" w:rsidRDefault="009D1B05" w:rsidP="00CD69F5">
            <w:pPr>
              <w:rPr>
                <w:sz w:val="20"/>
                <w:szCs w:val="20"/>
                <w:rtl/>
              </w:rPr>
            </w:pPr>
            <w:r w:rsidRPr="0097011E">
              <w:rPr>
                <w:rFonts w:hint="cs"/>
                <w:sz w:val="20"/>
                <w:szCs w:val="20"/>
                <w:rtl/>
              </w:rPr>
              <w:t xml:space="preserve">תיק חיצוני: </w:t>
            </w:r>
            <w:r w:rsidRPr="0097011E">
              <w:rPr>
                <w:rFonts w:hint="eastAsia"/>
                <w:sz w:val="20"/>
                <w:szCs w:val="20"/>
              </w:rPr>
              <w:t>542041/15</w:t>
            </w:r>
            <w:r w:rsidRPr="0097011E">
              <w:rPr>
                <w:rFonts w:hint="cs"/>
                <w:sz w:val="20"/>
                <w:szCs w:val="20"/>
                <w:rtl/>
              </w:rPr>
              <w:t xml:space="preserve"> </w:t>
            </w:r>
            <w:r w:rsidRPr="0097011E">
              <w:rPr>
                <w:sz w:val="20"/>
                <w:szCs w:val="20"/>
                <w:rtl/>
              </w:rPr>
              <w:t xml:space="preserve">  </w:t>
            </w:r>
          </w:p>
        </w:tc>
      </w:tr>
    </w:tbl>
    <w:p w14:paraId="104C75AD" w14:textId="77777777" w:rsidR="009D1B05" w:rsidRPr="0097011E" w:rsidRDefault="009D1B05" w:rsidP="009D1B05">
      <w:pPr>
        <w:pStyle w:val="Header"/>
        <w:rPr>
          <w:noProof w:val="0"/>
          <w:rtl/>
        </w:rPr>
      </w:pPr>
      <w:r w:rsidRPr="0097011E">
        <w:rPr>
          <w:noProof w:val="0"/>
          <w:rtl/>
        </w:rPr>
        <w:t xml:space="preserve"> </w:t>
      </w:r>
    </w:p>
    <w:p w14:paraId="604B1D0D" w14:textId="77777777" w:rsidR="009D1B05" w:rsidRPr="0097011E" w:rsidRDefault="009D1B05" w:rsidP="009D1B05">
      <w:pPr>
        <w:suppressLineNumbers/>
        <w:rPr>
          <w:rtl/>
        </w:rPr>
      </w:pPr>
      <w:r w:rsidRPr="0097011E">
        <w:rPr>
          <w:rtl/>
        </w:rPr>
        <w:t xml:space="preserve"> </w:t>
      </w:r>
    </w:p>
    <w:p w14:paraId="3CA66632" w14:textId="77777777" w:rsidR="009D1B05" w:rsidRPr="0097011E" w:rsidRDefault="009D1B05" w:rsidP="009D1B05">
      <w:pPr>
        <w:suppressLineNumbers/>
        <w:rPr>
          <w:noProof w:val="0"/>
          <w:rtl/>
        </w:rPr>
      </w:pPr>
      <w:bookmarkStart w:id="2" w:name="NGCSBookmark"/>
      <w:bookmarkEnd w:id="2"/>
    </w:p>
    <w:tbl>
      <w:tblPr>
        <w:bidiVisual/>
        <w:tblW w:w="8820" w:type="dxa"/>
        <w:jc w:val="center"/>
        <w:tblLook w:val="01E0" w:firstRow="1" w:lastRow="1" w:firstColumn="1" w:lastColumn="1" w:noHBand="0" w:noVBand="0"/>
      </w:tblPr>
      <w:tblGrid>
        <w:gridCol w:w="743"/>
        <w:gridCol w:w="2506"/>
        <w:gridCol w:w="5571"/>
      </w:tblGrid>
      <w:tr w:rsidR="009D1B05" w:rsidRPr="0097011E" w14:paraId="4A07DD2D" w14:textId="77777777" w:rsidTr="009D1B05">
        <w:trPr>
          <w:jc w:val="center"/>
        </w:trPr>
        <w:tc>
          <w:tcPr>
            <w:tcW w:w="743" w:type="dxa"/>
            <w:shd w:val="clear" w:color="auto" w:fill="auto"/>
          </w:tcPr>
          <w:p w14:paraId="56AB6A46" w14:textId="77777777" w:rsidR="009D1B05" w:rsidRPr="0097011E" w:rsidRDefault="009D1B05" w:rsidP="009D1B05">
            <w:pPr>
              <w:suppressLineNumbers/>
              <w:jc w:val="both"/>
              <w:rPr>
                <w:rFonts w:ascii="Arial" w:hAnsi="Arial"/>
                <w:b/>
                <w:bCs/>
                <w:noProof w:val="0"/>
                <w:rtl/>
              </w:rPr>
            </w:pPr>
            <w:r w:rsidRPr="0097011E">
              <w:rPr>
                <w:rFonts w:ascii="Arial" w:hAnsi="Arial"/>
                <w:b/>
                <w:bCs/>
                <w:noProof w:val="0"/>
                <w:rtl/>
              </w:rPr>
              <w:t xml:space="preserve">בפני </w:t>
            </w:r>
          </w:p>
        </w:tc>
        <w:tc>
          <w:tcPr>
            <w:tcW w:w="8077" w:type="dxa"/>
            <w:gridSpan w:val="2"/>
            <w:shd w:val="clear" w:color="auto" w:fill="auto"/>
          </w:tcPr>
          <w:p w14:paraId="0918DEAB" w14:textId="77777777" w:rsidR="009D1B05" w:rsidRPr="0097011E" w:rsidRDefault="009D1B05" w:rsidP="009D1B05">
            <w:pPr>
              <w:suppressLineNumbers/>
              <w:rPr>
                <w:rFonts w:ascii="Arial" w:hAnsi="Arial"/>
                <w:b/>
                <w:bCs/>
                <w:noProof w:val="0"/>
                <w:rtl/>
              </w:rPr>
            </w:pPr>
            <w:r w:rsidRPr="0097011E">
              <w:rPr>
                <w:rFonts w:ascii="Arial" w:hAnsi="Arial"/>
                <w:b/>
                <w:bCs/>
                <w:noProof w:val="0"/>
                <w:rtl/>
              </w:rPr>
              <w:t>כבוד השופט  אלי אברבנאל</w:t>
            </w:r>
          </w:p>
          <w:p w14:paraId="1A22F46E" w14:textId="77777777" w:rsidR="009D1B05" w:rsidRPr="0097011E" w:rsidRDefault="009D1B05" w:rsidP="009D1B05">
            <w:pPr>
              <w:suppressLineNumbers/>
              <w:rPr>
                <w:rFonts w:ascii="Arial" w:hAnsi="Arial" w:cs="FrankRuehl"/>
                <w:sz w:val="28"/>
                <w:szCs w:val="28"/>
                <w:highlight w:val="yellow"/>
              </w:rPr>
            </w:pPr>
          </w:p>
        </w:tc>
      </w:tr>
      <w:tr w:rsidR="009D1B05" w:rsidRPr="0097011E" w14:paraId="0FEEED88" w14:textId="77777777" w:rsidTr="009D1B05">
        <w:trPr>
          <w:jc w:val="center"/>
        </w:trPr>
        <w:tc>
          <w:tcPr>
            <w:tcW w:w="3249" w:type="dxa"/>
            <w:gridSpan w:val="2"/>
            <w:shd w:val="clear" w:color="auto" w:fill="auto"/>
          </w:tcPr>
          <w:p w14:paraId="2ABCF08C" w14:textId="77777777" w:rsidR="009D1B05" w:rsidRPr="0097011E" w:rsidRDefault="009D1B05" w:rsidP="009D1B05">
            <w:pPr>
              <w:suppressLineNumbers/>
              <w:rPr>
                <w:rFonts w:ascii="Arial" w:hAnsi="Arial"/>
                <w:b/>
                <w:bCs/>
                <w:noProof w:val="0"/>
                <w:sz w:val="26"/>
                <w:szCs w:val="26"/>
              </w:rPr>
            </w:pPr>
            <w:bookmarkStart w:id="3" w:name="FirstAppellant"/>
          </w:p>
          <w:p w14:paraId="2D650599" w14:textId="77777777" w:rsidR="009D1B05" w:rsidRPr="0097011E" w:rsidRDefault="009D1B05" w:rsidP="009D1B05">
            <w:pPr>
              <w:suppressLineNumbers/>
              <w:rPr>
                <w:rFonts w:ascii="Arial" w:hAnsi="Arial"/>
                <w:b/>
                <w:bCs/>
                <w:noProof w:val="0"/>
                <w:sz w:val="26"/>
                <w:szCs w:val="26"/>
                <w:rtl/>
              </w:rPr>
            </w:pPr>
            <w:r w:rsidRPr="0097011E">
              <w:rPr>
                <w:rFonts w:ascii="Arial" w:hAnsi="Arial"/>
                <w:b/>
                <w:bCs/>
                <w:noProof w:val="0"/>
                <w:sz w:val="26"/>
                <w:szCs w:val="26"/>
                <w:rtl/>
              </w:rPr>
              <w:t>המבקשת</w:t>
            </w:r>
          </w:p>
        </w:tc>
        <w:tc>
          <w:tcPr>
            <w:tcW w:w="5571" w:type="dxa"/>
            <w:shd w:val="clear" w:color="auto" w:fill="auto"/>
          </w:tcPr>
          <w:p w14:paraId="17949726" w14:textId="77777777" w:rsidR="009D1B05" w:rsidRPr="0097011E" w:rsidRDefault="009D1B05" w:rsidP="009D1B05">
            <w:pPr>
              <w:suppressLineNumbers/>
              <w:rPr>
                <w:rFonts w:ascii="Arial" w:hAnsi="Arial"/>
                <w:b/>
                <w:bCs/>
                <w:noProof w:val="0"/>
                <w:sz w:val="26"/>
                <w:szCs w:val="26"/>
                <w:rtl/>
              </w:rPr>
            </w:pPr>
          </w:p>
          <w:p w14:paraId="3A775B1B" w14:textId="77777777" w:rsidR="009D1B05" w:rsidRPr="0097011E" w:rsidRDefault="009D1B05" w:rsidP="009D1B05">
            <w:pPr>
              <w:suppressLineNumbers/>
              <w:rPr>
                <w:b/>
                <w:bCs/>
                <w:noProof w:val="0"/>
                <w:sz w:val="26"/>
                <w:szCs w:val="26"/>
              </w:rPr>
            </w:pPr>
            <w:r w:rsidRPr="0097011E">
              <w:rPr>
                <w:rFonts w:ascii="Arial" w:hAnsi="Arial"/>
                <w:b/>
                <w:bCs/>
                <w:noProof w:val="0"/>
                <w:sz w:val="26"/>
                <w:szCs w:val="26"/>
                <w:rtl/>
              </w:rPr>
              <w:t>מדינת ישראל</w:t>
            </w:r>
          </w:p>
        </w:tc>
      </w:tr>
      <w:bookmarkEnd w:id="3"/>
      <w:tr w:rsidR="009D1B05" w:rsidRPr="0097011E" w14:paraId="48E8E82B" w14:textId="77777777" w:rsidTr="009D1B05">
        <w:trPr>
          <w:jc w:val="center"/>
        </w:trPr>
        <w:tc>
          <w:tcPr>
            <w:tcW w:w="8820" w:type="dxa"/>
            <w:gridSpan w:val="3"/>
            <w:shd w:val="clear" w:color="auto" w:fill="auto"/>
          </w:tcPr>
          <w:p w14:paraId="5C1B4243" w14:textId="77777777" w:rsidR="009D1B05" w:rsidRPr="0097011E" w:rsidRDefault="009D1B05" w:rsidP="009D1B05">
            <w:pPr>
              <w:suppressLineNumbers/>
              <w:rPr>
                <w:rFonts w:ascii="Arial" w:hAnsi="Arial"/>
                <w:b/>
                <w:bCs/>
                <w:noProof w:val="0"/>
                <w:sz w:val="26"/>
                <w:szCs w:val="26"/>
                <w:rtl/>
              </w:rPr>
            </w:pPr>
          </w:p>
          <w:p w14:paraId="1CC9E599" w14:textId="77777777" w:rsidR="009D1B05" w:rsidRPr="0097011E" w:rsidRDefault="009D1B05" w:rsidP="009D1B05">
            <w:pPr>
              <w:suppressLineNumbers/>
              <w:jc w:val="center"/>
              <w:rPr>
                <w:rFonts w:ascii="Arial" w:hAnsi="Arial"/>
                <w:b/>
                <w:bCs/>
                <w:noProof w:val="0"/>
                <w:sz w:val="26"/>
                <w:szCs w:val="26"/>
                <w:rtl/>
              </w:rPr>
            </w:pPr>
            <w:r w:rsidRPr="0097011E">
              <w:rPr>
                <w:rFonts w:ascii="Arial" w:hAnsi="Arial"/>
                <w:b/>
                <w:bCs/>
                <w:noProof w:val="0"/>
                <w:sz w:val="26"/>
                <w:szCs w:val="26"/>
                <w:rtl/>
              </w:rPr>
              <w:t>נגד</w:t>
            </w:r>
          </w:p>
          <w:p w14:paraId="0879EF95" w14:textId="77777777" w:rsidR="009D1B05" w:rsidRPr="0097011E" w:rsidRDefault="009D1B05" w:rsidP="009D1B05">
            <w:pPr>
              <w:suppressLineNumbers/>
              <w:rPr>
                <w:rFonts w:ascii="Arial" w:hAnsi="Arial"/>
                <w:b/>
                <w:bCs/>
                <w:noProof w:val="0"/>
                <w:sz w:val="26"/>
                <w:szCs w:val="26"/>
              </w:rPr>
            </w:pPr>
          </w:p>
        </w:tc>
      </w:tr>
      <w:tr w:rsidR="009D1B05" w:rsidRPr="0097011E" w14:paraId="7E1F7890" w14:textId="77777777" w:rsidTr="009D1B05">
        <w:trPr>
          <w:jc w:val="center"/>
        </w:trPr>
        <w:tc>
          <w:tcPr>
            <w:tcW w:w="3249" w:type="dxa"/>
            <w:gridSpan w:val="2"/>
            <w:shd w:val="clear" w:color="auto" w:fill="auto"/>
          </w:tcPr>
          <w:p w14:paraId="2A1F8693" w14:textId="77777777" w:rsidR="009D1B05" w:rsidRPr="0097011E" w:rsidRDefault="009D1B05" w:rsidP="009D1B05">
            <w:pPr>
              <w:suppressLineNumbers/>
              <w:rPr>
                <w:rFonts w:ascii="Arial" w:hAnsi="Arial"/>
                <w:b/>
                <w:bCs/>
                <w:noProof w:val="0"/>
                <w:sz w:val="26"/>
                <w:szCs w:val="26"/>
                <w:rtl/>
              </w:rPr>
            </w:pPr>
          </w:p>
          <w:p w14:paraId="167A7DC9" w14:textId="77777777" w:rsidR="009D1B05" w:rsidRPr="0097011E" w:rsidRDefault="009D1B05" w:rsidP="009D1B05">
            <w:pPr>
              <w:suppressLineNumbers/>
              <w:rPr>
                <w:rFonts w:ascii="Arial" w:hAnsi="Arial"/>
                <w:b/>
                <w:bCs/>
                <w:noProof w:val="0"/>
                <w:sz w:val="26"/>
                <w:szCs w:val="26"/>
              </w:rPr>
            </w:pPr>
            <w:r w:rsidRPr="0097011E">
              <w:rPr>
                <w:rFonts w:ascii="Arial" w:hAnsi="Arial"/>
                <w:b/>
                <w:bCs/>
                <w:noProof w:val="0"/>
                <w:sz w:val="26"/>
                <w:szCs w:val="26"/>
                <w:rtl/>
              </w:rPr>
              <w:t>המשיב</w:t>
            </w:r>
          </w:p>
        </w:tc>
        <w:tc>
          <w:tcPr>
            <w:tcW w:w="5571" w:type="dxa"/>
            <w:shd w:val="clear" w:color="auto" w:fill="auto"/>
          </w:tcPr>
          <w:p w14:paraId="74384D53" w14:textId="77777777" w:rsidR="009D1B05" w:rsidRPr="0097011E" w:rsidRDefault="009D1B05" w:rsidP="009D1B05">
            <w:pPr>
              <w:suppressLineNumbers/>
              <w:rPr>
                <w:rFonts w:ascii="Arial" w:hAnsi="Arial"/>
                <w:b/>
                <w:bCs/>
                <w:noProof w:val="0"/>
                <w:sz w:val="26"/>
                <w:szCs w:val="26"/>
                <w:rtl/>
              </w:rPr>
            </w:pPr>
          </w:p>
          <w:p w14:paraId="2EFB6A08" w14:textId="77777777" w:rsidR="009D1B05" w:rsidRPr="0097011E" w:rsidRDefault="009D1B05" w:rsidP="009D1B05">
            <w:pPr>
              <w:suppressLineNumbers/>
              <w:rPr>
                <w:b/>
                <w:bCs/>
                <w:noProof w:val="0"/>
                <w:sz w:val="26"/>
                <w:szCs w:val="26"/>
                <w:rtl/>
              </w:rPr>
            </w:pPr>
            <w:r w:rsidRPr="0097011E">
              <w:rPr>
                <w:rFonts w:ascii="Arial" w:hAnsi="Arial"/>
                <w:b/>
                <w:bCs/>
                <w:noProof w:val="0"/>
                <w:sz w:val="26"/>
                <w:szCs w:val="26"/>
                <w:rtl/>
              </w:rPr>
              <w:t>טארק אלקסאס</w:t>
            </w:r>
            <w:r w:rsidRPr="0097011E">
              <w:rPr>
                <w:rFonts w:ascii="Arial" w:hAnsi="Arial"/>
                <w:b/>
                <w:bCs/>
                <w:noProof w:val="0"/>
                <w:sz w:val="26"/>
                <w:szCs w:val="26"/>
                <w:rtl/>
              </w:rPr>
              <w:br/>
            </w:r>
            <w:r w:rsidRPr="0097011E">
              <w:rPr>
                <w:noProof w:val="0"/>
                <w:rtl/>
              </w:rPr>
              <w:t>ע"י ב"כ עו"ד עאטף פרחאת</w:t>
            </w:r>
            <w:r w:rsidRPr="0097011E">
              <w:rPr>
                <w:noProof w:val="0"/>
                <w:rtl/>
              </w:rPr>
              <w:br/>
            </w:r>
          </w:p>
        </w:tc>
      </w:tr>
      <w:tr w:rsidR="009D1B05" w:rsidRPr="0097011E" w14:paraId="6315345A" w14:textId="77777777" w:rsidTr="009D1B05">
        <w:trPr>
          <w:jc w:val="center"/>
        </w:trPr>
        <w:tc>
          <w:tcPr>
            <w:tcW w:w="8820" w:type="dxa"/>
            <w:gridSpan w:val="3"/>
            <w:shd w:val="clear" w:color="auto" w:fill="auto"/>
          </w:tcPr>
          <w:p w14:paraId="18612D57" w14:textId="77777777" w:rsidR="009D1B05" w:rsidRPr="0097011E" w:rsidRDefault="009D1B05" w:rsidP="009D1B05">
            <w:pPr>
              <w:suppressLineNumbers/>
              <w:rPr>
                <w:rFonts w:ascii="Arial" w:hAnsi="Arial"/>
                <w:b/>
                <w:bCs/>
                <w:noProof w:val="0"/>
                <w:sz w:val="26"/>
                <w:szCs w:val="26"/>
                <w:rtl/>
              </w:rPr>
            </w:pPr>
          </w:p>
        </w:tc>
      </w:tr>
    </w:tbl>
    <w:p w14:paraId="3F86410E" w14:textId="77777777" w:rsidR="009D1B05" w:rsidRPr="0097011E" w:rsidRDefault="009D1B05" w:rsidP="009D1B05">
      <w:pPr>
        <w:suppressLineNumbers/>
        <w:rPr>
          <w:noProof w:val="0"/>
          <w:rtl/>
        </w:rPr>
      </w:pPr>
    </w:p>
    <w:tbl>
      <w:tblPr>
        <w:bidiVisual/>
        <w:tblW w:w="8820" w:type="dxa"/>
        <w:jc w:val="center"/>
        <w:tblLook w:val="01E0" w:firstRow="1" w:lastRow="1" w:firstColumn="1" w:lastColumn="1" w:noHBand="0" w:noVBand="0"/>
      </w:tblPr>
      <w:tblGrid>
        <w:gridCol w:w="8820"/>
      </w:tblGrid>
      <w:tr w:rsidR="009D1B05" w:rsidRPr="00DE1E7D" w14:paraId="191F46C2" w14:textId="77777777" w:rsidTr="009D1B05">
        <w:trPr>
          <w:jc w:val="center"/>
        </w:trPr>
        <w:tc>
          <w:tcPr>
            <w:tcW w:w="8820" w:type="dxa"/>
            <w:shd w:val="clear" w:color="auto" w:fill="auto"/>
          </w:tcPr>
          <w:p w14:paraId="1C7A8031" w14:textId="77777777" w:rsidR="0097011E" w:rsidRDefault="0097011E" w:rsidP="009D1B05">
            <w:pPr>
              <w:bidi w:val="0"/>
              <w:jc w:val="center"/>
              <w:rPr>
                <w:rFonts w:ascii="Arial" w:hAnsi="Arial"/>
                <w:b/>
                <w:bCs/>
                <w:noProof w:val="0"/>
                <w:sz w:val="28"/>
                <w:szCs w:val="28"/>
              </w:rPr>
            </w:pPr>
          </w:p>
          <w:p w14:paraId="2294A3EE" w14:textId="77777777" w:rsidR="0025192C" w:rsidRPr="0025192C" w:rsidRDefault="0025192C" w:rsidP="0025192C">
            <w:pPr>
              <w:spacing w:after="120" w:line="240" w:lineRule="exact"/>
              <w:ind w:left="283" w:hanging="283"/>
              <w:jc w:val="both"/>
              <w:rPr>
                <w:rFonts w:ascii="FrankRuehl" w:hAnsi="FrankRuehl" w:cs="FrankRuehl"/>
                <w:noProof w:val="0"/>
              </w:rPr>
            </w:pPr>
            <w:bookmarkStart w:id="4" w:name="LawTable"/>
            <w:bookmarkEnd w:id="4"/>
          </w:p>
          <w:p w14:paraId="3B61A9EB" w14:textId="77777777" w:rsidR="0025192C" w:rsidRPr="0025192C" w:rsidRDefault="0025192C" w:rsidP="0025192C">
            <w:pPr>
              <w:spacing w:after="120" w:line="240" w:lineRule="exact"/>
              <w:ind w:left="283" w:hanging="283"/>
              <w:jc w:val="both"/>
              <w:rPr>
                <w:rFonts w:ascii="FrankRuehl" w:hAnsi="FrankRuehl" w:cs="FrankRuehl"/>
                <w:noProof w:val="0"/>
              </w:rPr>
            </w:pPr>
            <w:r w:rsidRPr="0025192C">
              <w:rPr>
                <w:rFonts w:ascii="FrankRuehl" w:hAnsi="FrankRuehl" w:cs="FrankRuehl"/>
                <w:noProof w:val="0"/>
                <w:rtl/>
              </w:rPr>
              <w:t>חקיקה שאוזכרה</w:t>
            </w:r>
            <w:r w:rsidRPr="0025192C">
              <w:rPr>
                <w:rFonts w:ascii="FrankRuehl" w:hAnsi="FrankRuehl" w:cs="FrankRuehl"/>
                <w:noProof w:val="0"/>
              </w:rPr>
              <w:t xml:space="preserve">: </w:t>
            </w:r>
          </w:p>
          <w:p w14:paraId="2CC068A6" w14:textId="77777777" w:rsidR="0025192C" w:rsidRPr="0025192C" w:rsidRDefault="0025192C" w:rsidP="0025192C">
            <w:pPr>
              <w:spacing w:after="120" w:line="240" w:lineRule="exact"/>
              <w:ind w:left="283" w:hanging="283"/>
              <w:jc w:val="both"/>
              <w:rPr>
                <w:rFonts w:ascii="FrankRuehl" w:hAnsi="FrankRuehl" w:cs="FrankRuehl"/>
                <w:noProof w:val="0"/>
              </w:rPr>
            </w:pPr>
            <w:hyperlink r:id="rId6" w:history="1">
              <w:r w:rsidRPr="0025192C">
                <w:rPr>
                  <w:rFonts w:ascii="FrankRuehl" w:hAnsi="FrankRuehl" w:cs="FrankRuehl"/>
                  <w:noProof w:val="0"/>
                  <w:color w:val="0000FF"/>
                  <w:u w:val="single"/>
                  <w:rtl/>
                </w:rPr>
                <w:t>חוק הגנה על הציבור מפני ביצוע עבירות מין, תשס"ו-2006</w:t>
              </w:r>
            </w:hyperlink>
            <w:r w:rsidRPr="0025192C">
              <w:rPr>
                <w:rFonts w:ascii="FrankRuehl" w:hAnsi="FrankRuehl" w:cs="FrankRuehl"/>
                <w:noProof w:val="0"/>
              </w:rPr>
              <w:t xml:space="preserve">: </w:t>
            </w:r>
            <w:r w:rsidRPr="0025192C">
              <w:rPr>
                <w:rFonts w:ascii="FrankRuehl" w:hAnsi="FrankRuehl" w:cs="FrankRuehl"/>
                <w:noProof w:val="0"/>
                <w:rtl/>
              </w:rPr>
              <w:t>סע</w:t>
            </w:r>
            <w:r w:rsidRPr="0025192C">
              <w:rPr>
                <w:rFonts w:ascii="FrankRuehl" w:hAnsi="FrankRuehl" w:cs="FrankRuehl"/>
                <w:noProof w:val="0"/>
              </w:rPr>
              <w:t xml:space="preserve">'  </w:t>
            </w:r>
            <w:hyperlink r:id="rId7" w:history="1">
              <w:r w:rsidRPr="0025192C">
                <w:rPr>
                  <w:rFonts w:ascii="FrankRuehl" w:hAnsi="FrankRuehl" w:cs="FrankRuehl"/>
                  <w:noProof w:val="0"/>
                  <w:color w:val="0000FF"/>
                  <w:u w:val="single"/>
                </w:rPr>
                <w:t>12</w:t>
              </w:r>
            </w:hyperlink>
            <w:r w:rsidRPr="0025192C">
              <w:rPr>
                <w:rFonts w:ascii="FrankRuehl" w:hAnsi="FrankRuehl" w:cs="FrankRuehl"/>
                <w:noProof w:val="0"/>
              </w:rPr>
              <w:t xml:space="preserve">, </w:t>
            </w:r>
            <w:hyperlink r:id="rId8"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א.1</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9"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א.2</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0"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א.3</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1"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א.4</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2"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א.5</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3"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א.6</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4"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א.6.א</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5"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א.7</w:t>
              </w:r>
              <w:r w:rsidRPr="0025192C">
                <w:rPr>
                  <w:rFonts w:ascii="FrankRuehl" w:hAnsi="FrankRuehl" w:cs="FrankRuehl"/>
                  <w:noProof w:val="0"/>
                  <w:color w:val="0000FF"/>
                  <w:u w:val="single"/>
                </w:rPr>
                <w:t>.</w:t>
              </w:r>
            </w:hyperlink>
            <w:r w:rsidRPr="0025192C">
              <w:rPr>
                <w:rFonts w:ascii="FrankRuehl" w:hAnsi="FrankRuehl" w:cs="FrankRuehl"/>
                <w:noProof w:val="0"/>
              </w:rPr>
              <w:t xml:space="preserve">, </w:t>
            </w:r>
            <w:hyperlink r:id="rId16" w:history="1">
              <w:r w:rsidRPr="0025192C">
                <w:rPr>
                  <w:rFonts w:ascii="FrankRuehl" w:hAnsi="FrankRuehl" w:cs="FrankRuehl"/>
                  <w:noProof w:val="0"/>
                  <w:color w:val="0000FF"/>
                  <w:u w:val="single"/>
                </w:rPr>
                <w:t>18.</w:t>
              </w:r>
              <w:r w:rsidRPr="0025192C">
                <w:rPr>
                  <w:rFonts w:ascii="FrankRuehl" w:hAnsi="FrankRuehl" w:cs="FrankRuehl"/>
                  <w:noProof w:val="0"/>
                  <w:color w:val="0000FF"/>
                  <w:u w:val="single"/>
                  <w:rtl/>
                </w:rPr>
                <w:t>א.8</w:t>
              </w:r>
            </w:hyperlink>
          </w:p>
          <w:p w14:paraId="6C7B7EB2" w14:textId="77777777" w:rsidR="0025192C" w:rsidRPr="0025192C" w:rsidRDefault="0025192C" w:rsidP="0025192C">
            <w:pPr>
              <w:spacing w:after="120" w:line="240" w:lineRule="exact"/>
              <w:ind w:left="283" w:hanging="283"/>
              <w:jc w:val="both"/>
              <w:rPr>
                <w:rFonts w:ascii="FrankRuehl" w:hAnsi="FrankRuehl" w:cs="FrankRuehl"/>
                <w:noProof w:val="0"/>
              </w:rPr>
            </w:pPr>
            <w:hyperlink r:id="rId17" w:history="1">
              <w:r w:rsidRPr="0025192C">
                <w:rPr>
                  <w:rFonts w:ascii="FrankRuehl" w:hAnsi="FrankRuehl" w:cs="FrankRuehl"/>
                  <w:noProof w:val="0"/>
                  <w:color w:val="0000FF"/>
                  <w:u w:val="single"/>
                  <w:rtl/>
                </w:rPr>
                <w:t>חוק העונשין, תשל"ז-1977</w:t>
              </w:r>
            </w:hyperlink>
            <w:r w:rsidRPr="0025192C">
              <w:rPr>
                <w:rFonts w:ascii="FrankRuehl" w:hAnsi="FrankRuehl" w:cs="FrankRuehl"/>
                <w:noProof w:val="0"/>
              </w:rPr>
              <w:t xml:space="preserve">: </w:t>
            </w:r>
            <w:r w:rsidRPr="0025192C">
              <w:rPr>
                <w:rFonts w:ascii="FrankRuehl" w:hAnsi="FrankRuehl" w:cs="FrankRuehl"/>
                <w:noProof w:val="0"/>
                <w:rtl/>
              </w:rPr>
              <w:t>סע</w:t>
            </w:r>
            <w:r w:rsidRPr="0025192C">
              <w:rPr>
                <w:rFonts w:ascii="FrankRuehl" w:hAnsi="FrankRuehl" w:cs="FrankRuehl"/>
                <w:noProof w:val="0"/>
              </w:rPr>
              <w:t xml:space="preserve">'  </w:t>
            </w:r>
            <w:hyperlink r:id="rId18" w:history="1">
              <w:r w:rsidRPr="0025192C">
                <w:rPr>
                  <w:rFonts w:ascii="FrankRuehl" w:hAnsi="FrankRuehl" w:cs="FrankRuehl"/>
                  <w:noProof w:val="0"/>
                  <w:color w:val="0000FF"/>
                  <w:u w:val="single"/>
                </w:rPr>
                <w:t>348(</w:t>
              </w:r>
              <w:r w:rsidRPr="0025192C">
                <w:rPr>
                  <w:rFonts w:ascii="FrankRuehl" w:hAnsi="FrankRuehl" w:cs="FrankRuehl"/>
                  <w:noProof w:val="0"/>
                  <w:color w:val="0000FF"/>
                  <w:u w:val="single"/>
                  <w:rtl/>
                </w:rPr>
                <w:t>א</w:t>
              </w:r>
              <w:r w:rsidRPr="0025192C">
                <w:rPr>
                  <w:rFonts w:ascii="FrankRuehl" w:hAnsi="FrankRuehl" w:cs="FrankRuehl"/>
                  <w:noProof w:val="0"/>
                  <w:color w:val="0000FF"/>
                  <w:u w:val="single"/>
                </w:rPr>
                <w:t>)</w:t>
              </w:r>
            </w:hyperlink>
          </w:p>
          <w:p w14:paraId="58B85D10" w14:textId="77777777" w:rsidR="0025192C" w:rsidRPr="0025192C" w:rsidRDefault="0025192C" w:rsidP="0025192C">
            <w:pPr>
              <w:spacing w:after="120" w:line="240" w:lineRule="exact"/>
              <w:ind w:left="283" w:hanging="283"/>
              <w:jc w:val="both"/>
              <w:rPr>
                <w:rFonts w:ascii="FrankRuehl" w:hAnsi="FrankRuehl" w:cs="FrankRuehl"/>
                <w:noProof w:val="0"/>
              </w:rPr>
            </w:pPr>
          </w:p>
          <w:p w14:paraId="33D705F5" w14:textId="77777777" w:rsidR="0025192C" w:rsidRPr="0025192C" w:rsidRDefault="0025192C" w:rsidP="0097011E">
            <w:pPr>
              <w:bidi w:val="0"/>
              <w:jc w:val="center"/>
              <w:rPr>
                <w:rFonts w:ascii="Arial" w:hAnsi="Arial"/>
                <w:noProof w:val="0"/>
                <w:sz w:val="28"/>
                <w:szCs w:val="28"/>
              </w:rPr>
            </w:pPr>
            <w:bookmarkStart w:id="5" w:name="LawTable_End"/>
            <w:bookmarkEnd w:id="5"/>
          </w:p>
          <w:p w14:paraId="5B0C44FF" w14:textId="77777777" w:rsidR="0097011E" w:rsidRPr="0097011E" w:rsidRDefault="0097011E" w:rsidP="0097011E">
            <w:pPr>
              <w:bidi w:val="0"/>
              <w:jc w:val="center"/>
              <w:rPr>
                <w:rFonts w:ascii="Arial" w:hAnsi="Arial"/>
                <w:noProof w:val="0"/>
                <w:sz w:val="28"/>
                <w:szCs w:val="28"/>
                <w:rtl/>
              </w:rPr>
            </w:pPr>
          </w:p>
          <w:p w14:paraId="00BFBEEF" w14:textId="77777777" w:rsidR="0097011E" w:rsidRPr="0097011E" w:rsidRDefault="0097011E" w:rsidP="0097011E">
            <w:pPr>
              <w:bidi w:val="0"/>
              <w:jc w:val="center"/>
              <w:rPr>
                <w:rFonts w:ascii="Arial" w:hAnsi="Arial"/>
                <w:b/>
                <w:bCs/>
                <w:noProof w:val="0"/>
                <w:sz w:val="28"/>
                <w:szCs w:val="28"/>
                <w:u w:val="single"/>
                <w:rtl/>
              </w:rPr>
            </w:pPr>
            <w:bookmarkStart w:id="6" w:name="PsakDin"/>
            <w:r w:rsidRPr="0097011E">
              <w:rPr>
                <w:rFonts w:ascii="Arial" w:hAnsi="Arial"/>
                <w:b/>
                <w:bCs/>
                <w:noProof w:val="0"/>
                <w:sz w:val="28"/>
                <w:szCs w:val="28"/>
                <w:u w:val="single"/>
                <w:rtl/>
              </w:rPr>
              <w:t>החלטה</w:t>
            </w:r>
          </w:p>
          <w:bookmarkEnd w:id="6"/>
          <w:p w14:paraId="570C9790" w14:textId="77777777" w:rsidR="009D1B05" w:rsidRPr="009D1B05" w:rsidRDefault="009D1B05" w:rsidP="009D1B05">
            <w:pPr>
              <w:bidi w:val="0"/>
              <w:jc w:val="center"/>
              <w:rPr>
                <w:rFonts w:ascii="Arial" w:hAnsi="Arial"/>
                <w:b/>
                <w:bCs/>
                <w:noProof w:val="0"/>
                <w:sz w:val="28"/>
                <w:szCs w:val="28"/>
                <w:u w:val="single"/>
              </w:rPr>
            </w:pPr>
          </w:p>
        </w:tc>
      </w:tr>
      <w:bookmarkEnd w:id="0"/>
      <w:bookmarkEnd w:id="1"/>
    </w:tbl>
    <w:p w14:paraId="5FEA3E71" w14:textId="77777777" w:rsidR="009D1B05" w:rsidRPr="00DE1E7D" w:rsidRDefault="009D1B05" w:rsidP="009D1B05">
      <w:pPr>
        <w:spacing w:line="360" w:lineRule="auto"/>
        <w:jc w:val="both"/>
        <w:rPr>
          <w:rFonts w:ascii="Arial" w:hAnsi="Arial"/>
          <w:noProof w:val="0"/>
          <w:rtl/>
        </w:rPr>
      </w:pPr>
    </w:p>
    <w:p w14:paraId="386A5735" w14:textId="77777777" w:rsidR="009D1B05" w:rsidRDefault="009D1B05" w:rsidP="009D1B05">
      <w:pPr>
        <w:spacing w:line="360" w:lineRule="auto"/>
        <w:jc w:val="both"/>
        <w:rPr>
          <w:rFonts w:cs="Miriam"/>
          <w:noProof w:val="0"/>
          <w:rtl/>
        </w:rPr>
      </w:pPr>
      <w:r>
        <w:rPr>
          <w:rFonts w:cs="Miriam"/>
          <w:noProof w:val="0"/>
          <w:rtl/>
        </w:rPr>
        <w:t>הבקשה</w:t>
      </w:r>
    </w:p>
    <w:p w14:paraId="62A06425" w14:textId="77777777" w:rsidR="009D1B05" w:rsidRDefault="009D1B05" w:rsidP="009D1B05">
      <w:pPr>
        <w:spacing w:line="360" w:lineRule="auto"/>
        <w:jc w:val="both"/>
        <w:rPr>
          <w:rFonts w:cs="FrankRuehl"/>
          <w:noProof w:val="0"/>
          <w:sz w:val="28"/>
          <w:szCs w:val="28"/>
          <w:rtl/>
        </w:rPr>
      </w:pPr>
      <w:bookmarkStart w:id="7" w:name="ABSTRACT_START"/>
      <w:bookmarkEnd w:id="7"/>
      <w:r>
        <w:rPr>
          <w:rFonts w:cs="FrankRuehl"/>
          <w:noProof w:val="0"/>
          <w:sz w:val="28"/>
          <w:szCs w:val="28"/>
          <w:rtl/>
        </w:rPr>
        <w:t xml:space="preserve">1. </w:t>
      </w:r>
      <w:r>
        <w:rPr>
          <w:rFonts w:cs="FrankRuehl"/>
          <w:noProof w:val="0"/>
          <w:sz w:val="28"/>
          <w:szCs w:val="28"/>
          <w:rtl/>
        </w:rPr>
        <w:tab/>
        <w:t xml:space="preserve">לפניי בקשה, לפי </w:t>
      </w:r>
      <w:hyperlink r:id="rId19" w:history="1">
        <w:r w:rsidR="0025192C" w:rsidRPr="0025192C">
          <w:rPr>
            <w:rFonts w:cs="FrankRuehl"/>
            <w:noProof w:val="0"/>
            <w:color w:val="0000FF"/>
            <w:sz w:val="28"/>
            <w:szCs w:val="28"/>
            <w:u w:val="single"/>
            <w:rtl/>
          </w:rPr>
          <w:t>סעיף 12</w:t>
        </w:r>
      </w:hyperlink>
      <w:r>
        <w:rPr>
          <w:rFonts w:cs="FrankRuehl"/>
          <w:noProof w:val="0"/>
          <w:sz w:val="28"/>
          <w:szCs w:val="28"/>
          <w:rtl/>
        </w:rPr>
        <w:t xml:space="preserve"> ל</w:t>
      </w:r>
      <w:hyperlink r:id="rId20" w:history="1">
        <w:r w:rsidR="0097011E" w:rsidRPr="0097011E">
          <w:rPr>
            <w:rFonts w:cs="Miriam"/>
            <w:noProof w:val="0"/>
            <w:color w:val="0000FF"/>
            <w:u w:val="single"/>
            <w:rtl/>
          </w:rPr>
          <w:t>חוק הגנה על הציבור מפני ביצוע עבירות מין</w:t>
        </w:r>
      </w:hyperlink>
      <w:r>
        <w:rPr>
          <w:rFonts w:cs="Miriam"/>
          <w:noProof w:val="0"/>
          <w:rtl/>
        </w:rPr>
        <w:t>, תשס"ו-2006</w:t>
      </w:r>
      <w:r>
        <w:rPr>
          <w:rFonts w:cs="FrankRuehl"/>
          <w:noProof w:val="0"/>
          <w:sz w:val="28"/>
          <w:szCs w:val="28"/>
          <w:rtl/>
        </w:rPr>
        <w:t xml:space="preserve"> (להלן – החוק), למתן צו פיקוח על המשיב, לתקופה של ארבע שנים. על פי הבקשה מתבקש בית המשפט לקבוע למשיב תנאים כלהלן לארבע שנים:</w:t>
      </w:r>
    </w:p>
    <w:p w14:paraId="3E2EBBC1" w14:textId="77777777" w:rsidR="009D1B05" w:rsidRDefault="009D1B05" w:rsidP="009D1B05">
      <w:pPr>
        <w:spacing w:line="360" w:lineRule="auto"/>
        <w:jc w:val="both"/>
        <w:rPr>
          <w:rFonts w:cs="FrankRuehl"/>
          <w:noProof w:val="0"/>
          <w:sz w:val="28"/>
          <w:szCs w:val="28"/>
          <w:rtl/>
        </w:rPr>
      </w:pPr>
      <w:bookmarkStart w:id="8" w:name="ABSTRACT_END"/>
      <w:bookmarkEnd w:id="8"/>
    </w:p>
    <w:p w14:paraId="21E5AC90" w14:textId="77777777" w:rsidR="009D1B05" w:rsidRDefault="009D1B05" w:rsidP="009D1B05">
      <w:pPr>
        <w:spacing w:line="360" w:lineRule="auto"/>
        <w:ind w:left="720" w:right="426"/>
        <w:jc w:val="both"/>
        <w:rPr>
          <w:rFonts w:cs="Miriam"/>
          <w:noProof w:val="0"/>
          <w:rtl/>
        </w:rPr>
      </w:pPr>
      <w:r>
        <w:rPr>
          <w:rFonts w:cs="Miriam"/>
          <w:noProof w:val="0"/>
          <w:rtl/>
        </w:rPr>
        <w:t>"א.</w:t>
      </w:r>
      <w:r>
        <w:rPr>
          <w:rFonts w:cs="Miriam"/>
          <w:noProof w:val="0"/>
          <w:rtl/>
        </w:rPr>
        <w:tab/>
        <w:t xml:space="preserve">חובת שיתוף פעולה עם קצין הפיקוח, חובת התייצבות וקיום מפגשים עם קצין הפיקוח במועדים ובתדירות שיקבע קצין הפיקוח מעת לעת, כולל חובתו להגיע לקראת תום תקופת הפיקוח להערכת מסוכנות מחודשת על-מנת לבחון המשיך נחיצות הצו. </w:t>
      </w:r>
    </w:p>
    <w:p w14:paraId="0319D4CD" w14:textId="77777777" w:rsidR="009D1B05" w:rsidRDefault="009D1B05" w:rsidP="009D1B05">
      <w:pPr>
        <w:spacing w:line="360" w:lineRule="auto"/>
        <w:ind w:left="720" w:right="426"/>
        <w:jc w:val="both"/>
        <w:rPr>
          <w:rFonts w:cs="Miriam"/>
          <w:noProof w:val="0"/>
          <w:rtl/>
        </w:rPr>
      </w:pPr>
      <w:r>
        <w:rPr>
          <w:rFonts w:cs="Miriam"/>
          <w:noProof w:val="0"/>
          <w:rtl/>
        </w:rPr>
        <w:lastRenderedPageBreak/>
        <w:t>ב.</w:t>
      </w:r>
      <w:r>
        <w:rPr>
          <w:rFonts w:cs="Miriam"/>
          <w:noProof w:val="0"/>
          <w:rtl/>
        </w:rPr>
        <w:tab/>
        <w:t xml:space="preserve">איסור התחברות, שהייה ו/או לינה תחת קורת גג אחת עם קטינים משני המינים. למעט שהיה קצרה ואקראית במקום ציבורי באופן שאותו המשיב לא יכול היה לצפות או למנוע; ולמעט שהיה ללא לינה עם קטינים בני משפחה אשר תותר למשיב לבצעה בנוכחות צמודה של בגיר נוסף המודע לעבירה ולמגבלה ואשר יאושר ע"י קצין המבחן. </w:t>
      </w:r>
    </w:p>
    <w:p w14:paraId="110570B3" w14:textId="77777777" w:rsidR="009D1B05" w:rsidRDefault="009D1B05" w:rsidP="009D1B05">
      <w:pPr>
        <w:spacing w:line="360" w:lineRule="auto"/>
        <w:ind w:left="720" w:right="426"/>
        <w:jc w:val="both"/>
        <w:rPr>
          <w:rFonts w:cs="Miriam"/>
          <w:noProof w:val="0"/>
          <w:rtl/>
        </w:rPr>
      </w:pPr>
      <w:r>
        <w:rPr>
          <w:rFonts w:cs="Miriam"/>
          <w:noProof w:val="0"/>
          <w:rtl/>
        </w:rPr>
        <w:t>ג.</w:t>
      </w:r>
      <w:r>
        <w:rPr>
          <w:rFonts w:cs="Miriam"/>
          <w:noProof w:val="0"/>
          <w:rtl/>
        </w:rPr>
        <w:tab/>
        <w:t>חובת הרחקה ממקומות כינוס של קטינים, כגון: בתי ספר, גני ילדים, גני משחקים/שעשועים ופארקים; וכן חובת הרחקה ממקומות בהם עשויים לשהות קטינים (משני המינים) ללא לבוש או בלבוש חלקי, כגון: מקוואות, בריכות, מעיינות, מרחצאות וכדומה.</w:t>
      </w:r>
    </w:p>
    <w:p w14:paraId="18C14DA9" w14:textId="77777777" w:rsidR="009D1B05" w:rsidRDefault="009D1B05" w:rsidP="009D1B05">
      <w:pPr>
        <w:spacing w:line="360" w:lineRule="auto"/>
        <w:ind w:left="720" w:right="426"/>
        <w:jc w:val="both"/>
        <w:rPr>
          <w:rFonts w:cs="Miriam"/>
          <w:noProof w:val="0"/>
          <w:rtl/>
        </w:rPr>
      </w:pPr>
      <w:r>
        <w:rPr>
          <w:rFonts w:cs="Miriam"/>
          <w:noProof w:val="0"/>
          <w:rtl/>
        </w:rPr>
        <w:t>ד.</w:t>
      </w:r>
      <w:r>
        <w:rPr>
          <w:rFonts w:cs="Miriam"/>
          <w:noProof w:val="0"/>
          <w:rtl/>
        </w:rPr>
        <w:tab/>
        <w:t>איסור על החזקה וצפיה, בכל אמצעי, בחומרים פורנוגרפיים. בתוך כך, החזקת מכשיר המאפשר גלישה באינטרנט, לרבות טלפון נייד, תותר לאחר התקנת חסם מתאים, לרבות חסם לאינטרנט אלחוטי ("</w:t>
      </w:r>
      <w:r>
        <w:rPr>
          <w:rFonts w:cs="Miriam"/>
        </w:rPr>
        <w:t>wi-fi</w:t>
      </w:r>
      <w:r>
        <w:rPr>
          <w:rFonts w:cs="Miriam"/>
          <w:noProof w:val="0"/>
          <w:rtl/>
        </w:rPr>
        <w:t>").</w:t>
      </w:r>
    </w:p>
    <w:p w14:paraId="4ACD1393" w14:textId="77777777" w:rsidR="009D1B05" w:rsidRDefault="009D1B05" w:rsidP="009D1B05">
      <w:pPr>
        <w:spacing w:line="360" w:lineRule="auto"/>
        <w:ind w:left="720" w:right="426"/>
        <w:jc w:val="both"/>
        <w:rPr>
          <w:rFonts w:cs="Miriam"/>
          <w:noProof w:val="0"/>
          <w:rtl/>
        </w:rPr>
      </w:pPr>
      <w:r>
        <w:rPr>
          <w:rFonts w:cs="Miriam"/>
          <w:noProof w:val="0"/>
          <w:rtl/>
        </w:rPr>
        <w:t>ה.</w:t>
      </w:r>
      <w:r>
        <w:rPr>
          <w:rFonts w:cs="Miriam"/>
          <w:noProof w:val="0"/>
          <w:rtl/>
        </w:rPr>
        <w:tab/>
        <w:t xml:space="preserve">איסור לעבוד, בין בתמורה ובין בהתנדבות, בעבודה המאפשרת קשר ו/או קרבה לקטינים (משני המינים) בעבודה בה ישנה גישה לאינטרנט ללא חסם". </w:t>
      </w:r>
    </w:p>
    <w:p w14:paraId="3874DDAC" w14:textId="77777777" w:rsidR="009D1B05" w:rsidRDefault="009D1B05" w:rsidP="009D1B05">
      <w:pPr>
        <w:spacing w:line="360" w:lineRule="auto"/>
        <w:jc w:val="both"/>
        <w:rPr>
          <w:rFonts w:cs="FrankRuehl"/>
          <w:noProof w:val="0"/>
          <w:sz w:val="28"/>
          <w:szCs w:val="28"/>
          <w:rtl/>
        </w:rPr>
      </w:pPr>
    </w:p>
    <w:p w14:paraId="7668DF35" w14:textId="77777777" w:rsidR="009D1B05" w:rsidRDefault="009D1B05" w:rsidP="009D1B05">
      <w:pPr>
        <w:spacing w:line="360" w:lineRule="auto"/>
        <w:ind w:firstLine="720"/>
        <w:jc w:val="both"/>
        <w:rPr>
          <w:rFonts w:cs="FrankRuehl"/>
          <w:noProof w:val="0"/>
          <w:sz w:val="28"/>
          <w:szCs w:val="28"/>
          <w:rtl/>
        </w:rPr>
      </w:pPr>
      <w:r>
        <w:rPr>
          <w:rFonts w:cs="FrankRuehl"/>
          <w:noProof w:val="0"/>
          <w:sz w:val="28"/>
          <w:szCs w:val="28"/>
          <w:rtl/>
        </w:rPr>
        <w:t xml:space="preserve">כמו כן מתבקש להסמיך את קצין הפיקוח לפעול כאמור בסעיפים </w:t>
      </w:r>
      <w:hyperlink r:id="rId21" w:history="1">
        <w:r w:rsidR="0025192C" w:rsidRPr="0025192C">
          <w:rPr>
            <w:rFonts w:cs="FrankRuehl"/>
            <w:noProof w:val="0"/>
            <w:color w:val="0000FF"/>
            <w:sz w:val="28"/>
            <w:szCs w:val="28"/>
            <w:u w:val="single"/>
            <w:rtl/>
          </w:rPr>
          <w:t>18(א)(1),(2),(3),(4),(5),(6),(6א),(7) ו- (8)</w:t>
        </w:r>
      </w:hyperlink>
      <w:r>
        <w:rPr>
          <w:rFonts w:cs="FrankRuehl"/>
          <w:noProof w:val="0"/>
          <w:sz w:val="28"/>
          <w:szCs w:val="28"/>
          <w:rtl/>
        </w:rPr>
        <w:t xml:space="preserve"> לחוק. </w:t>
      </w:r>
    </w:p>
    <w:p w14:paraId="3047D849" w14:textId="77777777" w:rsidR="009D1B05" w:rsidRDefault="009D1B05" w:rsidP="009D1B05">
      <w:pPr>
        <w:spacing w:line="360" w:lineRule="auto"/>
        <w:jc w:val="both"/>
        <w:rPr>
          <w:rFonts w:cs="FrankRuehl"/>
          <w:noProof w:val="0"/>
          <w:sz w:val="28"/>
          <w:szCs w:val="28"/>
          <w:rtl/>
        </w:rPr>
      </w:pPr>
    </w:p>
    <w:p w14:paraId="4F412EE0" w14:textId="77777777" w:rsidR="009D1B05" w:rsidRDefault="009D1B05" w:rsidP="009D1B05">
      <w:pPr>
        <w:spacing w:line="360" w:lineRule="auto"/>
        <w:jc w:val="both"/>
        <w:rPr>
          <w:rFonts w:cs="Miriam"/>
          <w:noProof w:val="0"/>
          <w:rtl/>
        </w:rPr>
      </w:pPr>
      <w:r>
        <w:rPr>
          <w:rFonts w:cs="Miriam"/>
          <w:noProof w:val="0"/>
          <w:rtl/>
        </w:rPr>
        <w:t>הרשעת המשיב וגזר-דינו</w:t>
      </w:r>
    </w:p>
    <w:p w14:paraId="12B036B9"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2.</w:t>
      </w:r>
      <w:r>
        <w:rPr>
          <w:rFonts w:cs="FrankRuehl"/>
          <w:noProof w:val="0"/>
          <w:sz w:val="28"/>
          <w:szCs w:val="28"/>
          <w:rtl/>
        </w:rPr>
        <w:tab/>
        <w:t xml:space="preserve">ביום 21.5.2017 נגזר דינו של המשיב לחמישה חודשי מאסר בפועל. מתקופה זו נוכתה תקופת מעצרו, באופן שבעת מתן גזר הדין ריצה המשיב את מלוא תקופת המאסר. כמו כן הוטל על המשיב עונש של שמונה חודשי מאסר על תנאי לשלש שנים בגין העבירה שבה הורשע. גזר הדין הוטל בגין הרשעתו של המשיב, על פי הסדר טיעון, בעבירה של מעשה מגונה בקטין שטרם מלאו לו 14 שנים – לפי </w:t>
      </w:r>
      <w:hyperlink r:id="rId22" w:history="1">
        <w:r w:rsidR="0025192C" w:rsidRPr="0025192C">
          <w:rPr>
            <w:rFonts w:cs="FrankRuehl"/>
            <w:noProof w:val="0"/>
            <w:color w:val="0000FF"/>
            <w:sz w:val="28"/>
            <w:szCs w:val="28"/>
            <w:u w:val="single"/>
            <w:rtl/>
          </w:rPr>
          <w:t>סעיף 348(א)</w:t>
        </w:r>
      </w:hyperlink>
      <w:r>
        <w:rPr>
          <w:rFonts w:cs="FrankRuehl"/>
          <w:noProof w:val="0"/>
          <w:sz w:val="28"/>
          <w:szCs w:val="28"/>
          <w:rtl/>
        </w:rPr>
        <w:t xml:space="preserve"> ל</w:t>
      </w:r>
      <w:hyperlink r:id="rId23" w:history="1">
        <w:r w:rsidR="0097011E" w:rsidRPr="0097011E">
          <w:rPr>
            <w:rFonts w:cs="FrankRuehl"/>
            <w:noProof w:val="0"/>
            <w:color w:val="0000FF"/>
            <w:sz w:val="28"/>
            <w:szCs w:val="28"/>
            <w:u w:val="single"/>
            <w:rtl/>
          </w:rPr>
          <w:t>חוק העונשין</w:t>
        </w:r>
      </w:hyperlink>
      <w:r>
        <w:rPr>
          <w:rFonts w:cs="FrankRuehl"/>
          <w:noProof w:val="0"/>
          <w:sz w:val="28"/>
          <w:szCs w:val="28"/>
          <w:rtl/>
        </w:rPr>
        <w:t xml:space="preserve">, התשל"ז-1977, בכך שביום 15.10.2015, עת עבד בניקיון במתחם קבר רחל, הוא שהה במחיצתם של המתלוננים, האחד – כבן חמש והאחר – כבן שש, שעה שאביהם התפלל במקום. הנאשם הציע למתלוננים להיכנס למקווה שבמקום, שם חשף בפניהם את אבר מינו, שהיה באותה עת במצב של זקפה, ולבקשתו נגעו המתלוננים באיבר מינו. מששאל הנאשם את המתלוננים אם גם להם איבר גדול כשלו וביקש מהם להישאר במקום, יצאו השניים מהמקווה. </w:t>
      </w:r>
    </w:p>
    <w:p w14:paraId="0D30078A" w14:textId="77777777" w:rsidR="009D1B05" w:rsidRDefault="009D1B05" w:rsidP="009D1B05">
      <w:pPr>
        <w:spacing w:line="360" w:lineRule="auto"/>
        <w:jc w:val="both"/>
        <w:rPr>
          <w:rFonts w:cs="FrankRuehl"/>
          <w:noProof w:val="0"/>
          <w:sz w:val="28"/>
          <w:szCs w:val="28"/>
          <w:rtl/>
        </w:rPr>
      </w:pPr>
    </w:p>
    <w:p w14:paraId="069DF2AE" w14:textId="77777777" w:rsidR="009D1B05" w:rsidRDefault="009D1B05" w:rsidP="009D1B05">
      <w:pPr>
        <w:spacing w:line="360" w:lineRule="auto"/>
        <w:jc w:val="both"/>
        <w:rPr>
          <w:rFonts w:cs="Miriam"/>
          <w:noProof w:val="0"/>
          <w:rtl/>
        </w:rPr>
      </w:pPr>
      <w:r>
        <w:rPr>
          <w:rFonts w:cs="Miriam"/>
          <w:noProof w:val="0"/>
          <w:rtl/>
        </w:rPr>
        <w:t>תסקירי שירות המבחן והערכת המסוכנות בעניינו של המשיב</w:t>
      </w:r>
    </w:p>
    <w:p w14:paraId="7473C3DE"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3.</w:t>
      </w:r>
      <w:r>
        <w:rPr>
          <w:rFonts w:cs="FrankRuehl"/>
          <w:noProof w:val="0"/>
          <w:sz w:val="28"/>
          <w:szCs w:val="28"/>
          <w:rtl/>
        </w:rPr>
        <w:tab/>
        <w:t xml:space="preserve">בגזר הדין סוכמו תסקירים שהגיש שירות המבחן לקראת הדיון בעונשו של המשיב כלהלן:  </w:t>
      </w:r>
    </w:p>
    <w:p w14:paraId="182E0081" w14:textId="77777777" w:rsidR="009D1B05" w:rsidRDefault="009D1B05" w:rsidP="009D1B05">
      <w:pPr>
        <w:spacing w:line="360" w:lineRule="auto"/>
        <w:jc w:val="both"/>
        <w:rPr>
          <w:rFonts w:cs="FrankRuehl"/>
          <w:noProof w:val="0"/>
          <w:sz w:val="28"/>
          <w:szCs w:val="28"/>
          <w:rtl/>
        </w:rPr>
      </w:pPr>
    </w:p>
    <w:p w14:paraId="37D61B39" w14:textId="77777777" w:rsidR="009D1B05" w:rsidRDefault="009D1B05" w:rsidP="009D1B05">
      <w:pPr>
        <w:spacing w:line="360" w:lineRule="auto"/>
        <w:jc w:val="both"/>
        <w:rPr>
          <w:rFonts w:cs="FrankRuehl"/>
          <w:noProof w:val="0"/>
          <w:sz w:val="28"/>
          <w:szCs w:val="28"/>
          <w:rtl/>
        </w:rPr>
      </w:pPr>
    </w:p>
    <w:p w14:paraId="2BDF22B0" w14:textId="77777777" w:rsidR="009D1B05" w:rsidRDefault="009D1B05" w:rsidP="009D1B05">
      <w:pPr>
        <w:spacing w:line="360" w:lineRule="auto"/>
        <w:jc w:val="both"/>
        <w:rPr>
          <w:rFonts w:cs="FrankRuehl"/>
          <w:noProof w:val="0"/>
          <w:sz w:val="28"/>
          <w:szCs w:val="28"/>
          <w:rtl/>
        </w:rPr>
      </w:pPr>
      <w:r>
        <w:rPr>
          <w:rFonts w:cs="FrankRuehl" w:hint="cs"/>
          <w:noProof w:val="0"/>
          <w:sz w:val="28"/>
          <w:szCs w:val="28"/>
          <w:rtl/>
        </w:rPr>
        <w:t>(הושמט קטע מהנוסח המקורי).</w:t>
      </w:r>
    </w:p>
    <w:p w14:paraId="2A4290A2" w14:textId="77777777" w:rsidR="009D1B05" w:rsidRDefault="009D1B05" w:rsidP="009D1B05">
      <w:pPr>
        <w:spacing w:line="360" w:lineRule="auto"/>
        <w:jc w:val="both"/>
        <w:rPr>
          <w:rFonts w:cs="FrankRuehl"/>
          <w:noProof w:val="0"/>
          <w:sz w:val="28"/>
          <w:szCs w:val="28"/>
          <w:rtl/>
        </w:rPr>
      </w:pPr>
    </w:p>
    <w:p w14:paraId="56B35065" w14:textId="77777777" w:rsidR="009D1B05" w:rsidRDefault="009D1B05" w:rsidP="009D1B05">
      <w:pPr>
        <w:spacing w:line="360" w:lineRule="auto"/>
        <w:jc w:val="both"/>
        <w:rPr>
          <w:rFonts w:cs="Miriam"/>
          <w:noProof w:val="0"/>
          <w:rtl/>
        </w:rPr>
      </w:pPr>
      <w:r>
        <w:rPr>
          <w:rFonts w:cs="FrankRuehl"/>
          <w:noProof w:val="0"/>
          <w:sz w:val="28"/>
          <w:szCs w:val="28"/>
          <w:rtl/>
        </w:rPr>
        <w:t>4.</w:t>
      </w:r>
      <w:r>
        <w:rPr>
          <w:rFonts w:cs="FrankRuehl"/>
          <w:noProof w:val="0"/>
          <w:sz w:val="28"/>
          <w:szCs w:val="28"/>
          <w:rtl/>
        </w:rPr>
        <w:tab/>
        <w:t>כאמור לעיל, לצורך גזירת הדין הוגשה ביום 19.11.2016 חוות דעת מטעם המרכז להערכת מסוכנות, ובה נקבע כי</w:t>
      </w:r>
      <w:r>
        <w:rPr>
          <w:rFonts w:cs="Miriam"/>
          <w:noProof w:val="0"/>
          <w:rtl/>
        </w:rPr>
        <w:t xml:space="preserve"> "לא ניתן להצביע שקיימת סטייה מינית מסוג פדופיליה, אך במקביל, לא ניתן לשלול בצורה מוחלטת קיומה של סטייה כזו". </w:t>
      </w:r>
    </w:p>
    <w:p w14:paraId="38201FB6" w14:textId="77777777" w:rsidR="009D1B05" w:rsidRDefault="009D1B05" w:rsidP="009D1B05">
      <w:pPr>
        <w:spacing w:line="360" w:lineRule="auto"/>
        <w:jc w:val="both"/>
        <w:rPr>
          <w:rFonts w:cs="Miriam"/>
          <w:noProof w:val="0"/>
          <w:rtl/>
        </w:rPr>
      </w:pPr>
    </w:p>
    <w:p w14:paraId="436D6DF9" w14:textId="77777777" w:rsidR="009D1B05" w:rsidRDefault="009D1B05" w:rsidP="009D1B05">
      <w:pPr>
        <w:spacing w:line="360" w:lineRule="auto"/>
        <w:ind w:firstLine="720"/>
        <w:jc w:val="both"/>
        <w:rPr>
          <w:rFonts w:cs="FrankRuehl"/>
          <w:noProof w:val="0"/>
          <w:sz w:val="28"/>
          <w:szCs w:val="28"/>
          <w:rtl/>
        </w:rPr>
      </w:pPr>
      <w:r>
        <w:rPr>
          <w:rFonts w:cs="FrankRuehl"/>
          <w:noProof w:val="0"/>
          <w:sz w:val="28"/>
          <w:szCs w:val="28"/>
          <w:rtl/>
        </w:rPr>
        <w:t xml:space="preserve">מחוות הדעת עולה כי התנהגות המשיב באירוע האמור כוללת מאפיינים המוכרים </w:t>
      </w:r>
      <w:r>
        <w:rPr>
          <w:rFonts w:cs="Miriam"/>
          <w:noProof w:val="0"/>
          <w:rtl/>
        </w:rPr>
        <w:t xml:space="preserve">"כגורמים המקושרים, סטטיסטית, עם שיעורים גבוהים, יחסית, לרצידיביזם מיני". </w:t>
      </w:r>
      <w:r>
        <w:rPr>
          <w:rFonts w:cs="FrankRuehl"/>
          <w:noProof w:val="0"/>
          <w:sz w:val="28"/>
          <w:szCs w:val="28"/>
          <w:rtl/>
        </w:rPr>
        <w:t>כמו כן קשייו הרגשיים העמוקים, הקשי להתמודד עם הצפה רגשית ועם סיטואציות מורכבות, וריבוי התכנים הפורנוגרפיים שאליהם הוא נחשף בצורה התמכרותית לצד אוננות כפייתית, כל אלה נוספים על האמור לעיל. מאידך מציינת חוות הדעת לחיוב את משפחתו של המשיב, אשר נטלה על עצמה תפקיד של פיקוח עליו ואת העדרם של דפוסי התנהגות אנטי סוציאליים. על פי חוות הדעת רמת המסוכנות המינית של המשיב גבוהה ומומלץ לשלבו בטיפול המתאים ליכולותיו ולצרכיו.</w:t>
      </w:r>
    </w:p>
    <w:p w14:paraId="5820AFAA" w14:textId="77777777" w:rsidR="009D1B05" w:rsidRDefault="009D1B05" w:rsidP="009D1B05">
      <w:pPr>
        <w:spacing w:line="360" w:lineRule="auto"/>
        <w:jc w:val="both"/>
        <w:rPr>
          <w:rFonts w:cs="FrankRuehl"/>
          <w:noProof w:val="0"/>
          <w:sz w:val="28"/>
          <w:szCs w:val="28"/>
          <w:rtl/>
        </w:rPr>
      </w:pPr>
    </w:p>
    <w:p w14:paraId="78FFEE29" w14:textId="77777777" w:rsidR="009D1B05" w:rsidRDefault="009D1B05" w:rsidP="009D1B05">
      <w:pPr>
        <w:spacing w:line="360" w:lineRule="auto"/>
        <w:jc w:val="both"/>
        <w:rPr>
          <w:rFonts w:cs="Miriam"/>
          <w:noProof w:val="0"/>
          <w:rtl/>
        </w:rPr>
      </w:pPr>
      <w:r>
        <w:rPr>
          <w:rFonts w:cs="Miriam"/>
          <w:noProof w:val="0"/>
          <w:rtl/>
        </w:rPr>
        <w:t>תמצית טיעוני הצדדים</w:t>
      </w:r>
    </w:p>
    <w:p w14:paraId="0D60A032"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5.</w:t>
      </w:r>
      <w:r>
        <w:rPr>
          <w:rFonts w:cs="FrankRuehl"/>
          <w:noProof w:val="0"/>
          <w:sz w:val="28"/>
          <w:szCs w:val="28"/>
          <w:rtl/>
        </w:rPr>
        <w:tab/>
        <w:t xml:space="preserve">ב"כ המבקשת ביקשה לאמץ את כל התנאים שעליהם המליצה היחידה לפיקוח על עברייני מין שבשירות בתי הסוהר, ועמדה על מידת הסיכון הגבוהה הנשקפת מהמשיב. </w:t>
      </w:r>
    </w:p>
    <w:p w14:paraId="4EEE5709" w14:textId="77777777" w:rsidR="009D1B05" w:rsidRDefault="009D1B05" w:rsidP="009D1B05">
      <w:pPr>
        <w:spacing w:line="360" w:lineRule="auto"/>
        <w:jc w:val="both"/>
        <w:rPr>
          <w:rFonts w:cs="FrankRuehl"/>
          <w:noProof w:val="0"/>
          <w:sz w:val="28"/>
          <w:szCs w:val="28"/>
          <w:rtl/>
        </w:rPr>
      </w:pPr>
    </w:p>
    <w:p w14:paraId="288DC8F1"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ב"כ המשיב הדגיש בדבריו את אי הצלחתן של הרשויות במציאת מסגרת שיקומית המתאימה לצרכיו של המשיב, למרות נכונותו הגבוהה לכך. הוא הסכים כי יוטל על המשיב צו פיקוח והביע הסכמה לתנאי שבסעיף 2(א) לבקשה, שעניינו חובת שיתוף פעולה עם קצין הפיקוח; לכל יתר התנאים הביע ב"כ המשיב התנגדות - חלקית או מלאה - כפי שיפורט להלן.</w:t>
      </w:r>
    </w:p>
    <w:p w14:paraId="626282C4" w14:textId="77777777" w:rsidR="009D1B05" w:rsidRDefault="009D1B05" w:rsidP="009D1B05">
      <w:pPr>
        <w:spacing w:line="360" w:lineRule="auto"/>
        <w:jc w:val="both"/>
        <w:rPr>
          <w:rFonts w:cs="FrankRuehl"/>
          <w:noProof w:val="0"/>
          <w:sz w:val="28"/>
          <w:szCs w:val="28"/>
          <w:rtl/>
        </w:rPr>
      </w:pPr>
    </w:p>
    <w:p w14:paraId="783F8266" w14:textId="77777777" w:rsidR="009D1B05" w:rsidRDefault="009D1B05" w:rsidP="009D1B05">
      <w:pPr>
        <w:spacing w:line="360" w:lineRule="auto"/>
        <w:jc w:val="both"/>
        <w:rPr>
          <w:rFonts w:cs="Miriam"/>
          <w:noProof w:val="0"/>
          <w:rtl/>
        </w:rPr>
      </w:pPr>
      <w:r>
        <w:rPr>
          <w:rFonts w:cs="Miriam"/>
          <w:noProof w:val="0"/>
          <w:rtl/>
        </w:rPr>
        <w:t>דיון והכרעה</w:t>
      </w:r>
    </w:p>
    <w:p w14:paraId="377A8428"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6.</w:t>
      </w:r>
      <w:r>
        <w:rPr>
          <w:rFonts w:cs="FrankRuehl"/>
          <w:noProof w:val="0"/>
          <w:sz w:val="28"/>
          <w:szCs w:val="28"/>
          <w:rtl/>
        </w:rPr>
        <w:tab/>
        <w:t>צו פיקוח בעניינו של עבריין מין הוא אמצעי מניעה הננקט בעניינו של מי שהשלים את ריצוי עונשו. בהחלטה בדבר הטלת צו פיקוח יש לאזן בין האינטרס הציבורי לבין זכויותיו של העבריין. לשם כך מחיל בית-המשפט מבחני מידתיות, אגב בדיקת התאמת אמצעי הפיקוח המוצעים למטרת החוק, תוך שהוא נמנע "</w:t>
      </w:r>
      <w:r>
        <w:rPr>
          <w:rFonts w:cs="Miriam"/>
          <w:noProof w:val="0"/>
          <w:rtl/>
        </w:rPr>
        <w:t>מהטלת מגבלות גורפות</w:t>
      </w:r>
      <w:r>
        <w:rPr>
          <w:rFonts w:cs="FrankRuehl"/>
          <w:noProof w:val="0"/>
          <w:sz w:val="28"/>
          <w:szCs w:val="28"/>
          <w:rtl/>
        </w:rPr>
        <w:t>" (</w:t>
      </w:r>
      <w:hyperlink r:id="rId24" w:history="1">
        <w:r w:rsidR="0097011E" w:rsidRPr="0097011E">
          <w:rPr>
            <w:rFonts w:cs="FrankRuehl"/>
            <w:noProof w:val="0"/>
            <w:color w:val="0000FF"/>
            <w:sz w:val="28"/>
            <w:szCs w:val="28"/>
            <w:u w:val="single"/>
            <w:rtl/>
          </w:rPr>
          <w:t>בש"פ 5308/12</w:t>
        </w:r>
      </w:hyperlink>
      <w:r>
        <w:rPr>
          <w:rFonts w:cs="FrankRuehl"/>
          <w:noProof w:val="0"/>
          <w:sz w:val="28"/>
          <w:szCs w:val="28"/>
          <w:rtl/>
        </w:rPr>
        <w:t xml:space="preserve"> </w:t>
      </w:r>
      <w:r>
        <w:rPr>
          <w:rFonts w:cs="Miriam"/>
          <w:noProof w:val="0"/>
          <w:rtl/>
        </w:rPr>
        <w:t>פלוני נ' מדינת ישראל</w:t>
      </w:r>
      <w:r>
        <w:rPr>
          <w:rFonts w:cs="FrankRuehl"/>
          <w:noProof w:val="0"/>
          <w:sz w:val="28"/>
          <w:szCs w:val="28"/>
          <w:rtl/>
        </w:rPr>
        <w:t xml:space="preserve"> (23.7.12)). </w:t>
      </w:r>
    </w:p>
    <w:p w14:paraId="722CCB2B" w14:textId="77777777" w:rsidR="009D1B05" w:rsidRDefault="009D1B05" w:rsidP="009D1B05">
      <w:pPr>
        <w:spacing w:line="360" w:lineRule="auto"/>
        <w:jc w:val="both"/>
        <w:rPr>
          <w:rFonts w:cs="FrankRuehl"/>
          <w:noProof w:val="0"/>
          <w:sz w:val="28"/>
          <w:szCs w:val="28"/>
          <w:rtl/>
        </w:rPr>
      </w:pPr>
    </w:p>
    <w:p w14:paraId="3B7B2C41"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lastRenderedPageBreak/>
        <w:t>7.</w:t>
      </w:r>
      <w:r>
        <w:rPr>
          <w:rFonts w:cs="FrankRuehl"/>
          <w:noProof w:val="0"/>
          <w:sz w:val="28"/>
          <w:szCs w:val="28"/>
          <w:rtl/>
        </w:rPr>
        <w:tab/>
        <w:t xml:space="preserve">בעניין שלפנינו אין חולק על חוות הדעת מיום 19.11.2016 שעל פיה מסוכנותו של המשיב גבוהה, ועל הצורך להטיל עליו צו פיקוח כאמור </w:t>
      </w:r>
      <w:hyperlink r:id="rId25" w:history="1">
        <w:r w:rsidR="0025192C" w:rsidRPr="0025192C">
          <w:rPr>
            <w:rFonts w:cs="FrankRuehl"/>
            <w:noProof w:val="0"/>
            <w:color w:val="0000FF"/>
            <w:sz w:val="28"/>
            <w:szCs w:val="28"/>
            <w:u w:val="single"/>
            <w:rtl/>
          </w:rPr>
          <w:t>בסעיף 12</w:t>
        </w:r>
      </w:hyperlink>
      <w:r>
        <w:rPr>
          <w:rFonts w:cs="FrankRuehl"/>
          <w:noProof w:val="0"/>
          <w:sz w:val="28"/>
          <w:szCs w:val="28"/>
          <w:rtl/>
        </w:rPr>
        <w:t xml:space="preserve"> לחוק. כאמור הצדדים חלוקים ביניהם בעניין התנאים המבוקשים.</w:t>
      </w:r>
    </w:p>
    <w:p w14:paraId="7F5D885C" w14:textId="77777777" w:rsidR="009D1B05" w:rsidRDefault="009D1B05" w:rsidP="009D1B05">
      <w:pPr>
        <w:spacing w:line="360" w:lineRule="auto"/>
        <w:jc w:val="both"/>
        <w:rPr>
          <w:rFonts w:cs="FrankRuehl"/>
          <w:noProof w:val="0"/>
          <w:sz w:val="28"/>
          <w:szCs w:val="28"/>
          <w:rtl/>
        </w:rPr>
      </w:pPr>
    </w:p>
    <w:p w14:paraId="42452DF4"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8.</w:t>
      </w:r>
      <w:r>
        <w:rPr>
          <w:rFonts w:cs="FrankRuehl"/>
          <w:noProof w:val="0"/>
          <w:sz w:val="28"/>
          <w:szCs w:val="28"/>
          <w:rtl/>
        </w:rPr>
        <w:tab/>
      </w:r>
      <w:r>
        <w:rPr>
          <w:rFonts w:cs="Miriam"/>
          <w:noProof w:val="0"/>
          <w:rtl/>
        </w:rPr>
        <w:t>איסור שהייה תחת קורת גג אחת עם קטינים</w:t>
      </w:r>
      <w:r>
        <w:rPr>
          <w:rFonts w:cs="FrankRuehl"/>
          <w:noProof w:val="0"/>
          <w:sz w:val="28"/>
          <w:szCs w:val="28"/>
          <w:rtl/>
        </w:rPr>
        <w:t xml:space="preserve"> – </w:t>
      </w:r>
      <w:r w:rsidR="0025192C" w:rsidRPr="0025192C">
        <w:rPr>
          <w:rFonts w:cs="FrankRuehl"/>
          <w:noProof w:val="0"/>
          <w:sz w:val="28"/>
          <w:szCs w:val="28"/>
          <w:rtl/>
        </w:rPr>
        <w:t>בסעיף 2(ב)</w:t>
      </w:r>
      <w:r>
        <w:rPr>
          <w:rFonts w:cs="FrankRuehl"/>
          <w:noProof w:val="0"/>
          <w:sz w:val="28"/>
          <w:szCs w:val="28"/>
          <w:rtl/>
        </w:rPr>
        <w:t xml:space="preserve"> מתבקש בית המשפט לקבוע כי על המשיב ייאסר להתחבר, לשהות או ללון תחת קורת גג אחת עם קטינים משני המינים "</w:t>
      </w:r>
      <w:r>
        <w:rPr>
          <w:rFonts w:cs="Miriam"/>
          <w:noProof w:val="0"/>
          <w:rtl/>
        </w:rPr>
        <w:t>למעט שהיה קצרה ואקראית במקום ציבורי באופן אותו המשיב לא יכול לצפות או למנוע; ולמעט שהיה ללא לינה עם קטינים בני משפחה אשר תותר למשיב לבצעה בנוכחות צמודה של בגיר נוסך המודע לעבירה ולמגבלה ואשר יאושר ע"י קצין הפיקוח</w:t>
      </w:r>
      <w:r>
        <w:rPr>
          <w:rFonts w:cs="FrankRuehl"/>
          <w:noProof w:val="0"/>
          <w:sz w:val="28"/>
          <w:szCs w:val="28"/>
          <w:rtl/>
        </w:rPr>
        <w:t>".</w:t>
      </w:r>
    </w:p>
    <w:p w14:paraId="7300BF48" w14:textId="77777777" w:rsidR="009D1B05" w:rsidRDefault="009D1B05" w:rsidP="009D1B05">
      <w:pPr>
        <w:spacing w:line="360" w:lineRule="auto"/>
        <w:jc w:val="both"/>
        <w:rPr>
          <w:rFonts w:cs="FrankRuehl"/>
          <w:noProof w:val="0"/>
          <w:sz w:val="28"/>
          <w:szCs w:val="28"/>
          <w:rtl/>
        </w:rPr>
      </w:pPr>
    </w:p>
    <w:p w14:paraId="7EB71E98"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 xml:space="preserve">ב"כ המשיב טוען כי הנוסח האמור מהווה </w:t>
      </w:r>
      <w:r>
        <w:rPr>
          <w:rFonts w:cs="Miriam"/>
          <w:noProof w:val="0"/>
          <w:rtl/>
        </w:rPr>
        <w:t>"פתח לפורענות</w:t>
      </w:r>
      <w:r>
        <w:rPr>
          <w:rFonts w:cs="FrankRuehl"/>
          <w:noProof w:val="0"/>
          <w:sz w:val="28"/>
          <w:szCs w:val="28"/>
          <w:rtl/>
        </w:rPr>
        <w:t xml:space="preserve">", וכי על פי התנאי האמור המשיב מנוע מלשהות במקומות ציבוריים. </w:t>
      </w:r>
    </w:p>
    <w:p w14:paraId="521DADB8" w14:textId="77777777" w:rsidR="009D1B05" w:rsidRDefault="009D1B05" w:rsidP="009D1B05">
      <w:pPr>
        <w:spacing w:line="360" w:lineRule="auto"/>
        <w:jc w:val="both"/>
        <w:rPr>
          <w:rFonts w:cs="FrankRuehl"/>
          <w:noProof w:val="0"/>
          <w:sz w:val="28"/>
          <w:szCs w:val="28"/>
          <w:rtl/>
        </w:rPr>
      </w:pPr>
    </w:p>
    <w:p w14:paraId="579E5976"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ב"כ המבקשת עומדת על תנאי זה, וטוענת כי ניתן לסייג אותו באישור קונקרטי שיינתן על ידי קצין הפיקוח בכל הזדמנות שהדבר יידרש.</w:t>
      </w:r>
    </w:p>
    <w:p w14:paraId="70DAFA1A" w14:textId="77777777" w:rsidR="009D1B05" w:rsidRDefault="009D1B05" w:rsidP="009D1B05">
      <w:pPr>
        <w:spacing w:line="360" w:lineRule="auto"/>
        <w:jc w:val="both"/>
        <w:rPr>
          <w:rFonts w:cs="FrankRuehl"/>
          <w:noProof w:val="0"/>
          <w:sz w:val="28"/>
          <w:szCs w:val="28"/>
          <w:rtl/>
        </w:rPr>
      </w:pPr>
    </w:p>
    <w:p w14:paraId="1BB9A96A"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9.</w:t>
      </w:r>
      <w:r>
        <w:rPr>
          <w:rFonts w:cs="FrankRuehl"/>
          <w:noProof w:val="0"/>
          <w:sz w:val="28"/>
          <w:szCs w:val="28"/>
          <w:rtl/>
        </w:rPr>
        <w:tab/>
        <w:t xml:space="preserve">נוסחו של תנאי זה אינו בהיר דיו. זאת ועוד, יישום דווקני של התנאי יטיל על המשיב חובה להימנע מלבקר במקומות ציבוריים – קניון, סופרמרקט, קופת חולים וכד', למשך שנים אחדות. הטלת חובה על המשיב ליצור קשר עם קצין הפיקוח, כדי לקבל את אישורו לכל ביקור וביקור במבנים מהסוג האמור אינה מעשית. </w:t>
      </w:r>
    </w:p>
    <w:p w14:paraId="3CA505A0" w14:textId="77777777" w:rsidR="009D1B05" w:rsidRDefault="009D1B05" w:rsidP="009D1B05">
      <w:pPr>
        <w:spacing w:line="360" w:lineRule="auto"/>
        <w:jc w:val="both"/>
        <w:rPr>
          <w:rFonts w:cs="FrankRuehl"/>
          <w:noProof w:val="0"/>
          <w:sz w:val="28"/>
          <w:szCs w:val="28"/>
          <w:rtl/>
        </w:rPr>
      </w:pPr>
    </w:p>
    <w:p w14:paraId="21D594DB" w14:textId="77777777" w:rsidR="009D1B05" w:rsidRDefault="009D1B05" w:rsidP="009D1B05">
      <w:pPr>
        <w:spacing w:line="360" w:lineRule="auto"/>
        <w:ind w:firstLine="720"/>
        <w:jc w:val="both"/>
        <w:rPr>
          <w:rFonts w:cs="FrankRuehl"/>
          <w:noProof w:val="0"/>
          <w:sz w:val="28"/>
          <w:szCs w:val="28"/>
          <w:rtl/>
        </w:rPr>
      </w:pPr>
      <w:r>
        <w:rPr>
          <w:rFonts w:cs="FrankRuehl"/>
          <w:noProof w:val="0"/>
          <w:sz w:val="28"/>
          <w:szCs w:val="28"/>
          <w:rtl/>
        </w:rPr>
        <w:t xml:space="preserve">בניסוח תנאי זה יש להבחין בין מקום ציבורי לבית מגורים. </w:t>
      </w:r>
    </w:p>
    <w:p w14:paraId="19BC6536" w14:textId="77777777" w:rsidR="009D1B05" w:rsidRDefault="009D1B05" w:rsidP="009D1B05">
      <w:pPr>
        <w:spacing w:line="360" w:lineRule="auto"/>
        <w:ind w:firstLine="720"/>
        <w:jc w:val="both"/>
        <w:rPr>
          <w:rFonts w:cs="FrankRuehl"/>
          <w:noProof w:val="0"/>
          <w:sz w:val="28"/>
          <w:szCs w:val="28"/>
          <w:rtl/>
        </w:rPr>
      </w:pPr>
    </w:p>
    <w:p w14:paraId="6B837F50" w14:textId="77777777" w:rsidR="009D1B05" w:rsidRDefault="009D1B05" w:rsidP="009D1B05">
      <w:pPr>
        <w:spacing w:line="360" w:lineRule="auto"/>
        <w:ind w:firstLine="720"/>
        <w:jc w:val="both"/>
        <w:rPr>
          <w:rFonts w:cs="FrankRuehl"/>
          <w:noProof w:val="0"/>
          <w:sz w:val="28"/>
          <w:szCs w:val="28"/>
          <w:rtl/>
        </w:rPr>
      </w:pPr>
      <w:r>
        <w:rPr>
          <w:rFonts w:cs="FrankRuehl"/>
          <w:noProof w:val="0"/>
          <w:sz w:val="28"/>
          <w:szCs w:val="28"/>
          <w:rtl/>
        </w:rPr>
        <w:t>אשר על כן יש לתקן את תנאי 2(ב), באופן שייקבע בו כי בבית מגורים ייאסר על המשיב לשהות בחברתם של קטינים, וכי במקום ציבורי ייאסר עליו לשהות בחברתם של קטינים ביחידות. בהסכמתו של בגיר, המודע לעבירה שבה הורשע המשיב ולמגבלות המוטלות עליו, ובנוכחותו הצמודה של אותו בגיר, יותר למשיב לשהות בחברתם של קטינים בנסיבות האמורות לעיל, ובלבד שבשום מקרה לא יותר למשיב ללון תחת קורת גג אחת עם קטינים. בגיר כאמור יאושר מראש על ידי קצין הפיקוח.</w:t>
      </w:r>
    </w:p>
    <w:p w14:paraId="2EB810D5" w14:textId="77777777" w:rsidR="009D1B05" w:rsidRDefault="009D1B05" w:rsidP="009D1B05">
      <w:pPr>
        <w:spacing w:line="360" w:lineRule="auto"/>
        <w:ind w:firstLine="720"/>
        <w:jc w:val="both"/>
        <w:rPr>
          <w:rFonts w:cs="FrankRuehl"/>
          <w:noProof w:val="0"/>
          <w:sz w:val="28"/>
          <w:szCs w:val="28"/>
          <w:rtl/>
        </w:rPr>
      </w:pPr>
    </w:p>
    <w:p w14:paraId="666A7D17"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10.</w:t>
      </w:r>
      <w:r>
        <w:rPr>
          <w:rFonts w:cs="FrankRuehl"/>
          <w:noProof w:val="0"/>
          <w:sz w:val="28"/>
          <w:szCs w:val="28"/>
          <w:rtl/>
        </w:rPr>
        <w:tab/>
      </w:r>
      <w:r>
        <w:rPr>
          <w:rFonts w:cs="Miriam"/>
          <w:noProof w:val="0"/>
          <w:rtl/>
        </w:rPr>
        <w:t>הרחקה ממקומות כינוס של קטינים</w:t>
      </w:r>
      <w:r>
        <w:rPr>
          <w:rFonts w:cs="FrankRuehl"/>
          <w:noProof w:val="0"/>
          <w:sz w:val="28"/>
          <w:szCs w:val="28"/>
          <w:rtl/>
        </w:rPr>
        <w:t xml:space="preserve"> - תנאי 2(ג) קובע כי המשיב יורחק ממקומות כינוס של קטינים וממקומות שבהם עשויים לשהות קטינים ללא לבוש או בלבוש חלקי.</w:t>
      </w:r>
    </w:p>
    <w:p w14:paraId="1E4DC0A9" w14:textId="77777777" w:rsidR="009D1B05" w:rsidRDefault="009D1B05" w:rsidP="009D1B05">
      <w:pPr>
        <w:spacing w:line="360" w:lineRule="auto"/>
        <w:jc w:val="both"/>
        <w:rPr>
          <w:rFonts w:cs="FrankRuehl"/>
          <w:noProof w:val="0"/>
          <w:sz w:val="28"/>
          <w:szCs w:val="28"/>
          <w:rtl/>
        </w:rPr>
      </w:pPr>
    </w:p>
    <w:p w14:paraId="27E4DD0D"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ב"כ המשיב טוען כי יש לאפשר למשיב לשהות במקומות אלה בנוכחות צמודה של בגיר שאושר מראש על ידי קצין הפיקוח. המבקשת מתנגדת לכך ומציעה את האפשרות לחרוג מתנאי זה רק באישור קונקרטי של קצין הפיקוח.</w:t>
      </w:r>
    </w:p>
    <w:p w14:paraId="12010468" w14:textId="77777777" w:rsidR="009D1B05" w:rsidRDefault="009D1B05" w:rsidP="009D1B05">
      <w:pPr>
        <w:spacing w:line="360" w:lineRule="auto"/>
        <w:jc w:val="both"/>
        <w:rPr>
          <w:rFonts w:cs="FrankRuehl"/>
          <w:noProof w:val="0"/>
          <w:sz w:val="28"/>
          <w:szCs w:val="28"/>
          <w:rtl/>
        </w:rPr>
      </w:pPr>
    </w:p>
    <w:p w14:paraId="4C12C499"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בעניין זה הדין עם המבקשת. הסיכון הנשקף מהמשיב לקטינים גדל באופן ממשי במקומות התכנסות מהסוג המפורט בתנאי המוצע. על כן אין לראות חוסר מידתיות בתנאי האמור, זאת כאשר ניתן לסייגו בהסכמה קונקרטית של קצין הפיקוח כמוסכם על המבקשת.</w:t>
      </w:r>
    </w:p>
    <w:p w14:paraId="070D11FA" w14:textId="77777777" w:rsidR="009D1B05" w:rsidRDefault="009D1B05" w:rsidP="009D1B05">
      <w:pPr>
        <w:spacing w:line="360" w:lineRule="auto"/>
        <w:jc w:val="both"/>
        <w:rPr>
          <w:rFonts w:cs="FrankRuehl"/>
          <w:noProof w:val="0"/>
          <w:sz w:val="28"/>
          <w:szCs w:val="28"/>
          <w:rtl/>
        </w:rPr>
      </w:pPr>
    </w:p>
    <w:p w14:paraId="1B7768FB"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11.</w:t>
      </w:r>
      <w:r>
        <w:rPr>
          <w:rFonts w:cs="FrankRuehl"/>
          <w:noProof w:val="0"/>
          <w:sz w:val="28"/>
          <w:szCs w:val="28"/>
          <w:rtl/>
        </w:rPr>
        <w:tab/>
      </w:r>
      <w:r>
        <w:rPr>
          <w:rFonts w:cs="Miriam"/>
          <w:noProof w:val="0"/>
          <w:rtl/>
        </w:rPr>
        <w:t>החזקה וצפייה בחומר פורנוגרפי</w:t>
      </w:r>
      <w:r>
        <w:rPr>
          <w:rFonts w:cs="FrankRuehl"/>
          <w:noProof w:val="0"/>
          <w:sz w:val="28"/>
          <w:szCs w:val="28"/>
          <w:rtl/>
        </w:rPr>
        <w:t xml:space="preserve"> - על פי תנאי 2(ד) שבבקשה יש לאסור </w:t>
      </w:r>
      <w:r>
        <w:rPr>
          <w:rFonts w:cs="Miriam"/>
          <w:noProof w:val="0"/>
          <w:rtl/>
        </w:rPr>
        <w:t>"החזקה וצפייה, בכל אמצעי, בחומרים פורנוגרפיים. בתוך כך, החזקת מכשיר המאפשר גלישה באינטרנט, לרבות טלפון נייד, תותר לאחר התקנת חסם מתאים, לרבות חסם לאינטרנט אלחוטי"</w:t>
      </w:r>
      <w:r>
        <w:rPr>
          <w:rFonts w:cs="FrankRuehl"/>
          <w:noProof w:val="0"/>
          <w:sz w:val="28"/>
          <w:szCs w:val="28"/>
          <w:rtl/>
        </w:rPr>
        <w:t>.</w:t>
      </w:r>
    </w:p>
    <w:p w14:paraId="4F0331C2" w14:textId="77777777" w:rsidR="009D1B05" w:rsidRDefault="009D1B05" w:rsidP="009D1B05">
      <w:pPr>
        <w:spacing w:line="360" w:lineRule="auto"/>
        <w:jc w:val="both"/>
        <w:rPr>
          <w:rFonts w:cs="FrankRuehl"/>
          <w:noProof w:val="0"/>
          <w:sz w:val="28"/>
          <w:szCs w:val="28"/>
          <w:rtl/>
        </w:rPr>
      </w:pPr>
    </w:p>
    <w:p w14:paraId="4898D1BE"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ב"כ המשיב מסכים לתנאי זה ובלבד שהחסימה המבוקשת תמנע גלישה באתרים הכוללים חומר פורנוגרפי, להבדיל מחסימת גישה לאינטרנט בכלל. לדבריו "</w:t>
      </w:r>
      <w:r>
        <w:rPr>
          <w:rFonts w:cs="Miriam"/>
          <w:noProof w:val="0"/>
          <w:rtl/>
        </w:rPr>
        <w:t>אפשר לסמוך על האח, במקרה הזה, שהוא יביא אישור של חסם שחוסם גלישה לאתרים הפורנוגרפיים".</w:t>
      </w:r>
    </w:p>
    <w:p w14:paraId="29B33FF0" w14:textId="77777777" w:rsidR="009D1B05" w:rsidRDefault="009D1B05" w:rsidP="009D1B05">
      <w:pPr>
        <w:spacing w:line="360" w:lineRule="auto"/>
        <w:jc w:val="both"/>
        <w:rPr>
          <w:rFonts w:cs="FrankRuehl"/>
          <w:noProof w:val="0"/>
          <w:sz w:val="28"/>
          <w:szCs w:val="28"/>
          <w:rtl/>
        </w:rPr>
      </w:pPr>
    </w:p>
    <w:p w14:paraId="5CA8B2D4"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 xml:space="preserve">ב"כ המבקשת הפנתה לדבריו של המשיב מהם עולה כי הוא נוהג לצפות בחומרים פורנוגרפיים וכי הוא צפה בחומרים כאמור בסמוך לפני שעבר את העבירה נשוא הדיון. לטענתה </w:t>
      </w:r>
      <w:r>
        <w:rPr>
          <w:rFonts w:cs="Miriam"/>
          <w:noProof w:val="0"/>
          <w:rtl/>
        </w:rPr>
        <w:t>"לא קיימת חסימה הרמטית לחלוטין</w:t>
      </w:r>
      <w:r>
        <w:rPr>
          <w:rFonts w:cs="FrankRuehl"/>
          <w:noProof w:val="0"/>
          <w:sz w:val="28"/>
          <w:szCs w:val="28"/>
          <w:rtl/>
        </w:rPr>
        <w:t>" ומכאן שאין דרך להקל בדרישה זו.</w:t>
      </w:r>
    </w:p>
    <w:p w14:paraId="4EE14449" w14:textId="77777777" w:rsidR="009D1B05" w:rsidRDefault="009D1B05" w:rsidP="009D1B05">
      <w:pPr>
        <w:spacing w:line="360" w:lineRule="auto"/>
        <w:jc w:val="both"/>
        <w:rPr>
          <w:rFonts w:cs="FrankRuehl"/>
          <w:noProof w:val="0"/>
          <w:sz w:val="28"/>
          <w:szCs w:val="28"/>
          <w:rtl/>
        </w:rPr>
      </w:pPr>
    </w:p>
    <w:p w14:paraId="3305731F"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12.</w:t>
      </w:r>
      <w:r>
        <w:rPr>
          <w:rFonts w:cs="FrankRuehl"/>
          <w:noProof w:val="0"/>
          <w:sz w:val="28"/>
          <w:szCs w:val="28"/>
          <w:rtl/>
        </w:rPr>
        <w:tab/>
        <w:t xml:space="preserve">דרישתה של המבקשת להטיל איסור גורף על המשיב לעשות שימוש באינטרנט, ואף להימצא בבית מגורים שאין בו גישה לאינטרנט, אינה מידתית. מניעת גישה לאינטרנט לפרק זמן ממושך היא גזרה שנכון להטיל בעיקר על המורשעים בעבירות שבוצעו באמצעות האינטרנט. בעניינם של אחרים, יש לנהוג זהירות בהטלת תנאי גורף שכזה, ובמיוחד בעניינו של המשיב, הסובל כאמור לעיל מהזנחה ובדידות ואובחן כסובל מדיכאון. המשיב עשוי למצוא עניין באתרים חברתיים, בצפייה באתרים מסוגים שונים שאין בהם תכנים פורנוגרפיים, בהאזנה לאתרי מוסיקה ועוד. החשש כי המשיב ימרה את פיו של אחיו המבוגר ממנו המטפל בו במסירות רבה, יתגבר על חסימה של אתרים פורנוגרפיים וכתוצאה מכך ייחשף לתכנים העלולים להגביר את הסיכון הנשקף ממנו, אינו מצדיק את ניתוקו הגורף מעולם האינטרנט. זאת ועוד, בנסיבות העניין בלתי סביר לדרוש מבני משפחתו להתנתק אף הם מהאינטרנט כדי שהמשיב יוכל להתגורר בביתם.  </w:t>
      </w:r>
    </w:p>
    <w:p w14:paraId="731E347D" w14:textId="77777777" w:rsidR="009D1B05" w:rsidRDefault="009D1B05" w:rsidP="009D1B05">
      <w:pPr>
        <w:spacing w:line="360" w:lineRule="auto"/>
        <w:jc w:val="both"/>
        <w:rPr>
          <w:rFonts w:cs="FrankRuehl"/>
          <w:noProof w:val="0"/>
          <w:sz w:val="28"/>
          <w:szCs w:val="28"/>
          <w:rtl/>
        </w:rPr>
      </w:pPr>
    </w:p>
    <w:p w14:paraId="68D0A382"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 xml:space="preserve">אשר על כן יש לתקן את התנאי </w:t>
      </w:r>
      <w:r w:rsidR="0025192C" w:rsidRPr="0025192C">
        <w:rPr>
          <w:rFonts w:cs="FrankRuehl"/>
          <w:noProof w:val="0"/>
          <w:sz w:val="28"/>
          <w:szCs w:val="28"/>
          <w:rtl/>
        </w:rPr>
        <w:t>שבסעיף 2(ד)</w:t>
      </w:r>
      <w:r>
        <w:rPr>
          <w:rFonts w:cs="FrankRuehl"/>
          <w:noProof w:val="0"/>
          <w:sz w:val="28"/>
          <w:szCs w:val="28"/>
          <w:rtl/>
        </w:rPr>
        <w:t xml:space="preserve"> באופן שייקבע בו כי על המשיב ייאסר להחזיק או לצפות בחומרים פורנוגרפיים. כמו כן ייאסר עליו להחזיק מכשיר המאפשר גלישה באינטרנט אלא אם יותקן בו חסם לצפייה באתרים הכוללים חומר פורנוגרפי. </w:t>
      </w:r>
    </w:p>
    <w:p w14:paraId="271D950F" w14:textId="77777777" w:rsidR="009D1B05" w:rsidRDefault="009D1B05" w:rsidP="009D1B05">
      <w:pPr>
        <w:spacing w:line="360" w:lineRule="auto"/>
        <w:jc w:val="both"/>
        <w:rPr>
          <w:rFonts w:cs="FrankRuehl"/>
          <w:noProof w:val="0"/>
          <w:sz w:val="28"/>
          <w:szCs w:val="28"/>
          <w:rtl/>
        </w:rPr>
      </w:pPr>
    </w:p>
    <w:p w14:paraId="34EC2A54"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13.</w:t>
      </w:r>
      <w:r>
        <w:rPr>
          <w:rFonts w:cs="FrankRuehl"/>
          <w:noProof w:val="0"/>
          <w:sz w:val="28"/>
          <w:szCs w:val="28"/>
          <w:rtl/>
        </w:rPr>
        <w:tab/>
        <w:t xml:space="preserve">מכאן לתנאי שבסעיף 2(ה) לבקשה, שעל פיו ייאסר על המשיב לעבוד </w:t>
      </w:r>
      <w:r>
        <w:rPr>
          <w:rFonts w:cs="Miriam"/>
          <w:noProof w:val="0"/>
          <w:rtl/>
        </w:rPr>
        <w:t>"בין בתמורה ובין בהתנדבות, בעבודה המאפשרת קשר ו/או קרבה לקטינים (משני המינים) בעבודה בה ישנה גישה לאינטרנט ללא חסם".</w:t>
      </w:r>
    </w:p>
    <w:p w14:paraId="6320B619" w14:textId="77777777" w:rsidR="009D1B05" w:rsidRDefault="009D1B05" w:rsidP="009D1B05">
      <w:pPr>
        <w:spacing w:line="360" w:lineRule="auto"/>
        <w:jc w:val="both"/>
        <w:rPr>
          <w:rFonts w:cs="FrankRuehl"/>
          <w:noProof w:val="0"/>
          <w:sz w:val="28"/>
          <w:szCs w:val="28"/>
          <w:rtl/>
        </w:rPr>
      </w:pPr>
    </w:p>
    <w:p w14:paraId="78F6D843"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ב"כ המשיב מסכים לתנאי זה למעט הסיפא שבו, שעל פיו ייאסר על המשיב לעבוד במקום שבו גישה לאינטרנט.</w:t>
      </w:r>
    </w:p>
    <w:p w14:paraId="30D373DC" w14:textId="77777777" w:rsidR="009D1B05" w:rsidRDefault="009D1B05" w:rsidP="009D1B05">
      <w:pPr>
        <w:spacing w:line="360" w:lineRule="auto"/>
        <w:jc w:val="both"/>
        <w:rPr>
          <w:rFonts w:cs="FrankRuehl"/>
          <w:noProof w:val="0"/>
          <w:sz w:val="28"/>
          <w:szCs w:val="28"/>
          <w:rtl/>
        </w:rPr>
      </w:pPr>
    </w:p>
    <w:p w14:paraId="3B107997"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המשיבה עומדת על קביעת תנאי זה במלואו.</w:t>
      </w:r>
    </w:p>
    <w:p w14:paraId="02157851" w14:textId="77777777" w:rsidR="009D1B05" w:rsidRDefault="009D1B05" w:rsidP="009D1B05">
      <w:pPr>
        <w:spacing w:line="360" w:lineRule="auto"/>
        <w:jc w:val="both"/>
        <w:rPr>
          <w:rFonts w:cs="FrankRuehl"/>
          <w:noProof w:val="0"/>
          <w:sz w:val="28"/>
          <w:szCs w:val="28"/>
          <w:rtl/>
        </w:rPr>
      </w:pPr>
    </w:p>
    <w:p w14:paraId="0CB56278"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14.</w:t>
      </w:r>
      <w:r>
        <w:rPr>
          <w:rFonts w:cs="FrankRuehl"/>
          <w:noProof w:val="0"/>
          <w:sz w:val="28"/>
          <w:szCs w:val="28"/>
          <w:rtl/>
        </w:rPr>
        <w:tab/>
        <w:t>גם בעניין זה יש לקבל את הסתייגותו של ב"כ המשיב. שילובו של המשיב בעבודה חיוני לשיקומו. ב"כ המשיב מסר, כי מרשו השתלב לאחרונה בעבודה בסופרמרקט. ניתוק המחשב שבמשרדי הסופרמרקט מהאינטרנט אינו מעשי, ופירושו של דבר הוא כי המשיב ייאלץ לעזוב מקום עבודה זה. דוגמה זו ממחישה את הקשי שבקביעת תנאי זה, הצפוי להתעורר בכל מקום עבודה שבו יבקש המשיב להשתלב בעתיד. כדי להפוך איסור זה למידתי יש להטילו רק בהתייחס לעמדת העבודה של המשיב, בכל מקום עבודה שבו ישתלב.</w:t>
      </w:r>
    </w:p>
    <w:p w14:paraId="258F3B10" w14:textId="77777777" w:rsidR="009D1B05" w:rsidRDefault="009D1B05" w:rsidP="009D1B05">
      <w:pPr>
        <w:spacing w:line="360" w:lineRule="auto"/>
        <w:jc w:val="both"/>
        <w:rPr>
          <w:rFonts w:cs="FrankRuehl"/>
          <w:noProof w:val="0"/>
          <w:sz w:val="28"/>
          <w:szCs w:val="28"/>
          <w:rtl/>
        </w:rPr>
      </w:pPr>
    </w:p>
    <w:p w14:paraId="02D99864" w14:textId="77777777" w:rsidR="009D1B05" w:rsidRDefault="009D1B05" w:rsidP="009D1B05">
      <w:pPr>
        <w:spacing w:line="360" w:lineRule="auto"/>
        <w:ind w:firstLine="720"/>
        <w:jc w:val="both"/>
        <w:rPr>
          <w:rFonts w:cs="FrankRuehl"/>
          <w:noProof w:val="0"/>
          <w:sz w:val="28"/>
          <w:szCs w:val="28"/>
          <w:rtl/>
        </w:rPr>
      </w:pPr>
      <w:r>
        <w:rPr>
          <w:rFonts w:cs="FrankRuehl"/>
          <w:noProof w:val="0"/>
          <w:sz w:val="28"/>
          <w:szCs w:val="28"/>
          <w:rtl/>
        </w:rPr>
        <w:t>אשר על כן התנאי שבסעיף 2(ה) סיפא יתוקן באופן שייקבע בו כי המשיב לא יוצב במקום עבודתו בעמדת מחשב, אלא אם הותקן בה חסם לצפייה באתרים הכוללים חומר פורנוגרפי.</w:t>
      </w:r>
    </w:p>
    <w:p w14:paraId="70B7F8C6" w14:textId="77777777" w:rsidR="009D1B05" w:rsidRDefault="009D1B05" w:rsidP="009D1B05">
      <w:pPr>
        <w:spacing w:line="360" w:lineRule="auto"/>
        <w:jc w:val="both"/>
        <w:rPr>
          <w:rFonts w:cs="FrankRuehl"/>
          <w:noProof w:val="0"/>
          <w:sz w:val="28"/>
          <w:szCs w:val="28"/>
          <w:rtl/>
        </w:rPr>
      </w:pPr>
    </w:p>
    <w:p w14:paraId="5CCFAE37"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15.</w:t>
      </w:r>
      <w:r>
        <w:rPr>
          <w:rFonts w:cs="FrankRuehl"/>
          <w:noProof w:val="0"/>
          <w:sz w:val="28"/>
          <w:szCs w:val="28"/>
          <w:rtl/>
        </w:rPr>
        <w:tab/>
        <w:t>כמו כן בנוגע לכל התנאים, ייקבע בצו כי במקרים מתאימים, רשאי קצין הפיקוח לאשר חריגה מהצו בהתאם לנסיבות העניין.</w:t>
      </w:r>
    </w:p>
    <w:p w14:paraId="265B6AE5" w14:textId="77777777" w:rsidR="009D1B05" w:rsidRDefault="009D1B05" w:rsidP="009D1B05">
      <w:pPr>
        <w:spacing w:line="360" w:lineRule="auto"/>
        <w:jc w:val="both"/>
        <w:rPr>
          <w:rFonts w:cs="FrankRuehl"/>
          <w:noProof w:val="0"/>
          <w:sz w:val="28"/>
          <w:szCs w:val="28"/>
          <w:rtl/>
        </w:rPr>
      </w:pPr>
    </w:p>
    <w:p w14:paraId="1C2090C9"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16.</w:t>
      </w:r>
      <w:r>
        <w:rPr>
          <w:rFonts w:cs="FrankRuehl"/>
          <w:noProof w:val="0"/>
          <w:sz w:val="28"/>
          <w:szCs w:val="28"/>
          <w:rtl/>
        </w:rPr>
        <w:tab/>
      </w:r>
      <w:r>
        <w:rPr>
          <w:rFonts w:cs="Miriam"/>
          <w:noProof w:val="0"/>
          <w:rtl/>
        </w:rPr>
        <w:t>משך תקופת הצו</w:t>
      </w:r>
      <w:r>
        <w:rPr>
          <w:rFonts w:cs="FrankRuehl"/>
          <w:noProof w:val="0"/>
          <w:sz w:val="28"/>
          <w:szCs w:val="28"/>
          <w:rtl/>
        </w:rPr>
        <w:t xml:space="preserve"> - כאמור ב"כ המשיב טוען גם כנגד משך התקופה המבוקשת – ארבע שנים. לטענתו אין התאמה בין משך התקופה לבין חומרת העבירה שבה המשיב הורשע והעונש שהוטל עליו בגינה.  </w:t>
      </w:r>
    </w:p>
    <w:p w14:paraId="285F2E56" w14:textId="77777777" w:rsidR="009D1B05" w:rsidRDefault="009D1B05" w:rsidP="009D1B05">
      <w:pPr>
        <w:spacing w:line="360" w:lineRule="auto"/>
        <w:jc w:val="both"/>
        <w:rPr>
          <w:rFonts w:cs="FrankRuehl"/>
          <w:noProof w:val="0"/>
          <w:sz w:val="28"/>
          <w:szCs w:val="28"/>
          <w:rtl/>
        </w:rPr>
      </w:pPr>
    </w:p>
    <w:p w14:paraId="66815F5F"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ab/>
        <w:t>בעניין זה הדין עם המבקשת. כמפורט לעיל רשויות הרווחה מתקשות למצוא מסגרת שיקומית שתתאים לצרכיו של המשיב. הערכת המסוכנות הגבוהה שנקבעה בעניינו והעדר מסגרת שיקומים כאמור, מצדיקים להיעתר לבקשה ולקבוע כי צו הפיקוח יחול למשך ארבע שנים. למסקנה זו הגעתי בשים לב להקלות המסוימות שקבעתי בתנאי הצו כאמור לעיל. מובן כי בקביעת משך תוקפו של הצו רשאי בית המשפט להביא בחשבון את חומרת תנאיו.</w:t>
      </w:r>
    </w:p>
    <w:p w14:paraId="0C34C051" w14:textId="77777777" w:rsidR="009D1B05" w:rsidRDefault="009D1B05" w:rsidP="009D1B05">
      <w:pPr>
        <w:spacing w:line="360" w:lineRule="auto"/>
        <w:jc w:val="both"/>
        <w:rPr>
          <w:rFonts w:cs="FrankRuehl"/>
          <w:noProof w:val="0"/>
          <w:sz w:val="28"/>
          <w:szCs w:val="28"/>
          <w:rtl/>
        </w:rPr>
      </w:pPr>
    </w:p>
    <w:p w14:paraId="5EC2A01E"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17.</w:t>
      </w:r>
      <w:r>
        <w:rPr>
          <w:rFonts w:cs="FrankRuehl"/>
          <w:noProof w:val="0"/>
          <w:sz w:val="28"/>
          <w:szCs w:val="28"/>
          <w:rtl/>
        </w:rPr>
        <w:tab/>
      </w:r>
      <w:r>
        <w:rPr>
          <w:rFonts w:cs="Miriam"/>
          <w:noProof w:val="0"/>
          <w:rtl/>
        </w:rPr>
        <w:t xml:space="preserve">סמכויות קצין הפיקוח - </w:t>
      </w:r>
      <w:r>
        <w:rPr>
          <w:rFonts w:cs="FrankRuehl"/>
          <w:noProof w:val="0"/>
          <w:sz w:val="28"/>
          <w:szCs w:val="28"/>
          <w:rtl/>
        </w:rPr>
        <w:t xml:space="preserve">ב"כ המשיב הסתייג מהבקשה להסמיך את קצין הפיקוח לעשות שימוש בסמכויות המפורטות לעיל, זאת מתוך חשש כי התייצבות של איש שירות בתי הסוהר במדים, בסביבת מגוריו של המשיב, עלולה לפגוע בו ובמשפחתו. ב"כ המבקשת הבהירה כי קציני הפיקוח </w:t>
      </w:r>
      <w:r>
        <w:rPr>
          <w:rFonts w:cs="Miriam"/>
          <w:noProof w:val="0"/>
          <w:rtl/>
        </w:rPr>
        <w:t>"לעולם לא מגיעים על מדים"</w:t>
      </w:r>
      <w:r>
        <w:rPr>
          <w:rFonts w:cs="FrankRuehl"/>
          <w:noProof w:val="0"/>
          <w:sz w:val="28"/>
          <w:szCs w:val="28"/>
          <w:rtl/>
        </w:rPr>
        <w:t xml:space="preserve"> וכי קיימת רגישות והבנה מטעמם לעניין זה. די בכך כדי להסיר את חששותיו של ב"כ המשיב. הסמכויות המבוקשות סבירות ומידתיות. אשר על כן הבקשה לקביעת סמכויות כאמור לעיל מתקבלת. </w:t>
      </w:r>
    </w:p>
    <w:p w14:paraId="6B857DAE" w14:textId="77777777" w:rsidR="009D1B05" w:rsidRDefault="009D1B05" w:rsidP="009D1B05">
      <w:pPr>
        <w:spacing w:line="360" w:lineRule="auto"/>
        <w:jc w:val="both"/>
        <w:rPr>
          <w:rFonts w:cs="FrankRuehl"/>
          <w:noProof w:val="0"/>
          <w:sz w:val="28"/>
          <w:szCs w:val="28"/>
          <w:rtl/>
        </w:rPr>
      </w:pPr>
    </w:p>
    <w:p w14:paraId="7B3373CB" w14:textId="77777777" w:rsidR="009D1B05" w:rsidRDefault="009D1B05" w:rsidP="009D1B05">
      <w:pPr>
        <w:spacing w:line="360" w:lineRule="auto"/>
        <w:jc w:val="both"/>
        <w:rPr>
          <w:rFonts w:cs="FrankRuehl"/>
          <w:noProof w:val="0"/>
          <w:sz w:val="28"/>
          <w:szCs w:val="28"/>
          <w:rtl/>
        </w:rPr>
      </w:pPr>
    </w:p>
    <w:p w14:paraId="7FEE2F0C" w14:textId="77777777" w:rsidR="009D1B05" w:rsidRDefault="009D1B05" w:rsidP="009D1B05">
      <w:pPr>
        <w:spacing w:line="360" w:lineRule="auto"/>
        <w:jc w:val="both"/>
        <w:rPr>
          <w:rFonts w:cs="FrankRuehl"/>
          <w:noProof w:val="0"/>
          <w:sz w:val="28"/>
          <w:szCs w:val="28"/>
          <w:rtl/>
        </w:rPr>
      </w:pPr>
    </w:p>
    <w:p w14:paraId="6F8FECBF" w14:textId="77777777" w:rsidR="009D1B05" w:rsidRDefault="009D1B05" w:rsidP="009D1B05">
      <w:pPr>
        <w:spacing w:line="360" w:lineRule="auto"/>
        <w:jc w:val="both"/>
        <w:rPr>
          <w:rFonts w:cs="FrankRuehl"/>
          <w:noProof w:val="0"/>
          <w:sz w:val="28"/>
          <w:szCs w:val="28"/>
          <w:rtl/>
        </w:rPr>
      </w:pPr>
    </w:p>
    <w:p w14:paraId="7F7A524B" w14:textId="77777777" w:rsidR="009D1B05" w:rsidRDefault="009D1B05" w:rsidP="009D1B05">
      <w:pPr>
        <w:spacing w:line="360" w:lineRule="auto"/>
        <w:jc w:val="both"/>
        <w:rPr>
          <w:rFonts w:cs="FrankRuehl"/>
          <w:noProof w:val="0"/>
          <w:sz w:val="28"/>
          <w:szCs w:val="28"/>
          <w:rtl/>
        </w:rPr>
      </w:pPr>
    </w:p>
    <w:p w14:paraId="12B411A4" w14:textId="77777777" w:rsidR="009D1B05" w:rsidRDefault="009D1B05" w:rsidP="009D1B05">
      <w:pPr>
        <w:spacing w:line="360" w:lineRule="auto"/>
        <w:jc w:val="both"/>
        <w:rPr>
          <w:rFonts w:cs="Miriam"/>
          <w:noProof w:val="0"/>
          <w:rtl/>
        </w:rPr>
      </w:pPr>
      <w:r>
        <w:rPr>
          <w:rFonts w:cs="Miriam"/>
          <w:noProof w:val="0"/>
          <w:rtl/>
        </w:rPr>
        <w:t>התוצאה</w:t>
      </w:r>
    </w:p>
    <w:p w14:paraId="211586F0" w14:textId="77777777" w:rsidR="009D1B05" w:rsidRDefault="009D1B05" w:rsidP="009D1B05">
      <w:pPr>
        <w:spacing w:line="360" w:lineRule="auto"/>
        <w:jc w:val="both"/>
        <w:rPr>
          <w:rFonts w:cs="FrankRuehl"/>
          <w:noProof w:val="0"/>
          <w:sz w:val="28"/>
          <w:szCs w:val="28"/>
          <w:rtl/>
        </w:rPr>
      </w:pPr>
      <w:r>
        <w:rPr>
          <w:rFonts w:cs="FrankRuehl"/>
          <w:noProof w:val="0"/>
          <w:sz w:val="28"/>
          <w:szCs w:val="28"/>
          <w:rtl/>
        </w:rPr>
        <w:t>18.</w:t>
      </w:r>
      <w:r>
        <w:rPr>
          <w:rFonts w:cs="FrankRuehl"/>
          <w:noProof w:val="0"/>
          <w:sz w:val="28"/>
          <w:szCs w:val="28"/>
          <w:rtl/>
        </w:rPr>
        <w:tab/>
        <w:t>על-יסוד האמור לעיל, ומאחר שרמת המסוכנות המינית של הנאשם אינה נמוכה, ניתן בזה צו פיקוח, כאמור בבקשה כפוף לתיקונים המפורטים בהחלטה זו לעיל, אשר יעמוד בתוקף לתקופה של ארבע שנים מיום מתן הצו הארעי – 2.7.2017.</w:t>
      </w:r>
    </w:p>
    <w:p w14:paraId="51E66E2B" w14:textId="77777777" w:rsidR="009D1B05" w:rsidRDefault="009D1B05" w:rsidP="009D1B05">
      <w:pPr>
        <w:spacing w:line="360" w:lineRule="auto"/>
        <w:jc w:val="both"/>
        <w:rPr>
          <w:rFonts w:cs="FrankRuehl"/>
          <w:noProof w:val="0"/>
          <w:sz w:val="28"/>
          <w:szCs w:val="28"/>
          <w:rtl/>
        </w:rPr>
      </w:pPr>
    </w:p>
    <w:p w14:paraId="101D3E51" w14:textId="77777777" w:rsidR="009D1B05" w:rsidRDefault="009D1B05" w:rsidP="009D1B05">
      <w:pPr>
        <w:spacing w:line="360" w:lineRule="auto"/>
        <w:jc w:val="both"/>
        <w:rPr>
          <w:rFonts w:ascii="Arial" w:hAnsi="Arial"/>
          <w:noProof w:val="0"/>
          <w:rtl/>
        </w:rPr>
      </w:pPr>
    </w:p>
    <w:p w14:paraId="4CEC62F8" w14:textId="77777777" w:rsidR="009D1B05" w:rsidRPr="00DE1E7D" w:rsidRDefault="009D1B05" w:rsidP="009D1B05">
      <w:pPr>
        <w:spacing w:line="360" w:lineRule="auto"/>
        <w:jc w:val="both"/>
        <w:rPr>
          <w:rFonts w:ascii="Arial" w:hAnsi="Arial"/>
          <w:noProof w:val="0"/>
          <w:rtl/>
        </w:rPr>
      </w:pPr>
    </w:p>
    <w:p w14:paraId="239DB11E" w14:textId="77777777" w:rsidR="009D1B05" w:rsidRDefault="0097011E" w:rsidP="009D1B05">
      <w:pPr>
        <w:spacing w:line="360" w:lineRule="auto"/>
        <w:jc w:val="both"/>
        <w:rPr>
          <w:rFonts w:ascii="Arial" w:hAnsi="Arial"/>
          <w:noProof w:val="0"/>
          <w:rtl/>
        </w:rPr>
      </w:pPr>
      <w:r>
        <w:rPr>
          <w:rFonts w:ascii="Arial" w:hAnsi="Arial"/>
          <w:noProof w:val="0"/>
          <w:rtl/>
        </w:rPr>
        <w:t xml:space="preserve">ניתנה היום, ז' תשרי תשע"ח, 27 ספטמבר 2017, במעמד הצדדים, ובנוכחות מתורגמן לערבית. </w:t>
      </w:r>
    </w:p>
    <w:p w14:paraId="73A08A63" w14:textId="77777777" w:rsidR="009D1B05" w:rsidRPr="00081AE4" w:rsidRDefault="009D1B05" w:rsidP="009D1B05">
      <w:pPr>
        <w:spacing w:line="360" w:lineRule="auto"/>
        <w:jc w:val="both"/>
        <w:rPr>
          <w:rFonts w:ascii="Arial" w:hAnsi="Arial"/>
          <w:b/>
          <w:bCs/>
          <w:noProof w:val="0"/>
          <w:rtl/>
        </w:rPr>
      </w:pPr>
      <w:r>
        <w:rPr>
          <w:rFonts w:ascii="Arial" w:hAnsi="Arial" w:hint="cs"/>
          <w:b/>
          <w:bCs/>
          <w:noProof w:val="0"/>
          <w:rtl/>
        </w:rPr>
        <w:t>ב</w:t>
      </w:r>
      <w:r w:rsidRPr="00081AE4">
        <w:rPr>
          <w:rFonts w:ascii="Arial" w:hAnsi="Arial" w:hint="cs"/>
          <w:b/>
          <w:bCs/>
          <w:noProof w:val="0"/>
          <w:rtl/>
        </w:rPr>
        <w:t xml:space="preserve">נוסח זה המותר </w:t>
      </w:r>
      <w:r>
        <w:rPr>
          <w:rFonts w:ascii="Arial" w:hAnsi="Arial" w:hint="cs"/>
          <w:b/>
          <w:bCs/>
          <w:noProof w:val="0"/>
          <w:rtl/>
        </w:rPr>
        <w:t>ב</w:t>
      </w:r>
      <w:r w:rsidRPr="00081AE4">
        <w:rPr>
          <w:rFonts w:ascii="Arial" w:hAnsi="Arial" w:hint="cs"/>
          <w:b/>
          <w:bCs/>
          <w:noProof w:val="0"/>
          <w:rtl/>
        </w:rPr>
        <w:t>פרסום</w:t>
      </w:r>
      <w:r>
        <w:rPr>
          <w:rFonts w:ascii="Arial" w:hAnsi="Arial" w:hint="cs"/>
          <w:b/>
          <w:bCs/>
          <w:noProof w:val="0"/>
          <w:rtl/>
        </w:rPr>
        <w:t xml:space="preserve"> הושמטה פסקה מסעיף 3. </w:t>
      </w:r>
    </w:p>
    <w:p w14:paraId="70E9E489" w14:textId="77777777" w:rsidR="009D1B05" w:rsidRPr="0097011E" w:rsidRDefault="0097011E" w:rsidP="009D1B05">
      <w:pPr>
        <w:tabs>
          <w:tab w:val="left" w:pos="2553"/>
        </w:tabs>
        <w:ind w:left="5040"/>
        <w:rPr>
          <w:rFonts w:ascii="Arial" w:hAnsi="Arial"/>
          <w:noProof w:val="0"/>
          <w:color w:val="FFFFFF"/>
          <w:sz w:val="2"/>
          <w:szCs w:val="2"/>
          <w:rtl/>
        </w:rPr>
      </w:pPr>
      <w:r w:rsidRPr="0097011E">
        <w:rPr>
          <w:noProof w:val="0"/>
          <w:color w:val="FFFFFF"/>
          <w:sz w:val="2"/>
          <w:szCs w:val="2"/>
          <w:rtl/>
        </w:rPr>
        <w:t>5129371</w:t>
      </w:r>
      <w:r w:rsidR="009D1B05" w:rsidRPr="0097011E">
        <w:rPr>
          <w:noProof w:val="0"/>
          <w:color w:val="FFFFFF"/>
          <w:sz w:val="2"/>
          <w:szCs w:val="2"/>
          <w:rtl/>
        </w:rPr>
        <w:t xml:space="preserve">     </w:t>
      </w:r>
    </w:p>
    <w:tbl>
      <w:tblPr>
        <w:bidiVisual/>
        <w:tblW w:w="0" w:type="auto"/>
        <w:tblInd w:w="5652" w:type="dxa"/>
        <w:tblLook w:val="01E0" w:firstRow="1" w:lastRow="1" w:firstColumn="1" w:lastColumn="1" w:noHBand="0" w:noVBand="0"/>
      </w:tblPr>
      <w:tblGrid>
        <w:gridCol w:w="2539"/>
      </w:tblGrid>
      <w:tr w:rsidR="009D1B05" w14:paraId="5CC7A63A" w14:textId="77777777" w:rsidTr="009D1B05">
        <w:tc>
          <w:tcPr>
            <w:tcW w:w="2539" w:type="dxa"/>
            <w:tcBorders>
              <w:bottom w:val="single" w:sz="4" w:space="0" w:color="auto"/>
            </w:tcBorders>
            <w:shd w:val="clear" w:color="auto" w:fill="auto"/>
          </w:tcPr>
          <w:p w14:paraId="57F13D40" w14:textId="77777777" w:rsidR="009D1B05" w:rsidRPr="0097011E" w:rsidRDefault="0097011E" w:rsidP="009D1B05">
            <w:pPr>
              <w:spacing w:before="40" w:after="40"/>
              <w:jc w:val="center"/>
              <w:rPr>
                <w:color w:val="FFFFFF"/>
                <w:sz w:val="2"/>
                <w:szCs w:val="2"/>
                <w:rtl/>
              </w:rPr>
            </w:pPr>
            <w:r w:rsidRPr="0097011E">
              <w:rPr>
                <w:color w:val="FFFFFF"/>
                <w:sz w:val="2"/>
                <w:szCs w:val="2"/>
                <w:rtl/>
              </w:rPr>
              <w:t>54678313</w:t>
            </w:r>
          </w:p>
        </w:tc>
      </w:tr>
      <w:tr w:rsidR="009D1B05" w14:paraId="3E078638" w14:textId="77777777" w:rsidTr="009D1B05">
        <w:tc>
          <w:tcPr>
            <w:tcW w:w="2539" w:type="dxa"/>
            <w:tcBorders>
              <w:top w:val="single" w:sz="4" w:space="0" w:color="auto"/>
            </w:tcBorders>
            <w:shd w:val="clear" w:color="auto" w:fill="auto"/>
          </w:tcPr>
          <w:p w14:paraId="7240E113" w14:textId="77777777" w:rsidR="009D1B05" w:rsidRPr="009D1B05" w:rsidRDefault="009D1B05" w:rsidP="009D1B05">
            <w:pPr>
              <w:tabs>
                <w:tab w:val="center" w:pos="1039"/>
              </w:tabs>
              <w:spacing w:before="40" w:after="40"/>
              <w:rPr>
                <w:b/>
                <w:bCs/>
                <w:rtl/>
              </w:rPr>
            </w:pPr>
            <w:r w:rsidRPr="009D1B05">
              <w:rPr>
                <w:rFonts w:hint="cs"/>
                <w:b/>
                <w:bCs/>
                <w:rtl/>
              </w:rPr>
              <w:t>אלי אברבנאל, שופט</w:t>
            </w:r>
          </w:p>
        </w:tc>
      </w:tr>
    </w:tbl>
    <w:p w14:paraId="41B4F6F9" w14:textId="77777777" w:rsidR="009D1B05" w:rsidRPr="004B4593" w:rsidRDefault="009D1B05" w:rsidP="009D1B05"/>
    <w:p w14:paraId="5673861F" w14:textId="77777777" w:rsidR="009D1B05" w:rsidRPr="0025192C" w:rsidRDefault="0025192C" w:rsidP="009D1B05">
      <w:pPr>
        <w:tabs>
          <w:tab w:val="left" w:pos="2553"/>
        </w:tabs>
        <w:ind w:left="5040"/>
        <w:rPr>
          <w:rFonts w:ascii="Arial" w:hAnsi="Arial"/>
          <w:noProof w:val="0"/>
          <w:color w:val="FFFFFF"/>
          <w:sz w:val="2"/>
          <w:szCs w:val="2"/>
          <w:rtl/>
        </w:rPr>
      </w:pPr>
      <w:r w:rsidRPr="0025192C">
        <w:rPr>
          <w:rFonts w:ascii="Arial" w:hAnsi="Arial"/>
          <w:noProof w:val="0"/>
          <w:color w:val="FFFFFF"/>
          <w:sz w:val="2"/>
          <w:szCs w:val="2"/>
          <w:rtl/>
        </w:rPr>
        <w:t>5129371</w:t>
      </w:r>
    </w:p>
    <w:p w14:paraId="28ED4109" w14:textId="77777777" w:rsidR="002D7B2F" w:rsidRPr="0025192C" w:rsidRDefault="0025192C" w:rsidP="0097011E">
      <w:pPr>
        <w:keepNext/>
        <w:rPr>
          <w:rFonts w:ascii="David" w:hAnsi="David"/>
          <w:color w:val="FFFFFF"/>
          <w:sz w:val="2"/>
          <w:szCs w:val="2"/>
          <w:rtl/>
        </w:rPr>
      </w:pPr>
      <w:r w:rsidRPr="0025192C">
        <w:rPr>
          <w:rFonts w:ascii="David" w:hAnsi="David"/>
          <w:color w:val="FFFFFF"/>
          <w:sz w:val="2"/>
          <w:szCs w:val="2"/>
          <w:rtl/>
        </w:rPr>
        <w:t>54678313</w:t>
      </w:r>
    </w:p>
    <w:p w14:paraId="30E4ADB8" w14:textId="77777777" w:rsidR="0097011E" w:rsidRPr="0097011E" w:rsidRDefault="0097011E" w:rsidP="0097011E">
      <w:pPr>
        <w:keepNext/>
        <w:rPr>
          <w:rFonts w:ascii="David" w:hAnsi="David"/>
          <w:color w:val="000000"/>
          <w:sz w:val="22"/>
          <w:szCs w:val="22"/>
          <w:rtl/>
        </w:rPr>
      </w:pPr>
      <w:r w:rsidRPr="0097011E">
        <w:rPr>
          <w:rFonts w:ascii="David" w:hAnsi="David"/>
          <w:color w:val="000000"/>
          <w:sz w:val="22"/>
          <w:szCs w:val="22"/>
          <w:rtl/>
        </w:rPr>
        <w:t>אלי אברבנאל 54678313</w:t>
      </w:r>
    </w:p>
    <w:p w14:paraId="4FE92F34" w14:textId="77777777" w:rsidR="0097011E" w:rsidRDefault="0097011E" w:rsidP="0097011E">
      <w:r w:rsidRPr="0097011E">
        <w:rPr>
          <w:color w:val="000000"/>
          <w:rtl/>
        </w:rPr>
        <w:t>נוסח מסמך זה כפוף לשינויי ניסוח ועריכה</w:t>
      </w:r>
    </w:p>
    <w:p w14:paraId="3FC4C30B" w14:textId="77777777" w:rsidR="0097011E" w:rsidRDefault="0097011E" w:rsidP="0097011E">
      <w:pPr>
        <w:rPr>
          <w:rtl/>
        </w:rPr>
      </w:pPr>
    </w:p>
    <w:p w14:paraId="7A7B5F13" w14:textId="77777777" w:rsidR="0097011E" w:rsidRDefault="0097011E" w:rsidP="0097011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9FB5330" w14:textId="77777777" w:rsidR="0025192C" w:rsidRPr="0025192C" w:rsidRDefault="0025192C" w:rsidP="0025192C">
      <w:pPr>
        <w:keepNext/>
        <w:rPr>
          <w:rFonts w:ascii="David" w:hAnsi="David"/>
          <w:color w:val="000000"/>
          <w:sz w:val="22"/>
          <w:szCs w:val="22"/>
          <w:rtl/>
        </w:rPr>
      </w:pPr>
    </w:p>
    <w:p w14:paraId="69B338DE" w14:textId="77777777" w:rsidR="0097011E" w:rsidRPr="0097011E" w:rsidRDefault="0097011E" w:rsidP="0025192C">
      <w:pPr>
        <w:rPr>
          <w:color w:val="0000FF"/>
          <w:u w:val="single"/>
        </w:rPr>
      </w:pPr>
    </w:p>
    <w:sectPr w:rsidR="0097011E" w:rsidRPr="0097011E" w:rsidSect="0025192C">
      <w:headerReference w:type="even" r:id="rId27"/>
      <w:headerReference w:type="default" r:id="rId28"/>
      <w:footerReference w:type="even" r:id="rId29"/>
      <w:footerReference w:type="default" r:id="rId30"/>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A480" w14:textId="77777777" w:rsidR="00FE6FC1" w:rsidRDefault="00FE6FC1" w:rsidP="00535058">
      <w:r>
        <w:separator/>
      </w:r>
    </w:p>
  </w:endnote>
  <w:endnote w:type="continuationSeparator" w:id="0">
    <w:p w14:paraId="220AA777" w14:textId="77777777" w:rsidR="00FE6FC1" w:rsidRDefault="00FE6FC1" w:rsidP="00535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049F" w14:textId="77777777" w:rsidR="00FE6FC1" w:rsidRDefault="00FE6FC1" w:rsidP="0025192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EAB5167" w14:textId="77777777" w:rsidR="00FE6FC1" w:rsidRPr="0025192C" w:rsidRDefault="00FE6FC1" w:rsidP="0025192C">
    <w:pPr>
      <w:pStyle w:val="Footer"/>
      <w:pBdr>
        <w:top w:val="single" w:sz="4" w:space="1" w:color="auto"/>
        <w:between w:val="single" w:sz="4" w:space="0" w:color="auto"/>
      </w:pBdr>
      <w:spacing w:after="60"/>
      <w:jc w:val="center"/>
      <w:rPr>
        <w:rFonts w:ascii="FrankRuehl" w:hAnsi="FrankRuehl" w:cs="FrankRuehl"/>
        <w:color w:val="000000"/>
      </w:rPr>
    </w:pPr>
    <w:r w:rsidRPr="002519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6F9" w14:textId="77777777" w:rsidR="00FE6FC1" w:rsidRDefault="00FE6FC1" w:rsidP="0025192C">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CD1035">
      <w:rPr>
        <w:rStyle w:val="PageNumber"/>
        <w:rFonts w:ascii="FrankRuehl" w:hAnsi="FrankRuehl" w:cs="FrankRuehl"/>
        <w:rtl/>
      </w:rPr>
      <w:t>1</w:t>
    </w:r>
    <w:r>
      <w:rPr>
        <w:rStyle w:val="PageNumber"/>
        <w:rFonts w:ascii="FrankRuehl" w:hAnsi="FrankRuehl" w:cs="FrankRuehl"/>
        <w:rtl/>
      </w:rPr>
      <w:fldChar w:fldCharType="end"/>
    </w:r>
  </w:p>
  <w:p w14:paraId="422C5EBC" w14:textId="77777777" w:rsidR="00FE6FC1" w:rsidRPr="0025192C" w:rsidRDefault="00FE6FC1" w:rsidP="0025192C">
    <w:pPr>
      <w:pStyle w:val="Footer"/>
      <w:pBdr>
        <w:top w:val="single" w:sz="4" w:space="1" w:color="auto"/>
        <w:between w:val="single" w:sz="4" w:space="0" w:color="auto"/>
      </w:pBdr>
      <w:spacing w:after="60"/>
      <w:jc w:val="center"/>
      <w:rPr>
        <w:rStyle w:val="PageNumber"/>
        <w:rFonts w:ascii="FrankRuehl" w:hAnsi="FrankRuehl" w:cs="FrankRuehl"/>
        <w:color w:val="000000"/>
      </w:rPr>
    </w:pPr>
    <w:r w:rsidRPr="0025192C">
      <w:rPr>
        <w:rStyle w:val="PageNumber"/>
        <w:rFonts w:ascii="FrankRuehl" w:hAnsi="FrankRuehl" w:cs="FrankRuehl"/>
        <w:color w:val="000000"/>
      </w:rPr>
      <w:pict w14:anchorId="3F966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9416" w14:textId="77777777" w:rsidR="00FE6FC1" w:rsidRDefault="00FE6FC1" w:rsidP="00535058">
      <w:r>
        <w:separator/>
      </w:r>
    </w:p>
  </w:footnote>
  <w:footnote w:type="continuationSeparator" w:id="0">
    <w:p w14:paraId="4CB540D4" w14:textId="77777777" w:rsidR="00FE6FC1" w:rsidRDefault="00FE6FC1" w:rsidP="00535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532E" w14:textId="77777777" w:rsidR="00FE6FC1" w:rsidRPr="0025192C" w:rsidRDefault="00FE6FC1" w:rsidP="002519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46997-12-15</w:t>
    </w:r>
    <w:r>
      <w:rPr>
        <w:rFonts w:ascii="David" w:hAnsi="David"/>
        <w:color w:val="000000"/>
        <w:sz w:val="22"/>
        <w:szCs w:val="22"/>
        <w:rtl/>
      </w:rPr>
      <w:tab/>
      <w:t xml:space="preserve"> מדינת ישראל נ' טארק אלקסאס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E089" w14:textId="77777777" w:rsidR="00FE6FC1" w:rsidRPr="0025192C" w:rsidRDefault="00FE6FC1" w:rsidP="0025192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46997-12-15</w:t>
    </w:r>
    <w:r>
      <w:rPr>
        <w:rFonts w:ascii="David" w:hAnsi="David"/>
        <w:color w:val="000000"/>
        <w:sz w:val="22"/>
        <w:szCs w:val="22"/>
        <w:rtl/>
      </w:rPr>
      <w:tab/>
      <w:t xml:space="preserve"> מדינת ישראל נ' טארק אלקסאס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1B05"/>
    <w:rsid w:val="0025192C"/>
    <w:rsid w:val="002D7B2F"/>
    <w:rsid w:val="00535058"/>
    <w:rsid w:val="005A7BAD"/>
    <w:rsid w:val="00760BD3"/>
    <w:rsid w:val="0097011E"/>
    <w:rsid w:val="009D1B05"/>
    <w:rsid w:val="00BA16A0"/>
    <w:rsid w:val="00CC6F96"/>
    <w:rsid w:val="00CD1035"/>
    <w:rsid w:val="00CD69F5"/>
    <w:rsid w:val="00FE6F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37F65E"/>
  <w15:chartTrackingRefBased/>
  <w15:docId w15:val="{4DF897B6-C771-409D-923E-0B2FED5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B05"/>
    <w:pPr>
      <w:bidi/>
    </w:pPr>
    <w:rPr>
      <w:rFonts w:ascii="Times New Roman" w:eastAsia="Times New Roman" w:hAnsi="Times New Roman" w:cs="David"/>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D1B05"/>
    <w:pPr>
      <w:tabs>
        <w:tab w:val="center" w:pos="4153"/>
        <w:tab w:val="right" w:pos="8306"/>
      </w:tabs>
    </w:pPr>
  </w:style>
  <w:style w:type="character" w:customStyle="1" w:styleId="HeaderChar">
    <w:name w:val="Header Char"/>
    <w:link w:val="Header"/>
    <w:rsid w:val="009D1B05"/>
    <w:rPr>
      <w:rFonts w:ascii="Times New Roman" w:eastAsia="Times New Roman" w:hAnsi="Times New Roman" w:cs="David"/>
      <w:noProof/>
      <w:sz w:val="24"/>
      <w:szCs w:val="24"/>
    </w:rPr>
  </w:style>
  <w:style w:type="paragraph" w:styleId="Footer">
    <w:name w:val="footer"/>
    <w:basedOn w:val="Normal"/>
    <w:link w:val="FooterChar"/>
    <w:rsid w:val="009D1B05"/>
    <w:pPr>
      <w:tabs>
        <w:tab w:val="center" w:pos="4153"/>
        <w:tab w:val="right" w:pos="8306"/>
      </w:tabs>
    </w:pPr>
  </w:style>
  <w:style w:type="character" w:customStyle="1" w:styleId="FooterChar">
    <w:name w:val="Footer Char"/>
    <w:link w:val="Footer"/>
    <w:rsid w:val="009D1B05"/>
    <w:rPr>
      <w:rFonts w:ascii="Times New Roman" w:eastAsia="Times New Roman" w:hAnsi="Times New Roman" w:cs="David"/>
      <w:noProof/>
      <w:sz w:val="24"/>
      <w:szCs w:val="24"/>
    </w:rPr>
  </w:style>
  <w:style w:type="table" w:styleId="TableGrid">
    <w:name w:val="Table Grid"/>
    <w:basedOn w:val="TableNormal"/>
    <w:rsid w:val="009D1B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D1B05"/>
  </w:style>
  <w:style w:type="character" w:styleId="LineNumber">
    <w:name w:val="line number"/>
    <w:rsid w:val="0097011E"/>
  </w:style>
  <w:style w:type="character" w:styleId="Hyperlink">
    <w:name w:val="Hyperlink"/>
    <w:rsid w:val="0097011E"/>
    <w:rPr>
      <w:color w:val="0563C1"/>
      <w:u w:val="single"/>
    </w:rPr>
  </w:style>
  <w:style w:type="character" w:customStyle="1" w:styleId="a">
    <w:name w:val="אזכור לא מזוהה"/>
    <w:rsid w:val="009701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0730/18.a.1." TargetMode="External"/><Relationship Id="rId13" Type="http://schemas.openxmlformats.org/officeDocument/2006/relationships/hyperlink" Target="http://www.nevo.co.il/law/90730/18.a.6."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90730/18.a.1.;18.a.2.;18.a.3.;18.a.4.;18.a.5.;18.a.6.;18.a.6.a.;18.a.7.;18.a.8" TargetMode="External"/><Relationship Id="rId7" Type="http://schemas.openxmlformats.org/officeDocument/2006/relationships/hyperlink" Target="http://www.nevo.co.il/law/90730/12" TargetMode="External"/><Relationship Id="rId12" Type="http://schemas.openxmlformats.org/officeDocument/2006/relationships/hyperlink" Target="http://www.nevo.co.il/law/90730/18.a.5."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0730/12" TargetMode="External"/><Relationship Id="rId2" Type="http://schemas.openxmlformats.org/officeDocument/2006/relationships/settings" Target="settings.xml"/><Relationship Id="rId16" Type="http://schemas.openxmlformats.org/officeDocument/2006/relationships/hyperlink" Target="http://www.nevo.co.il/law/90730/18.a.8" TargetMode="External"/><Relationship Id="rId20" Type="http://schemas.openxmlformats.org/officeDocument/2006/relationships/hyperlink" Target="http://www.nevo.co.il/law/90730"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90730" TargetMode="External"/><Relationship Id="rId11" Type="http://schemas.openxmlformats.org/officeDocument/2006/relationships/hyperlink" Target="http://www.nevo.co.il/law/90730/18.a.4." TargetMode="External"/><Relationship Id="rId24" Type="http://schemas.openxmlformats.org/officeDocument/2006/relationships/hyperlink" Target="http://www.nevo.co.il/case/6246242"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90730/18.a.7."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90730/18.a.3." TargetMode="External"/><Relationship Id="rId19" Type="http://schemas.openxmlformats.org/officeDocument/2006/relationships/hyperlink" Target="http://www.nevo.co.il/law/90730/12"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90730/18.a.2." TargetMode="External"/><Relationship Id="rId14" Type="http://schemas.openxmlformats.org/officeDocument/2006/relationships/hyperlink" Target="http://www.nevo.co.il/law/90730/18.a.6.a." TargetMode="External"/><Relationship Id="rId22" Type="http://schemas.openxmlformats.org/officeDocument/2006/relationships/hyperlink" Target="http://www.nevo.co.il/law/70301/348.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11983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6553711</vt:i4>
      </vt:variant>
      <vt:variant>
        <vt:i4>57</vt:i4>
      </vt:variant>
      <vt:variant>
        <vt:i4>0</vt:i4>
      </vt:variant>
      <vt:variant>
        <vt:i4>5</vt:i4>
      </vt:variant>
      <vt:variant>
        <vt:lpwstr>http://www.nevo.co.il/law/90730/12</vt:lpwstr>
      </vt:variant>
      <vt:variant>
        <vt:lpwstr/>
      </vt:variant>
      <vt:variant>
        <vt:i4>3276916</vt:i4>
      </vt:variant>
      <vt:variant>
        <vt:i4>54</vt:i4>
      </vt:variant>
      <vt:variant>
        <vt:i4>0</vt:i4>
      </vt:variant>
      <vt:variant>
        <vt:i4>5</vt:i4>
      </vt:variant>
      <vt:variant>
        <vt:lpwstr>http://www.nevo.co.il/case/6246242</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5242945</vt:i4>
      </vt:variant>
      <vt:variant>
        <vt:i4>45</vt:i4>
      </vt:variant>
      <vt:variant>
        <vt:i4>0</vt:i4>
      </vt:variant>
      <vt:variant>
        <vt:i4>5</vt:i4>
      </vt:variant>
      <vt:variant>
        <vt:lpwstr>http://www.nevo.co.il/law/90730/18.a.1.;18.a.2.;18.a.3.;18.a.4.;18.a.5.;18.a.6.;18.a.6.a.;18.a.7.;18.a.8</vt:lpwstr>
      </vt:variant>
      <vt:variant>
        <vt:lpwstr/>
      </vt:variant>
      <vt:variant>
        <vt:i4>7929966</vt:i4>
      </vt:variant>
      <vt:variant>
        <vt:i4>42</vt:i4>
      </vt:variant>
      <vt:variant>
        <vt:i4>0</vt:i4>
      </vt:variant>
      <vt:variant>
        <vt:i4>5</vt:i4>
      </vt:variant>
      <vt:variant>
        <vt:lpwstr>http://www.nevo.co.il/law/90730</vt:lpwstr>
      </vt:variant>
      <vt:variant>
        <vt:lpwstr/>
      </vt:variant>
      <vt:variant>
        <vt:i4>6553711</vt:i4>
      </vt:variant>
      <vt:variant>
        <vt:i4>39</vt:i4>
      </vt:variant>
      <vt:variant>
        <vt:i4>0</vt:i4>
      </vt:variant>
      <vt:variant>
        <vt:i4>5</vt:i4>
      </vt:variant>
      <vt:variant>
        <vt:lpwstr>http://www.nevo.co.il/law/90730/12</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3604591</vt:i4>
      </vt:variant>
      <vt:variant>
        <vt:i4>30</vt:i4>
      </vt:variant>
      <vt:variant>
        <vt:i4>0</vt:i4>
      </vt:variant>
      <vt:variant>
        <vt:i4>5</vt:i4>
      </vt:variant>
      <vt:variant>
        <vt:lpwstr>http://www.nevo.co.il/law/90730/18.a.8</vt:lpwstr>
      </vt:variant>
      <vt:variant>
        <vt:lpwstr/>
      </vt:variant>
      <vt:variant>
        <vt:i4>3670127</vt:i4>
      </vt:variant>
      <vt:variant>
        <vt:i4>27</vt:i4>
      </vt:variant>
      <vt:variant>
        <vt:i4>0</vt:i4>
      </vt:variant>
      <vt:variant>
        <vt:i4>5</vt:i4>
      </vt:variant>
      <vt:variant>
        <vt:lpwstr>http://www.nevo.co.il/law/90730/18.a.7.</vt:lpwstr>
      </vt:variant>
      <vt:variant>
        <vt:lpwstr/>
      </vt:variant>
      <vt:variant>
        <vt:i4>5767233</vt:i4>
      </vt:variant>
      <vt:variant>
        <vt:i4>24</vt:i4>
      </vt:variant>
      <vt:variant>
        <vt:i4>0</vt:i4>
      </vt:variant>
      <vt:variant>
        <vt:i4>5</vt:i4>
      </vt:variant>
      <vt:variant>
        <vt:lpwstr>http://www.nevo.co.il/law/90730/18.a.6.a.</vt:lpwstr>
      </vt:variant>
      <vt:variant>
        <vt:lpwstr/>
      </vt:variant>
      <vt:variant>
        <vt:i4>3735663</vt:i4>
      </vt:variant>
      <vt:variant>
        <vt:i4>21</vt:i4>
      </vt:variant>
      <vt:variant>
        <vt:i4>0</vt:i4>
      </vt:variant>
      <vt:variant>
        <vt:i4>5</vt:i4>
      </vt:variant>
      <vt:variant>
        <vt:lpwstr>http://www.nevo.co.il/law/90730/18.a.6.</vt:lpwstr>
      </vt:variant>
      <vt:variant>
        <vt:lpwstr/>
      </vt:variant>
      <vt:variant>
        <vt:i4>3801199</vt:i4>
      </vt:variant>
      <vt:variant>
        <vt:i4>18</vt:i4>
      </vt:variant>
      <vt:variant>
        <vt:i4>0</vt:i4>
      </vt:variant>
      <vt:variant>
        <vt:i4>5</vt:i4>
      </vt:variant>
      <vt:variant>
        <vt:lpwstr>http://www.nevo.co.il/law/90730/18.a.5.</vt:lpwstr>
      </vt:variant>
      <vt:variant>
        <vt:lpwstr/>
      </vt:variant>
      <vt:variant>
        <vt:i4>3866735</vt:i4>
      </vt:variant>
      <vt:variant>
        <vt:i4>15</vt:i4>
      </vt:variant>
      <vt:variant>
        <vt:i4>0</vt:i4>
      </vt:variant>
      <vt:variant>
        <vt:i4>5</vt:i4>
      </vt:variant>
      <vt:variant>
        <vt:lpwstr>http://www.nevo.co.il/law/90730/18.a.4.</vt:lpwstr>
      </vt:variant>
      <vt:variant>
        <vt:lpwstr/>
      </vt:variant>
      <vt:variant>
        <vt:i4>3932271</vt:i4>
      </vt:variant>
      <vt:variant>
        <vt:i4>12</vt:i4>
      </vt:variant>
      <vt:variant>
        <vt:i4>0</vt:i4>
      </vt:variant>
      <vt:variant>
        <vt:i4>5</vt:i4>
      </vt:variant>
      <vt:variant>
        <vt:lpwstr>http://www.nevo.co.il/law/90730/18.a.3.</vt:lpwstr>
      </vt:variant>
      <vt:variant>
        <vt:lpwstr/>
      </vt:variant>
      <vt:variant>
        <vt:i4>3997807</vt:i4>
      </vt:variant>
      <vt:variant>
        <vt:i4>9</vt:i4>
      </vt:variant>
      <vt:variant>
        <vt:i4>0</vt:i4>
      </vt:variant>
      <vt:variant>
        <vt:i4>5</vt:i4>
      </vt:variant>
      <vt:variant>
        <vt:lpwstr>http://www.nevo.co.il/law/90730/18.a.2.</vt:lpwstr>
      </vt:variant>
      <vt:variant>
        <vt:lpwstr/>
      </vt:variant>
      <vt:variant>
        <vt:i4>4063343</vt:i4>
      </vt:variant>
      <vt:variant>
        <vt:i4>6</vt:i4>
      </vt:variant>
      <vt:variant>
        <vt:i4>0</vt:i4>
      </vt:variant>
      <vt:variant>
        <vt:i4>5</vt:i4>
      </vt:variant>
      <vt:variant>
        <vt:lpwstr>http://www.nevo.co.il/law/90730/18.a.1.</vt:lpwstr>
      </vt:variant>
      <vt:variant>
        <vt:lpwstr/>
      </vt:variant>
      <vt:variant>
        <vt:i4>6553711</vt:i4>
      </vt:variant>
      <vt:variant>
        <vt:i4>3</vt:i4>
      </vt:variant>
      <vt:variant>
        <vt:i4>0</vt:i4>
      </vt:variant>
      <vt:variant>
        <vt:i4>5</vt:i4>
      </vt:variant>
      <vt:variant>
        <vt:lpwstr>http://www.nevo.co.il/law/90730/12</vt:lpwstr>
      </vt:variant>
      <vt:variant>
        <vt:lpwstr/>
      </vt:variant>
      <vt:variant>
        <vt:i4>7929966</vt:i4>
      </vt:variant>
      <vt:variant>
        <vt:i4>0</vt:i4>
      </vt:variant>
      <vt:variant>
        <vt:i4>0</vt:i4>
      </vt:variant>
      <vt:variant>
        <vt:i4>5</vt:i4>
      </vt:variant>
      <vt:variant>
        <vt:lpwstr>http://www.nevo.co.il/law/90730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46997</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טארק אלקסאס</vt:lpwstr>
  </property>
  <property fmtid="{D5CDD505-2E9C-101B-9397-08002B2CF9AE}" pid="10" name="LAWYER">
    <vt:lpwstr>עאטף פרחאת</vt:lpwstr>
  </property>
  <property fmtid="{D5CDD505-2E9C-101B-9397-08002B2CF9AE}" pid="11" name="JUDGE">
    <vt:lpwstr>אלי אברבנאל</vt:lpwstr>
  </property>
  <property fmtid="{D5CDD505-2E9C-101B-9397-08002B2CF9AE}" pid="12" name="CITY">
    <vt:lpwstr>י-ם</vt:lpwstr>
  </property>
  <property fmtid="{D5CDD505-2E9C-101B-9397-08002B2CF9AE}" pid="13" name="DATE">
    <vt:lpwstr>20170927</vt:lpwstr>
  </property>
  <property fmtid="{D5CDD505-2E9C-101B-9397-08002B2CF9AE}" pid="14" name="TYPE_N_DATE">
    <vt:lpwstr>39020170927</vt:lpwstr>
  </property>
  <property fmtid="{D5CDD505-2E9C-101B-9397-08002B2CF9AE}" pid="15" name="CASESLISTTMP1">
    <vt:lpwstr>6246242</vt:lpwstr>
  </property>
  <property fmtid="{D5CDD505-2E9C-101B-9397-08002B2CF9AE}" pid="16" name="WORDNUMPAGES">
    <vt:lpwstr>7</vt:lpwstr>
  </property>
  <property fmtid="{D5CDD505-2E9C-101B-9397-08002B2CF9AE}" pid="17" name="TYPE_ABS_DATE">
    <vt:lpwstr>390020170927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90730/012:2;018.a.1;018.a.2;018.a.3;018.a.4;018.a.5;018.a.6;018.a.6.a;018.a.7;018.a.8</vt:lpwstr>
  </property>
  <property fmtid="{D5CDD505-2E9C-101B-9397-08002B2CF9AE}" pid="37" name="LAWLISTTMP2">
    <vt:lpwstr>70301/348.a</vt:lpwstr>
  </property>
</Properties>
</file>