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AA46" w14:textId="77777777" w:rsidR="004F5CAB" w:rsidRPr="009E6DA9" w:rsidRDefault="004F5CAB" w:rsidP="0014129C">
      <w:pPr>
        <w:pStyle w:val="NoSpacing"/>
        <w:spacing w:line="360" w:lineRule="auto"/>
        <w:jc w:val="center"/>
        <w:rPr>
          <w:rFonts w:ascii="Tahoma" w:hAnsi="Tahoma" w:cs="Tahoma"/>
          <w:color w:val="000080"/>
          <w:sz w:val="24"/>
          <w:szCs w:val="24"/>
          <w:rtl/>
        </w:rPr>
      </w:pPr>
      <w:bookmarkStart w:id="0" w:name="FirstLawyer"/>
      <w:r w:rsidRPr="009E6DA9">
        <w:rPr>
          <w:rFonts w:ascii="Tahoma" w:hAnsi="Tahoma" w:cs="Tahoma"/>
          <w:b/>
          <w:bCs/>
          <w:color w:val="000080"/>
          <w:sz w:val="24"/>
          <w:szCs w:val="24"/>
          <w:rtl/>
        </w:rPr>
        <w:t>בבית המשפט המחוזי בנצרת</w:t>
      </w:r>
    </w:p>
    <w:p w14:paraId="669AF7B3" w14:textId="77777777" w:rsidR="004F5CAB" w:rsidRPr="004D2EE3" w:rsidRDefault="004F5CAB" w:rsidP="002524E4">
      <w:pPr>
        <w:pStyle w:val="NoSpacing"/>
        <w:spacing w:line="360" w:lineRule="auto"/>
        <w:ind w:left="5760" w:firstLine="720"/>
        <w:jc w:val="both"/>
        <w:rPr>
          <w:rFonts w:ascii="David" w:hAnsi="David" w:cs="David"/>
          <w:b/>
          <w:bCs/>
          <w:sz w:val="24"/>
          <w:szCs w:val="24"/>
          <w:rtl/>
        </w:rPr>
      </w:pPr>
      <w:r w:rsidRPr="004D2EE3">
        <w:rPr>
          <w:rFonts w:ascii="David" w:hAnsi="David" w:cs="David"/>
          <w:b/>
          <w:bCs/>
          <w:sz w:val="24"/>
          <w:szCs w:val="24"/>
          <w:rtl/>
        </w:rPr>
        <w:t>ת"פ 8398-12-16</w:t>
      </w:r>
    </w:p>
    <w:p w14:paraId="621D77AD" w14:textId="77777777" w:rsidR="004F5CAB" w:rsidRPr="004D2EE3" w:rsidRDefault="004F5CAB" w:rsidP="00756A4A">
      <w:pPr>
        <w:pStyle w:val="NoSpacing"/>
        <w:spacing w:line="360" w:lineRule="auto"/>
        <w:jc w:val="both"/>
        <w:rPr>
          <w:rFonts w:ascii="David" w:hAnsi="David" w:cs="David"/>
          <w:sz w:val="24"/>
          <w:szCs w:val="24"/>
          <w:rtl/>
        </w:rPr>
      </w:pPr>
    </w:p>
    <w:p w14:paraId="1F850609" w14:textId="77777777" w:rsidR="004F5CAB" w:rsidRPr="009E6DA9" w:rsidRDefault="004F5CAB" w:rsidP="00756A4A">
      <w:pPr>
        <w:pStyle w:val="NoSpacing"/>
        <w:spacing w:line="360" w:lineRule="auto"/>
        <w:jc w:val="both"/>
        <w:rPr>
          <w:rFonts w:ascii="David" w:hAnsi="David" w:cs="David"/>
          <w:b/>
          <w:bCs/>
          <w:sz w:val="26"/>
          <w:szCs w:val="26"/>
          <w:rtl/>
        </w:rPr>
      </w:pPr>
      <w:r w:rsidRPr="009E6DA9">
        <w:rPr>
          <w:rFonts w:ascii="David" w:hAnsi="David" w:cs="David"/>
          <w:b/>
          <w:bCs/>
          <w:sz w:val="26"/>
          <w:szCs w:val="26"/>
          <w:rtl/>
        </w:rPr>
        <w:t>ה</w:t>
      </w:r>
      <w:bookmarkStart w:id="1" w:name="FirstAppellant"/>
      <w:r w:rsidRPr="009E6DA9">
        <w:rPr>
          <w:rFonts w:ascii="David" w:hAnsi="David" w:cs="David"/>
          <w:b/>
          <w:bCs/>
          <w:sz w:val="26"/>
          <w:szCs w:val="26"/>
          <w:rtl/>
        </w:rPr>
        <w:t>מאשימ</w:t>
      </w:r>
      <w:bookmarkEnd w:id="1"/>
      <w:r w:rsidRPr="009E6DA9">
        <w:rPr>
          <w:rFonts w:ascii="David" w:hAnsi="David" w:cs="David"/>
          <w:b/>
          <w:bCs/>
          <w:sz w:val="26"/>
          <w:szCs w:val="26"/>
          <w:rtl/>
        </w:rPr>
        <w:t xml:space="preserve">ה:  </w:t>
      </w:r>
      <w:r w:rsidR="009E6DA9">
        <w:rPr>
          <w:rFonts w:ascii="David" w:hAnsi="David" w:cs="David" w:hint="cs"/>
          <w:b/>
          <w:bCs/>
          <w:sz w:val="26"/>
          <w:szCs w:val="26"/>
          <w:rtl/>
        </w:rPr>
        <w:tab/>
      </w:r>
      <w:r w:rsidR="009E6DA9">
        <w:rPr>
          <w:rFonts w:ascii="David" w:hAnsi="David" w:cs="David" w:hint="cs"/>
          <w:b/>
          <w:bCs/>
          <w:sz w:val="26"/>
          <w:szCs w:val="26"/>
          <w:rtl/>
        </w:rPr>
        <w:tab/>
      </w:r>
      <w:r w:rsidR="009E6DA9">
        <w:rPr>
          <w:rFonts w:ascii="David" w:hAnsi="David" w:cs="David" w:hint="cs"/>
          <w:b/>
          <w:bCs/>
          <w:sz w:val="26"/>
          <w:szCs w:val="26"/>
          <w:rtl/>
        </w:rPr>
        <w:tab/>
      </w:r>
      <w:r w:rsidRPr="009E6DA9">
        <w:rPr>
          <w:rFonts w:ascii="David" w:hAnsi="David" w:cs="David"/>
          <w:b/>
          <w:bCs/>
          <w:sz w:val="26"/>
          <w:szCs w:val="26"/>
          <w:rtl/>
        </w:rPr>
        <w:t>מדינת ישראל</w:t>
      </w:r>
    </w:p>
    <w:p w14:paraId="4D45471C" w14:textId="77777777" w:rsidR="004F5CAB" w:rsidRPr="009E6DA9" w:rsidRDefault="004F5CAB" w:rsidP="00756A4A">
      <w:pPr>
        <w:pStyle w:val="NoSpacing"/>
        <w:spacing w:line="360" w:lineRule="auto"/>
        <w:jc w:val="both"/>
        <w:rPr>
          <w:rFonts w:ascii="David" w:hAnsi="David" w:cs="David"/>
          <w:b/>
          <w:bCs/>
          <w:sz w:val="26"/>
          <w:szCs w:val="26"/>
          <w:rtl/>
        </w:rPr>
      </w:pPr>
    </w:p>
    <w:p w14:paraId="75C5CDB8" w14:textId="77777777" w:rsidR="004F5CAB" w:rsidRPr="009E6DA9" w:rsidRDefault="004F5CAB" w:rsidP="009E6DA9">
      <w:pPr>
        <w:pStyle w:val="NoSpacing"/>
        <w:spacing w:line="360" w:lineRule="auto"/>
        <w:ind w:left="2160" w:firstLine="720"/>
        <w:jc w:val="both"/>
        <w:rPr>
          <w:rFonts w:ascii="David" w:hAnsi="David" w:cs="David"/>
          <w:b/>
          <w:bCs/>
          <w:sz w:val="26"/>
          <w:szCs w:val="26"/>
          <w:rtl/>
        </w:rPr>
      </w:pPr>
      <w:r w:rsidRPr="009E6DA9">
        <w:rPr>
          <w:rFonts w:ascii="David" w:hAnsi="David" w:cs="David"/>
          <w:b/>
          <w:bCs/>
          <w:sz w:val="26"/>
          <w:szCs w:val="26"/>
          <w:rtl/>
        </w:rPr>
        <w:t>נגד</w:t>
      </w:r>
    </w:p>
    <w:p w14:paraId="4071EFCC" w14:textId="77777777" w:rsidR="004F5CAB" w:rsidRPr="009E6DA9" w:rsidRDefault="004F5CAB" w:rsidP="00756A4A">
      <w:pPr>
        <w:pStyle w:val="NoSpacing"/>
        <w:spacing w:line="360" w:lineRule="auto"/>
        <w:jc w:val="both"/>
        <w:rPr>
          <w:rFonts w:ascii="David" w:hAnsi="David" w:cs="David"/>
          <w:b/>
          <w:bCs/>
          <w:sz w:val="26"/>
          <w:szCs w:val="26"/>
          <w:rtl/>
        </w:rPr>
      </w:pPr>
    </w:p>
    <w:p w14:paraId="6E094AEF" w14:textId="77777777" w:rsidR="004F5CAB" w:rsidRPr="009E6DA9" w:rsidRDefault="004F5CAB" w:rsidP="00756A4A">
      <w:pPr>
        <w:pStyle w:val="NoSpacing"/>
        <w:spacing w:line="360" w:lineRule="auto"/>
        <w:jc w:val="both"/>
        <w:rPr>
          <w:rFonts w:ascii="David" w:hAnsi="David" w:cs="David"/>
          <w:b/>
          <w:bCs/>
          <w:sz w:val="26"/>
          <w:szCs w:val="26"/>
          <w:rtl/>
        </w:rPr>
      </w:pPr>
      <w:r w:rsidRPr="009E6DA9">
        <w:rPr>
          <w:rFonts w:ascii="David" w:hAnsi="David" w:cs="David"/>
          <w:b/>
          <w:bCs/>
          <w:sz w:val="26"/>
          <w:szCs w:val="26"/>
          <w:rtl/>
        </w:rPr>
        <w:t xml:space="preserve">הנאשם:       </w:t>
      </w:r>
      <w:r w:rsidR="009E6DA9">
        <w:rPr>
          <w:rFonts w:ascii="David" w:hAnsi="David" w:cs="David" w:hint="cs"/>
          <w:b/>
          <w:bCs/>
          <w:sz w:val="26"/>
          <w:szCs w:val="26"/>
          <w:rtl/>
        </w:rPr>
        <w:tab/>
      </w:r>
      <w:r w:rsidR="009E6DA9">
        <w:rPr>
          <w:rFonts w:ascii="David" w:hAnsi="David" w:cs="David" w:hint="cs"/>
          <w:b/>
          <w:bCs/>
          <w:sz w:val="26"/>
          <w:szCs w:val="26"/>
          <w:rtl/>
        </w:rPr>
        <w:tab/>
      </w:r>
      <w:r w:rsidR="009E6DA9">
        <w:rPr>
          <w:rFonts w:ascii="David" w:hAnsi="David" w:cs="David" w:hint="cs"/>
          <w:b/>
          <w:bCs/>
          <w:sz w:val="26"/>
          <w:szCs w:val="26"/>
          <w:rtl/>
        </w:rPr>
        <w:tab/>
      </w:r>
      <w:r w:rsidRPr="009E6DA9">
        <w:rPr>
          <w:rFonts w:ascii="David" w:hAnsi="David" w:cs="David"/>
          <w:b/>
          <w:bCs/>
          <w:sz w:val="26"/>
          <w:szCs w:val="26"/>
          <w:rtl/>
        </w:rPr>
        <w:t>שמואל בן אבו</w:t>
      </w:r>
    </w:p>
    <w:p w14:paraId="758CAD41" w14:textId="77777777" w:rsidR="004F5CAB" w:rsidRPr="004D2EE3" w:rsidRDefault="004F5CAB" w:rsidP="00756A4A">
      <w:pPr>
        <w:pStyle w:val="NoSpacing"/>
        <w:spacing w:line="360" w:lineRule="auto"/>
        <w:jc w:val="both"/>
        <w:rPr>
          <w:rFonts w:ascii="David" w:hAnsi="David" w:cs="David"/>
          <w:sz w:val="24"/>
          <w:szCs w:val="24"/>
          <w:rtl/>
        </w:rPr>
      </w:pPr>
    </w:p>
    <w:p w14:paraId="30DF8F53" w14:textId="77777777" w:rsidR="004F5CAB" w:rsidRPr="004D2EE3" w:rsidRDefault="004F5CAB" w:rsidP="00756A4A">
      <w:pPr>
        <w:pStyle w:val="NoSpacing"/>
        <w:spacing w:line="360" w:lineRule="auto"/>
        <w:jc w:val="both"/>
        <w:rPr>
          <w:rFonts w:ascii="David" w:hAnsi="David" w:cs="David"/>
          <w:sz w:val="24"/>
          <w:szCs w:val="24"/>
          <w:rtl/>
        </w:rPr>
      </w:pPr>
    </w:p>
    <w:p w14:paraId="0B8A2E9C" w14:textId="77777777" w:rsidR="0014129C" w:rsidRPr="0014129C" w:rsidRDefault="0014129C" w:rsidP="0014129C">
      <w:pPr>
        <w:pStyle w:val="NoSpacing"/>
        <w:spacing w:before="120" w:after="120" w:line="240" w:lineRule="exact"/>
        <w:ind w:left="283" w:hanging="283"/>
        <w:jc w:val="both"/>
        <w:rPr>
          <w:rFonts w:ascii="FrankRuehl" w:hAnsi="FrankRuehl" w:cs="FrankRuehl"/>
          <w:sz w:val="24"/>
          <w:szCs w:val="24"/>
          <w:rtl/>
        </w:rPr>
      </w:pPr>
      <w:r w:rsidRPr="0014129C">
        <w:rPr>
          <w:rFonts w:ascii="FrankRuehl" w:hAnsi="FrankRuehl" w:cs="FrankRuehl"/>
          <w:sz w:val="24"/>
          <w:szCs w:val="24"/>
          <w:rtl/>
        </w:rPr>
        <w:t xml:space="preserve">חקיקה שאוזכרה: </w:t>
      </w:r>
    </w:p>
    <w:p w14:paraId="4F2AC6C6" w14:textId="77777777" w:rsidR="0014129C" w:rsidRPr="0014129C" w:rsidRDefault="0014129C" w:rsidP="0014129C">
      <w:pPr>
        <w:pStyle w:val="NoSpacing"/>
        <w:spacing w:before="120" w:after="120" w:line="240" w:lineRule="exact"/>
        <w:ind w:left="283" w:hanging="283"/>
        <w:jc w:val="both"/>
        <w:rPr>
          <w:rFonts w:ascii="FrankRuehl" w:hAnsi="FrankRuehl" w:cs="FrankRuehl"/>
          <w:color w:val="0000FF"/>
          <w:sz w:val="24"/>
          <w:szCs w:val="24"/>
          <w:rtl/>
        </w:rPr>
      </w:pPr>
      <w:hyperlink r:id="rId7" w:history="1">
        <w:r w:rsidRPr="0014129C">
          <w:rPr>
            <w:rStyle w:val="Hyperlink"/>
            <w:rFonts w:ascii="FrankRuehl" w:hAnsi="FrankRuehl" w:cs="FrankRuehl" w:hint="eastAsia"/>
            <w:sz w:val="24"/>
            <w:szCs w:val="24"/>
            <w:rtl/>
          </w:rPr>
          <w:t>חוק</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העונשין</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תשל</w:t>
        </w:r>
        <w:r w:rsidRPr="0014129C">
          <w:rPr>
            <w:rStyle w:val="Hyperlink"/>
            <w:rFonts w:ascii="FrankRuehl" w:hAnsi="FrankRuehl" w:cs="FrankRuehl"/>
            <w:sz w:val="24"/>
            <w:szCs w:val="24"/>
            <w:rtl/>
          </w:rPr>
          <w:t>"</w:t>
        </w:r>
        <w:r w:rsidRPr="0014129C">
          <w:rPr>
            <w:rStyle w:val="Hyperlink"/>
            <w:rFonts w:ascii="FrankRuehl" w:hAnsi="FrankRuehl" w:cs="FrankRuehl" w:hint="eastAsia"/>
            <w:sz w:val="24"/>
            <w:szCs w:val="24"/>
            <w:rtl/>
          </w:rPr>
          <w:t>ז</w:t>
        </w:r>
        <w:r w:rsidRPr="0014129C">
          <w:rPr>
            <w:rStyle w:val="Hyperlink"/>
            <w:rFonts w:ascii="FrankRuehl" w:hAnsi="FrankRuehl" w:cs="FrankRuehl"/>
            <w:sz w:val="24"/>
            <w:szCs w:val="24"/>
            <w:rtl/>
          </w:rPr>
          <w:t>-1977</w:t>
        </w:r>
      </w:hyperlink>
      <w:r w:rsidRPr="0014129C">
        <w:rPr>
          <w:rFonts w:ascii="FrankRuehl" w:hAnsi="FrankRuehl" w:cs="FrankRuehl"/>
          <w:sz w:val="24"/>
          <w:szCs w:val="24"/>
          <w:rtl/>
        </w:rPr>
        <w:t xml:space="preserve">: סע'  </w:t>
      </w:r>
      <w:hyperlink r:id="rId8" w:history="1">
        <w:r w:rsidRPr="0014129C">
          <w:rPr>
            <w:rStyle w:val="Hyperlink"/>
            <w:rFonts w:ascii="FrankRuehl" w:hAnsi="FrankRuehl" w:cs="FrankRuehl"/>
            <w:sz w:val="24"/>
            <w:szCs w:val="24"/>
          </w:rPr>
          <w:t>327</w:t>
        </w:r>
      </w:hyperlink>
      <w:r w:rsidRPr="0014129C">
        <w:rPr>
          <w:rFonts w:ascii="FrankRuehl" w:hAnsi="FrankRuehl" w:cs="FrankRuehl"/>
          <w:sz w:val="24"/>
          <w:szCs w:val="24"/>
          <w:rtl/>
        </w:rPr>
        <w:t xml:space="preserve">, </w:t>
      </w:r>
      <w:hyperlink r:id="rId9" w:history="1">
        <w:r w:rsidRPr="0014129C">
          <w:rPr>
            <w:rStyle w:val="Hyperlink"/>
            <w:rFonts w:ascii="FrankRuehl" w:hAnsi="FrankRuehl" w:cs="FrankRuehl"/>
            <w:sz w:val="24"/>
            <w:szCs w:val="24"/>
          </w:rPr>
          <w:t>345</w:t>
        </w:r>
      </w:hyperlink>
      <w:r w:rsidRPr="0014129C">
        <w:rPr>
          <w:rFonts w:ascii="FrankRuehl" w:hAnsi="FrankRuehl" w:cs="FrankRuehl"/>
          <w:color w:val="0000FF"/>
          <w:sz w:val="24"/>
          <w:szCs w:val="24"/>
          <w:rtl/>
        </w:rPr>
        <w:t xml:space="preserve">(א)(4), </w:t>
      </w:r>
      <w:hyperlink r:id="rId10" w:history="1">
        <w:r w:rsidRPr="0014129C">
          <w:rPr>
            <w:rStyle w:val="Hyperlink"/>
            <w:rFonts w:ascii="FrankRuehl" w:hAnsi="FrankRuehl" w:cs="FrankRuehl"/>
            <w:sz w:val="24"/>
            <w:szCs w:val="24"/>
          </w:rPr>
          <w:t>348</w:t>
        </w:r>
      </w:hyperlink>
      <w:r w:rsidRPr="0014129C">
        <w:rPr>
          <w:rFonts w:ascii="FrankRuehl" w:hAnsi="FrankRuehl" w:cs="FrankRuehl"/>
          <w:color w:val="0000FF"/>
          <w:sz w:val="24"/>
          <w:szCs w:val="24"/>
          <w:rtl/>
        </w:rPr>
        <w:t xml:space="preserve">(א), </w:t>
      </w:r>
      <w:hyperlink r:id="rId11" w:history="1">
        <w:r w:rsidRPr="0014129C">
          <w:rPr>
            <w:rStyle w:val="Hyperlink"/>
            <w:rFonts w:ascii="FrankRuehl" w:hAnsi="FrankRuehl" w:cs="FrankRuehl"/>
            <w:sz w:val="24"/>
            <w:szCs w:val="24"/>
          </w:rPr>
          <w:t>383</w:t>
        </w:r>
      </w:hyperlink>
      <w:r w:rsidRPr="0014129C">
        <w:rPr>
          <w:rFonts w:ascii="FrankRuehl" w:hAnsi="FrankRuehl" w:cs="FrankRuehl"/>
          <w:color w:val="0000FF"/>
          <w:sz w:val="24"/>
          <w:szCs w:val="24"/>
          <w:rtl/>
        </w:rPr>
        <w:t xml:space="preserve">, </w:t>
      </w:r>
      <w:hyperlink r:id="rId12" w:history="1">
        <w:r w:rsidRPr="0014129C">
          <w:rPr>
            <w:rStyle w:val="Hyperlink"/>
            <w:rFonts w:ascii="FrankRuehl" w:hAnsi="FrankRuehl" w:cs="FrankRuehl"/>
            <w:sz w:val="24"/>
            <w:szCs w:val="24"/>
          </w:rPr>
          <w:t>384</w:t>
        </w:r>
      </w:hyperlink>
      <w:r w:rsidRPr="0014129C">
        <w:rPr>
          <w:rFonts w:ascii="FrankRuehl" w:hAnsi="FrankRuehl" w:cs="FrankRuehl"/>
          <w:color w:val="0000FF"/>
          <w:sz w:val="24"/>
          <w:szCs w:val="24"/>
          <w:rtl/>
        </w:rPr>
        <w:t xml:space="preserve">, </w:t>
      </w:r>
      <w:hyperlink r:id="rId13" w:history="1">
        <w:r w:rsidRPr="0014129C">
          <w:rPr>
            <w:rStyle w:val="Hyperlink"/>
            <w:rFonts w:ascii="FrankRuehl" w:hAnsi="FrankRuehl" w:cs="FrankRuehl"/>
            <w:sz w:val="24"/>
            <w:szCs w:val="24"/>
          </w:rPr>
          <w:t>415</w:t>
        </w:r>
      </w:hyperlink>
      <w:r w:rsidRPr="0014129C">
        <w:rPr>
          <w:rFonts w:ascii="FrankRuehl" w:hAnsi="FrankRuehl" w:cs="FrankRuehl"/>
          <w:color w:val="0000FF"/>
          <w:sz w:val="24"/>
          <w:szCs w:val="24"/>
          <w:rtl/>
        </w:rPr>
        <w:t xml:space="preserve">, </w:t>
      </w:r>
      <w:hyperlink r:id="rId14" w:history="1">
        <w:r w:rsidRPr="0014129C">
          <w:rPr>
            <w:rStyle w:val="Hyperlink"/>
            <w:rFonts w:ascii="FrankRuehl" w:hAnsi="FrankRuehl" w:cs="FrankRuehl"/>
            <w:sz w:val="24"/>
            <w:szCs w:val="24"/>
          </w:rPr>
          <w:t>428</w:t>
        </w:r>
      </w:hyperlink>
      <w:r w:rsidRPr="0014129C">
        <w:rPr>
          <w:rFonts w:ascii="FrankRuehl" w:hAnsi="FrankRuehl" w:cs="FrankRuehl"/>
          <w:color w:val="0000FF"/>
          <w:sz w:val="24"/>
          <w:szCs w:val="24"/>
          <w:rtl/>
        </w:rPr>
        <w:t xml:space="preserve">, </w:t>
      </w:r>
      <w:hyperlink r:id="rId15" w:history="1">
        <w:r w:rsidRPr="0014129C">
          <w:rPr>
            <w:rStyle w:val="Hyperlink"/>
            <w:rFonts w:ascii="FrankRuehl" w:hAnsi="FrankRuehl" w:cs="FrankRuehl"/>
            <w:sz w:val="24"/>
            <w:szCs w:val="24"/>
          </w:rPr>
          <w:t>430</w:t>
        </w:r>
      </w:hyperlink>
    </w:p>
    <w:p w14:paraId="37188B4C" w14:textId="77777777" w:rsidR="0014129C" w:rsidRPr="0014129C" w:rsidRDefault="0014129C" w:rsidP="0014129C">
      <w:pPr>
        <w:pStyle w:val="NoSpacing"/>
        <w:spacing w:before="120" w:after="120" w:line="240" w:lineRule="exact"/>
        <w:ind w:left="283" w:hanging="283"/>
        <w:jc w:val="both"/>
        <w:rPr>
          <w:rFonts w:ascii="FrankRuehl" w:hAnsi="FrankRuehl" w:cs="FrankRuehl"/>
          <w:color w:val="0000FF"/>
          <w:sz w:val="24"/>
          <w:szCs w:val="24"/>
          <w:rtl/>
        </w:rPr>
      </w:pPr>
      <w:hyperlink r:id="rId16" w:history="1">
        <w:r w:rsidRPr="0014129C">
          <w:rPr>
            <w:rStyle w:val="Hyperlink"/>
            <w:rFonts w:ascii="FrankRuehl" w:hAnsi="FrankRuehl" w:cs="FrankRuehl" w:hint="eastAsia"/>
            <w:sz w:val="24"/>
            <w:szCs w:val="24"/>
            <w:rtl/>
          </w:rPr>
          <w:t>חוק</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הגנת</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הפרטיות</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תשמ</w:t>
        </w:r>
        <w:r w:rsidRPr="0014129C">
          <w:rPr>
            <w:rStyle w:val="Hyperlink"/>
            <w:rFonts w:ascii="FrankRuehl" w:hAnsi="FrankRuehl" w:cs="FrankRuehl"/>
            <w:sz w:val="24"/>
            <w:szCs w:val="24"/>
            <w:rtl/>
          </w:rPr>
          <w:t>"</w:t>
        </w:r>
        <w:r w:rsidRPr="0014129C">
          <w:rPr>
            <w:rStyle w:val="Hyperlink"/>
            <w:rFonts w:ascii="FrankRuehl" w:hAnsi="FrankRuehl" w:cs="FrankRuehl" w:hint="eastAsia"/>
            <w:sz w:val="24"/>
            <w:szCs w:val="24"/>
            <w:rtl/>
          </w:rPr>
          <w:t>א</w:t>
        </w:r>
        <w:r w:rsidRPr="0014129C">
          <w:rPr>
            <w:rStyle w:val="Hyperlink"/>
            <w:rFonts w:ascii="FrankRuehl" w:hAnsi="FrankRuehl" w:cs="FrankRuehl"/>
            <w:sz w:val="24"/>
            <w:szCs w:val="24"/>
            <w:rtl/>
          </w:rPr>
          <w:t>-1981</w:t>
        </w:r>
      </w:hyperlink>
      <w:r w:rsidRPr="0014129C">
        <w:rPr>
          <w:rFonts w:ascii="FrankRuehl" w:hAnsi="FrankRuehl" w:cs="FrankRuehl"/>
          <w:sz w:val="24"/>
          <w:szCs w:val="24"/>
          <w:rtl/>
        </w:rPr>
        <w:t xml:space="preserve">: סע'  </w:t>
      </w:r>
      <w:hyperlink r:id="rId17" w:history="1">
        <w:r w:rsidRPr="0014129C">
          <w:rPr>
            <w:rStyle w:val="Hyperlink"/>
            <w:rFonts w:ascii="FrankRuehl" w:hAnsi="FrankRuehl" w:cs="FrankRuehl"/>
            <w:sz w:val="24"/>
            <w:szCs w:val="24"/>
          </w:rPr>
          <w:t>5</w:t>
        </w:r>
      </w:hyperlink>
      <w:r w:rsidRPr="0014129C">
        <w:rPr>
          <w:rFonts w:ascii="FrankRuehl" w:hAnsi="FrankRuehl" w:cs="FrankRuehl"/>
          <w:color w:val="0000FF"/>
          <w:sz w:val="24"/>
          <w:szCs w:val="24"/>
          <w:rtl/>
        </w:rPr>
        <w:t>(3)</w:t>
      </w:r>
    </w:p>
    <w:p w14:paraId="43A4B5A1" w14:textId="77777777" w:rsidR="0014129C" w:rsidRPr="0014129C" w:rsidRDefault="0014129C" w:rsidP="0014129C">
      <w:pPr>
        <w:pStyle w:val="NoSpacing"/>
        <w:spacing w:before="120" w:after="120" w:line="240" w:lineRule="exact"/>
        <w:ind w:left="283" w:hanging="283"/>
        <w:jc w:val="both"/>
        <w:rPr>
          <w:rFonts w:ascii="FrankRuehl" w:hAnsi="FrankRuehl" w:cs="FrankRuehl"/>
          <w:color w:val="0000FF"/>
          <w:sz w:val="24"/>
          <w:szCs w:val="24"/>
          <w:rtl/>
        </w:rPr>
      </w:pPr>
      <w:hyperlink r:id="rId18" w:history="1">
        <w:r w:rsidRPr="0014129C">
          <w:rPr>
            <w:rStyle w:val="Hyperlink"/>
            <w:rFonts w:ascii="FrankRuehl" w:hAnsi="FrankRuehl" w:cs="FrankRuehl" w:hint="eastAsia"/>
            <w:sz w:val="24"/>
            <w:szCs w:val="24"/>
            <w:rtl/>
          </w:rPr>
          <w:t>חוק</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איסור</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הלבנת</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הון</w:t>
        </w:r>
        <w:r w:rsidRPr="0014129C">
          <w:rPr>
            <w:rStyle w:val="Hyperlink"/>
            <w:rFonts w:ascii="FrankRuehl" w:hAnsi="FrankRuehl" w:cs="FrankRuehl"/>
            <w:sz w:val="24"/>
            <w:szCs w:val="24"/>
            <w:rtl/>
          </w:rPr>
          <w:t xml:space="preserve">, </w:t>
        </w:r>
        <w:r w:rsidRPr="0014129C">
          <w:rPr>
            <w:rStyle w:val="Hyperlink"/>
            <w:rFonts w:ascii="FrankRuehl" w:hAnsi="FrankRuehl" w:cs="FrankRuehl" w:hint="eastAsia"/>
            <w:sz w:val="24"/>
            <w:szCs w:val="24"/>
            <w:rtl/>
          </w:rPr>
          <w:t>תש</w:t>
        </w:r>
        <w:r w:rsidRPr="0014129C">
          <w:rPr>
            <w:rStyle w:val="Hyperlink"/>
            <w:rFonts w:ascii="FrankRuehl" w:hAnsi="FrankRuehl" w:cs="FrankRuehl"/>
            <w:sz w:val="24"/>
            <w:szCs w:val="24"/>
            <w:rtl/>
          </w:rPr>
          <w:t>"</w:t>
        </w:r>
        <w:r w:rsidRPr="0014129C">
          <w:rPr>
            <w:rStyle w:val="Hyperlink"/>
            <w:rFonts w:ascii="FrankRuehl" w:hAnsi="FrankRuehl" w:cs="FrankRuehl" w:hint="eastAsia"/>
            <w:sz w:val="24"/>
            <w:szCs w:val="24"/>
            <w:rtl/>
          </w:rPr>
          <w:t>ס</w:t>
        </w:r>
        <w:r w:rsidRPr="0014129C">
          <w:rPr>
            <w:rStyle w:val="Hyperlink"/>
            <w:rFonts w:ascii="FrankRuehl" w:hAnsi="FrankRuehl" w:cs="FrankRuehl"/>
            <w:sz w:val="24"/>
            <w:szCs w:val="24"/>
            <w:rtl/>
          </w:rPr>
          <w:t>-2000</w:t>
        </w:r>
      </w:hyperlink>
      <w:r w:rsidRPr="0014129C">
        <w:rPr>
          <w:rFonts w:ascii="FrankRuehl" w:hAnsi="FrankRuehl" w:cs="FrankRuehl"/>
          <w:sz w:val="24"/>
          <w:szCs w:val="24"/>
          <w:rtl/>
        </w:rPr>
        <w:t xml:space="preserve">: סע'  </w:t>
      </w:r>
      <w:hyperlink r:id="rId19" w:history="1">
        <w:r w:rsidRPr="0014129C">
          <w:rPr>
            <w:rStyle w:val="Hyperlink"/>
            <w:rFonts w:ascii="FrankRuehl" w:hAnsi="FrankRuehl" w:cs="FrankRuehl"/>
            <w:sz w:val="24"/>
            <w:szCs w:val="24"/>
          </w:rPr>
          <w:t>3</w:t>
        </w:r>
      </w:hyperlink>
      <w:r w:rsidRPr="0014129C">
        <w:rPr>
          <w:rFonts w:ascii="FrankRuehl" w:hAnsi="FrankRuehl" w:cs="FrankRuehl"/>
          <w:color w:val="0000FF"/>
          <w:sz w:val="24"/>
          <w:szCs w:val="24"/>
          <w:rtl/>
        </w:rPr>
        <w:t>(א)</w:t>
      </w:r>
    </w:p>
    <w:p w14:paraId="20D8C538" w14:textId="77777777" w:rsidR="0032426F" w:rsidRDefault="0032426F" w:rsidP="0014129C">
      <w:pPr>
        <w:pStyle w:val="NoSpacing"/>
        <w:spacing w:line="360" w:lineRule="auto"/>
        <w:jc w:val="center"/>
        <w:rPr>
          <w:rFonts w:ascii="David" w:hAnsi="David" w:cs="David" w:hint="cs"/>
          <w:b/>
          <w:bCs/>
          <w:sz w:val="28"/>
          <w:szCs w:val="28"/>
          <w:rtl/>
        </w:rPr>
      </w:pPr>
      <w:bookmarkStart w:id="2" w:name="LawTable_End"/>
      <w:bookmarkEnd w:id="2"/>
    </w:p>
    <w:p w14:paraId="3712C61E" w14:textId="77777777" w:rsid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3" w:name="ABSTRACT_START"/>
      <w:bookmarkEnd w:id="3"/>
      <w:r>
        <w:rPr>
          <w:rFonts w:ascii="Times New Roman" w:hAnsi="Times New Roman" w:cs="FrankRuehl"/>
          <w:sz w:val="24"/>
          <w:szCs w:val="26"/>
          <w:rtl/>
        </w:rPr>
        <w:t>מיני-רציו:</w:t>
      </w:r>
    </w:p>
    <w:p w14:paraId="66473F64" w14:textId="77777777" w:rsidR="0032426F" w:rsidRP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 xml:space="preserve">* </w:t>
      </w:r>
      <w:r w:rsidRPr="0032426F">
        <w:rPr>
          <w:rFonts w:ascii="Times New Roman" w:hAnsi="Times New Roman" w:cs="FrankRuehl" w:hint="cs"/>
          <w:sz w:val="24"/>
          <w:szCs w:val="26"/>
          <w:rtl/>
        </w:rPr>
        <w:t>יש לקבל</w:t>
      </w:r>
      <w:r w:rsidRPr="0032426F">
        <w:rPr>
          <w:rFonts w:ascii="Times New Roman" w:hAnsi="Times New Roman" w:cs="FrankRuehl"/>
          <w:sz w:val="24"/>
          <w:szCs w:val="26"/>
          <w:rtl/>
        </w:rPr>
        <w:t xml:space="preserve"> כראייה מדעית, שטרם עמדה לדיון בהליך פלילי בישראל, חוות דעת שבדקה דגימה של שערות שנלקחו מהמתלוננת ב</w:t>
      </w:r>
      <w:r w:rsidRPr="0032426F">
        <w:rPr>
          <w:rFonts w:ascii="Times New Roman" w:hAnsi="Times New Roman" w:cs="FrankRuehl" w:hint="cs"/>
          <w:sz w:val="24"/>
          <w:szCs w:val="26"/>
          <w:rtl/>
        </w:rPr>
        <w:t>אחד ה</w:t>
      </w:r>
      <w:r w:rsidRPr="0032426F">
        <w:rPr>
          <w:rFonts w:ascii="Times New Roman" w:hAnsi="Times New Roman" w:cs="FrankRuehl"/>
          <w:sz w:val="24"/>
          <w:szCs w:val="26"/>
          <w:rtl/>
        </w:rPr>
        <w:t>אישו</w:t>
      </w:r>
      <w:r w:rsidRPr="0032426F">
        <w:rPr>
          <w:rFonts w:ascii="Times New Roman" w:hAnsi="Times New Roman" w:cs="FrankRuehl" w:hint="cs"/>
          <w:sz w:val="24"/>
          <w:szCs w:val="26"/>
          <w:rtl/>
        </w:rPr>
        <w:t>מי</w:t>
      </w:r>
      <w:r w:rsidRPr="0032426F">
        <w:rPr>
          <w:rFonts w:ascii="Times New Roman" w:hAnsi="Times New Roman" w:cs="FrankRuehl"/>
          <w:sz w:val="24"/>
          <w:szCs w:val="26"/>
          <w:rtl/>
        </w:rPr>
        <w:t>ם, לצורך גילוי שרידי "סם אונס".</w:t>
      </w:r>
    </w:p>
    <w:p w14:paraId="5657DF01" w14:textId="77777777" w:rsidR="0032426F" w:rsidRDefault="0032426F" w:rsidP="0032426F">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ראיות – קבילות – קביעתה</w:t>
      </w:r>
    </w:p>
    <w:p w14:paraId="041316FD" w14:textId="77777777" w:rsid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 ראיות – קבילות – ראיה מדעית חדשה</w:t>
      </w:r>
    </w:p>
    <w:p w14:paraId="6B65916B" w14:textId="77777777" w:rsidR="0032426F" w:rsidRP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3288A7D7" w14:textId="77777777" w:rsidR="0032426F" w:rsidRP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2426F">
        <w:rPr>
          <w:rFonts w:ascii="Times New Roman" w:hAnsi="Times New Roman" w:cs="FrankRuehl"/>
          <w:sz w:val="24"/>
          <w:szCs w:val="26"/>
          <w:rtl/>
        </w:rPr>
        <w:t>כנגד הנאשם הוגש כתב אישום המייחס לו ביצוע עבירות</w:t>
      </w:r>
      <w:r w:rsidRPr="0032426F">
        <w:rPr>
          <w:rFonts w:ascii="Times New Roman" w:hAnsi="Times New Roman" w:cs="FrankRuehl" w:hint="cs"/>
          <w:sz w:val="24"/>
          <w:szCs w:val="26"/>
          <w:rtl/>
        </w:rPr>
        <w:t xml:space="preserve"> שונות. </w:t>
      </w:r>
      <w:r w:rsidRPr="0032426F">
        <w:rPr>
          <w:rFonts w:ascii="Times New Roman" w:hAnsi="Times New Roman" w:cs="FrankRuehl"/>
          <w:sz w:val="24"/>
          <w:szCs w:val="26"/>
          <w:rtl/>
        </w:rPr>
        <w:t>המדינה הגישה חוות דעת מדעית, שבדקה דגימה של שערות, שנלקחו מהמתלוננת ב</w:t>
      </w:r>
      <w:r w:rsidRPr="0032426F">
        <w:rPr>
          <w:rFonts w:ascii="Times New Roman" w:hAnsi="Times New Roman" w:cs="FrankRuehl" w:hint="cs"/>
          <w:sz w:val="24"/>
          <w:szCs w:val="26"/>
          <w:rtl/>
        </w:rPr>
        <w:t>אחד ה</w:t>
      </w:r>
      <w:r w:rsidRPr="0032426F">
        <w:rPr>
          <w:rFonts w:ascii="Times New Roman" w:hAnsi="Times New Roman" w:cs="FrankRuehl"/>
          <w:sz w:val="24"/>
          <w:szCs w:val="26"/>
          <w:rtl/>
        </w:rPr>
        <w:t>אישו</w:t>
      </w:r>
      <w:r w:rsidRPr="0032426F">
        <w:rPr>
          <w:rFonts w:ascii="Times New Roman" w:hAnsi="Times New Roman" w:cs="FrankRuehl" w:hint="cs"/>
          <w:sz w:val="24"/>
          <w:szCs w:val="26"/>
          <w:rtl/>
        </w:rPr>
        <w:t>מי</w:t>
      </w:r>
      <w:r w:rsidRPr="0032426F">
        <w:rPr>
          <w:rFonts w:ascii="Times New Roman" w:hAnsi="Times New Roman" w:cs="FrankRuehl"/>
          <w:sz w:val="24"/>
          <w:szCs w:val="26"/>
          <w:rtl/>
        </w:rPr>
        <w:t>ם, לצורך גילוי שרידי "סם אונס".</w:t>
      </w:r>
    </w:p>
    <w:p w14:paraId="3F9BA139" w14:textId="77777777" w:rsid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5084D170" w14:textId="77777777" w:rsidR="0032426F" w:rsidRP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2426F">
        <w:rPr>
          <w:rFonts w:ascii="Times New Roman" w:hAnsi="Times New Roman" w:cs="FrankRuehl"/>
          <w:sz w:val="24"/>
          <w:szCs w:val="26"/>
          <w:rtl/>
        </w:rPr>
        <w:t>בית המשפט המחוזי</w:t>
      </w:r>
      <w:r w:rsidRPr="0032426F">
        <w:rPr>
          <w:rFonts w:ascii="Times New Roman" w:hAnsi="Times New Roman" w:cs="FrankRuehl" w:hint="cs"/>
          <w:sz w:val="24"/>
          <w:szCs w:val="26"/>
          <w:rtl/>
        </w:rPr>
        <w:t xml:space="preserve"> פסק כדלהלן:</w:t>
      </w:r>
    </w:p>
    <w:p w14:paraId="12638557" w14:textId="77777777" w:rsidR="0032426F" w:rsidRPr="0032426F" w:rsidRDefault="0032426F" w:rsidP="0032426F">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sidRPr="0032426F">
        <w:rPr>
          <w:rFonts w:ascii="Times New Roman" w:hAnsi="Times New Roman" w:cs="FrankRuehl"/>
          <w:sz w:val="24"/>
          <w:szCs w:val="26"/>
          <w:rtl/>
        </w:rPr>
        <w:t>בעניין מצגורה נקבע בנוגע לראיות מדעיות, כי בתי המשפט בישראל אימצו פסקי דין</w:t>
      </w:r>
      <w:r w:rsidRPr="0032426F">
        <w:rPr>
          <w:rFonts w:ascii="Times New Roman" w:hAnsi="Times New Roman" w:cs="FrankRuehl" w:hint="cs"/>
          <w:sz w:val="24"/>
          <w:szCs w:val="26"/>
          <w:rtl/>
        </w:rPr>
        <w:t xml:space="preserve"> זרים</w:t>
      </w:r>
      <w:r w:rsidRPr="0032426F">
        <w:rPr>
          <w:rFonts w:ascii="Times New Roman" w:hAnsi="Times New Roman" w:cs="FrankRuehl"/>
          <w:sz w:val="24"/>
          <w:szCs w:val="26"/>
          <w:rtl/>
        </w:rPr>
        <w:t xml:space="preserve"> אשר הגדירו את תפקידו של בית המשפט בהקשר של קבלת ראיות מדעיות והפנה בעיקר לשתי הלכות עיקריות</w:t>
      </w:r>
      <w:r w:rsidRPr="0032426F">
        <w:rPr>
          <w:rFonts w:ascii="Times New Roman" w:hAnsi="Times New Roman" w:cs="FrankRuehl" w:hint="cs"/>
          <w:sz w:val="24"/>
          <w:szCs w:val="26"/>
          <w:rtl/>
        </w:rPr>
        <w:t>:</w:t>
      </w:r>
      <w:r w:rsidRPr="0032426F">
        <w:rPr>
          <w:rFonts w:ascii="Times New Roman" w:hAnsi="Times New Roman" w:cs="FrankRuehl"/>
          <w:sz w:val="24"/>
          <w:szCs w:val="26"/>
          <w:rtl/>
        </w:rPr>
        <w:t xml:space="preserve"> האחת קבעה כי ראיה מדעית תהיה קבילה רק אם היא מקובלת ונפוצה בקהילה המדעית הרלוונטית והשניה הוסיפה שני מבחנים נוספים</w:t>
      </w:r>
      <w:r w:rsidRPr="0032426F">
        <w:rPr>
          <w:rFonts w:ascii="Times New Roman" w:hAnsi="Times New Roman" w:cs="FrankRuehl" w:hint="cs"/>
          <w:sz w:val="24"/>
          <w:szCs w:val="26"/>
          <w:rtl/>
        </w:rPr>
        <w:t xml:space="preserve"> </w:t>
      </w:r>
      <w:r w:rsidRPr="0032426F">
        <w:rPr>
          <w:rFonts w:ascii="Times New Roman" w:hAnsi="Times New Roman" w:cs="FrankRuehl"/>
          <w:sz w:val="24"/>
          <w:szCs w:val="26"/>
          <w:rtl/>
        </w:rPr>
        <w:t>לפיהם על בית המשפט לוודא שעדות המומחה רלוונטית לתיק ונשענת על יסוד אמין ומהימן</w:t>
      </w:r>
      <w:r w:rsidRPr="0032426F">
        <w:rPr>
          <w:rFonts w:ascii="Times New Roman" w:hAnsi="Times New Roman" w:cs="FrankRuehl" w:hint="cs"/>
          <w:sz w:val="24"/>
          <w:szCs w:val="26"/>
          <w:rtl/>
        </w:rPr>
        <w:t xml:space="preserve">. </w:t>
      </w:r>
      <w:r w:rsidRPr="0032426F">
        <w:rPr>
          <w:rFonts w:ascii="Times New Roman" w:hAnsi="Times New Roman" w:cs="FrankRuehl"/>
          <w:sz w:val="24"/>
          <w:szCs w:val="26"/>
          <w:rtl/>
        </w:rPr>
        <w:t>בבוא בית המשפט לקבל ראיה מדעית, עליו לשמש כשומר סף ולהכריע בין מומחים שונים</w:t>
      </w:r>
      <w:r w:rsidRPr="0032426F">
        <w:rPr>
          <w:rFonts w:ascii="Times New Roman" w:hAnsi="Times New Roman" w:cs="FrankRuehl" w:hint="cs"/>
          <w:sz w:val="24"/>
          <w:szCs w:val="26"/>
          <w:rtl/>
        </w:rPr>
        <w:t xml:space="preserve"> באמצעות</w:t>
      </w:r>
      <w:r w:rsidRPr="0032426F">
        <w:rPr>
          <w:rFonts w:ascii="Times New Roman" w:hAnsi="Times New Roman" w:cs="FrankRuehl"/>
          <w:sz w:val="24"/>
          <w:szCs w:val="26"/>
          <w:rtl/>
        </w:rPr>
        <w:t xml:space="preserve"> שני מבחנים </w:t>
      </w:r>
      <w:r w:rsidRPr="0032426F">
        <w:rPr>
          <w:rFonts w:ascii="Times New Roman" w:hAnsi="Times New Roman" w:cs="FrankRuehl" w:hint="cs"/>
          <w:sz w:val="24"/>
          <w:szCs w:val="26"/>
          <w:rtl/>
        </w:rPr>
        <w:t xml:space="preserve">: </w:t>
      </w:r>
      <w:r w:rsidRPr="0032426F">
        <w:rPr>
          <w:rFonts w:ascii="Times New Roman" w:hAnsi="Times New Roman" w:cs="FrankRuehl"/>
          <w:sz w:val="24"/>
          <w:szCs w:val="26"/>
          <w:rtl/>
        </w:rPr>
        <w:t>המבחן הפנימי</w:t>
      </w:r>
      <w:r w:rsidRPr="0032426F">
        <w:rPr>
          <w:rFonts w:ascii="Times New Roman" w:hAnsi="Times New Roman" w:cs="FrankRuehl" w:hint="cs"/>
          <w:sz w:val="24"/>
          <w:szCs w:val="26"/>
          <w:rtl/>
        </w:rPr>
        <w:t xml:space="preserve"> </w:t>
      </w:r>
      <w:r w:rsidRPr="0032426F">
        <w:rPr>
          <w:rFonts w:ascii="Times New Roman" w:hAnsi="Times New Roman" w:cs="FrankRuehl"/>
          <w:sz w:val="24"/>
          <w:szCs w:val="26"/>
          <w:rtl/>
        </w:rPr>
        <w:t>– שיטת המומחה והשלכות ההוכחה, השני, המבחן החיצוני</w:t>
      </w:r>
      <w:r w:rsidRPr="0032426F">
        <w:rPr>
          <w:rFonts w:ascii="Times New Roman" w:hAnsi="Times New Roman" w:cs="FrankRuehl" w:hint="cs"/>
          <w:sz w:val="24"/>
          <w:szCs w:val="26"/>
          <w:rtl/>
        </w:rPr>
        <w:t xml:space="preserve"> </w:t>
      </w:r>
      <w:r w:rsidRPr="0032426F">
        <w:rPr>
          <w:rFonts w:ascii="Times New Roman" w:hAnsi="Times New Roman" w:cs="FrankRuehl"/>
          <w:sz w:val="24"/>
          <w:szCs w:val="26"/>
          <w:rtl/>
        </w:rPr>
        <w:t xml:space="preserve">– האם תוכן חוות הדעת נתמך על ידי עולם המדע ומהי עמדת בתי המשפט בנדון. </w:t>
      </w:r>
      <w:r w:rsidRPr="0032426F">
        <w:rPr>
          <w:rFonts w:ascii="Times New Roman" w:hAnsi="Times New Roman" w:cs="FrankRuehl" w:hint="cs"/>
          <w:sz w:val="24"/>
          <w:szCs w:val="26"/>
          <w:rtl/>
        </w:rPr>
        <w:t>יש לקבל</w:t>
      </w:r>
      <w:r w:rsidRPr="0032426F">
        <w:rPr>
          <w:rFonts w:ascii="Times New Roman" w:hAnsi="Times New Roman" w:cs="FrankRuehl"/>
          <w:sz w:val="24"/>
          <w:szCs w:val="26"/>
          <w:rtl/>
        </w:rPr>
        <w:t xml:space="preserve"> כראייה מדעית, שטרם עמדה לדיון בהליך פלילי בישראל, את חוות הדעת של בדיקת שרידי הסם בשיער</w:t>
      </w:r>
      <w:r w:rsidRPr="0032426F">
        <w:rPr>
          <w:rFonts w:ascii="Times New Roman" w:hAnsi="Times New Roman" w:cs="FrankRuehl" w:hint="cs"/>
          <w:sz w:val="24"/>
          <w:szCs w:val="26"/>
          <w:rtl/>
        </w:rPr>
        <w:t xml:space="preserve">. </w:t>
      </w:r>
      <w:r w:rsidRPr="0032426F">
        <w:rPr>
          <w:rFonts w:ascii="Times New Roman" w:hAnsi="Times New Roman" w:cs="FrankRuehl"/>
          <w:sz w:val="24"/>
          <w:szCs w:val="26"/>
          <w:rtl/>
        </w:rPr>
        <w:t>המדובר בראיה מדעית חדשה שניתן לקבל למשפט הישראלי</w:t>
      </w:r>
      <w:r w:rsidRPr="0032426F">
        <w:rPr>
          <w:rFonts w:ascii="Times New Roman" w:hAnsi="Times New Roman" w:cs="FrankRuehl" w:hint="cs"/>
          <w:sz w:val="24"/>
          <w:szCs w:val="26"/>
          <w:rtl/>
        </w:rPr>
        <w:t>.</w:t>
      </w:r>
      <w:r w:rsidRPr="0032426F">
        <w:rPr>
          <w:rFonts w:ascii="Times New Roman" w:hAnsi="Times New Roman" w:cs="FrankRuehl"/>
          <w:sz w:val="24"/>
          <w:szCs w:val="26"/>
          <w:rtl/>
        </w:rPr>
        <w:t xml:space="preserve"> הוכח כי המדובר בטכניקה מדעית מקובלת ומצוטטת רבות בפסיקה המשווה. שיטות רבות בעולם, מחקרים רבים ואף בתי המשפט בעולם, הכירו בכשרותה ודומה כי בדיקת השיער לגילוי חשיפה לסמים, מאופיינת </w:t>
      </w:r>
      <w:r w:rsidRPr="0032426F">
        <w:rPr>
          <w:rFonts w:ascii="Times New Roman" w:hAnsi="Times New Roman" w:cs="FrankRuehl"/>
          <w:sz w:val="24"/>
          <w:szCs w:val="26"/>
          <w:rtl/>
        </w:rPr>
        <w:lastRenderedPageBreak/>
        <w:t xml:space="preserve">במרכיבים, ממצאים וניתוחים שונים העונים על דרישת קבילותה כראיה מדעית ועל כן היא עברה את "מבחני האש" והפכה לקבילה. </w:t>
      </w:r>
    </w:p>
    <w:p w14:paraId="0EFF114E" w14:textId="77777777" w:rsidR="0014129C" w:rsidRDefault="0014129C" w:rsidP="0014129C">
      <w:pPr>
        <w:pStyle w:val="NoSpacing"/>
        <w:spacing w:line="360" w:lineRule="auto"/>
        <w:jc w:val="center"/>
        <w:rPr>
          <w:rFonts w:ascii="David" w:hAnsi="David" w:cs="David" w:hint="cs"/>
          <w:b/>
          <w:bCs/>
          <w:sz w:val="28"/>
          <w:szCs w:val="28"/>
          <w:rtl/>
        </w:rPr>
      </w:pPr>
      <w:bookmarkStart w:id="4" w:name="PsakDin"/>
      <w:bookmarkStart w:id="5" w:name="ABSTRACT_END"/>
      <w:bookmarkEnd w:id="5"/>
    </w:p>
    <w:p w14:paraId="6A47A7BD" w14:textId="77777777" w:rsidR="0032426F" w:rsidRPr="0014129C" w:rsidRDefault="0032426F" w:rsidP="0032426F">
      <w:pPr>
        <w:pStyle w:val="NoSpacing"/>
        <w:spacing w:before="120" w:after="120" w:line="240" w:lineRule="exact"/>
        <w:ind w:left="283" w:hanging="283"/>
        <w:jc w:val="both"/>
        <w:rPr>
          <w:rFonts w:ascii="FrankRuehl" w:hAnsi="FrankRuehl" w:cs="FrankRuehl"/>
          <w:sz w:val="24"/>
          <w:szCs w:val="24"/>
          <w:rtl/>
        </w:rPr>
      </w:pPr>
      <w:r w:rsidRPr="004D2EE3">
        <w:rPr>
          <w:rFonts w:ascii="David" w:hAnsi="David" w:cs="David"/>
          <w:b/>
          <w:bCs/>
          <w:sz w:val="28"/>
          <w:szCs w:val="28"/>
          <w:rtl/>
        </w:rPr>
        <w:t>תמצית</w:t>
      </w:r>
      <w:bookmarkStart w:id="6" w:name="LawTable"/>
      <w:bookmarkEnd w:id="6"/>
    </w:p>
    <w:p w14:paraId="59FAE5A9" w14:textId="77777777" w:rsidR="004F5CAB" w:rsidRPr="004D2EE3" w:rsidRDefault="004F5CAB" w:rsidP="0014129C">
      <w:pPr>
        <w:pStyle w:val="NoSpacing"/>
        <w:spacing w:line="360" w:lineRule="auto"/>
        <w:jc w:val="center"/>
        <w:rPr>
          <w:rFonts w:ascii="David" w:hAnsi="David" w:cs="David"/>
          <w:b/>
          <w:bCs/>
          <w:sz w:val="28"/>
          <w:szCs w:val="28"/>
          <w:rtl/>
        </w:rPr>
      </w:pPr>
      <w:r w:rsidRPr="004D2EE3">
        <w:rPr>
          <w:rFonts w:ascii="David" w:hAnsi="David" w:cs="David"/>
          <w:b/>
          <w:bCs/>
          <w:sz w:val="28"/>
          <w:szCs w:val="28"/>
          <w:rtl/>
        </w:rPr>
        <w:t>הכרעת הדין</w:t>
      </w:r>
      <w:bookmarkEnd w:id="4"/>
    </w:p>
    <w:p w14:paraId="094962BC" w14:textId="77777777" w:rsidR="004F5CAB" w:rsidRPr="004D2EE3" w:rsidRDefault="004F5CAB" w:rsidP="00115839">
      <w:pPr>
        <w:pStyle w:val="NoSpacing"/>
        <w:spacing w:line="360" w:lineRule="auto"/>
        <w:jc w:val="both"/>
        <w:rPr>
          <w:rFonts w:ascii="David" w:hAnsi="David" w:cs="David"/>
          <w:b/>
          <w:bCs/>
          <w:sz w:val="28"/>
          <w:szCs w:val="28"/>
          <w:rtl/>
        </w:rPr>
      </w:pPr>
    </w:p>
    <w:p w14:paraId="5F5D6DB5" w14:textId="77777777" w:rsidR="004F5CAB" w:rsidRPr="004D2EE3" w:rsidRDefault="004F5CAB" w:rsidP="00115839">
      <w:pPr>
        <w:pStyle w:val="NoSpacing"/>
        <w:spacing w:line="360" w:lineRule="auto"/>
        <w:jc w:val="both"/>
        <w:rPr>
          <w:rFonts w:ascii="David" w:hAnsi="David" w:cs="David"/>
          <w:sz w:val="24"/>
          <w:szCs w:val="24"/>
          <w:rtl/>
        </w:rPr>
      </w:pPr>
      <w:r w:rsidRPr="004D2EE3">
        <w:rPr>
          <w:rFonts w:ascii="David" w:hAnsi="David" w:cs="David"/>
          <w:sz w:val="24"/>
          <w:szCs w:val="24"/>
          <w:rtl/>
        </w:rPr>
        <w:t xml:space="preserve">כנגד הנאשם, שמואל בן אבו, הוגש כתב אישום האוחז בחמישה אישומים, המייחס לו ביצוע עבירות, </w:t>
      </w:r>
      <w:r w:rsidRPr="004D2EE3">
        <w:rPr>
          <w:rFonts w:ascii="David" w:hAnsi="David" w:cs="David"/>
          <w:b/>
          <w:bCs/>
          <w:sz w:val="24"/>
          <w:szCs w:val="24"/>
          <w:rtl/>
        </w:rPr>
        <w:t>שלילת כושר התנגדות</w:t>
      </w:r>
      <w:r w:rsidRPr="004D2EE3">
        <w:rPr>
          <w:rFonts w:ascii="David" w:hAnsi="David" w:cs="David"/>
          <w:sz w:val="24"/>
          <w:szCs w:val="24"/>
          <w:rtl/>
        </w:rPr>
        <w:t xml:space="preserve">, עבירה לפי </w:t>
      </w:r>
      <w:hyperlink r:id="rId20" w:history="1">
        <w:r w:rsidR="0014129C" w:rsidRPr="0014129C">
          <w:rPr>
            <w:rStyle w:val="Hyperlink"/>
            <w:rFonts w:ascii="David" w:hAnsi="David" w:cs="David"/>
            <w:sz w:val="24"/>
            <w:szCs w:val="24"/>
            <w:rtl/>
          </w:rPr>
          <w:t>סעיף 327</w:t>
        </w:r>
      </w:hyperlink>
      <w:r w:rsidRPr="004D2EE3">
        <w:rPr>
          <w:rFonts w:ascii="David" w:hAnsi="David" w:cs="David"/>
          <w:sz w:val="24"/>
          <w:szCs w:val="24"/>
          <w:rtl/>
        </w:rPr>
        <w:t xml:space="preserve"> ל</w:t>
      </w:r>
      <w:hyperlink r:id="rId21" w:history="1">
        <w:r w:rsidR="004D2EE3" w:rsidRPr="004D2EE3">
          <w:rPr>
            <w:rFonts w:ascii="David" w:hAnsi="David" w:cs="David"/>
            <w:color w:val="0000FF"/>
            <w:sz w:val="24"/>
            <w:szCs w:val="24"/>
            <w:u w:val="single"/>
            <w:rtl/>
          </w:rPr>
          <w:t>חוק העונשין</w:t>
        </w:r>
      </w:hyperlink>
      <w:r w:rsidRPr="004D2EE3">
        <w:rPr>
          <w:rFonts w:ascii="David" w:hAnsi="David" w:cs="David"/>
          <w:sz w:val="24"/>
          <w:szCs w:val="24"/>
          <w:rtl/>
        </w:rPr>
        <w:t>, התשל"ז – 1977 (להלן: "</w:t>
      </w:r>
      <w:r w:rsidRPr="004D2EE3">
        <w:rPr>
          <w:rFonts w:ascii="David" w:hAnsi="David" w:cs="David"/>
          <w:b/>
          <w:bCs/>
          <w:sz w:val="24"/>
          <w:szCs w:val="24"/>
          <w:rtl/>
        </w:rPr>
        <w:t>חוק העונשין</w:t>
      </w:r>
      <w:r w:rsidRPr="004D2EE3">
        <w:rPr>
          <w:rFonts w:ascii="David" w:hAnsi="David" w:cs="David"/>
          <w:sz w:val="24"/>
          <w:szCs w:val="24"/>
          <w:rtl/>
        </w:rPr>
        <w:t xml:space="preserve">") (4 מקרים); </w:t>
      </w:r>
      <w:r w:rsidRPr="004D2EE3">
        <w:rPr>
          <w:rFonts w:ascii="David" w:hAnsi="David" w:cs="David"/>
          <w:b/>
          <w:bCs/>
          <w:sz w:val="24"/>
          <w:szCs w:val="24"/>
          <w:rtl/>
        </w:rPr>
        <w:t>מעשה מגונה</w:t>
      </w:r>
      <w:r w:rsidRPr="004D2EE3">
        <w:rPr>
          <w:rFonts w:ascii="David" w:hAnsi="David" w:cs="David"/>
          <w:sz w:val="24"/>
          <w:szCs w:val="24"/>
          <w:rtl/>
        </w:rPr>
        <w:t xml:space="preserve">, עבירה לפי </w:t>
      </w:r>
      <w:hyperlink r:id="rId22" w:history="1">
        <w:r w:rsidR="0014129C" w:rsidRPr="0014129C">
          <w:rPr>
            <w:rStyle w:val="Hyperlink"/>
            <w:rFonts w:ascii="David" w:hAnsi="David" w:cs="David"/>
            <w:sz w:val="24"/>
            <w:szCs w:val="24"/>
            <w:rtl/>
          </w:rPr>
          <w:t>סעיף 348(א)</w:t>
        </w:r>
      </w:hyperlink>
      <w:r w:rsidRPr="004D2EE3">
        <w:rPr>
          <w:rFonts w:ascii="David" w:hAnsi="David" w:cs="David"/>
          <w:sz w:val="24"/>
          <w:szCs w:val="24"/>
          <w:rtl/>
        </w:rPr>
        <w:t xml:space="preserve"> + </w:t>
      </w:r>
      <w:hyperlink r:id="rId23" w:history="1">
        <w:r w:rsidR="0014129C" w:rsidRPr="0014129C">
          <w:rPr>
            <w:rStyle w:val="Hyperlink"/>
            <w:rFonts w:ascii="David" w:hAnsi="David" w:cs="David"/>
            <w:sz w:val="24"/>
            <w:szCs w:val="24"/>
            <w:rtl/>
          </w:rPr>
          <w:t>345(א)(4)</w:t>
        </w:r>
      </w:hyperlink>
      <w:r w:rsidRPr="004D2EE3">
        <w:rPr>
          <w:rFonts w:ascii="David" w:hAnsi="David" w:cs="David"/>
          <w:sz w:val="24"/>
          <w:szCs w:val="24"/>
          <w:rtl/>
        </w:rPr>
        <w:t xml:space="preserve"> לחוק העונשין; </w:t>
      </w:r>
      <w:r w:rsidRPr="004D2EE3">
        <w:rPr>
          <w:rFonts w:ascii="David" w:hAnsi="David" w:cs="David"/>
          <w:b/>
          <w:bCs/>
          <w:sz w:val="24"/>
          <w:szCs w:val="24"/>
          <w:rtl/>
        </w:rPr>
        <w:t>קבלת דבר במרמה בנסיבות מחמירות</w:t>
      </w:r>
      <w:r w:rsidRPr="004D2EE3">
        <w:rPr>
          <w:rFonts w:ascii="David" w:hAnsi="David" w:cs="David"/>
          <w:sz w:val="24"/>
          <w:szCs w:val="24"/>
          <w:rtl/>
        </w:rPr>
        <w:t xml:space="preserve">, עבירה לפי </w:t>
      </w:r>
      <w:hyperlink r:id="rId24" w:history="1">
        <w:r w:rsidR="0014129C" w:rsidRPr="0014129C">
          <w:rPr>
            <w:rStyle w:val="Hyperlink"/>
            <w:rFonts w:ascii="David" w:hAnsi="David" w:cs="David"/>
            <w:sz w:val="24"/>
            <w:szCs w:val="24"/>
            <w:rtl/>
          </w:rPr>
          <w:t>סעיף 415</w:t>
        </w:r>
      </w:hyperlink>
      <w:r w:rsidRPr="004D2EE3">
        <w:rPr>
          <w:rFonts w:ascii="David" w:hAnsi="David" w:cs="David"/>
          <w:sz w:val="24"/>
          <w:szCs w:val="24"/>
          <w:rtl/>
        </w:rPr>
        <w:t xml:space="preserve"> סיפא לחוק העונשין (מספר מקרים); </w:t>
      </w:r>
      <w:r w:rsidRPr="004D2EE3">
        <w:rPr>
          <w:rFonts w:ascii="David" w:hAnsi="David" w:cs="David"/>
          <w:b/>
          <w:bCs/>
          <w:sz w:val="24"/>
          <w:szCs w:val="24"/>
          <w:rtl/>
        </w:rPr>
        <w:t>סחיטה באיומים</w:t>
      </w:r>
      <w:r w:rsidRPr="004D2EE3">
        <w:rPr>
          <w:rFonts w:ascii="David" w:hAnsi="David" w:cs="David"/>
          <w:sz w:val="24"/>
          <w:szCs w:val="24"/>
          <w:rtl/>
        </w:rPr>
        <w:t xml:space="preserve">, עבירה לפי </w:t>
      </w:r>
      <w:hyperlink r:id="rId25" w:history="1">
        <w:r w:rsidR="0014129C" w:rsidRPr="0014129C">
          <w:rPr>
            <w:rStyle w:val="Hyperlink"/>
            <w:rFonts w:ascii="David" w:hAnsi="David" w:cs="David"/>
            <w:sz w:val="24"/>
            <w:szCs w:val="24"/>
            <w:rtl/>
          </w:rPr>
          <w:t>סעיף 428</w:t>
        </w:r>
      </w:hyperlink>
      <w:r w:rsidRPr="004D2EE3">
        <w:rPr>
          <w:rFonts w:ascii="David" w:hAnsi="David" w:cs="David"/>
          <w:sz w:val="24"/>
          <w:szCs w:val="24"/>
          <w:rtl/>
        </w:rPr>
        <w:t xml:space="preserve"> לחוק העונשין; </w:t>
      </w:r>
      <w:r w:rsidRPr="004D2EE3">
        <w:rPr>
          <w:rFonts w:ascii="David" w:hAnsi="David" w:cs="David"/>
          <w:b/>
          <w:bCs/>
          <w:sz w:val="24"/>
          <w:szCs w:val="24"/>
          <w:rtl/>
        </w:rPr>
        <w:t>גניבה</w:t>
      </w:r>
      <w:r w:rsidRPr="004D2EE3">
        <w:rPr>
          <w:rFonts w:ascii="David" w:hAnsi="David" w:cs="David"/>
          <w:sz w:val="24"/>
          <w:szCs w:val="24"/>
          <w:rtl/>
        </w:rPr>
        <w:t xml:space="preserve">, עבירה לפי </w:t>
      </w:r>
      <w:hyperlink r:id="rId26" w:history="1">
        <w:r w:rsidR="0014129C" w:rsidRPr="0014129C">
          <w:rPr>
            <w:rStyle w:val="Hyperlink"/>
            <w:rFonts w:ascii="David" w:hAnsi="David" w:cs="David"/>
            <w:sz w:val="24"/>
            <w:szCs w:val="24"/>
            <w:rtl/>
          </w:rPr>
          <w:t>סעיף 383+384</w:t>
        </w:r>
      </w:hyperlink>
      <w:r w:rsidRPr="004D2EE3">
        <w:rPr>
          <w:rFonts w:ascii="David" w:hAnsi="David" w:cs="David"/>
          <w:sz w:val="24"/>
          <w:szCs w:val="24"/>
          <w:rtl/>
        </w:rPr>
        <w:t xml:space="preserve"> לחוק העונשין; </w:t>
      </w:r>
      <w:r w:rsidRPr="004D2EE3">
        <w:rPr>
          <w:rFonts w:ascii="David" w:hAnsi="David" w:cs="David"/>
          <w:b/>
          <w:bCs/>
          <w:sz w:val="24"/>
          <w:szCs w:val="24"/>
          <w:rtl/>
        </w:rPr>
        <w:t>נטילת נכסים לשם סחיטה</w:t>
      </w:r>
      <w:r w:rsidRPr="004D2EE3">
        <w:rPr>
          <w:rFonts w:ascii="David" w:hAnsi="David" w:cs="David"/>
          <w:sz w:val="24"/>
          <w:szCs w:val="24"/>
          <w:rtl/>
        </w:rPr>
        <w:t xml:space="preserve">, עבירה לפי </w:t>
      </w:r>
      <w:hyperlink r:id="rId27" w:history="1">
        <w:r w:rsidR="0014129C" w:rsidRPr="0014129C">
          <w:rPr>
            <w:rStyle w:val="Hyperlink"/>
            <w:rFonts w:ascii="David" w:hAnsi="David" w:cs="David"/>
            <w:sz w:val="24"/>
            <w:szCs w:val="24"/>
            <w:rtl/>
          </w:rPr>
          <w:t>סעיף 430</w:t>
        </w:r>
      </w:hyperlink>
      <w:r w:rsidRPr="004D2EE3">
        <w:rPr>
          <w:rFonts w:ascii="David" w:hAnsi="David" w:cs="David"/>
          <w:sz w:val="24"/>
          <w:szCs w:val="24"/>
          <w:rtl/>
        </w:rPr>
        <w:t xml:space="preserve"> לחוק העונשין; </w:t>
      </w:r>
      <w:r w:rsidRPr="004D2EE3">
        <w:rPr>
          <w:rFonts w:ascii="David" w:hAnsi="David" w:cs="David"/>
          <w:b/>
          <w:bCs/>
          <w:sz w:val="24"/>
          <w:szCs w:val="24"/>
          <w:rtl/>
        </w:rPr>
        <w:t>פגיעה בפרטיות,</w:t>
      </w:r>
      <w:r w:rsidRPr="004D2EE3">
        <w:rPr>
          <w:rFonts w:ascii="David" w:hAnsi="David" w:cs="David"/>
          <w:sz w:val="24"/>
          <w:szCs w:val="24"/>
          <w:rtl/>
        </w:rPr>
        <w:t xml:space="preserve"> עבירה לפי </w:t>
      </w:r>
      <w:hyperlink r:id="rId28" w:history="1">
        <w:r w:rsidR="0014129C" w:rsidRPr="0014129C">
          <w:rPr>
            <w:rStyle w:val="Hyperlink"/>
            <w:rFonts w:ascii="David" w:hAnsi="David" w:cs="David"/>
            <w:sz w:val="24"/>
            <w:szCs w:val="24"/>
            <w:rtl/>
          </w:rPr>
          <w:t>סעיף 5(3)</w:t>
        </w:r>
      </w:hyperlink>
      <w:r w:rsidRPr="004D2EE3">
        <w:rPr>
          <w:rFonts w:ascii="David" w:hAnsi="David" w:cs="David"/>
          <w:sz w:val="24"/>
          <w:szCs w:val="24"/>
          <w:rtl/>
        </w:rPr>
        <w:t xml:space="preserve"> ל</w:t>
      </w:r>
      <w:hyperlink r:id="rId29" w:history="1">
        <w:r w:rsidR="004D2EE3" w:rsidRPr="004D2EE3">
          <w:rPr>
            <w:rFonts w:ascii="David" w:hAnsi="David" w:cs="David"/>
            <w:color w:val="0000FF"/>
            <w:sz w:val="24"/>
            <w:szCs w:val="24"/>
            <w:u w:val="single"/>
            <w:rtl/>
          </w:rPr>
          <w:t>חוק הגנת הפרטיות</w:t>
        </w:r>
      </w:hyperlink>
      <w:r w:rsidRPr="004D2EE3">
        <w:rPr>
          <w:rFonts w:ascii="David" w:hAnsi="David" w:cs="David"/>
          <w:sz w:val="24"/>
          <w:szCs w:val="24"/>
          <w:rtl/>
        </w:rPr>
        <w:t>, התשמ"א- 1981 (להלן: "</w:t>
      </w:r>
      <w:r w:rsidRPr="004D2EE3">
        <w:rPr>
          <w:rFonts w:ascii="David" w:hAnsi="David" w:cs="David"/>
          <w:b/>
          <w:bCs/>
          <w:sz w:val="24"/>
          <w:szCs w:val="24"/>
          <w:rtl/>
        </w:rPr>
        <w:t>חוק הגנת הפרטיות")</w:t>
      </w:r>
      <w:r w:rsidRPr="004D2EE3">
        <w:rPr>
          <w:rFonts w:ascii="David" w:hAnsi="David" w:cs="David"/>
          <w:sz w:val="24"/>
          <w:szCs w:val="24"/>
          <w:rtl/>
        </w:rPr>
        <w:t xml:space="preserve"> (שלושה מקרים); </w:t>
      </w:r>
      <w:r w:rsidRPr="004D2EE3">
        <w:rPr>
          <w:rFonts w:ascii="David" w:hAnsi="David" w:cs="David"/>
          <w:b/>
          <w:bCs/>
          <w:sz w:val="24"/>
          <w:szCs w:val="24"/>
          <w:rtl/>
        </w:rPr>
        <w:t>איסור הלבנת הון</w:t>
      </w:r>
      <w:r w:rsidRPr="004D2EE3">
        <w:rPr>
          <w:rFonts w:ascii="David" w:hAnsi="David" w:cs="David"/>
          <w:sz w:val="24"/>
          <w:szCs w:val="24"/>
          <w:rtl/>
        </w:rPr>
        <w:t xml:space="preserve">, עבירה לפי </w:t>
      </w:r>
      <w:hyperlink r:id="rId30" w:history="1">
        <w:r w:rsidR="0014129C" w:rsidRPr="0014129C">
          <w:rPr>
            <w:rStyle w:val="Hyperlink"/>
            <w:rFonts w:ascii="David" w:hAnsi="David" w:cs="David"/>
            <w:sz w:val="24"/>
            <w:szCs w:val="24"/>
            <w:rtl/>
          </w:rPr>
          <w:t>סעיף 3(א)</w:t>
        </w:r>
      </w:hyperlink>
      <w:r w:rsidRPr="004D2EE3">
        <w:rPr>
          <w:rFonts w:ascii="David" w:hAnsi="David" w:cs="David"/>
          <w:sz w:val="24"/>
          <w:szCs w:val="24"/>
          <w:rtl/>
        </w:rPr>
        <w:t xml:space="preserve"> ל</w:t>
      </w:r>
      <w:hyperlink r:id="rId31" w:history="1">
        <w:r w:rsidR="004D2EE3" w:rsidRPr="004D2EE3">
          <w:rPr>
            <w:rFonts w:ascii="David" w:hAnsi="David" w:cs="David"/>
            <w:color w:val="0000FF"/>
            <w:sz w:val="24"/>
            <w:szCs w:val="24"/>
            <w:u w:val="single"/>
            <w:rtl/>
          </w:rPr>
          <w:t>חוק איסור הלבנת הון</w:t>
        </w:r>
      </w:hyperlink>
      <w:r w:rsidRPr="004D2EE3">
        <w:rPr>
          <w:rFonts w:ascii="David" w:hAnsi="David" w:cs="David"/>
          <w:sz w:val="24"/>
          <w:szCs w:val="24"/>
          <w:rtl/>
        </w:rPr>
        <w:t xml:space="preserve">, תש"ס- 2000; </w:t>
      </w:r>
    </w:p>
    <w:p w14:paraId="1E46A76D" w14:textId="77777777" w:rsidR="004F5CAB" w:rsidRPr="004D2EE3" w:rsidRDefault="004F5CAB" w:rsidP="00A61CB4">
      <w:pPr>
        <w:pStyle w:val="NoSpacing"/>
        <w:spacing w:line="360" w:lineRule="auto"/>
        <w:jc w:val="both"/>
        <w:rPr>
          <w:rFonts w:ascii="David" w:hAnsi="David" w:cs="David"/>
          <w:sz w:val="24"/>
          <w:szCs w:val="24"/>
          <w:rtl/>
        </w:rPr>
      </w:pPr>
    </w:p>
    <w:p w14:paraId="1791BEF1" w14:textId="77777777" w:rsidR="004F5CAB" w:rsidRPr="004D2EE3" w:rsidRDefault="004F5CAB" w:rsidP="00993E6E">
      <w:pPr>
        <w:pStyle w:val="NoSpacing"/>
        <w:spacing w:line="360" w:lineRule="auto"/>
        <w:jc w:val="both"/>
        <w:rPr>
          <w:rFonts w:ascii="David" w:hAnsi="David" w:cs="David"/>
          <w:sz w:val="24"/>
          <w:szCs w:val="24"/>
          <w:rtl/>
        </w:rPr>
      </w:pPr>
      <w:r w:rsidRPr="004D2EE3">
        <w:rPr>
          <w:rFonts w:ascii="David" w:hAnsi="David" w:cs="David"/>
          <w:sz w:val="24"/>
          <w:szCs w:val="24"/>
          <w:rtl/>
        </w:rPr>
        <w:t xml:space="preserve">הנאשם,  כפר בכל העובדות המהוות עבירה המיוחסות  לו בכתב האישום. </w:t>
      </w:r>
    </w:p>
    <w:p w14:paraId="4D56DBD2" w14:textId="77777777" w:rsidR="004F5CAB" w:rsidRPr="004D2EE3" w:rsidRDefault="004F5CAB" w:rsidP="00756A4A">
      <w:pPr>
        <w:pStyle w:val="NoSpacing"/>
        <w:spacing w:line="360" w:lineRule="auto"/>
        <w:jc w:val="both"/>
        <w:rPr>
          <w:rFonts w:ascii="David" w:hAnsi="David" w:cs="David"/>
          <w:sz w:val="24"/>
          <w:szCs w:val="24"/>
          <w:rtl/>
        </w:rPr>
      </w:pPr>
    </w:p>
    <w:p w14:paraId="183BF0F1" w14:textId="77777777" w:rsidR="004F5CAB" w:rsidRPr="004D2EE3" w:rsidRDefault="004F5CAB" w:rsidP="00756A4A">
      <w:pPr>
        <w:pStyle w:val="NoSpacing"/>
        <w:spacing w:line="360" w:lineRule="auto"/>
        <w:jc w:val="both"/>
        <w:rPr>
          <w:rFonts w:ascii="David" w:hAnsi="David" w:cs="David"/>
          <w:b/>
          <w:bCs/>
          <w:sz w:val="24"/>
          <w:szCs w:val="24"/>
          <w:rtl/>
        </w:rPr>
      </w:pPr>
      <w:r w:rsidRPr="004D2EE3">
        <w:rPr>
          <w:rFonts w:ascii="David" w:hAnsi="David" w:cs="David"/>
          <w:b/>
          <w:bCs/>
          <w:sz w:val="24"/>
          <w:szCs w:val="24"/>
          <w:rtl/>
        </w:rPr>
        <w:t>כתב האישום בתמצית</w:t>
      </w:r>
    </w:p>
    <w:p w14:paraId="4E97055F" w14:textId="77777777" w:rsidR="004F5CAB" w:rsidRPr="004D2EE3" w:rsidRDefault="004F5CAB" w:rsidP="00756A4A">
      <w:pPr>
        <w:pStyle w:val="NoSpacing"/>
        <w:spacing w:line="360" w:lineRule="auto"/>
        <w:jc w:val="both"/>
        <w:rPr>
          <w:rFonts w:ascii="David" w:hAnsi="David" w:cs="David"/>
          <w:b/>
          <w:bCs/>
          <w:sz w:val="24"/>
          <w:szCs w:val="24"/>
          <w:rtl/>
        </w:rPr>
      </w:pPr>
      <w:r w:rsidRPr="004D2EE3">
        <w:rPr>
          <w:rFonts w:ascii="David" w:hAnsi="David" w:cs="David"/>
          <w:b/>
          <w:bCs/>
          <w:sz w:val="24"/>
          <w:szCs w:val="24"/>
          <w:rtl/>
        </w:rPr>
        <w:t>אישום ראשון</w:t>
      </w:r>
    </w:p>
    <w:p w14:paraId="12B5F3B8" w14:textId="77777777" w:rsidR="004F5CAB" w:rsidRPr="004D2EE3" w:rsidRDefault="004F5CAB" w:rsidP="00B61CE7">
      <w:pPr>
        <w:pStyle w:val="NoSpacing"/>
        <w:spacing w:line="360" w:lineRule="auto"/>
        <w:jc w:val="both"/>
        <w:rPr>
          <w:rFonts w:ascii="David" w:hAnsi="David" w:cs="David"/>
          <w:sz w:val="24"/>
          <w:szCs w:val="24"/>
          <w:rtl/>
        </w:rPr>
      </w:pPr>
      <w:r w:rsidRPr="004D2EE3">
        <w:rPr>
          <w:rFonts w:ascii="David" w:hAnsi="David" w:cs="David"/>
          <w:sz w:val="24"/>
          <w:szCs w:val="24"/>
          <w:rtl/>
        </w:rPr>
        <w:t>במהלך חודש מאי 2015 הכירו הנאשם והמתלוננת באישום זה. במסגרת הקשר הזמין הנאשם את המתלוננת באישום זה ובִתה הקטינה, לצימר. בדרכם לצימר, טמן הנאשם במשקה ששתו חומר המכיל מרכיב פעיל ממשפחת הבנזודיאזפינים (להלן "</w:t>
      </w:r>
      <w:r w:rsidRPr="004D2EE3">
        <w:rPr>
          <w:rFonts w:ascii="David" w:hAnsi="David" w:cs="David"/>
          <w:b/>
          <w:bCs/>
          <w:sz w:val="24"/>
          <w:szCs w:val="24"/>
          <w:rtl/>
        </w:rPr>
        <w:t>החומר</w:t>
      </w:r>
      <w:r w:rsidRPr="004D2EE3">
        <w:rPr>
          <w:rFonts w:ascii="David" w:hAnsi="David" w:cs="David"/>
          <w:sz w:val="24"/>
          <w:szCs w:val="24"/>
          <w:rtl/>
        </w:rPr>
        <w:t xml:space="preserve">"), הגורם לתופעות של שינה, טשטוש, סחרחורת וחוסר זיכרון, ומשמש כסם אונס. בהגיעם לצימר שקעה המתלוננת בשינה עמוקה והנאשם ביצע מעשים מגונים בקטינה. </w:t>
      </w:r>
    </w:p>
    <w:p w14:paraId="69538407" w14:textId="77777777" w:rsidR="004F5CAB" w:rsidRPr="004D2EE3" w:rsidRDefault="004F5CAB" w:rsidP="0088694D">
      <w:pPr>
        <w:pStyle w:val="NoSpacing"/>
        <w:spacing w:line="360" w:lineRule="auto"/>
        <w:jc w:val="both"/>
        <w:rPr>
          <w:rFonts w:ascii="David" w:hAnsi="David" w:cs="David"/>
          <w:b/>
          <w:bCs/>
          <w:sz w:val="24"/>
          <w:szCs w:val="24"/>
          <w:rtl/>
        </w:rPr>
      </w:pPr>
      <w:r w:rsidRPr="004D2EE3">
        <w:rPr>
          <w:rFonts w:ascii="David" w:hAnsi="David" w:cs="David"/>
          <w:b/>
          <w:bCs/>
          <w:sz w:val="24"/>
          <w:szCs w:val="24"/>
          <w:rtl/>
        </w:rPr>
        <w:t xml:space="preserve">באישום זה הורשע הנאשם בביצוע עבירות שלילת כושר התנגדות (2 מקרים) ומעשה מגונה. </w:t>
      </w:r>
    </w:p>
    <w:p w14:paraId="43FCE47F" w14:textId="77777777" w:rsidR="004F5CAB" w:rsidRPr="004D2EE3" w:rsidRDefault="004F5CAB" w:rsidP="00D7375E">
      <w:pPr>
        <w:pStyle w:val="NoSpacing"/>
        <w:spacing w:line="360" w:lineRule="auto"/>
        <w:jc w:val="both"/>
        <w:rPr>
          <w:rFonts w:ascii="David" w:hAnsi="David" w:cs="David"/>
          <w:sz w:val="24"/>
          <w:szCs w:val="24"/>
          <w:rtl/>
        </w:rPr>
      </w:pPr>
    </w:p>
    <w:p w14:paraId="57D6C1D0" w14:textId="77777777" w:rsidR="004F5CAB" w:rsidRPr="004D2EE3" w:rsidRDefault="004F5CAB" w:rsidP="00756A4A">
      <w:pPr>
        <w:pStyle w:val="NoSpacing"/>
        <w:spacing w:line="360" w:lineRule="auto"/>
        <w:jc w:val="both"/>
        <w:rPr>
          <w:rFonts w:ascii="David" w:hAnsi="David" w:cs="David"/>
          <w:b/>
          <w:bCs/>
          <w:sz w:val="24"/>
          <w:szCs w:val="24"/>
          <w:rtl/>
        </w:rPr>
      </w:pPr>
      <w:r w:rsidRPr="004D2EE3">
        <w:rPr>
          <w:rFonts w:ascii="David" w:hAnsi="David" w:cs="David"/>
          <w:b/>
          <w:bCs/>
          <w:sz w:val="24"/>
          <w:szCs w:val="24"/>
          <w:rtl/>
        </w:rPr>
        <w:t>אישום שני</w:t>
      </w:r>
    </w:p>
    <w:p w14:paraId="64D6350F" w14:textId="77777777" w:rsidR="004F5CAB" w:rsidRPr="004D2EE3" w:rsidRDefault="004F5CAB" w:rsidP="00B61CE7">
      <w:pPr>
        <w:pStyle w:val="NoSpacing"/>
        <w:spacing w:line="360" w:lineRule="auto"/>
        <w:jc w:val="both"/>
        <w:rPr>
          <w:rFonts w:ascii="David" w:hAnsi="David" w:cs="David"/>
          <w:sz w:val="24"/>
          <w:szCs w:val="24"/>
          <w:rtl/>
        </w:rPr>
      </w:pPr>
      <w:r w:rsidRPr="004D2EE3">
        <w:rPr>
          <w:rFonts w:ascii="David" w:hAnsi="David" w:cs="David"/>
          <w:sz w:val="24"/>
          <w:szCs w:val="24"/>
          <w:rtl/>
        </w:rPr>
        <w:t xml:space="preserve">המתלוננת באישום זה, ביקשה לשכור את שירותי הנאשם, לביצוע עבודת בניה בביתה. ביום 21/10/2016, לקראת סיום עבודת הבניה, יצאו הנאשם והמתלוננת לקניות עבור פרויקט הבניה. בדרך, טמן הנאשם בכוס קפה שהגיש למתלוננת, כדור של התרופה "היפנודרם", המכיל מרכיב פעיל ממשפחת הבנזודיאזפינים. </w:t>
      </w:r>
    </w:p>
    <w:p w14:paraId="08BE5AE4" w14:textId="77777777" w:rsidR="004F5CAB" w:rsidRPr="004D2EE3" w:rsidRDefault="004F5CAB" w:rsidP="00756A4A">
      <w:pPr>
        <w:pStyle w:val="NoSpacing"/>
        <w:spacing w:line="360" w:lineRule="auto"/>
        <w:jc w:val="both"/>
        <w:rPr>
          <w:rFonts w:ascii="David" w:hAnsi="David" w:cs="David"/>
          <w:sz w:val="24"/>
          <w:szCs w:val="24"/>
          <w:rtl/>
        </w:rPr>
      </w:pPr>
    </w:p>
    <w:p w14:paraId="09B19986" w14:textId="77777777" w:rsidR="004F5CAB" w:rsidRPr="004D2EE3" w:rsidRDefault="004F5CAB" w:rsidP="00B61CE7">
      <w:pPr>
        <w:pStyle w:val="NoSpacing"/>
        <w:spacing w:line="360" w:lineRule="auto"/>
        <w:jc w:val="both"/>
        <w:rPr>
          <w:rFonts w:ascii="David" w:hAnsi="David" w:cs="David"/>
          <w:sz w:val="24"/>
          <w:szCs w:val="24"/>
          <w:rtl/>
        </w:rPr>
      </w:pPr>
      <w:r w:rsidRPr="004D2EE3">
        <w:rPr>
          <w:rFonts w:ascii="David" w:hAnsi="David" w:cs="David"/>
          <w:sz w:val="24"/>
          <w:szCs w:val="24"/>
          <w:rtl/>
        </w:rPr>
        <w:t xml:space="preserve">במהלך הדרך חשה המתלוננת באישום זה כי היא מטושטשת. משהגיעו ליעדם שהו הנאשם והמתלוננת במקום מספר שעות כשהיא רדומה. במהלך השהות במקום, נטל הנאשם מהמתלוננת את מכשיר הטלפון הנייד שלה וכן סכום של 1400 ₪ במזומן. </w:t>
      </w:r>
    </w:p>
    <w:p w14:paraId="7D5B6219" w14:textId="77777777" w:rsidR="004F5CAB" w:rsidRPr="004D2EE3" w:rsidRDefault="004F5CAB" w:rsidP="00A94C16">
      <w:pPr>
        <w:pStyle w:val="NoSpacing"/>
        <w:spacing w:line="360" w:lineRule="auto"/>
        <w:jc w:val="both"/>
        <w:rPr>
          <w:rFonts w:ascii="David" w:hAnsi="David" w:cs="David"/>
          <w:sz w:val="24"/>
          <w:szCs w:val="24"/>
          <w:rtl/>
        </w:rPr>
      </w:pPr>
    </w:p>
    <w:p w14:paraId="35CF50AB" w14:textId="77777777" w:rsidR="004F5CAB" w:rsidRPr="004D2EE3" w:rsidRDefault="004F5CAB" w:rsidP="00A94C16">
      <w:pPr>
        <w:pStyle w:val="NoSpacing"/>
        <w:spacing w:line="360" w:lineRule="auto"/>
        <w:jc w:val="both"/>
        <w:rPr>
          <w:rFonts w:ascii="David" w:hAnsi="David" w:cs="David"/>
          <w:sz w:val="24"/>
          <w:szCs w:val="24"/>
          <w:rtl/>
        </w:rPr>
      </w:pPr>
      <w:r w:rsidRPr="004D2EE3">
        <w:rPr>
          <w:rFonts w:ascii="David" w:hAnsi="David" w:cs="David"/>
          <w:sz w:val="24"/>
          <w:szCs w:val="24"/>
          <w:rtl/>
        </w:rPr>
        <w:lastRenderedPageBreak/>
        <w:t xml:space="preserve">כעבור מספר ימים, פנה הנאשם אל המתלוננת באישום זה והציג בפניה בכזב, כי הם נסחטים על ידי גורמים שצילמו את שניהם יחדיו. בשל מצג זה סחט הנאשם מהמתלוננת סך של 170,000 ₪. מסע הסחיטה הופסק לאחר שהמתלוננת פנתה למשטרה.  </w:t>
      </w:r>
    </w:p>
    <w:p w14:paraId="6D568610" w14:textId="77777777" w:rsidR="004F5CAB" w:rsidRPr="004D2EE3" w:rsidRDefault="004F5CAB" w:rsidP="00756A4A">
      <w:pPr>
        <w:pStyle w:val="NoSpacing"/>
        <w:spacing w:line="360" w:lineRule="auto"/>
        <w:jc w:val="both"/>
        <w:rPr>
          <w:rFonts w:ascii="David" w:hAnsi="David" w:cs="David"/>
          <w:sz w:val="24"/>
          <w:szCs w:val="24"/>
          <w:rtl/>
        </w:rPr>
      </w:pPr>
    </w:p>
    <w:p w14:paraId="2B61FAC4" w14:textId="77777777" w:rsidR="004F5CAB" w:rsidRPr="004D2EE3" w:rsidRDefault="004F5CAB" w:rsidP="0088694D">
      <w:pPr>
        <w:pStyle w:val="NoSpacing"/>
        <w:spacing w:line="360" w:lineRule="auto"/>
        <w:jc w:val="both"/>
        <w:rPr>
          <w:rFonts w:ascii="David" w:hAnsi="David" w:cs="David"/>
          <w:b/>
          <w:bCs/>
          <w:sz w:val="24"/>
          <w:szCs w:val="24"/>
          <w:rtl/>
        </w:rPr>
      </w:pPr>
      <w:r w:rsidRPr="004D2EE3">
        <w:rPr>
          <w:rFonts w:ascii="David" w:hAnsi="David" w:cs="David"/>
          <w:b/>
          <w:bCs/>
          <w:sz w:val="24"/>
          <w:szCs w:val="24"/>
          <w:rtl/>
        </w:rPr>
        <w:t xml:space="preserve">באישום זה הורשע הנאשם בביצוע עבירות, שלילת כושר התנגדות, קבלת דבר במרמה בנסיבות מחמירות, סחיטה באיומים, גניבה, נטילת נכסים לשם סחיטה, איסור הלבנת הון, וזוכה מחמת הספק מביצוע עבירה של פגיעה בפרטיות. </w:t>
      </w:r>
    </w:p>
    <w:p w14:paraId="68DDFADB" w14:textId="77777777" w:rsidR="004F5CAB" w:rsidRPr="004D2EE3" w:rsidRDefault="004F5CAB" w:rsidP="0088694D">
      <w:pPr>
        <w:pStyle w:val="NoSpacing"/>
        <w:spacing w:line="360" w:lineRule="auto"/>
        <w:jc w:val="both"/>
        <w:rPr>
          <w:rFonts w:ascii="David" w:hAnsi="David" w:cs="David"/>
          <w:sz w:val="24"/>
          <w:szCs w:val="24"/>
          <w:rtl/>
        </w:rPr>
      </w:pPr>
    </w:p>
    <w:p w14:paraId="26ED929B" w14:textId="77777777" w:rsidR="004F5CAB" w:rsidRPr="004D2EE3" w:rsidRDefault="004F5CAB" w:rsidP="0088694D">
      <w:pPr>
        <w:pStyle w:val="NoSpacing"/>
        <w:spacing w:line="360" w:lineRule="auto"/>
        <w:jc w:val="both"/>
        <w:rPr>
          <w:rFonts w:ascii="David" w:hAnsi="David" w:cs="David"/>
          <w:b/>
          <w:bCs/>
          <w:sz w:val="24"/>
          <w:szCs w:val="24"/>
          <w:rtl/>
        </w:rPr>
      </w:pPr>
      <w:r w:rsidRPr="004D2EE3">
        <w:rPr>
          <w:rFonts w:ascii="David" w:hAnsi="David" w:cs="David"/>
          <w:b/>
          <w:bCs/>
          <w:sz w:val="24"/>
          <w:szCs w:val="24"/>
          <w:rtl/>
        </w:rPr>
        <w:t>האישום השלישי</w:t>
      </w:r>
    </w:p>
    <w:p w14:paraId="031DFF22" w14:textId="77777777" w:rsidR="004F5CAB" w:rsidRPr="004D2EE3" w:rsidRDefault="004F5CAB" w:rsidP="00913451">
      <w:pPr>
        <w:pStyle w:val="NoSpacing"/>
        <w:spacing w:line="360" w:lineRule="auto"/>
        <w:jc w:val="both"/>
        <w:rPr>
          <w:rFonts w:ascii="David" w:hAnsi="David" w:cs="David"/>
          <w:sz w:val="24"/>
          <w:szCs w:val="24"/>
          <w:rtl/>
        </w:rPr>
      </w:pPr>
      <w:r w:rsidRPr="004D2EE3">
        <w:rPr>
          <w:rFonts w:ascii="David" w:hAnsi="David" w:cs="David"/>
          <w:sz w:val="24"/>
          <w:szCs w:val="24"/>
          <w:rtl/>
        </w:rPr>
        <w:t>בראשית חודש דצמבר 2005, הסיע הנאשם את המתלוננת באישום זה בטרמפ.  במהלך הנסיעה טמן הנאשם בכוס מיץ שהגיש למתלוננת חומר המכיל את המרכיב הפעיל דיאזפאם (להלן: "</w:t>
      </w:r>
      <w:r w:rsidRPr="004D2EE3">
        <w:rPr>
          <w:rFonts w:ascii="David" w:hAnsi="David" w:cs="David"/>
          <w:b/>
          <w:bCs/>
          <w:sz w:val="24"/>
          <w:szCs w:val="24"/>
          <w:rtl/>
        </w:rPr>
        <w:t>החומר</w:t>
      </w:r>
      <w:r w:rsidRPr="004D2EE3">
        <w:rPr>
          <w:rFonts w:ascii="David" w:hAnsi="David" w:cs="David"/>
          <w:sz w:val="24"/>
          <w:szCs w:val="24"/>
          <w:rtl/>
        </w:rPr>
        <w:t xml:space="preserve">"), הידוע כמשמש כ"סם אונס". </w:t>
      </w:r>
    </w:p>
    <w:p w14:paraId="30D15F05" w14:textId="77777777" w:rsidR="004F5CAB" w:rsidRPr="004D2EE3" w:rsidRDefault="004F5CAB" w:rsidP="00756A4A">
      <w:pPr>
        <w:pStyle w:val="NoSpacing"/>
        <w:spacing w:line="360" w:lineRule="auto"/>
        <w:jc w:val="both"/>
        <w:rPr>
          <w:rFonts w:ascii="David" w:hAnsi="David" w:cs="David"/>
          <w:sz w:val="24"/>
          <w:szCs w:val="24"/>
          <w:rtl/>
        </w:rPr>
      </w:pPr>
    </w:p>
    <w:p w14:paraId="6B3707FA" w14:textId="77777777" w:rsidR="004F5CAB" w:rsidRPr="004D2EE3" w:rsidRDefault="004F5CAB" w:rsidP="00F11F70">
      <w:pPr>
        <w:pStyle w:val="NoSpacing"/>
        <w:spacing w:line="360" w:lineRule="auto"/>
        <w:jc w:val="both"/>
        <w:rPr>
          <w:rFonts w:ascii="David" w:hAnsi="David" w:cs="David"/>
          <w:sz w:val="24"/>
          <w:szCs w:val="24"/>
          <w:rtl/>
        </w:rPr>
      </w:pPr>
      <w:r w:rsidRPr="004D2EE3">
        <w:rPr>
          <w:rFonts w:ascii="David" w:hAnsi="David" w:cs="David"/>
          <w:sz w:val="24"/>
          <w:szCs w:val="24"/>
          <w:rtl/>
        </w:rPr>
        <w:t>המתלוננת באישום זה שתתה את המיץ שהכיל את הדיאזפאם והבחינה בגרגירים מן החומר שנותרו בתחתית הכוס. לאחר שירדה המתלוננת מהרכב, חשה ברע, חשדה כי הנאשם סימם אותה, ופנתה למשטרה.</w:t>
      </w:r>
    </w:p>
    <w:p w14:paraId="3939E567" w14:textId="77777777" w:rsidR="004F5CAB" w:rsidRPr="004D2EE3" w:rsidRDefault="004F5CAB" w:rsidP="00130F16">
      <w:pPr>
        <w:pStyle w:val="NoSpacing"/>
        <w:spacing w:line="360" w:lineRule="auto"/>
        <w:jc w:val="both"/>
        <w:rPr>
          <w:rFonts w:ascii="David" w:hAnsi="David" w:cs="David"/>
          <w:sz w:val="24"/>
          <w:szCs w:val="24"/>
          <w:rtl/>
        </w:rPr>
      </w:pPr>
    </w:p>
    <w:p w14:paraId="7D226353" w14:textId="77777777" w:rsidR="004F5CAB" w:rsidRPr="004D2EE3" w:rsidRDefault="004F5CAB" w:rsidP="00A61CB4">
      <w:pPr>
        <w:pStyle w:val="NoSpacing"/>
        <w:spacing w:line="360" w:lineRule="auto"/>
        <w:jc w:val="both"/>
        <w:rPr>
          <w:rFonts w:ascii="David" w:hAnsi="David" w:cs="David"/>
          <w:b/>
          <w:bCs/>
          <w:sz w:val="24"/>
          <w:szCs w:val="24"/>
          <w:rtl/>
        </w:rPr>
      </w:pPr>
      <w:r w:rsidRPr="004D2EE3">
        <w:rPr>
          <w:rFonts w:ascii="David" w:hAnsi="David" w:cs="David"/>
          <w:b/>
          <w:bCs/>
          <w:sz w:val="24"/>
          <w:szCs w:val="24"/>
          <w:rtl/>
        </w:rPr>
        <w:t xml:space="preserve">באישום זה הורשע הנאשם בביצוע עבירה של שלילת כושר התנגדות.  </w:t>
      </w:r>
    </w:p>
    <w:p w14:paraId="2B496F39" w14:textId="77777777" w:rsidR="004F5CAB" w:rsidRPr="004D2EE3" w:rsidRDefault="004F5CAB" w:rsidP="00130F16">
      <w:pPr>
        <w:pStyle w:val="NoSpacing"/>
        <w:spacing w:line="360" w:lineRule="auto"/>
        <w:jc w:val="both"/>
        <w:rPr>
          <w:rFonts w:ascii="David" w:hAnsi="David" w:cs="David"/>
          <w:sz w:val="24"/>
          <w:szCs w:val="24"/>
          <w:rtl/>
        </w:rPr>
      </w:pPr>
    </w:p>
    <w:p w14:paraId="3B3CB227" w14:textId="77777777" w:rsidR="004F5CAB" w:rsidRPr="004D2EE3" w:rsidRDefault="004F5CAB" w:rsidP="00130F16">
      <w:pPr>
        <w:pStyle w:val="NoSpacing"/>
        <w:spacing w:line="360" w:lineRule="auto"/>
        <w:jc w:val="both"/>
        <w:rPr>
          <w:rFonts w:ascii="David" w:hAnsi="David" w:cs="David"/>
          <w:b/>
          <w:bCs/>
          <w:sz w:val="24"/>
          <w:szCs w:val="24"/>
          <w:rtl/>
        </w:rPr>
      </w:pPr>
      <w:r w:rsidRPr="004D2EE3">
        <w:rPr>
          <w:rFonts w:ascii="David" w:hAnsi="David" w:cs="David"/>
          <w:b/>
          <w:bCs/>
          <w:sz w:val="24"/>
          <w:szCs w:val="24"/>
          <w:rtl/>
        </w:rPr>
        <w:t>האישום הרביעי</w:t>
      </w:r>
    </w:p>
    <w:p w14:paraId="228B50D8" w14:textId="77777777" w:rsidR="004F5CAB" w:rsidRPr="004D2EE3" w:rsidRDefault="004F5CAB" w:rsidP="00913451">
      <w:pPr>
        <w:pStyle w:val="NoSpacing"/>
        <w:spacing w:line="360" w:lineRule="auto"/>
        <w:jc w:val="both"/>
        <w:rPr>
          <w:rFonts w:ascii="David" w:hAnsi="David" w:cs="David"/>
          <w:sz w:val="24"/>
          <w:szCs w:val="24"/>
          <w:rtl/>
        </w:rPr>
      </w:pPr>
      <w:r w:rsidRPr="004D2EE3">
        <w:rPr>
          <w:rFonts w:ascii="David" w:hAnsi="David" w:cs="David"/>
          <w:sz w:val="24"/>
          <w:szCs w:val="24"/>
          <w:rtl/>
        </w:rPr>
        <w:t xml:space="preserve">במהלך חודשי מאי 2015, בעת שנפגשו הנאשם והמתלוננת באישום זה, לפגישה אינטימית, צילם הנאשם את מהלך קיום יחסי המין ביניהם וזאת ללא הסכמתה ובאופן הפוגע בפרטיותה. </w:t>
      </w:r>
    </w:p>
    <w:p w14:paraId="55A93DAB" w14:textId="77777777" w:rsidR="004F5CAB" w:rsidRPr="004D2EE3" w:rsidRDefault="004F5CAB" w:rsidP="00E6501E">
      <w:pPr>
        <w:pStyle w:val="NoSpacing"/>
        <w:spacing w:line="360" w:lineRule="auto"/>
        <w:jc w:val="both"/>
        <w:rPr>
          <w:rFonts w:ascii="David" w:hAnsi="David" w:cs="David"/>
          <w:sz w:val="24"/>
          <w:szCs w:val="24"/>
          <w:rtl/>
        </w:rPr>
      </w:pPr>
    </w:p>
    <w:p w14:paraId="58AFA2BC" w14:textId="77777777" w:rsidR="004F5CAB" w:rsidRPr="004D2EE3" w:rsidRDefault="004F5CAB" w:rsidP="00A61CB4">
      <w:pPr>
        <w:pStyle w:val="NoSpacing"/>
        <w:spacing w:line="360" w:lineRule="auto"/>
        <w:jc w:val="both"/>
        <w:rPr>
          <w:rFonts w:ascii="David" w:hAnsi="David" w:cs="David"/>
          <w:b/>
          <w:bCs/>
          <w:sz w:val="24"/>
          <w:szCs w:val="24"/>
          <w:rtl/>
        </w:rPr>
      </w:pPr>
      <w:r w:rsidRPr="004D2EE3">
        <w:rPr>
          <w:rFonts w:ascii="David" w:hAnsi="David" w:cs="David"/>
          <w:b/>
          <w:bCs/>
          <w:sz w:val="24"/>
          <w:szCs w:val="24"/>
          <w:rtl/>
        </w:rPr>
        <w:t xml:space="preserve">באישום זה הורשע הנאשם בביצוע עבירה של פגיעה בפרטיות.  </w:t>
      </w:r>
    </w:p>
    <w:p w14:paraId="6502E96D" w14:textId="77777777" w:rsidR="004F5CAB" w:rsidRPr="004D2EE3" w:rsidRDefault="004F5CAB" w:rsidP="00913451">
      <w:pPr>
        <w:pStyle w:val="NoSpacing"/>
        <w:spacing w:line="360" w:lineRule="auto"/>
        <w:jc w:val="both"/>
        <w:rPr>
          <w:rFonts w:ascii="David" w:hAnsi="David" w:cs="David"/>
          <w:b/>
          <w:bCs/>
          <w:sz w:val="24"/>
          <w:szCs w:val="24"/>
          <w:rtl/>
        </w:rPr>
      </w:pPr>
    </w:p>
    <w:p w14:paraId="3BC1E05A" w14:textId="77777777" w:rsidR="004F5CAB" w:rsidRPr="004D2EE3" w:rsidRDefault="004F5CAB" w:rsidP="00913451">
      <w:pPr>
        <w:pStyle w:val="NoSpacing"/>
        <w:spacing w:line="360" w:lineRule="auto"/>
        <w:jc w:val="both"/>
        <w:rPr>
          <w:rFonts w:ascii="David" w:hAnsi="David" w:cs="David"/>
          <w:b/>
          <w:bCs/>
          <w:sz w:val="24"/>
          <w:szCs w:val="24"/>
          <w:rtl/>
        </w:rPr>
      </w:pPr>
      <w:r w:rsidRPr="004D2EE3">
        <w:rPr>
          <w:rFonts w:ascii="David" w:hAnsi="David" w:cs="David"/>
          <w:b/>
          <w:bCs/>
          <w:sz w:val="24"/>
          <w:szCs w:val="24"/>
          <w:rtl/>
        </w:rPr>
        <w:t>האישום החמישי</w:t>
      </w:r>
    </w:p>
    <w:p w14:paraId="17C8A9CD" w14:textId="77777777" w:rsidR="004F5CAB" w:rsidRPr="004D2EE3" w:rsidRDefault="004F5CAB" w:rsidP="00B61CE7">
      <w:pPr>
        <w:pStyle w:val="NoSpacing"/>
        <w:spacing w:line="360" w:lineRule="auto"/>
        <w:jc w:val="both"/>
        <w:rPr>
          <w:rFonts w:ascii="David" w:hAnsi="David" w:cs="David"/>
          <w:sz w:val="24"/>
          <w:szCs w:val="24"/>
          <w:rtl/>
        </w:rPr>
      </w:pPr>
      <w:r w:rsidRPr="004D2EE3">
        <w:rPr>
          <w:rFonts w:ascii="David" w:hAnsi="David" w:cs="David"/>
          <w:sz w:val="24"/>
          <w:szCs w:val="24"/>
          <w:rtl/>
        </w:rPr>
        <w:t>במהלך חודשי יוני 2015, בעת שנפגשו הנאשם והמתלוננת באישום זה, לפגישה אינטימית, צילם הנאשם את מהלך קיום יחסי המין ביניהם וזאת ללא הסכמתה ובאופן הפוגע בפרטיותה.</w:t>
      </w:r>
    </w:p>
    <w:p w14:paraId="0826CD6E" w14:textId="77777777" w:rsidR="004F5CAB" w:rsidRPr="004D2EE3" w:rsidRDefault="004F5CAB" w:rsidP="00756A4A">
      <w:pPr>
        <w:pStyle w:val="NoSpacing"/>
        <w:spacing w:line="360" w:lineRule="auto"/>
        <w:jc w:val="both"/>
        <w:rPr>
          <w:rFonts w:ascii="David" w:hAnsi="David" w:cs="David"/>
          <w:sz w:val="24"/>
          <w:szCs w:val="24"/>
          <w:rtl/>
        </w:rPr>
      </w:pPr>
    </w:p>
    <w:p w14:paraId="53A3B207" w14:textId="77777777" w:rsidR="004F5CAB" w:rsidRPr="004D2EE3" w:rsidRDefault="004F5CAB" w:rsidP="00A61CB4">
      <w:pPr>
        <w:pStyle w:val="NoSpacing"/>
        <w:spacing w:line="360" w:lineRule="auto"/>
        <w:jc w:val="both"/>
        <w:rPr>
          <w:rFonts w:ascii="David" w:hAnsi="David" w:cs="David"/>
          <w:b/>
          <w:bCs/>
          <w:sz w:val="24"/>
          <w:szCs w:val="24"/>
          <w:rtl/>
        </w:rPr>
      </w:pPr>
      <w:r w:rsidRPr="004D2EE3">
        <w:rPr>
          <w:rFonts w:ascii="David" w:hAnsi="David" w:cs="David"/>
          <w:b/>
          <w:bCs/>
          <w:sz w:val="24"/>
          <w:szCs w:val="24"/>
          <w:rtl/>
        </w:rPr>
        <w:t xml:space="preserve">באישום זה הורשע הנאשם בביצוע עבירה של פגיעה בפרטיות.  </w:t>
      </w:r>
    </w:p>
    <w:p w14:paraId="49F191CE" w14:textId="77777777" w:rsidR="004F5CAB" w:rsidRPr="004D2EE3" w:rsidRDefault="004F5CAB" w:rsidP="00756A4A">
      <w:pPr>
        <w:pStyle w:val="NoSpacing"/>
        <w:spacing w:line="360" w:lineRule="auto"/>
        <w:jc w:val="both"/>
        <w:rPr>
          <w:rFonts w:ascii="David" w:hAnsi="David" w:cs="David"/>
          <w:b/>
          <w:bCs/>
          <w:sz w:val="24"/>
          <w:szCs w:val="24"/>
          <w:rtl/>
        </w:rPr>
      </w:pPr>
    </w:p>
    <w:p w14:paraId="53736ED1" w14:textId="77777777" w:rsidR="004F5CAB" w:rsidRPr="004D2EE3" w:rsidRDefault="004F5CAB" w:rsidP="00756A4A">
      <w:pPr>
        <w:pStyle w:val="NoSpacing"/>
        <w:spacing w:line="360" w:lineRule="auto"/>
        <w:jc w:val="both"/>
        <w:rPr>
          <w:rFonts w:ascii="David" w:hAnsi="David" w:cs="David"/>
          <w:b/>
          <w:bCs/>
          <w:sz w:val="24"/>
          <w:szCs w:val="24"/>
          <w:rtl/>
        </w:rPr>
      </w:pPr>
    </w:p>
    <w:p w14:paraId="0E6F1FBF" w14:textId="77777777" w:rsidR="004F5CAB" w:rsidRPr="004D2EE3" w:rsidRDefault="004F5CAB" w:rsidP="002524E4">
      <w:pPr>
        <w:pStyle w:val="NoSpacing"/>
        <w:spacing w:line="360" w:lineRule="auto"/>
        <w:jc w:val="both"/>
        <w:rPr>
          <w:rFonts w:ascii="David" w:hAnsi="David" w:cs="David"/>
          <w:b/>
          <w:bCs/>
          <w:sz w:val="24"/>
          <w:szCs w:val="24"/>
          <w:rtl/>
        </w:rPr>
      </w:pPr>
      <w:r w:rsidRPr="004D2EE3">
        <w:rPr>
          <w:rFonts w:ascii="David" w:hAnsi="David" w:cs="David"/>
          <w:b/>
          <w:bCs/>
          <w:sz w:val="24"/>
          <w:szCs w:val="24"/>
          <w:rtl/>
        </w:rPr>
        <w:t>ראייה מדעית חדשה</w:t>
      </w:r>
    </w:p>
    <w:p w14:paraId="5821915E" w14:textId="77777777" w:rsidR="004F5CAB" w:rsidRPr="004D2EE3" w:rsidRDefault="004F5CAB" w:rsidP="00B61CE7">
      <w:pPr>
        <w:pStyle w:val="NoSpacing"/>
        <w:spacing w:line="360" w:lineRule="auto"/>
        <w:jc w:val="both"/>
        <w:rPr>
          <w:rFonts w:ascii="David" w:hAnsi="David" w:cs="David"/>
          <w:sz w:val="24"/>
          <w:szCs w:val="24"/>
          <w:rtl/>
        </w:rPr>
      </w:pPr>
      <w:r w:rsidRPr="004D2EE3">
        <w:rPr>
          <w:rFonts w:ascii="David" w:hAnsi="David" w:cs="David"/>
          <w:sz w:val="24"/>
          <w:szCs w:val="24"/>
          <w:rtl/>
        </w:rPr>
        <w:t xml:space="preserve">במסגרת האישום השני, הגישה המדינה חוות דעת מדעית, שבדקה דגימה של שערות, שנלקחו מהמתלוננת באישום זה, לצורך גילוי שרידי "סם אונס". חוות דעת זו נערכה על ידי פרופ' פרנקו טליארו מאיטליה.  בית המשפט קיבל, כראייה מדעית, </w:t>
      </w:r>
      <w:r w:rsidRPr="004D2EE3">
        <w:rPr>
          <w:rFonts w:ascii="David" w:hAnsi="David" w:cs="David"/>
          <w:noProof/>
          <w:sz w:val="24"/>
          <w:szCs w:val="24"/>
          <w:rtl/>
        </w:rPr>
        <w:t>שטרם עמדה לדיון בהליך פלילי בישראל,</w:t>
      </w:r>
      <w:r w:rsidRPr="004D2EE3">
        <w:rPr>
          <w:rFonts w:ascii="David" w:hAnsi="David" w:cs="David"/>
          <w:sz w:val="24"/>
          <w:szCs w:val="24"/>
          <w:rtl/>
        </w:rPr>
        <w:t xml:space="preserve"> את חוות הדעת של בדיקת שרידי הסם בשיער. ובהרחבה:</w:t>
      </w:r>
    </w:p>
    <w:p w14:paraId="1AD298B8" w14:textId="77777777" w:rsidR="004F5CAB" w:rsidRPr="004D2EE3" w:rsidRDefault="004F5CAB" w:rsidP="00B61CE7">
      <w:pPr>
        <w:pStyle w:val="NoSpacing"/>
        <w:spacing w:line="360" w:lineRule="auto"/>
        <w:jc w:val="both"/>
        <w:rPr>
          <w:rFonts w:ascii="David" w:hAnsi="David" w:cs="David"/>
          <w:sz w:val="24"/>
          <w:szCs w:val="24"/>
          <w:rtl/>
        </w:rPr>
      </w:pPr>
    </w:p>
    <w:p w14:paraId="1C398EF5" w14:textId="77777777" w:rsidR="004F5CAB" w:rsidRPr="004D2EE3" w:rsidRDefault="004F5CAB" w:rsidP="00AB0DDF">
      <w:pPr>
        <w:spacing w:line="360" w:lineRule="auto"/>
        <w:jc w:val="both"/>
        <w:rPr>
          <w:rFonts w:ascii="David" w:hAnsi="David" w:cs="David"/>
          <w:noProof/>
          <w:sz w:val="24"/>
          <w:szCs w:val="24"/>
          <w:rtl/>
        </w:rPr>
      </w:pPr>
      <w:r w:rsidRPr="004D2EE3">
        <w:rPr>
          <w:rFonts w:ascii="David" w:hAnsi="David" w:cs="David"/>
          <w:noProof/>
          <w:sz w:val="24"/>
          <w:szCs w:val="24"/>
          <w:rtl/>
        </w:rPr>
        <w:lastRenderedPageBreak/>
        <w:t>המאשימה העידה מטעמה במסגרת האישום השני את פרופ' פרנקו טליארו, אשר בדק את השיער של המתלוננת וערך חוות דעת מקצועית, שממצאיה מלמדים כי המתלוננת נחשפה לסם מסוג פלוניטרזפאם בתקופה שבין תחילת אוקטובר עד אמצע נובמבר , 2016.</w:t>
      </w:r>
    </w:p>
    <w:p w14:paraId="672E04C0" w14:textId="77777777" w:rsidR="004F5CAB" w:rsidRPr="004D2EE3" w:rsidRDefault="004F5CAB" w:rsidP="008939F3">
      <w:pPr>
        <w:spacing w:line="360" w:lineRule="auto"/>
        <w:jc w:val="both"/>
        <w:rPr>
          <w:rFonts w:ascii="David" w:hAnsi="David" w:cs="David"/>
          <w:noProof/>
          <w:sz w:val="24"/>
          <w:szCs w:val="24"/>
          <w:rtl/>
        </w:rPr>
      </w:pPr>
      <w:r w:rsidRPr="004D2EE3">
        <w:rPr>
          <w:rFonts w:ascii="David" w:hAnsi="David" w:cs="David"/>
          <w:sz w:val="24"/>
          <w:szCs w:val="24"/>
          <w:rtl/>
        </w:rPr>
        <w:t xml:space="preserve">בית המשפט קבע כי המדובר </w:t>
      </w:r>
      <w:r w:rsidRPr="004D2EE3">
        <w:rPr>
          <w:rFonts w:ascii="David" w:hAnsi="David" w:cs="David"/>
          <w:b/>
          <w:bCs/>
          <w:sz w:val="24"/>
          <w:szCs w:val="24"/>
          <w:rtl/>
        </w:rPr>
        <w:t>בראיה מדעית חדשה</w:t>
      </w:r>
      <w:r w:rsidRPr="004D2EE3">
        <w:rPr>
          <w:rFonts w:ascii="David" w:hAnsi="David" w:cs="David"/>
          <w:sz w:val="24"/>
          <w:szCs w:val="24"/>
          <w:rtl/>
        </w:rPr>
        <w:t xml:space="preserve"> שניתן לקבל למשפט הישראלי לאחר שקבע כי היא עומדת במבחנים שהתוו בפסיקה</w:t>
      </w:r>
      <w:r w:rsidRPr="004D2EE3">
        <w:rPr>
          <w:rFonts w:ascii="David" w:hAnsi="David" w:cs="David"/>
          <w:noProof/>
          <w:sz w:val="24"/>
          <w:szCs w:val="24"/>
          <w:rtl/>
        </w:rPr>
        <w:t xml:space="preserve"> בהרחבה ב</w:t>
      </w:r>
      <w:hyperlink r:id="rId32" w:history="1">
        <w:r w:rsidR="004D2EE3" w:rsidRPr="004D2EE3">
          <w:rPr>
            <w:rFonts w:ascii="David" w:hAnsi="David" w:cs="David"/>
            <w:noProof/>
            <w:color w:val="0000FF"/>
            <w:sz w:val="24"/>
            <w:szCs w:val="24"/>
            <w:u w:val="single"/>
            <w:rtl/>
          </w:rPr>
          <w:t>ע"פ 1620/10</w:t>
        </w:r>
      </w:hyperlink>
      <w:r w:rsidRPr="004D2EE3">
        <w:rPr>
          <w:rFonts w:ascii="David" w:hAnsi="David" w:cs="David"/>
          <w:noProof/>
          <w:sz w:val="24"/>
          <w:szCs w:val="24"/>
          <w:rtl/>
        </w:rPr>
        <w:t xml:space="preserve"> </w:t>
      </w:r>
      <w:r w:rsidRPr="004D2EE3">
        <w:rPr>
          <w:rFonts w:ascii="David" w:hAnsi="David" w:cs="David"/>
          <w:b/>
          <w:bCs/>
          <w:noProof/>
          <w:sz w:val="24"/>
          <w:szCs w:val="24"/>
          <w:rtl/>
        </w:rPr>
        <w:t>ניקולאי מצגורה נגד מדינת ישראל</w:t>
      </w:r>
      <w:r w:rsidRPr="004D2EE3">
        <w:rPr>
          <w:rFonts w:ascii="David" w:hAnsi="David" w:cs="David"/>
          <w:noProof/>
          <w:sz w:val="24"/>
          <w:szCs w:val="24"/>
          <w:rtl/>
        </w:rPr>
        <w:t xml:space="preserve"> </w:t>
      </w:r>
      <w:r w:rsidR="009E6DA9" w:rsidRPr="009E6DA9">
        <w:rPr>
          <w:rFonts w:ascii="Times New Roman" w:hAnsi="Times New Roman" w:cs="David"/>
          <w:noProof/>
          <w:szCs w:val="24"/>
          <w:rtl/>
        </w:rPr>
        <w:t xml:space="preserve">[פורסם בנבו] </w:t>
      </w:r>
      <w:r w:rsidRPr="004D2EE3">
        <w:rPr>
          <w:rFonts w:ascii="David" w:hAnsi="David" w:cs="David"/>
          <w:noProof/>
          <w:sz w:val="24"/>
          <w:szCs w:val="24"/>
          <w:rtl/>
        </w:rPr>
        <w:t>(3/12/2013) (להלן: "</w:t>
      </w:r>
      <w:r w:rsidRPr="004D2EE3">
        <w:rPr>
          <w:rFonts w:ascii="David" w:hAnsi="David" w:cs="David"/>
          <w:b/>
          <w:bCs/>
          <w:noProof/>
          <w:sz w:val="24"/>
          <w:szCs w:val="24"/>
          <w:rtl/>
        </w:rPr>
        <w:t>עניין מצגורה</w:t>
      </w:r>
      <w:r w:rsidRPr="004D2EE3">
        <w:rPr>
          <w:rFonts w:ascii="David" w:hAnsi="David" w:cs="David"/>
          <w:noProof/>
          <w:sz w:val="24"/>
          <w:szCs w:val="24"/>
          <w:rtl/>
        </w:rPr>
        <w:t xml:space="preserve">").  </w:t>
      </w:r>
    </w:p>
    <w:p w14:paraId="6B7918FB" w14:textId="77777777" w:rsidR="004F5CAB" w:rsidRPr="004D2EE3" w:rsidRDefault="004F5CAB" w:rsidP="00691942">
      <w:pPr>
        <w:spacing w:line="360" w:lineRule="auto"/>
        <w:jc w:val="both"/>
        <w:rPr>
          <w:rFonts w:ascii="David" w:hAnsi="David" w:cs="David"/>
          <w:b/>
          <w:bCs/>
          <w:noProof/>
          <w:sz w:val="24"/>
          <w:szCs w:val="24"/>
          <w:rtl/>
        </w:rPr>
      </w:pPr>
      <w:r w:rsidRPr="004D2EE3">
        <w:rPr>
          <w:rFonts w:ascii="David" w:hAnsi="David" w:cs="David"/>
          <w:noProof/>
          <w:sz w:val="24"/>
          <w:szCs w:val="24"/>
          <w:rtl/>
        </w:rPr>
        <w:t xml:space="preserve">בעניין מצגורה, נקבע בנוגע לראיות מדעיות, כי בתי המשפט בישראל אימצו פסקי דין, במשפט המשווה, אשר הגדירו את תפקידו של בית המשפט בהקשר של קבלת ראיות מדעיות והפנה בעיקר לשתי הלכות עיקריות בארצות הברית, האחת שנקבעה בפסק הדין </w:t>
      </w:r>
      <w:r w:rsidRPr="004D2EE3">
        <w:rPr>
          <w:rFonts w:ascii="David" w:hAnsi="David" w:cs="David"/>
          <w:b/>
          <w:bCs/>
          <w:noProof/>
          <w:sz w:val="24"/>
          <w:szCs w:val="24"/>
          <w:lang w:bidi="ar-LB"/>
        </w:rPr>
        <w:t>Frye v. United States, 54 App.D.C. 46 ( 1923)</w:t>
      </w:r>
      <w:r w:rsidRPr="004D2EE3">
        <w:rPr>
          <w:rFonts w:ascii="David" w:hAnsi="David" w:cs="David"/>
          <w:b/>
          <w:bCs/>
          <w:noProof/>
          <w:sz w:val="24"/>
          <w:szCs w:val="24"/>
          <w:rtl/>
        </w:rPr>
        <w:t xml:space="preserve"> </w:t>
      </w:r>
      <w:r w:rsidRPr="004D2EE3">
        <w:rPr>
          <w:rFonts w:ascii="David" w:hAnsi="David" w:cs="David"/>
          <w:noProof/>
          <w:sz w:val="24"/>
          <w:szCs w:val="24"/>
          <w:rtl/>
        </w:rPr>
        <w:t>(להלן: "</w:t>
      </w:r>
      <w:r w:rsidRPr="004D2EE3">
        <w:rPr>
          <w:rFonts w:ascii="David" w:hAnsi="David" w:cs="David"/>
          <w:b/>
          <w:bCs/>
          <w:noProof/>
          <w:sz w:val="24"/>
          <w:szCs w:val="24"/>
          <w:rtl/>
        </w:rPr>
        <w:t xml:space="preserve">הלכת </w:t>
      </w:r>
      <w:r w:rsidRPr="004D2EE3">
        <w:rPr>
          <w:rFonts w:ascii="David" w:hAnsi="David" w:cs="David"/>
          <w:b/>
          <w:bCs/>
          <w:noProof/>
          <w:sz w:val="24"/>
          <w:szCs w:val="24"/>
          <w:lang w:bidi="ar-LB"/>
        </w:rPr>
        <w:t>Frye</w:t>
      </w:r>
      <w:r w:rsidRPr="004D2EE3">
        <w:rPr>
          <w:rFonts w:ascii="David" w:hAnsi="David" w:cs="David"/>
          <w:noProof/>
          <w:sz w:val="24"/>
          <w:szCs w:val="24"/>
          <w:rtl/>
        </w:rPr>
        <w:t xml:space="preserve">"), אשר קבעה כי ראיה מדעית תהיה קבילה רק אם היא מקובלת ונפוצה בקהילה המדעית הרלוונטית והגדירה את תפקידו של בית המשפט לבחון האם מתקיים הסטנדרט של "המקובלות בקהילה המדעית", </w:t>
      </w:r>
      <w:r w:rsidRPr="004D2EE3">
        <w:rPr>
          <w:rFonts w:ascii="David" w:hAnsi="David" w:cs="David"/>
          <w:b/>
          <w:bCs/>
          <w:noProof/>
          <w:sz w:val="24"/>
          <w:szCs w:val="24"/>
          <w:lang w:bidi="ar-LB"/>
        </w:rPr>
        <w:t>General Acceptance</w:t>
      </w:r>
      <w:r w:rsidRPr="004D2EE3">
        <w:rPr>
          <w:rFonts w:ascii="David" w:hAnsi="David" w:cs="David"/>
          <w:noProof/>
          <w:sz w:val="24"/>
          <w:szCs w:val="24"/>
          <w:lang w:bidi="ar-LB"/>
        </w:rPr>
        <w:t>"</w:t>
      </w:r>
      <w:r w:rsidRPr="004D2EE3">
        <w:rPr>
          <w:rFonts w:ascii="David" w:hAnsi="David" w:cs="David"/>
          <w:noProof/>
          <w:sz w:val="24"/>
          <w:szCs w:val="24"/>
          <w:rtl/>
        </w:rPr>
        <w:t xml:space="preserve">" והשניה שנקבעה בפסק הדין </w:t>
      </w:r>
      <w:r w:rsidRPr="004D2EE3">
        <w:rPr>
          <w:rFonts w:ascii="David" w:hAnsi="David" w:cs="David"/>
          <w:b/>
          <w:bCs/>
          <w:noProof/>
          <w:sz w:val="24"/>
          <w:szCs w:val="24"/>
          <w:lang w:bidi="ar-LB"/>
        </w:rPr>
        <w:t>Daubert v. Merrell Dow Pharmaceutical, Inc., 509 U.S. 579 (1993)</w:t>
      </w:r>
      <w:r w:rsidRPr="004D2EE3">
        <w:rPr>
          <w:rFonts w:ascii="David" w:hAnsi="David" w:cs="David"/>
          <w:noProof/>
          <w:sz w:val="24"/>
          <w:szCs w:val="24"/>
          <w:rtl/>
        </w:rPr>
        <w:t xml:space="preserve"> (להלן: "</w:t>
      </w:r>
      <w:r w:rsidRPr="004D2EE3">
        <w:rPr>
          <w:rFonts w:ascii="David" w:hAnsi="David" w:cs="David"/>
          <w:b/>
          <w:bCs/>
          <w:noProof/>
          <w:sz w:val="24"/>
          <w:szCs w:val="24"/>
          <w:rtl/>
        </w:rPr>
        <w:t xml:space="preserve">הלכת </w:t>
      </w:r>
      <w:r w:rsidRPr="004D2EE3">
        <w:rPr>
          <w:rFonts w:ascii="David" w:hAnsi="David" w:cs="David"/>
          <w:b/>
          <w:bCs/>
          <w:noProof/>
          <w:sz w:val="24"/>
          <w:szCs w:val="24"/>
        </w:rPr>
        <w:t xml:space="preserve">Daubert </w:t>
      </w:r>
      <w:r w:rsidRPr="004D2EE3">
        <w:rPr>
          <w:rFonts w:ascii="David" w:hAnsi="David" w:cs="David"/>
          <w:noProof/>
          <w:sz w:val="24"/>
          <w:szCs w:val="24"/>
          <w:rtl/>
        </w:rPr>
        <w:t xml:space="preserve">"), אשר הוסיפה לצד מבחן המקובלות, שנקבע בהלכת </w:t>
      </w:r>
      <w:r w:rsidRPr="004D2EE3">
        <w:rPr>
          <w:rFonts w:ascii="David" w:hAnsi="David" w:cs="David"/>
          <w:noProof/>
          <w:sz w:val="24"/>
          <w:szCs w:val="24"/>
          <w:lang w:bidi="ar-LB"/>
        </w:rPr>
        <w:t>Frye</w:t>
      </w:r>
      <w:r w:rsidRPr="004D2EE3">
        <w:rPr>
          <w:rFonts w:ascii="David" w:hAnsi="David" w:cs="David"/>
          <w:noProof/>
          <w:sz w:val="24"/>
          <w:szCs w:val="24"/>
          <w:rtl/>
        </w:rPr>
        <w:t>, שני מבחנים נוספים, "מבחן הרלוונטיות ומבחן האמינות"</w:t>
      </w:r>
      <w:r w:rsidRPr="004D2EE3">
        <w:rPr>
          <w:rFonts w:ascii="David" w:hAnsi="David" w:cs="David"/>
          <w:b/>
          <w:bCs/>
          <w:noProof/>
          <w:sz w:val="24"/>
          <w:szCs w:val="24"/>
          <w:lang w:bidi="ar-LB"/>
        </w:rPr>
        <w:t>Relevance and Reliability</w:t>
      </w:r>
      <w:r w:rsidRPr="004D2EE3">
        <w:rPr>
          <w:rFonts w:ascii="David" w:hAnsi="David" w:cs="David"/>
          <w:noProof/>
          <w:sz w:val="24"/>
          <w:szCs w:val="24"/>
          <w:lang w:bidi="ar-LB"/>
        </w:rPr>
        <w:t xml:space="preserve">" </w:t>
      </w:r>
      <w:r w:rsidRPr="004D2EE3">
        <w:rPr>
          <w:rFonts w:ascii="David" w:hAnsi="David" w:cs="David"/>
          <w:noProof/>
          <w:sz w:val="24"/>
          <w:szCs w:val="24"/>
          <w:rtl/>
        </w:rPr>
        <w:t xml:space="preserve">", לפיהם על בית המשפט לוודא שעדות המומחה רלוונטית לתיק ונשענת על  יסוד אמין ומהימן, תוך שפירטה מספר פרמטרים באשר למבחן האמינות: הראשון, האם הדיסציפלינה המדעית עליה התבסס המומחה נחשפה לביקורת עמיתים </w:t>
      </w:r>
      <w:r w:rsidRPr="004D2EE3">
        <w:rPr>
          <w:rFonts w:ascii="David" w:hAnsi="David" w:cs="David"/>
          <w:b/>
          <w:bCs/>
          <w:noProof/>
          <w:sz w:val="24"/>
          <w:szCs w:val="24"/>
          <w:lang w:bidi="ar-LB"/>
        </w:rPr>
        <w:t>"Peer Review"</w:t>
      </w:r>
      <w:r w:rsidRPr="004D2EE3">
        <w:rPr>
          <w:rFonts w:ascii="David" w:hAnsi="David" w:cs="David"/>
          <w:noProof/>
          <w:sz w:val="24"/>
          <w:szCs w:val="24"/>
          <w:rtl/>
        </w:rPr>
        <w:t>; השני, האם היא מופיעה בפרסומים מדעיים מוכרים; השלישי, האם היא מקובלת על החוקרים בדיסציפלינה הרלבנטית; הרביעי, האם יש לה שיעור טעות ידוע; החמישי, האם יש כללים ברורים ליישומה.</w:t>
      </w:r>
    </w:p>
    <w:p w14:paraId="1FC05038" w14:textId="77777777" w:rsidR="004F5CAB" w:rsidRPr="004D2EE3" w:rsidRDefault="004F5CAB" w:rsidP="00691942">
      <w:pPr>
        <w:spacing w:line="360" w:lineRule="auto"/>
        <w:jc w:val="both"/>
        <w:rPr>
          <w:rFonts w:ascii="David" w:hAnsi="David" w:cs="David"/>
          <w:noProof/>
          <w:sz w:val="24"/>
          <w:szCs w:val="24"/>
          <w:rtl/>
        </w:rPr>
      </w:pPr>
      <w:r w:rsidRPr="004D2EE3">
        <w:rPr>
          <w:rFonts w:ascii="David" w:hAnsi="David" w:cs="David"/>
          <w:noProof/>
          <w:sz w:val="24"/>
          <w:szCs w:val="24"/>
          <w:rtl/>
        </w:rPr>
        <w:t xml:space="preserve">עוד נקבע בעניין מצגורה, כי בבוא בית המשפט לקבל ראיה מדעית, עליו לשמש כשומר סף ולהכריע בין מומחים שונים. לשם כך פותחו כלי עבודה בדמות שני מבחנים  האחד, </w:t>
      </w:r>
      <w:r w:rsidRPr="004D2EE3">
        <w:rPr>
          <w:rFonts w:ascii="David" w:hAnsi="David" w:cs="David"/>
          <w:b/>
          <w:bCs/>
          <w:noProof/>
          <w:sz w:val="24"/>
          <w:szCs w:val="24"/>
          <w:rtl/>
        </w:rPr>
        <w:t>המבחן הפנימי</w:t>
      </w:r>
      <w:r w:rsidRPr="004D2EE3">
        <w:rPr>
          <w:rFonts w:ascii="David" w:hAnsi="David" w:cs="David"/>
          <w:noProof/>
          <w:sz w:val="24"/>
          <w:szCs w:val="24"/>
          <w:rtl/>
        </w:rPr>
        <w:t xml:space="preserve">, הבודק את הראיה על פי תוכנה, קרי שיטת המומחה והשלכות ההוכחה, השני, </w:t>
      </w:r>
      <w:r w:rsidRPr="004D2EE3">
        <w:rPr>
          <w:rFonts w:ascii="David" w:hAnsi="David" w:cs="David"/>
          <w:b/>
          <w:bCs/>
          <w:noProof/>
          <w:sz w:val="24"/>
          <w:szCs w:val="24"/>
          <w:rtl/>
        </w:rPr>
        <w:t>המבחן החיצוני</w:t>
      </w:r>
      <w:r w:rsidRPr="004D2EE3">
        <w:rPr>
          <w:rFonts w:ascii="David" w:hAnsi="David" w:cs="David"/>
          <w:noProof/>
          <w:sz w:val="24"/>
          <w:szCs w:val="24"/>
          <w:rtl/>
        </w:rPr>
        <w:t xml:space="preserve">, המתחלק אף הוא לשניים, גישת המדע והביקורת השיפטית, קרי האם תוכן חוות הדעת נתמך על ידי עולם המדע ומהי עמדת בתי המשפט בנדון. </w:t>
      </w:r>
    </w:p>
    <w:p w14:paraId="2FD231B6" w14:textId="77777777" w:rsidR="004F5CAB" w:rsidRPr="004D2EE3" w:rsidRDefault="004F5CAB" w:rsidP="002524E4">
      <w:pPr>
        <w:pStyle w:val="NoSpacing"/>
        <w:spacing w:line="360" w:lineRule="auto"/>
        <w:jc w:val="both"/>
        <w:rPr>
          <w:rFonts w:ascii="David" w:hAnsi="David" w:cs="David"/>
          <w:b/>
          <w:bCs/>
          <w:sz w:val="24"/>
          <w:szCs w:val="24"/>
          <w:rtl/>
        </w:rPr>
      </w:pPr>
      <w:r w:rsidRPr="004D2EE3">
        <w:rPr>
          <w:rFonts w:ascii="David" w:hAnsi="David" w:cs="David"/>
          <w:b/>
          <w:bCs/>
          <w:sz w:val="24"/>
          <w:szCs w:val="24"/>
          <w:rtl/>
        </w:rPr>
        <w:t>המבחן הפנימי - שיטת המומחה פרופ' טליארו והשלכת ההוכחה</w:t>
      </w:r>
    </w:p>
    <w:p w14:paraId="2DC9E3E4" w14:textId="77777777" w:rsidR="004F5CAB" w:rsidRPr="004D2EE3" w:rsidRDefault="004F5CAB" w:rsidP="00691942">
      <w:pPr>
        <w:spacing w:line="360" w:lineRule="auto"/>
        <w:jc w:val="both"/>
        <w:rPr>
          <w:rFonts w:ascii="David" w:hAnsi="David" w:cs="David"/>
          <w:noProof/>
          <w:sz w:val="24"/>
          <w:szCs w:val="24"/>
          <w:rtl/>
        </w:rPr>
      </w:pPr>
      <w:r w:rsidRPr="004D2EE3">
        <w:rPr>
          <w:rFonts w:ascii="David" w:hAnsi="David" w:cs="David"/>
          <w:noProof/>
          <w:sz w:val="24"/>
          <w:szCs w:val="24"/>
          <w:rtl/>
        </w:rPr>
        <w:t>בפתח בחינת המבחן הפנימי ציין בית המשפט כי פרופ' טליארו הגיש את חוות דעתו וכן עלה על דוכן העדים. הוא נחקר ארוכות, השיב לכל השאלות המדעיות שהופנו אליו בהרחבה והוא הותיר בפני בית המשפט רושם אמין. בפתח עדותו הבהיר העד כי הינו רופא בעל פוסט דוקטורט בכימיה קלינית, ביו כימיה ופוסט דוקטראט נוסף, ברפואה פורנזית וכן פרופסור מן המניין באוניברסיטת ורונה באיטליה, ללימודי רפואה פורנזית. העד הוסיף כי הוא משמש גם כיועץ ל:</w:t>
      </w:r>
      <w:r w:rsidRPr="004D2EE3">
        <w:rPr>
          <w:rFonts w:ascii="David" w:hAnsi="David" w:cs="David"/>
          <w:noProof/>
          <w:sz w:val="24"/>
          <w:szCs w:val="24"/>
        </w:rPr>
        <w:t xml:space="preserve"> United Nations Office on Drugs and Crime</w:t>
      </w:r>
      <w:r w:rsidRPr="004D2EE3">
        <w:rPr>
          <w:rFonts w:ascii="David" w:hAnsi="David" w:cs="David"/>
          <w:noProof/>
          <w:sz w:val="24"/>
          <w:szCs w:val="24"/>
          <w:rtl/>
        </w:rPr>
        <w:t xml:space="preserve"> (</w:t>
      </w:r>
      <w:r w:rsidRPr="004D2EE3">
        <w:rPr>
          <w:rFonts w:ascii="David" w:hAnsi="David" w:cs="David"/>
          <w:noProof/>
          <w:sz w:val="24"/>
          <w:szCs w:val="24"/>
        </w:rPr>
        <w:t>UNODC</w:t>
      </w:r>
      <w:r w:rsidRPr="004D2EE3">
        <w:rPr>
          <w:rFonts w:ascii="David" w:hAnsi="David" w:cs="David"/>
          <w:noProof/>
          <w:sz w:val="24"/>
          <w:szCs w:val="24"/>
          <w:rtl/>
        </w:rPr>
        <w:t>), באו"ם והוא ניסח עבורם את ספר ההוראות לבדיקות הטוקסיקולוגיות.</w:t>
      </w:r>
    </w:p>
    <w:p w14:paraId="35387453" w14:textId="77777777" w:rsidR="004F5CAB" w:rsidRPr="004D2EE3" w:rsidRDefault="004F5CAB" w:rsidP="00BF6079">
      <w:pPr>
        <w:spacing w:line="360" w:lineRule="auto"/>
        <w:jc w:val="both"/>
        <w:rPr>
          <w:rFonts w:ascii="David" w:hAnsi="David" w:cs="David"/>
          <w:sz w:val="24"/>
          <w:szCs w:val="24"/>
          <w:rtl/>
        </w:rPr>
      </w:pPr>
      <w:r w:rsidRPr="004D2EE3">
        <w:rPr>
          <w:rFonts w:ascii="David" w:hAnsi="David" w:cs="David"/>
          <w:sz w:val="24"/>
          <w:szCs w:val="24"/>
          <w:rtl/>
        </w:rPr>
        <w:t>ואלה קביעות בית המשפט.</w:t>
      </w:r>
    </w:p>
    <w:p w14:paraId="51D36D77" w14:textId="77777777" w:rsidR="004F5CAB" w:rsidRPr="004D2EE3" w:rsidRDefault="004F5CAB" w:rsidP="002524E4">
      <w:pPr>
        <w:pStyle w:val="NoSpacing"/>
        <w:spacing w:line="360" w:lineRule="auto"/>
        <w:jc w:val="both"/>
        <w:rPr>
          <w:rFonts w:ascii="David" w:hAnsi="David" w:cs="David"/>
          <w:b/>
          <w:bCs/>
          <w:sz w:val="24"/>
          <w:szCs w:val="24"/>
          <w:rtl/>
        </w:rPr>
      </w:pPr>
      <w:r w:rsidRPr="004D2EE3">
        <w:rPr>
          <w:rFonts w:ascii="David" w:hAnsi="David" w:cs="David"/>
          <w:b/>
          <w:bCs/>
          <w:sz w:val="24"/>
          <w:szCs w:val="24"/>
          <w:rtl/>
        </w:rPr>
        <w:t xml:space="preserve">שיטת המומחה והשלכות ההוכחה </w:t>
      </w:r>
    </w:p>
    <w:p w14:paraId="371B5BDA" w14:textId="77777777" w:rsidR="004F5CAB" w:rsidRPr="004D2EE3" w:rsidRDefault="004F5CAB" w:rsidP="009419DE">
      <w:pPr>
        <w:spacing w:line="360" w:lineRule="auto"/>
        <w:jc w:val="both"/>
        <w:rPr>
          <w:rFonts w:ascii="David" w:hAnsi="David" w:cs="David"/>
          <w:noProof/>
          <w:sz w:val="24"/>
          <w:szCs w:val="24"/>
          <w:rtl/>
        </w:rPr>
      </w:pPr>
      <w:r w:rsidRPr="004D2EE3">
        <w:rPr>
          <w:rFonts w:ascii="David" w:hAnsi="David" w:cs="David"/>
          <w:noProof/>
          <w:sz w:val="24"/>
          <w:szCs w:val="24"/>
          <w:rtl/>
        </w:rPr>
        <w:t xml:space="preserve">עיון בחוות הדעת שערך פרופ' טליארו מלמד כי הוא נתבקש לבצע בדיקה טוקסקולוגית על דגימות השיער שנאספו מהמתלוננת וכי קווצות השיער שקיבל נבדקו בשיטת </w:t>
      </w:r>
      <w:r w:rsidRPr="004D2EE3">
        <w:rPr>
          <w:rFonts w:ascii="David" w:hAnsi="David" w:cs="David"/>
          <w:noProof/>
          <w:sz w:val="24"/>
          <w:szCs w:val="24"/>
        </w:rPr>
        <w:t xml:space="preserve"> LC-MS/MS </w:t>
      </w:r>
      <w:r w:rsidRPr="004D2EE3">
        <w:rPr>
          <w:rFonts w:ascii="David" w:hAnsi="David" w:cs="David"/>
          <w:noProof/>
          <w:sz w:val="24"/>
          <w:szCs w:val="24"/>
          <w:rtl/>
        </w:rPr>
        <w:t xml:space="preserve"> . בית המשפט נכנס לתוככי חוות הדעת וציין כי פרופ' טליארו הרחיב והבהיר בחוות דעתו כי עובדה ידועה היא שישנה נקודת חולשה מובנית בבדיקות לגילוי סמים בנוזלים ביולוגיים, כגון שתן ודם כתוצאה מחלון הגילוי המוגבל- החל משעות ועד ימים אחדים- ושכיחות תוצרי הפירוק- מטבוליטים- לעומת הסם ההורה. אי לכך, הוסיף פרופ' טליארו והבהיר כי, בשלהי שנות השבעים דווח לראשונה כי שיער הינו חומר מתאים לבדיקות טוקסולוגיות בסקירה לאחור ומאז, דווח על מספר ישומים ושיטות אנליטיות חדשניות לצורך גילוי ומדידה של חומרים רבים הנמצאים בשיער, וכיום נחשבות בדיקות השיער לאמצעי היעיל ביותר לבחינת ההיסטוריה הקשורה בהמצאות סמים במיוחד כאשר תקופת השימוש הנדרשת לבדיקה משתרעת מימים רבים או אפילו חודשים טרם מועד איסוף הדגימות. </w:t>
      </w:r>
    </w:p>
    <w:p w14:paraId="2F9F8A12" w14:textId="77777777" w:rsidR="004F5CAB" w:rsidRPr="004D2EE3" w:rsidRDefault="004F5CAB" w:rsidP="00FF4BC5">
      <w:pPr>
        <w:spacing w:line="360" w:lineRule="auto"/>
        <w:jc w:val="both"/>
        <w:rPr>
          <w:rFonts w:ascii="David" w:hAnsi="David" w:cs="David"/>
          <w:noProof/>
          <w:sz w:val="24"/>
          <w:szCs w:val="24"/>
          <w:rtl/>
        </w:rPr>
      </w:pPr>
      <w:r w:rsidRPr="004D2EE3">
        <w:rPr>
          <w:rFonts w:ascii="David" w:hAnsi="David" w:cs="David"/>
          <w:noProof/>
          <w:sz w:val="24"/>
          <w:szCs w:val="24"/>
          <w:rtl/>
        </w:rPr>
        <w:t xml:space="preserve">ככלל, שערה הינה תוספת המכילה קראטין וצומחת משורש הנמצא בנקבובית העור הנקרא זקיקים כאשר שיער רגיל צומח בסדרה של שלושה שלבים, גדילה, סיום ומנוחה. התאים באזור שורש השערה נמצאים במצב פעיל של גדילה בעוד שבקנה השערה חילוף החומרים הולך ונפסק. בשלב הסיום, הפעילות המטבולית של שורש השערה מואט ובשלב המנוחה, הצמיחה נפסקת ולבסוף השיער נושר. קצב הצמיחה הכולל משתרע בטווח של 0.7 -1.5 ס"מ לחודש. </w:t>
      </w:r>
    </w:p>
    <w:p w14:paraId="1680A025" w14:textId="77777777" w:rsidR="004F5CAB" w:rsidRPr="004D2EE3" w:rsidRDefault="004F5CAB" w:rsidP="00FF4BC5">
      <w:pPr>
        <w:spacing w:line="360" w:lineRule="auto"/>
        <w:jc w:val="both"/>
        <w:rPr>
          <w:rFonts w:ascii="David" w:hAnsi="David" w:cs="David"/>
          <w:noProof/>
          <w:sz w:val="24"/>
          <w:szCs w:val="24"/>
          <w:rtl/>
        </w:rPr>
      </w:pPr>
      <w:r w:rsidRPr="004D2EE3">
        <w:rPr>
          <w:rFonts w:ascii="David" w:hAnsi="David" w:cs="David"/>
          <w:noProof/>
          <w:sz w:val="24"/>
          <w:szCs w:val="24"/>
          <w:rtl/>
        </w:rPr>
        <w:t xml:space="preserve">בדיקות השיער מיועדות, בדרך כלל, לקבוע באם הנבדק השתמש או נחשף לסמים, לזהות את הסמים בהם נעשה שימוש, להבדיל בין שימוש חד-פעמי, עיתי, חוזר ונשנה או כרוני וכן לזהות משך הזמן בו הסם נצרך. </w:t>
      </w:r>
    </w:p>
    <w:p w14:paraId="5F8C697B" w14:textId="77777777" w:rsidR="004F5CAB" w:rsidRPr="004D2EE3" w:rsidRDefault="004F5CAB" w:rsidP="00F80FA1">
      <w:pPr>
        <w:spacing w:line="360" w:lineRule="auto"/>
        <w:jc w:val="both"/>
        <w:rPr>
          <w:rFonts w:ascii="David" w:hAnsi="David" w:cs="David"/>
          <w:noProof/>
          <w:sz w:val="24"/>
          <w:szCs w:val="24"/>
          <w:rtl/>
        </w:rPr>
      </w:pPr>
      <w:r w:rsidRPr="004D2EE3">
        <w:rPr>
          <w:rFonts w:ascii="David" w:hAnsi="David" w:cs="David"/>
          <w:noProof/>
          <w:sz w:val="24"/>
          <w:szCs w:val="24"/>
          <w:rtl/>
        </w:rPr>
        <w:t>בית המשפט פירט את התוצאות של הבדיקה שערך המומחה, כפי שהובאו בחוות דעתו:</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76"/>
        <w:gridCol w:w="1843"/>
        <w:gridCol w:w="2268"/>
        <w:gridCol w:w="2409"/>
      </w:tblGrid>
      <w:tr w:rsidR="004F5CAB" w:rsidRPr="004D2EE3" w14:paraId="71E0B9FD" w14:textId="77777777" w:rsidTr="00DD43F6">
        <w:tc>
          <w:tcPr>
            <w:tcW w:w="1776" w:type="dxa"/>
          </w:tcPr>
          <w:p w14:paraId="28B77CCF"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מקטע מס' 3</w:t>
            </w:r>
          </w:p>
          <w:p w14:paraId="223BE4F9"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מ-2.5 ס"מ ועד 4 ס"מ</w:t>
            </w:r>
          </w:p>
        </w:tc>
        <w:tc>
          <w:tcPr>
            <w:tcW w:w="1843" w:type="dxa"/>
          </w:tcPr>
          <w:p w14:paraId="6ECBDAC7"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מקטע מס' 2</w:t>
            </w:r>
          </w:p>
          <w:p w14:paraId="1D94F896"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מ- 1 ס"מ ועד 2.5 ס"מ</w:t>
            </w:r>
          </w:p>
        </w:tc>
        <w:tc>
          <w:tcPr>
            <w:tcW w:w="2268" w:type="dxa"/>
          </w:tcPr>
          <w:p w14:paraId="7711425E"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מקטע מס' 1 מהקצה ועד 1 ס"מ</w:t>
            </w:r>
          </w:p>
        </w:tc>
        <w:tc>
          <w:tcPr>
            <w:tcW w:w="2409" w:type="dxa"/>
          </w:tcPr>
          <w:p w14:paraId="6C2C12F9"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חומר נבדק</w:t>
            </w:r>
          </w:p>
        </w:tc>
      </w:tr>
      <w:tr w:rsidR="004F5CAB" w:rsidRPr="004D2EE3" w14:paraId="2EBBB3D4" w14:textId="77777777" w:rsidTr="00DD43F6">
        <w:tc>
          <w:tcPr>
            <w:tcW w:w="1776" w:type="dxa"/>
          </w:tcPr>
          <w:p w14:paraId="554C0F87" w14:textId="77777777" w:rsidR="004F5CAB" w:rsidRPr="004D2EE3" w:rsidRDefault="004F5CAB" w:rsidP="00DD43F6">
            <w:pPr>
              <w:spacing w:after="0" w:line="240" w:lineRule="auto"/>
              <w:jc w:val="center"/>
              <w:rPr>
                <w:rFonts w:ascii="David" w:hAnsi="David" w:cs="David"/>
                <w:noProof/>
                <w:sz w:val="24"/>
                <w:szCs w:val="24"/>
                <w:rtl/>
              </w:rPr>
            </w:pPr>
            <w:r w:rsidRPr="004D2EE3">
              <w:rPr>
                <w:rFonts w:ascii="David" w:hAnsi="David" w:cs="David"/>
                <w:noProof/>
                <w:sz w:val="24"/>
                <w:szCs w:val="24"/>
                <w:rtl/>
              </w:rPr>
              <w:t>שלילי</w:t>
            </w:r>
          </w:p>
        </w:tc>
        <w:tc>
          <w:tcPr>
            <w:tcW w:w="1843" w:type="dxa"/>
          </w:tcPr>
          <w:p w14:paraId="61FC882E"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30013A42"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3A24BEE2"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Alprazolam</w:t>
            </w:r>
          </w:p>
        </w:tc>
      </w:tr>
      <w:tr w:rsidR="004F5CAB" w:rsidRPr="004D2EE3" w14:paraId="7A155487" w14:textId="77777777" w:rsidTr="00DD43F6">
        <w:tc>
          <w:tcPr>
            <w:tcW w:w="1776" w:type="dxa"/>
          </w:tcPr>
          <w:p w14:paraId="71EE89AE"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6724C4DB"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08A0EE16"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20DA8462"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rPr>
              <w:t>B</w:t>
            </w:r>
            <w:r w:rsidRPr="004D2EE3">
              <w:rPr>
                <w:rFonts w:ascii="David" w:hAnsi="David" w:cs="David"/>
                <w:noProof/>
                <w:sz w:val="24"/>
                <w:szCs w:val="24"/>
                <w:lang w:bidi="ar-LB"/>
              </w:rPr>
              <w:t>romazepam</w:t>
            </w:r>
          </w:p>
        </w:tc>
      </w:tr>
      <w:tr w:rsidR="004F5CAB" w:rsidRPr="004D2EE3" w14:paraId="35135FB4" w14:textId="77777777" w:rsidTr="00DD43F6">
        <w:tc>
          <w:tcPr>
            <w:tcW w:w="1776" w:type="dxa"/>
          </w:tcPr>
          <w:p w14:paraId="1F58B056"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28719F4C"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29F8E819"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4CECD77B"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Clonazepam</w:t>
            </w:r>
          </w:p>
        </w:tc>
      </w:tr>
      <w:tr w:rsidR="004F5CAB" w:rsidRPr="004D2EE3" w14:paraId="7C1A2BD4" w14:textId="77777777" w:rsidTr="00DD43F6">
        <w:tc>
          <w:tcPr>
            <w:tcW w:w="1776" w:type="dxa"/>
          </w:tcPr>
          <w:p w14:paraId="434B43F3"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397A86A9"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2C8CE2E1"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33E89147"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7-aminoclonazepam</w:t>
            </w:r>
          </w:p>
        </w:tc>
      </w:tr>
      <w:tr w:rsidR="004F5CAB" w:rsidRPr="004D2EE3" w14:paraId="2202F3A2" w14:textId="77777777" w:rsidTr="00DD43F6">
        <w:tc>
          <w:tcPr>
            <w:tcW w:w="1776" w:type="dxa"/>
          </w:tcPr>
          <w:p w14:paraId="13105875"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751E3E77"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244F63C0"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14B294CB"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Delorazepam</w:t>
            </w:r>
          </w:p>
        </w:tc>
      </w:tr>
      <w:tr w:rsidR="004F5CAB" w:rsidRPr="004D2EE3" w14:paraId="521F6949" w14:textId="77777777" w:rsidTr="00DD43F6">
        <w:tc>
          <w:tcPr>
            <w:tcW w:w="1776" w:type="dxa"/>
          </w:tcPr>
          <w:p w14:paraId="6649570E"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269D9FAF"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0803D01F"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1553FD0C" w14:textId="77777777" w:rsidR="004F5CAB" w:rsidRPr="004D2EE3" w:rsidRDefault="004F5CAB" w:rsidP="00DD43F6">
            <w:pPr>
              <w:bidi w:val="0"/>
              <w:spacing w:after="0" w:line="240" w:lineRule="auto"/>
              <w:jc w:val="right"/>
              <w:rPr>
                <w:rFonts w:ascii="David" w:hAnsi="David" w:cs="David"/>
                <w:noProof/>
                <w:sz w:val="24"/>
                <w:szCs w:val="24"/>
                <w:rtl/>
                <w:lang w:bidi="ar-LB"/>
              </w:rPr>
            </w:pPr>
            <w:r w:rsidRPr="004D2EE3">
              <w:rPr>
                <w:rFonts w:ascii="David" w:hAnsi="David" w:cs="David"/>
                <w:noProof/>
                <w:sz w:val="24"/>
                <w:szCs w:val="24"/>
                <w:lang w:bidi="ar-LB"/>
              </w:rPr>
              <w:t>Diazepam</w:t>
            </w:r>
          </w:p>
        </w:tc>
      </w:tr>
      <w:tr w:rsidR="004F5CAB" w:rsidRPr="004D2EE3" w14:paraId="3F4C7C61" w14:textId="77777777" w:rsidTr="00DD43F6">
        <w:tc>
          <w:tcPr>
            <w:tcW w:w="1776" w:type="dxa"/>
          </w:tcPr>
          <w:p w14:paraId="1A16EAA4"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7C34563D"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עקבות</w:t>
            </w:r>
          </w:p>
        </w:tc>
        <w:tc>
          <w:tcPr>
            <w:tcW w:w="2268" w:type="dxa"/>
          </w:tcPr>
          <w:p w14:paraId="7EDD58FE" w14:textId="77777777" w:rsidR="004F5CAB" w:rsidRPr="004D2EE3" w:rsidRDefault="004F5CAB" w:rsidP="00DD43F6">
            <w:pPr>
              <w:spacing w:after="0" w:line="240" w:lineRule="auto"/>
              <w:jc w:val="center"/>
              <w:rPr>
                <w:rFonts w:ascii="David" w:hAnsi="David" w:cs="David"/>
                <w:noProof/>
                <w:sz w:val="24"/>
                <w:szCs w:val="24"/>
                <w:rtl/>
              </w:rPr>
            </w:pPr>
            <w:r w:rsidRPr="004D2EE3">
              <w:rPr>
                <w:rFonts w:ascii="David" w:hAnsi="David" w:cs="David"/>
                <w:noProof/>
                <w:sz w:val="24"/>
                <w:szCs w:val="24"/>
                <w:rtl/>
              </w:rPr>
              <w:t>שלילי</w:t>
            </w:r>
          </w:p>
        </w:tc>
        <w:tc>
          <w:tcPr>
            <w:tcW w:w="2409" w:type="dxa"/>
          </w:tcPr>
          <w:p w14:paraId="0CAC0BC7"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Flunitrazepam</w:t>
            </w:r>
          </w:p>
        </w:tc>
      </w:tr>
      <w:tr w:rsidR="004F5CAB" w:rsidRPr="004D2EE3" w14:paraId="2D22AFC1" w14:textId="77777777" w:rsidTr="00DD43F6">
        <w:tc>
          <w:tcPr>
            <w:tcW w:w="1776" w:type="dxa"/>
          </w:tcPr>
          <w:p w14:paraId="744C59B8"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301AE8CC"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עקבות</w:t>
            </w:r>
          </w:p>
        </w:tc>
        <w:tc>
          <w:tcPr>
            <w:tcW w:w="2268" w:type="dxa"/>
          </w:tcPr>
          <w:p w14:paraId="1361A4D1"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0.8 פיקוגרם/מיליגרם</w:t>
            </w:r>
          </w:p>
        </w:tc>
        <w:tc>
          <w:tcPr>
            <w:tcW w:w="2409" w:type="dxa"/>
          </w:tcPr>
          <w:p w14:paraId="23FC9D13"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7-aminoflunitrazepam</w:t>
            </w:r>
          </w:p>
        </w:tc>
      </w:tr>
      <w:tr w:rsidR="004F5CAB" w:rsidRPr="004D2EE3" w14:paraId="419D7AF3" w14:textId="77777777" w:rsidTr="00DD43F6">
        <w:tc>
          <w:tcPr>
            <w:tcW w:w="1776" w:type="dxa"/>
          </w:tcPr>
          <w:p w14:paraId="26BD4E64"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47750C8C"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706F35DE"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75726BC6"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Lorazepam</w:t>
            </w:r>
          </w:p>
        </w:tc>
      </w:tr>
      <w:tr w:rsidR="004F5CAB" w:rsidRPr="004D2EE3" w14:paraId="71D71F0E" w14:textId="77777777" w:rsidTr="00DD43F6">
        <w:tc>
          <w:tcPr>
            <w:tcW w:w="1776" w:type="dxa"/>
          </w:tcPr>
          <w:p w14:paraId="51828508"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17366C0F"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1DDC415C"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25C42BF5"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Lormetazepam</w:t>
            </w:r>
          </w:p>
        </w:tc>
      </w:tr>
      <w:tr w:rsidR="004F5CAB" w:rsidRPr="004D2EE3" w14:paraId="52A40C57" w14:textId="77777777" w:rsidTr="00DD43F6">
        <w:tc>
          <w:tcPr>
            <w:tcW w:w="1776" w:type="dxa"/>
          </w:tcPr>
          <w:p w14:paraId="64CF601C"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02A6EE1D"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59097D24"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5C12A72B"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Nitrazepam</w:t>
            </w:r>
          </w:p>
        </w:tc>
      </w:tr>
      <w:tr w:rsidR="004F5CAB" w:rsidRPr="004D2EE3" w14:paraId="454482D1" w14:textId="77777777" w:rsidTr="00DD43F6">
        <w:tc>
          <w:tcPr>
            <w:tcW w:w="1776" w:type="dxa"/>
          </w:tcPr>
          <w:p w14:paraId="7A7A38C6"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3DE0F599"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7A3AB72F"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399286A7"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Nordiazepam</w:t>
            </w:r>
          </w:p>
        </w:tc>
      </w:tr>
      <w:tr w:rsidR="004F5CAB" w:rsidRPr="004D2EE3" w14:paraId="04CFDFB7" w14:textId="77777777" w:rsidTr="00DD43F6">
        <w:tc>
          <w:tcPr>
            <w:tcW w:w="1776" w:type="dxa"/>
          </w:tcPr>
          <w:p w14:paraId="705B7712"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7FF3E3FF"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4A7EB495"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17.4</w:t>
            </w:r>
          </w:p>
        </w:tc>
        <w:tc>
          <w:tcPr>
            <w:tcW w:w="2409" w:type="dxa"/>
          </w:tcPr>
          <w:p w14:paraId="79E29736"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Oxazepam</w:t>
            </w:r>
          </w:p>
        </w:tc>
      </w:tr>
      <w:tr w:rsidR="004F5CAB" w:rsidRPr="004D2EE3" w14:paraId="47115447" w14:textId="77777777" w:rsidTr="00DD43F6">
        <w:tc>
          <w:tcPr>
            <w:tcW w:w="1776" w:type="dxa"/>
          </w:tcPr>
          <w:p w14:paraId="35C634F1"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0FE9C3A4"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16032600"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11D5830D"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Temazepam</w:t>
            </w:r>
          </w:p>
        </w:tc>
      </w:tr>
      <w:tr w:rsidR="004F5CAB" w:rsidRPr="004D2EE3" w14:paraId="663BFA4B" w14:textId="77777777" w:rsidTr="00DD43F6">
        <w:tc>
          <w:tcPr>
            <w:tcW w:w="1776" w:type="dxa"/>
          </w:tcPr>
          <w:p w14:paraId="7EDAF75D"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1843" w:type="dxa"/>
          </w:tcPr>
          <w:p w14:paraId="3150A73E"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268" w:type="dxa"/>
          </w:tcPr>
          <w:p w14:paraId="7E2CC41F" w14:textId="77777777" w:rsidR="004F5CAB" w:rsidRPr="004D2EE3" w:rsidRDefault="004F5CAB" w:rsidP="00DD43F6">
            <w:pPr>
              <w:spacing w:after="0" w:line="240" w:lineRule="auto"/>
              <w:jc w:val="center"/>
              <w:rPr>
                <w:rFonts w:ascii="David" w:hAnsi="David" w:cs="David"/>
                <w:sz w:val="24"/>
                <w:szCs w:val="24"/>
              </w:rPr>
            </w:pPr>
            <w:r w:rsidRPr="004D2EE3">
              <w:rPr>
                <w:rFonts w:ascii="David" w:hAnsi="David" w:cs="David"/>
                <w:noProof/>
                <w:sz w:val="24"/>
                <w:szCs w:val="24"/>
                <w:rtl/>
              </w:rPr>
              <w:t>שלילי</w:t>
            </w:r>
          </w:p>
        </w:tc>
        <w:tc>
          <w:tcPr>
            <w:tcW w:w="2409" w:type="dxa"/>
          </w:tcPr>
          <w:p w14:paraId="166CC7DC" w14:textId="77777777" w:rsidR="004F5CAB" w:rsidRPr="004D2EE3" w:rsidRDefault="004F5CAB" w:rsidP="00DD43F6">
            <w:pPr>
              <w:bidi w:val="0"/>
              <w:spacing w:after="0" w:line="240" w:lineRule="auto"/>
              <w:jc w:val="right"/>
              <w:rPr>
                <w:rFonts w:ascii="David" w:hAnsi="David" w:cs="David"/>
                <w:noProof/>
                <w:sz w:val="24"/>
                <w:szCs w:val="24"/>
                <w:lang w:bidi="ar-LB"/>
              </w:rPr>
            </w:pPr>
            <w:r w:rsidRPr="004D2EE3">
              <w:rPr>
                <w:rFonts w:ascii="David" w:hAnsi="David" w:cs="David"/>
                <w:noProof/>
                <w:sz w:val="24"/>
                <w:szCs w:val="24"/>
                <w:lang w:bidi="ar-LB"/>
              </w:rPr>
              <w:t>triazolam</w:t>
            </w:r>
          </w:p>
        </w:tc>
      </w:tr>
    </w:tbl>
    <w:p w14:paraId="25FDF201" w14:textId="77777777" w:rsidR="004F5CAB" w:rsidRPr="004D2EE3" w:rsidRDefault="004F5CAB" w:rsidP="00F75011">
      <w:pPr>
        <w:spacing w:line="360" w:lineRule="auto"/>
        <w:jc w:val="both"/>
        <w:rPr>
          <w:rFonts w:ascii="David" w:hAnsi="David" w:cs="David"/>
          <w:noProof/>
          <w:sz w:val="24"/>
          <w:szCs w:val="24"/>
          <w:rtl/>
        </w:rPr>
      </w:pPr>
    </w:p>
    <w:p w14:paraId="1A39D347" w14:textId="77777777" w:rsidR="004F5CAB" w:rsidRPr="004D2EE3" w:rsidRDefault="004F5CAB" w:rsidP="00F80FA1">
      <w:pPr>
        <w:spacing w:line="360" w:lineRule="auto"/>
        <w:jc w:val="both"/>
        <w:rPr>
          <w:rFonts w:ascii="David" w:hAnsi="David" w:cs="David"/>
          <w:noProof/>
          <w:sz w:val="24"/>
          <w:szCs w:val="24"/>
          <w:rtl/>
        </w:rPr>
      </w:pPr>
      <w:r w:rsidRPr="004D2EE3">
        <w:rPr>
          <w:rFonts w:ascii="David" w:hAnsi="David" w:cs="David"/>
          <w:noProof/>
          <w:sz w:val="24"/>
          <w:szCs w:val="24"/>
          <w:rtl/>
        </w:rPr>
        <w:t xml:space="preserve">המומחה סיכם  וציין כי נוכחות של </w:t>
      </w:r>
      <w:r w:rsidRPr="004D2EE3">
        <w:rPr>
          <w:rFonts w:ascii="David" w:hAnsi="David" w:cs="David"/>
          <w:noProof/>
          <w:sz w:val="24"/>
          <w:szCs w:val="24"/>
          <w:lang w:bidi="ar-LB"/>
        </w:rPr>
        <w:t xml:space="preserve">Flunitrazepam  </w:t>
      </w:r>
      <w:r w:rsidRPr="004D2EE3">
        <w:rPr>
          <w:rFonts w:ascii="David" w:hAnsi="David" w:cs="David"/>
          <w:noProof/>
          <w:sz w:val="24"/>
          <w:szCs w:val="24"/>
          <w:rtl/>
        </w:rPr>
        <w:t xml:space="preserve"> במקטע מס'  2 והיעדרו במקטעים מס' 1 ומס' 3  ונוכחות של </w:t>
      </w:r>
      <w:r w:rsidRPr="004D2EE3">
        <w:rPr>
          <w:rFonts w:ascii="David" w:hAnsi="David" w:cs="David"/>
          <w:noProof/>
          <w:sz w:val="24"/>
          <w:szCs w:val="24"/>
          <w:lang w:bidi="ar-LB"/>
        </w:rPr>
        <w:t>7-aminoflunitrazepam</w:t>
      </w:r>
      <w:r w:rsidRPr="004D2EE3">
        <w:rPr>
          <w:rFonts w:ascii="David" w:hAnsi="David" w:cs="David"/>
          <w:noProof/>
          <w:sz w:val="24"/>
          <w:szCs w:val="24"/>
          <w:rtl/>
        </w:rPr>
        <w:t xml:space="preserve"> במקטעים מס' 1 ומס' 2 והיעדרו במקטע מס' 3 , עולות בקנה אחד עם חשד של ספיגת </w:t>
      </w:r>
      <w:r w:rsidRPr="004D2EE3">
        <w:rPr>
          <w:rFonts w:ascii="David" w:hAnsi="David" w:cs="David"/>
          <w:noProof/>
          <w:sz w:val="24"/>
          <w:szCs w:val="24"/>
          <w:lang w:bidi="ar-LB"/>
        </w:rPr>
        <w:t>Flunitrazepam</w:t>
      </w:r>
      <w:r w:rsidRPr="004D2EE3">
        <w:rPr>
          <w:rFonts w:ascii="David" w:hAnsi="David" w:cs="David"/>
          <w:noProof/>
          <w:sz w:val="24"/>
          <w:szCs w:val="24"/>
          <w:rtl/>
        </w:rPr>
        <w:t xml:space="preserve"> אפילו כמנה חד פעמית, בתקופה שבין תחילת 10/2016 לבין אמצע 11/2016.</w:t>
      </w:r>
    </w:p>
    <w:p w14:paraId="376B0623" w14:textId="77777777" w:rsidR="004F5CAB" w:rsidRPr="004D2EE3" w:rsidRDefault="004F5CAB" w:rsidP="00FF4BC5">
      <w:pPr>
        <w:spacing w:line="360" w:lineRule="auto"/>
        <w:jc w:val="both"/>
        <w:rPr>
          <w:rFonts w:ascii="David" w:hAnsi="David" w:cs="David"/>
          <w:noProof/>
          <w:sz w:val="24"/>
          <w:szCs w:val="24"/>
          <w:rtl/>
        </w:rPr>
      </w:pPr>
      <w:r w:rsidRPr="004D2EE3">
        <w:rPr>
          <w:rFonts w:ascii="David" w:hAnsi="David" w:cs="David"/>
          <w:noProof/>
          <w:sz w:val="24"/>
          <w:szCs w:val="24"/>
          <w:rtl/>
        </w:rPr>
        <w:t>בית המשפט קיבל את עדות המומחה האיטלקי אשר ציין כי, מדע זיהוי סם בשיער אינו חדש, נעשה בו שימוש בתחומים רבים והבדיקה מאושרת בקהילה העוסקת בטכנולוגיה פורנזית.</w:t>
      </w:r>
      <w:r w:rsidRPr="004D2EE3">
        <w:rPr>
          <w:rFonts w:ascii="David" w:hAnsi="David" w:cs="David"/>
          <w:noProof/>
          <w:sz w:val="24"/>
          <w:szCs w:val="24"/>
        </w:rPr>
        <w:t xml:space="preserve"> </w:t>
      </w:r>
      <w:r w:rsidRPr="004D2EE3">
        <w:rPr>
          <w:rFonts w:ascii="David" w:hAnsi="David" w:cs="David"/>
          <w:noProof/>
          <w:sz w:val="24"/>
          <w:szCs w:val="24"/>
          <w:rtl/>
        </w:rPr>
        <w:t>העד הוסיף כי הטכנולוגיה שהשתמש בה, משתמשים בה שנים רבות ותוצאותיה התקבלו בבתי המשפט במקרים רבים. באשר למכשור שנעשה בו שימוש בעת הבדיקה, ציין המומחה האיטלקי כי מכשור זה מבוסס על טכנולוגיה היברידית, כולל את החלק הכרומטוגרפי שמחובר ל-</w:t>
      </w:r>
      <w:r w:rsidRPr="004D2EE3">
        <w:rPr>
          <w:rFonts w:ascii="David" w:hAnsi="David" w:cs="David"/>
          <w:noProof/>
          <w:sz w:val="24"/>
          <w:szCs w:val="24"/>
        </w:rPr>
        <w:t>Mass Spectrometer</w:t>
      </w:r>
      <w:r w:rsidRPr="004D2EE3">
        <w:rPr>
          <w:rFonts w:ascii="David" w:hAnsi="David" w:cs="David"/>
          <w:noProof/>
          <w:sz w:val="24"/>
          <w:szCs w:val="24"/>
          <w:rtl/>
        </w:rPr>
        <w:t>. העד הבהיר כי האמינות של הבדיקה המבוצעת במעבדתו תלויה בשני גורמים, הגורם הראשון הינו האמינות האנליטית והגורם השני, הינו האמינות של הפירוש, קרי תרגום ה-</w:t>
      </w:r>
      <w:r w:rsidRPr="004D2EE3">
        <w:rPr>
          <w:rFonts w:ascii="David" w:hAnsi="David" w:cs="David"/>
          <w:noProof/>
          <w:sz w:val="24"/>
          <w:szCs w:val="24"/>
        </w:rPr>
        <w:t>DATA</w:t>
      </w:r>
      <w:r w:rsidRPr="004D2EE3">
        <w:rPr>
          <w:rFonts w:ascii="David" w:hAnsi="David" w:cs="David"/>
          <w:noProof/>
          <w:sz w:val="24"/>
          <w:szCs w:val="24"/>
          <w:rtl/>
        </w:rPr>
        <w:t xml:space="preserve">. </w:t>
      </w:r>
      <w:r w:rsidRPr="004D2EE3">
        <w:rPr>
          <w:rFonts w:ascii="David" w:hAnsi="David" w:cs="David"/>
          <w:sz w:val="24"/>
          <w:szCs w:val="24"/>
          <w:rtl/>
          <w:lang w:eastAsia="he-IL"/>
        </w:rPr>
        <w:t xml:space="preserve">באשר לאמינות בפן האנליטי ציין העד כי זו אושרה, על ידי התוצאות שהתקבלו,  שכללו את תרופת האב, וכן את התוצר של המטבוליזם. בצד הסקת המסקנות, נבחנו  התוצאות והנתונים ביחס לפרוטוקולים בינלאומיים, במקרים דומים ונמצא כי אלה עמדו בהתאמה ובהסכמה עם הספרות המדעית במקרים דומים. </w:t>
      </w:r>
    </w:p>
    <w:p w14:paraId="1FD74129" w14:textId="77777777" w:rsidR="004F5CAB" w:rsidRPr="004D2EE3" w:rsidRDefault="004F5CAB" w:rsidP="00CA235B">
      <w:pPr>
        <w:spacing w:line="360" w:lineRule="auto"/>
        <w:jc w:val="both"/>
        <w:rPr>
          <w:rFonts w:ascii="David" w:hAnsi="David" w:cs="David"/>
          <w:noProof/>
          <w:sz w:val="24"/>
          <w:szCs w:val="24"/>
          <w:rtl/>
        </w:rPr>
      </w:pPr>
      <w:r w:rsidRPr="004D2EE3">
        <w:rPr>
          <w:rFonts w:ascii="David" w:hAnsi="David" w:cs="David"/>
          <w:noProof/>
          <w:sz w:val="24"/>
          <w:szCs w:val="24"/>
          <w:rtl/>
        </w:rPr>
        <w:t xml:space="preserve">כן קבע בית המשפט כי פרופ' טליארו הבהיר בעדותו כי הבדיקה שערך היתה ממוקדת ב"בנזודיאזפינים" שהינם קבוצה של מרדימים, מאלחשים. במהלך עדותו הבהיר העד כי לצרכי הבדיקה, הוא חתך את דגימות השיער שקיבל ל -3 חלקים, </w:t>
      </w:r>
      <w:r w:rsidRPr="004D2EE3">
        <w:rPr>
          <w:rFonts w:ascii="David" w:hAnsi="David" w:cs="David"/>
          <w:b/>
          <w:bCs/>
          <w:noProof/>
          <w:sz w:val="24"/>
          <w:szCs w:val="24"/>
          <w:rtl/>
        </w:rPr>
        <w:t>החלק הראשון</w:t>
      </w:r>
      <w:r w:rsidRPr="004D2EE3">
        <w:rPr>
          <w:rFonts w:ascii="David" w:hAnsi="David" w:cs="David"/>
          <w:noProof/>
          <w:sz w:val="24"/>
          <w:szCs w:val="24"/>
          <w:rtl/>
        </w:rPr>
        <w:t xml:space="preserve"> באורך 1 ס"מ, הינו החלק הקרוב לקרקפת, </w:t>
      </w:r>
      <w:r w:rsidRPr="004D2EE3">
        <w:rPr>
          <w:rFonts w:ascii="David" w:hAnsi="David" w:cs="David"/>
          <w:b/>
          <w:bCs/>
          <w:noProof/>
          <w:sz w:val="24"/>
          <w:szCs w:val="24"/>
          <w:rtl/>
        </w:rPr>
        <w:t>החלק השני</w:t>
      </w:r>
      <w:r w:rsidRPr="004D2EE3">
        <w:rPr>
          <w:rFonts w:ascii="David" w:hAnsi="David" w:cs="David"/>
          <w:noProof/>
          <w:sz w:val="24"/>
          <w:szCs w:val="24"/>
          <w:rtl/>
        </w:rPr>
        <w:t xml:space="preserve"> הצמוד לחלק הראשון, באורך 1.5 ס"מ  </w:t>
      </w:r>
      <w:r w:rsidRPr="004D2EE3">
        <w:rPr>
          <w:rFonts w:ascii="David" w:hAnsi="David" w:cs="David"/>
          <w:b/>
          <w:bCs/>
          <w:noProof/>
          <w:sz w:val="24"/>
          <w:szCs w:val="24"/>
          <w:rtl/>
        </w:rPr>
        <w:t>והחלק האחרון</w:t>
      </w:r>
      <w:r w:rsidRPr="004D2EE3">
        <w:rPr>
          <w:rFonts w:ascii="David" w:hAnsi="David" w:cs="David"/>
          <w:noProof/>
          <w:sz w:val="24"/>
          <w:szCs w:val="24"/>
          <w:rtl/>
        </w:rPr>
        <w:t xml:space="preserve">, אף הוא באורך 1.5 ס"מ. העד הבהיר כי נקודת המוצא היא כי קצב צמיחת השיער הינו כ-1 ס"מ לחודש משמע כי ביום נטילת השיער, 18/12/2016, החלק הראשון שחתך בדגימת השיער, הינו השיער שצמח בחודש האחרון טרם נטילת השיער, החלק השני, מייצג תקופה של חודש וחצי הנעה בין תחילת אוקטובר 2016 עד אמצע נובמבר 2016 ואילו החלק השלישי הינו השיער שצמח  בתקופה שבין אמצע אוגוסט 2016  ועד תחילת אוקטובר 2016. העד הבהיר, כי במקטע הראשון, זה הקרוב לקרקפת, נמצא מטבוליט של סם מסוג </w:t>
      </w:r>
      <w:r w:rsidRPr="004D2EE3">
        <w:rPr>
          <w:rFonts w:ascii="David" w:hAnsi="David" w:cs="David"/>
          <w:noProof/>
          <w:sz w:val="24"/>
          <w:szCs w:val="24"/>
          <w:lang w:bidi="ar-LB"/>
        </w:rPr>
        <w:t xml:space="preserve">Flunitrazepam  </w:t>
      </w:r>
      <w:r w:rsidRPr="004D2EE3">
        <w:rPr>
          <w:rFonts w:ascii="David" w:hAnsi="David" w:cs="David"/>
          <w:noProof/>
          <w:sz w:val="24"/>
          <w:szCs w:val="24"/>
          <w:rtl/>
        </w:rPr>
        <w:t xml:space="preserve"> (</w:t>
      </w:r>
      <w:r w:rsidRPr="004D2EE3">
        <w:rPr>
          <w:rFonts w:ascii="David" w:hAnsi="David" w:cs="David"/>
          <w:sz w:val="24"/>
          <w:szCs w:val="24"/>
          <w:rtl/>
          <w:lang w:eastAsia="he-IL"/>
        </w:rPr>
        <w:t xml:space="preserve"> </w:t>
      </w:r>
      <w:r w:rsidRPr="004D2EE3">
        <w:rPr>
          <w:rFonts w:ascii="David" w:hAnsi="David" w:cs="David"/>
          <w:noProof/>
          <w:sz w:val="24"/>
          <w:szCs w:val="24"/>
          <w:lang w:bidi="ar-LB"/>
        </w:rPr>
        <w:t>7-aminoflunitrazepam</w:t>
      </w:r>
      <w:r w:rsidRPr="004D2EE3">
        <w:rPr>
          <w:rFonts w:ascii="David" w:hAnsi="David" w:cs="David"/>
          <w:noProof/>
          <w:sz w:val="24"/>
          <w:szCs w:val="24"/>
          <w:rtl/>
        </w:rPr>
        <w:t xml:space="preserve">), שהינו תוצר של חילוף חומרים. במקטע השני, קרי התקופה בה התרחש האירוע, נמצאה כמות מזוהה של עקבות סם מסוג </w:t>
      </w:r>
      <w:r w:rsidRPr="004D2EE3">
        <w:rPr>
          <w:rFonts w:ascii="David" w:hAnsi="David" w:cs="David"/>
          <w:noProof/>
          <w:sz w:val="24"/>
          <w:szCs w:val="24"/>
          <w:lang w:bidi="ar-LB"/>
        </w:rPr>
        <w:t>Flunitrazepam</w:t>
      </w:r>
      <w:r w:rsidRPr="004D2EE3">
        <w:rPr>
          <w:rFonts w:ascii="David" w:hAnsi="David" w:cs="David"/>
          <w:noProof/>
          <w:sz w:val="24"/>
          <w:szCs w:val="24"/>
          <w:rtl/>
        </w:rPr>
        <w:t xml:space="preserve"> ועקבות מטבוליט של סם מסוג </w:t>
      </w:r>
      <w:r w:rsidRPr="004D2EE3">
        <w:rPr>
          <w:rFonts w:ascii="David" w:hAnsi="David" w:cs="David"/>
          <w:noProof/>
          <w:sz w:val="24"/>
          <w:szCs w:val="24"/>
          <w:lang w:bidi="ar-LB"/>
        </w:rPr>
        <w:t>Flunitrazepam</w:t>
      </w:r>
      <w:r w:rsidRPr="004D2EE3">
        <w:rPr>
          <w:rFonts w:ascii="David" w:hAnsi="David" w:cs="David"/>
          <w:noProof/>
          <w:sz w:val="24"/>
          <w:szCs w:val="24"/>
          <w:rtl/>
        </w:rPr>
        <w:t xml:space="preserve"> (</w:t>
      </w:r>
      <w:r w:rsidRPr="004D2EE3">
        <w:rPr>
          <w:rFonts w:ascii="David" w:hAnsi="David" w:cs="David"/>
          <w:noProof/>
          <w:sz w:val="24"/>
          <w:szCs w:val="24"/>
          <w:lang w:bidi="ar-LB"/>
        </w:rPr>
        <w:t>7-aminoflunitrazepam</w:t>
      </w:r>
      <w:r w:rsidRPr="004D2EE3">
        <w:rPr>
          <w:rFonts w:ascii="David" w:hAnsi="David" w:cs="David"/>
          <w:noProof/>
          <w:sz w:val="24"/>
          <w:szCs w:val="24"/>
          <w:rtl/>
        </w:rPr>
        <w:t xml:space="preserve">) ובחלק האחרון שצמח כבר טרם מועד האירוע, לא נמצא סם כלל. </w:t>
      </w:r>
    </w:p>
    <w:tbl>
      <w:tblPr>
        <w:bidiVisual/>
        <w:tblW w:w="8287"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2"/>
        <w:gridCol w:w="2267"/>
        <w:gridCol w:w="2138"/>
        <w:gridCol w:w="1970"/>
      </w:tblGrid>
      <w:tr w:rsidR="004F5CAB" w:rsidRPr="004D2EE3" w14:paraId="1539BD34" w14:textId="77777777" w:rsidTr="00DD43F6">
        <w:trPr>
          <w:trHeight w:val="370"/>
        </w:trPr>
        <w:tc>
          <w:tcPr>
            <w:tcW w:w="1912" w:type="dxa"/>
          </w:tcPr>
          <w:p w14:paraId="1FEB9092"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חלק שלישי 1.5 ס"מ</w:t>
            </w:r>
          </w:p>
        </w:tc>
        <w:tc>
          <w:tcPr>
            <w:tcW w:w="2267" w:type="dxa"/>
          </w:tcPr>
          <w:p w14:paraId="2B16003D"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חלק שני 1.5 ס"מ</w:t>
            </w:r>
          </w:p>
        </w:tc>
        <w:tc>
          <w:tcPr>
            <w:tcW w:w="2138" w:type="dxa"/>
          </w:tcPr>
          <w:p w14:paraId="0613FDC7"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חלק ראשון 1 ס"מ</w:t>
            </w:r>
          </w:p>
        </w:tc>
        <w:tc>
          <w:tcPr>
            <w:tcW w:w="1970" w:type="dxa"/>
          </w:tcPr>
          <w:p w14:paraId="47FB780F"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החלק הנבדק</w:t>
            </w:r>
          </w:p>
        </w:tc>
      </w:tr>
      <w:tr w:rsidR="004F5CAB" w:rsidRPr="004D2EE3" w14:paraId="23C6FCCA" w14:textId="77777777" w:rsidTr="00DD43F6">
        <w:trPr>
          <w:trHeight w:val="361"/>
        </w:trPr>
        <w:tc>
          <w:tcPr>
            <w:tcW w:w="1912" w:type="dxa"/>
          </w:tcPr>
          <w:p w14:paraId="631C40FD"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צמח מאמצע 8/2016 עד תחילת 10/2016</w:t>
            </w:r>
          </w:p>
        </w:tc>
        <w:tc>
          <w:tcPr>
            <w:tcW w:w="2267" w:type="dxa"/>
          </w:tcPr>
          <w:p w14:paraId="4DF62697"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צמח מתחילת 10/2016 עד אמצע 11/2016</w:t>
            </w:r>
          </w:p>
        </w:tc>
        <w:tc>
          <w:tcPr>
            <w:tcW w:w="2138" w:type="dxa"/>
          </w:tcPr>
          <w:p w14:paraId="77335248"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צמח מאמצע 11/2016 עד 18/12/2016</w:t>
            </w:r>
          </w:p>
        </w:tc>
        <w:tc>
          <w:tcPr>
            <w:tcW w:w="1970" w:type="dxa"/>
          </w:tcPr>
          <w:p w14:paraId="06E895C9"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תאריך צמיחת חלק זה</w:t>
            </w:r>
          </w:p>
        </w:tc>
      </w:tr>
      <w:tr w:rsidR="004F5CAB" w:rsidRPr="004D2EE3" w14:paraId="68370DFA" w14:textId="77777777" w:rsidTr="00DD43F6">
        <w:trPr>
          <w:trHeight w:val="370"/>
        </w:trPr>
        <w:tc>
          <w:tcPr>
            <w:tcW w:w="1912" w:type="dxa"/>
          </w:tcPr>
          <w:p w14:paraId="23DC90C6" w14:textId="77777777" w:rsidR="004F5CAB" w:rsidRPr="004D2EE3" w:rsidRDefault="004F5CAB" w:rsidP="00DD43F6">
            <w:pPr>
              <w:spacing w:after="0" w:line="240" w:lineRule="auto"/>
              <w:jc w:val="center"/>
              <w:rPr>
                <w:rFonts w:ascii="David" w:hAnsi="David" w:cs="David"/>
                <w:noProof/>
                <w:sz w:val="24"/>
                <w:szCs w:val="24"/>
                <w:rtl/>
              </w:rPr>
            </w:pPr>
            <w:r w:rsidRPr="004D2EE3">
              <w:rPr>
                <w:rFonts w:ascii="David" w:hAnsi="David" w:cs="David"/>
                <w:noProof/>
                <w:sz w:val="24"/>
                <w:szCs w:val="24"/>
                <w:rtl/>
              </w:rPr>
              <w:t>העדר סם</w:t>
            </w:r>
          </w:p>
        </w:tc>
        <w:tc>
          <w:tcPr>
            <w:tcW w:w="2267" w:type="dxa"/>
          </w:tcPr>
          <w:p w14:paraId="5FAAC907" w14:textId="77777777" w:rsidR="004F5CAB" w:rsidRPr="004D2EE3" w:rsidRDefault="004F5CAB" w:rsidP="00DD43F6">
            <w:pPr>
              <w:spacing w:after="0" w:line="240" w:lineRule="auto"/>
              <w:jc w:val="center"/>
              <w:rPr>
                <w:rFonts w:ascii="David" w:hAnsi="David" w:cs="David"/>
                <w:noProof/>
                <w:sz w:val="24"/>
                <w:szCs w:val="24"/>
                <w:rtl/>
              </w:rPr>
            </w:pPr>
            <w:r w:rsidRPr="004D2EE3">
              <w:rPr>
                <w:rFonts w:ascii="David" w:hAnsi="David" w:cs="David"/>
                <w:noProof/>
                <w:sz w:val="24"/>
                <w:szCs w:val="24"/>
                <w:rtl/>
              </w:rPr>
              <w:t>עקבות סם ומטבולית-תוצר חילוף של הסם</w:t>
            </w:r>
          </w:p>
        </w:tc>
        <w:tc>
          <w:tcPr>
            <w:tcW w:w="2138" w:type="dxa"/>
          </w:tcPr>
          <w:p w14:paraId="35EF0E39" w14:textId="77777777" w:rsidR="004F5CAB" w:rsidRPr="004D2EE3" w:rsidRDefault="004F5CAB" w:rsidP="00DD43F6">
            <w:pPr>
              <w:spacing w:after="0" w:line="240" w:lineRule="auto"/>
              <w:jc w:val="center"/>
              <w:rPr>
                <w:rFonts w:ascii="David" w:hAnsi="David" w:cs="David"/>
                <w:noProof/>
                <w:sz w:val="24"/>
                <w:szCs w:val="24"/>
                <w:rtl/>
              </w:rPr>
            </w:pPr>
            <w:r w:rsidRPr="004D2EE3">
              <w:rPr>
                <w:rFonts w:ascii="David" w:hAnsi="David" w:cs="David"/>
                <w:noProof/>
                <w:sz w:val="24"/>
                <w:szCs w:val="24"/>
                <w:rtl/>
              </w:rPr>
              <w:t>מטבולית-תוצר חילוף של הסם</w:t>
            </w:r>
          </w:p>
        </w:tc>
        <w:tc>
          <w:tcPr>
            <w:tcW w:w="1970" w:type="dxa"/>
          </w:tcPr>
          <w:p w14:paraId="2F018423" w14:textId="77777777" w:rsidR="004F5CAB" w:rsidRPr="004D2EE3" w:rsidRDefault="004F5CAB" w:rsidP="00DD43F6">
            <w:pPr>
              <w:spacing w:after="0" w:line="240" w:lineRule="auto"/>
              <w:jc w:val="center"/>
              <w:rPr>
                <w:rFonts w:ascii="David" w:hAnsi="David" w:cs="David"/>
                <w:b/>
                <w:bCs/>
                <w:noProof/>
                <w:sz w:val="24"/>
                <w:szCs w:val="24"/>
                <w:rtl/>
              </w:rPr>
            </w:pPr>
            <w:r w:rsidRPr="004D2EE3">
              <w:rPr>
                <w:rFonts w:ascii="David" w:hAnsi="David" w:cs="David"/>
                <w:b/>
                <w:bCs/>
                <w:noProof/>
                <w:sz w:val="24"/>
                <w:szCs w:val="24"/>
                <w:rtl/>
              </w:rPr>
              <w:t>ממצאי הבדיקה</w:t>
            </w:r>
          </w:p>
        </w:tc>
      </w:tr>
      <w:tr w:rsidR="004F5CAB" w:rsidRPr="004D2EE3" w14:paraId="3BA5D3B0" w14:textId="77777777" w:rsidTr="00DD43F6">
        <w:trPr>
          <w:trHeight w:val="370"/>
        </w:trPr>
        <w:tc>
          <w:tcPr>
            <w:tcW w:w="1912" w:type="dxa"/>
          </w:tcPr>
          <w:p w14:paraId="232012CD" w14:textId="77777777" w:rsidR="004F5CAB" w:rsidRPr="004D2EE3" w:rsidRDefault="004F5CAB" w:rsidP="00DD43F6">
            <w:pPr>
              <w:spacing w:after="0" w:line="240" w:lineRule="auto"/>
              <w:jc w:val="center"/>
              <w:rPr>
                <w:rFonts w:ascii="David" w:hAnsi="David" w:cs="David"/>
                <w:noProof/>
                <w:sz w:val="24"/>
                <w:szCs w:val="24"/>
                <w:rtl/>
              </w:rPr>
            </w:pPr>
          </w:p>
        </w:tc>
        <w:tc>
          <w:tcPr>
            <w:tcW w:w="2267" w:type="dxa"/>
          </w:tcPr>
          <w:p w14:paraId="207E1A4A" w14:textId="77777777" w:rsidR="004F5CAB" w:rsidRPr="004D2EE3" w:rsidRDefault="004F5CAB" w:rsidP="00DD43F6">
            <w:pPr>
              <w:spacing w:after="0" w:line="240" w:lineRule="auto"/>
              <w:jc w:val="center"/>
              <w:rPr>
                <w:rFonts w:ascii="David" w:hAnsi="David" w:cs="David"/>
                <w:noProof/>
                <w:sz w:val="24"/>
                <w:szCs w:val="24"/>
                <w:rtl/>
              </w:rPr>
            </w:pPr>
            <w:r w:rsidRPr="004D2EE3">
              <w:rPr>
                <w:rFonts w:ascii="David" w:hAnsi="David" w:cs="David"/>
                <w:noProof/>
                <w:sz w:val="24"/>
                <w:szCs w:val="24"/>
                <w:rtl/>
              </w:rPr>
              <w:t>האירוע</w:t>
            </w:r>
          </w:p>
        </w:tc>
        <w:tc>
          <w:tcPr>
            <w:tcW w:w="2138" w:type="dxa"/>
          </w:tcPr>
          <w:p w14:paraId="20C35E3A" w14:textId="77777777" w:rsidR="004F5CAB" w:rsidRPr="004D2EE3" w:rsidRDefault="004F5CAB" w:rsidP="00DD43F6">
            <w:pPr>
              <w:spacing w:after="0" w:line="240" w:lineRule="auto"/>
              <w:jc w:val="center"/>
              <w:rPr>
                <w:rFonts w:ascii="David" w:hAnsi="David" w:cs="David"/>
                <w:noProof/>
                <w:sz w:val="24"/>
                <w:szCs w:val="24"/>
                <w:rtl/>
              </w:rPr>
            </w:pPr>
          </w:p>
        </w:tc>
        <w:tc>
          <w:tcPr>
            <w:tcW w:w="1970" w:type="dxa"/>
          </w:tcPr>
          <w:p w14:paraId="0202ACA4" w14:textId="77777777" w:rsidR="004F5CAB" w:rsidRPr="004D2EE3" w:rsidRDefault="004F5CAB" w:rsidP="00DD43F6">
            <w:pPr>
              <w:spacing w:after="0" w:line="240" w:lineRule="auto"/>
              <w:jc w:val="center"/>
              <w:rPr>
                <w:rFonts w:ascii="David" w:hAnsi="David" w:cs="David"/>
                <w:noProof/>
                <w:sz w:val="24"/>
                <w:szCs w:val="24"/>
                <w:rtl/>
              </w:rPr>
            </w:pPr>
            <w:r w:rsidRPr="004D2EE3">
              <w:rPr>
                <w:rFonts w:ascii="David" w:hAnsi="David" w:cs="David"/>
                <w:noProof/>
                <w:sz w:val="24"/>
                <w:szCs w:val="24"/>
                <w:rtl/>
              </w:rPr>
              <w:t xml:space="preserve">תאריך האירוע 21/10/2016 </w:t>
            </w:r>
          </w:p>
        </w:tc>
      </w:tr>
    </w:tbl>
    <w:p w14:paraId="63B6E50C" w14:textId="77777777" w:rsidR="004F5CAB" w:rsidRPr="004D2EE3" w:rsidRDefault="004F5CAB" w:rsidP="00F75011">
      <w:pPr>
        <w:spacing w:line="360" w:lineRule="auto"/>
        <w:jc w:val="both"/>
        <w:rPr>
          <w:rFonts w:ascii="David" w:hAnsi="David" w:cs="David"/>
          <w:noProof/>
          <w:sz w:val="24"/>
          <w:szCs w:val="24"/>
          <w:rtl/>
        </w:rPr>
      </w:pPr>
    </w:p>
    <w:p w14:paraId="7A7DF398" w14:textId="77777777" w:rsidR="004F5CAB" w:rsidRPr="004D2EE3" w:rsidRDefault="004F5CAB" w:rsidP="00002F32">
      <w:pPr>
        <w:spacing w:line="360" w:lineRule="auto"/>
        <w:jc w:val="both"/>
        <w:rPr>
          <w:rFonts w:ascii="David" w:hAnsi="David" w:cs="David"/>
          <w:noProof/>
          <w:sz w:val="24"/>
          <w:szCs w:val="24"/>
          <w:rtl/>
        </w:rPr>
      </w:pPr>
      <w:r w:rsidRPr="004D2EE3">
        <w:rPr>
          <w:rFonts w:ascii="David" w:hAnsi="David" w:cs="David"/>
          <w:noProof/>
          <w:sz w:val="24"/>
          <w:szCs w:val="24"/>
          <w:rtl/>
        </w:rPr>
        <w:t xml:space="preserve">בית המשפט פירט בהרחבה את התייחסות העד והסבריו להבדל בתוצאות עת הבהיר כי המטבולית-תוצר חילוף החומרים של הסם, נשאר יותר זמן בשיער ובדם מאשר הסם עצמו, מכיוון שהעמידות של המטבוליט בגוף גבוה יותר מאשר סם האב, הוא נקשר לשיער לאורך תקופה ארוכה ועל כן הוא מופיע במקטע שצמח מאוחר יותר, זה הקרוב לקרקפת. העד הבהיר כי הפירוש שלו לצירוף המקרים של נוכחות סם האב ותוצר חילוף החומרים במקטע מס' 2 היא כזו התומכתת באפשרות שאירוע נטילת הסם אכן התרחש. העד הבהיר כי העובדה שבמקטע מס' 2 נמצא פלוניטריזפאם ומטבוליט משמעותה, שהאירוע קרה כשמקטע זה היה בגדילה, כלומר השיער נוצר כשהסם היה בתוך הדם. </w:t>
      </w:r>
    </w:p>
    <w:p w14:paraId="4CF7002F" w14:textId="77777777" w:rsidR="004F5CAB" w:rsidRPr="004D2EE3" w:rsidRDefault="004F5CAB" w:rsidP="008A346D">
      <w:pPr>
        <w:spacing w:line="360" w:lineRule="auto"/>
        <w:jc w:val="both"/>
        <w:rPr>
          <w:rFonts w:ascii="David" w:hAnsi="David" w:cs="David"/>
          <w:noProof/>
          <w:sz w:val="24"/>
          <w:szCs w:val="24"/>
          <w:rtl/>
        </w:rPr>
      </w:pPr>
      <w:r w:rsidRPr="004D2EE3">
        <w:rPr>
          <w:rFonts w:ascii="David" w:hAnsi="David" w:cs="David"/>
          <w:noProof/>
          <w:sz w:val="24"/>
          <w:szCs w:val="24"/>
          <w:rtl/>
        </w:rPr>
        <w:t>לאחר קבלת מלוא מסקנות פרופסור טליארו, קבע בית המשפט כי משנמצאו עקבות של הסם בחלק מהשיער שנבדק, התואם אף את מועד החשיפה לסם ומשנמצא בחלק אחר מהשיער, שצמח מאוחר יותר, תוצר הפירוק של אותו סם, בעוד בחלק אחר שצמח לפני האירוע אין כל זכר לנוכחות של סם, הרי שממצאים אלה עולים בקנה אחד עם המסקנה כי המתלוננת נחשפה לסם באופן חד פעמי במועד האירוע.</w:t>
      </w:r>
    </w:p>
    <w:p w14:paraId="3ACEEF8E" w14:textId="77777777" w:rsidR="004F5CAB" w:rsidRPr="004D2EE3" w:rsidRDefault="004F5CAB" w:rsidP="002524E4">
      <w:pPr>
        <w:pStyle w:val="NoSpacing"/>
        <w:spacing w:line="360" w:lineRule="auto"/>
        <w:jc w:val="both"/>
        <w:rPr>
          <w:rFonts w:ascii="David" w:hAnsi="David" w:cs="David"/>
          <w:b/>
          <w:bCs/>
          <w:sz w:val="24"/>
          <w:szCs w:val="24"/>
          <w:rtl/>
        </w:rPr>
      </w:pPr>
      <w:r w:rsidRPr="004D2EE3">
        <w:rPr>
          <w:rFonts w:ascii="David" w:hAnsi="David" w:cs="David"/>
          <w:b/>
          <w:bCs/>
          <w:sz w:val="24"/>
          <w:szCs w:val="24"/>
          <w:rtl/>
        </w:rPr>
        <w:t>המבחן החיצוני- גישת המדע והביקורת השיפטית</w:t>
      </w:r>
    </w:p>
    <w:p w14:paraId="2FC8E451" w14:textId="77777777" w:rsidR="004F5CAB" w:rsidRPr="004D2EE3" w:rsidRDefault="004F5CAB" w:rsidP="005A6A82">
      <w:pPr>
        <w:spacing w:line="360" w:lineRule="auto"/>
        <w:jc w:val="both"/>
        <w:rPr>
          <w:rFonts w:ascii="David" w:hAnsi="David" w:cs="David"/>
          <w:noProof/>
          <w:sz w:val="24"/>
          <w:szCs w:val="24"/>
        </w:rPr>
      </w:pPr>
      <w:r w:rsidRPr="004D2EE3">
        <w:rPr>
          <w:rFonts w:ascii="David" w:hAnsi="David" w:cs="David"/>
          <w:noProof/>
          <w:sz w:val="24"/>
          <w:szCs w:val="24"/>
          <w:rtl/>
        </w:rPr>
        <w:t xml:space="preserve">באשר לחלקו הראשון של המבחן, קרי גישת המדע, קבע בי המשפט כי הן המאשימה והן ההגנה, באמצעות עדיהם הצליחו להוכיח כי בדיקות השיער לגילוי צריכת סמים, מקובלות בעולם המדע מזה שנים רבות, מאמרים רבים הוגשו בעניין וספרים רבים צוטטו. כן קבע בית המשפט כי הן המומחה מטעם המאשימה, פרופ' טליארו והן המומחה מטעם ההגנה, פרופ' קורין, אשר העידו כי הם עוסקים בבדיקות שיער מזה כמה עשורים, הניחו בפני בית המשפט מסה של מאמרים המלמדים מהי גישת המדע בעניין בדיקות שיער ואיך מדע זה התפתח לאורך השנים. </w:t>
      </w:r>
    </w:p>
    <w:p w14:paraId="48EBC713" w14:textId="77777777" w:rsidR="004F5CAB" w:rsidRPr="004D2EE3" w:rsidRDefault="004F5CAB" w:rsidP="00E70837">
      <w:pPr>
        <w:spacing w:line="360" w:lineRule="auto"/>
        <w:jc w:val="both"/>
        <w:rPr>
          <w:rFonts w:ascii="David" w:hAnsi="David" w:cs="David"/>
          <w:noProof/>
          <w:sz w:val="24"/>
          <w:szCs w:val="24"/>
          <w:rtl/>
        </w:rPr>
      </w:pPr>
      <w:r w:rsidRPr="004D2EE3">
        <w:rPr>
          <w:rFonts w:ascii="David" w:hAnsi="David" w:cs="David"/>
          <w:noProof/>
          <w:sz w:val="24"/>
          <w:szCs w:val="24"/>
          <w:rtl/>
        </w:rPr>
        <w:t>בית המשפט הוסיף וציין בהכרעת הדין כי גם המאשימה הפנתה והציגה בפני בית המשפט מאמרים רבים המלמדים כי בדיקות לגילוי סם בשיער הינן בדיקות מקובלות מדעית; כן הפנתה לעצם הקמת ה"אגודה לבדיקות שיער" "</w:t>
      </w:r>
      <w:r w:rsidRPr="004D2EE3">
        <w:rPr>
          <w:rFonts w:ascii="David" w:hAnsi="David" w:cs="David"/>
          <w:noProof/>
          <w:sz w:val="24"/>
          <w:szCs w:val="24"/>
          <w:lang w:bidi="ar-LB"/>
        </w:rPr>
        <w:t>The Society of Hair Testing</w:t>
      </w:r>
      <w:r w:rsidRPr="004D2EE3">
        <w:rPr>
          <w:rFonts w:ascii="David" w:hAnsi="David" w:cs="David"/>
          <w:noProof/>
          <w:sz w:val="24"/>
          <w:szCs w:val="24"/>
          <w:rtl/>
        </w:rPr>
        <w:t>" (</w:t>
      </w:r>
      <w:r w:rsidRPr="004D2EE3">
        <w:rPr>
          <w:rFonts w:ascii="David" w:hAnsi="David" w:cs="David"/>
          <w:noProof/>
          <w:sz w:val="24"/>
          <w:szCs w:val="24"/>
          <w:lang w:bidi="ar-LB"/>
        </w:rPr>
        <w:t>SoHT</w:t>
      </w:r>
      <w:r w:rsidRPr="004D2EE3">
        <w:rPr>
          <w:rFonts w:ascii="David" w:hAnsi="David" w:cs="David"/>
          <w:noProof/>
          <w:sz w:val="24"/>
          <w:szCs w:val="24"/>
          <w:rtl/>
        </w:rPr>
        <w:t>) עוד בשנת 1995; להנחיות האומות המיוחדות, האו"ם</w:t>
      </w:r>
      <w:r w:rsidRPr="004D2EE3">
        <w:rPr>
          <w:rFonts w:ascii="David" w:hAnsi="David" w:cs="David"/>
          <w:noProof/>
          <w:sz w:val="24"/>
          <w:szCs w:val="24"/>
        </w:rPr>
        <w:t xml:space="preserve"> United Nations Office on Drug and Crime  </w:t>
      </w:r>
      <w:r w:rsidRPr="004D2EE3">
        <w:rPr>
          <w:rFonts w:ascii="David" w:hAnsi="David" w:cs="David"/>
          <w:noProof/>
          <w:sz w:val="24"/>
          <w:szCs w:val="24"/>
          <w:rtl/>
        </w:rPr>
        <w:t xml:space="preserve"> </w:t>
      </w:r>
      <w:r w:rsidRPr="004D2EE3">
        <w:rPr>
          <w:rFonts w:ascii="David" w:hAnsi="David" w:cs="David"/>
          <w:noProof/>
          <w:sz w:val="24"/>
          <w:szCs w:val="24"/>
        </w:rPr>
        <w:t>UNODC</w:t>
      </w:r>
      <w:r w:rsidRPr="004D2EE3">
        <w:rPr>
          <w:rFonts w:ascii="David" w:hAnsi="David" w:cs="David"/>
          <w:noProof/>
          <w:sz w:val="24"/>
          <w:szCs w:val="24"/>
          <w:rtl/>
        </w:rPr>
        <w:t xml:space="preserve"> (להלן: "</w:t>
      </w:r>
      <w:r w:rsidRPr="004D2EE3">
        <w:rPr>
          <w:rFonts w:ascii="David" w:hAnsi="David" w:cs="David"/>
          <w:b/>
          <w:bCs/>
          <w:noProof/>
          <w:sz w:val="24"/>
          <w:szCs w:val="24"/>
          <w:rtl/>
        </w:rPr>
        <w:t>הנחיות האומות המיוחדות</w:t>
      </w:r>
      <w:r w:rsidRPr="004D2EE3">
        <w:rPr>
          <w:rFonts w:ascii="David" w:hAnsi="David" w:cs="David"/>
          <w:noProof/>
          <w:sz w:val="24"/>
          <w:szCs w:val="24"/>
          <w:rtl/>
        </w:rPr>
        <w:t xml:space="preserve">"); לספר שכתב העד פרופ' טליארו עבור משרד האומות המיוחדות, בעניין הוראות לבדיקות טוקסולגיות בשיער, לפרק 4 בדו"ח לאנג </w:t>
      </w:r>
      <w:r w:rsidRPr="004D2EE3">
        <w:rPr>
          <w:rFonts w:ascii="David" w:hAnsi="David" w:cs="David"/>
          <w:noProof/>
          <w:sz w:val="24"/>
          <w:szCs w:val="24"/>
          <w:lang w:bidi="ar-LB"/>
        </w:rPr>
        <w:t xml:space="preserve">Understanfing Forenxic vs Clinical vs Research Purpose </w:t>
      </w:r>
      <w:r w:rsidRPr="004D2EE3">
        <w:rPr>
          <w:rFonts w:ascii="David" w:hAnsi="David" w:cs="David"/>
          <w:noProof/>
          <w:sz w:val="24"/>
          <w:szCs w:val="24"/>
          <w:rtl/>
        </w:rPr>
        <w:t xml:space="preserve">, בנוגע לישום ידע מדעי ומתודות מדעיות לשאלות משפטיות, המתבסס בין היתר, על הנחיות האגודה לבדיקות שיער וכן הנחיות האו"ם וכן לעובדה כי ישנה התעניינות בינלאומית גוברת בנושא זה, וכי מאז שנת 1979 ועד לשנת 2014 פורסמו קרוב ל – 600 פרסומים בנושא. בית המשפט עיין וסקר חלק מהאמרים הרבים שהוגשו ושנמצא בהם תימוכין לטענה כי בדיקות שיער מקובלות בעולם המדע. </w:t>
      </w:r>
    </w:p>
    <w:p w14:paraId="184100F7" w14:textId="77777777" w:rsidR="004F5CAB" w:rsidRPr="004D2EE3" w:rsidRDefault="004F5CAB" w:rsidP="00911ACD">
      <w:pPr>
        <w:spacing w:after="0" w:line="360" w:lineRule="auto"/>
        <w:jc w:val="both"/>
        <w:rPr>
          <w:rFonts w:ascii="David" w:hAnsi="David" w:cs="David"/>
          <w:sz w:val="24"/>
          <w:szCs w:val="24"/>
          <w:rtl/>
        </w:rPr>
      </w:pPr>
      <w:r w:rsidRPr="004D2EE3">
        <w:rPr>
          <w:rFonts w:ascii="David" w:hAnsi="David" w:cs="David"/>
          <w:sz w:val="24"/>
          <w:szCs w:val="24"/>
          <w:rtl/>
        </w:rPr>
        <w:t xml:space="preserve">לסיום החלק הראשון של המבחן החיצוני קבע בית המשפט כי הוכח בפניו כי בדיקות שיער מקובלות בעולם המדע כבר למעלה מעשור, המאמרים שהוגשו ונסרקו, לימדו כי במשך שני העשורים האחרונים, פעלו מעבדות רבות לשיפור שיטות בדיקות השיער והרחיבו אגב כך את אפשרות הפקת נתונים מבדיקה זו. כן לימדו המאמרים כי במהלך תקופה זו, הלך וגדל מספרן של המעבדות העושות שימוש בגישה מדעית זו בתחומים רבים לרבות, בתחום המשפטי, לצרכי גילוי חשיפה לסם בקורבנות עבירות פליליות, בעיקר בשל חלון הגילוי הרחב המעניקה בדיקה זו לעומת בדיקות אחרות. </w:t>
      </w:r>
    </w:p>
    <w:p w14:paraId="10CECE23" w14:textId="77777777" w:rsidR="004F5CAB" w:rsidRPr="004D2EE3" w:rsidRDefault="004F5CAB" w:rsidP="00F75011">
      <w:pPr>
        <w:spacing w:after="0" w:line="360" w:lineRule="auto"/>
        <w:jc w:val="both"/>
        <w:rPr>
          <w:rFonts w:ascii="David" w:hAnsi="David" w:cs="David"/>
          <w:sz w:val="24"/>
          <w:szCs w:val="24"/>
          <w:rtl/>
        </w:rPr>
      </w:pPr>
    </w:p>
    <w:p w14:paraId="68C6D65A" w14:textId="77777777" w:rsidR="004F5CAB" w:rsidRPr="004D2EE3" w:rsidRDefault="004F5CAB" w:rsidP="00F75011">
      <w:pPr>
        <w:spacing w:after="0" w:line="360" w:lineRule="auto"/>
        <w:jc w:val="both"/>
        <w:rPr>
          <w:rFonts w:ascii="David" w:hAnsi="David" w:cs="David"/>
          <w:b/>
          <w:bCs/>
          <w:noProof/>
          <w:sz w:val="24"/>
          <w:szCs w:val="24"/>
          <w:rtl/>
        </w:rPr>
      </w:pPr>
      <w:r w:rsidRPr="004D2EE3">
        <w:rPr>
          <w:rFonts w:ascii="David" w:hAnsi="David" w:cs="David"/>
          <w:b/>
          <w:bCs/>
          <w:noProof/>
          <w:sz w:val="24"/>
          <w:szCs w:val="24"/>
          <w:rtl/>
        </w:rPr>
        <w:t>ביקורת שיפוטית</w:t>
      </w:r>
    </w:p>
    <w:p w14:paraId="2F1A1908" w14:textId="77777777" w:rsidR="004F5CAB" w:rsidRPr="004D2EE3" w:rsidRDefault="004F5CAB" w:rsidP="00F75011">
      <w:pPr>
        <w:spacing w:line="360" w:lineRule="auto"/>
        <w:jc w:val="both"/>
        <w:rPr>
          <w:rFonts w:ascii="David" w:hAnsi="David" w:cs="David"/>
          <w:b/>
          <w:bCs/>
          <w:noProof/>
          <w:sz w:val="24"/>
          <w:szCs w:val="24"/>
          <w:rtl/>
        </w:rPr>
      </w:pPr>
      <w:r w:rsidRPr="004D2EE3">
        <w:rPr>
          <w:rFonts w:ascii="David" w:hAnsi="David" w:cs="David"/>
          <w:b/>
          <w:bCs/>
          <w:noProof/>
          <w:sz w:val="24"/>
          <w:szCs w:val="24"/>
          <w:rtl/>
        </w:rPr>
        <w:t>ביקורת שיפוטית במובן הצר</w:t>
      </w:r>
    </w:p>
    <w:p w14:paraId="173F15AF" w14:textId="77777777" w:rsidR="004F5CAB" w:rsidRPr="004D2EE3" w:rsidRDefault="004F5CAB" w:rsidP="00E70837">
      <w:pPr>
        <w:spacing w:line="360" w:lineRule="auto"/>
        <w:jc w:val="both"/>
        <w:rPr>
          <w:rFonts w:ascii="David" w:hAnsi="David" w:cs="David"/>
          <w:noProof/>
          <w:sz w:val="24"/>
          <w:szCs w:val="24"/>
          <w:rtl/>
        </w:rPr>
      </w:pPr>
      <w:r w:rsidRPr="004D2EE3">
        <w:rPr>
          <w:rFonts w:ascii="David" w:hAnsi="David" w:cs="David"/>
          <w:noProof/>
          <w:sz w:val="24"/>
          <w:szCs w:val="24"/>
          <w:rtl/>
        </w:rPr>
        <w:t xml:space="preserve">במסגרת מבחן זה, ברוח הלכת מצגורה, קבע בית המשפט כי יש לבדוק פסקי דין שניתנו ביחס לקבילות הראיה, במידה ואלה קיימים. בית המשפט הוסיף וקבע כי בדיקת שיער לא זכתה בעבר להכרה מפורשת בפסיקה הישראלית, עם זאת במהלך ניהול התיק ואגב מתן עדות מטעם שני המומחים בתיק, מומחה התביעה, פרופ' טליארו ומומחה ההגנה, פרופ' קורין, הוכח בפניו כי בדיקות השיער קבילות כראיה בבתי המשפט ברחבי העולם . יתרה מכך,  בית המשפט הדגיש כי פרופ' קורין, מומחה ההגנה היה בעצמו אחראי על מעבדה אשר סיפקה לבתי המשפט חוות דעת בעניין סמים שנתגלו בשיער והוו בסיס להכרעות דין רבות.  </w:t>
      </w:r>
    </w:p>
    <w:p w14:paraId="6A2FA2E1" w14:textId="77777777" w:rsidR="004F5CAB" w:rsidRPr="004D2EE3" w:rsidRDefault="004F5CAB" w:rsidP="00AD3F21">
      <w:pPr>
        <w:spacing w:after="0" w:line="360" w:lineRule="auto"/>
        <w:jc w:val="both"/>
        <w:rPr>
          <w:rFonts w:ascii="David" w:hAnsi="David" w:cs="David"/>
          <w:sz w:val="24"/>
          <w:szCs w:val="24"/>
          <w:rtl/>
        </w:rPr>
      </w:pPr>
      <w:r w:rsidRPr="004D2EE3">
        <w:rPr>
          <w:rFonts w:ascii="David" w:hAnsi="David" w:cs="David"/>
          <w:sz w:val="24"/>
          <w:szCs w:val="24"/>
          <w:rtl/>
        </w:rPr>
        <w:t>בנוסף, מבין מכלול המאמרים שהציגה המאשימה לעיונו של בית המשפט להוכחת המקובלות המדעית של בדיקות השיער בקרב אנשי המדע, הוגשו גם מאמרים המלמדים, כי בדיקות שיער מעין אלו, הוו בסיס להכרעה בתיקים פליליים מסוימים במדינות זרות.</w:t>
      </w:r>
    </w:p>
    <w:p w14:paraId="40887671" w14:textId="77777777" w:rsidR="004F5CAB" w:rsidRPr="004D2EE3" w:rsidRDefault="004F5CAB" w:rsidP="00F75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vid" w:hAnsi="David" w:cs="David"/>
          <w:b/>
          <w:bCs/>
          <w:sz w:val="24"/>
          <w:szCs w:val="24"/>
          <w:rtl/>
        </w:rPr>
      </w:pPr>
    </w:p>
    <w:p w14:paraId="4E34ABAF" w14:textId="77777777" w:rsidR="004F5CAB" w:rsidRPr="004D2EE3" w:rsidRDefault="004F5CAB" w:rsidP="00395CA0">
      <w:pPr>
        <w:spacing w:line="360" w:lineRule="auto"/>
        <w:jc w:val="both"/>
        <w:rPr>
          <w:rFonts w:ascii="David" w:hAnsi="David" w:cs="David"/>
          <w:sz w:val="24"/>
          <w:szCs w:val="24"/>
          <w:rtl/>
        </w:rPr>
      </w:pPr>
      <w:r w:rsidRPr="004D2EE3">
        <w:rPr>
          <w:rFonts w:ascii="David" w:hAnsi="David" w:cs="David"/>
          <w:sz w:val="24"/>
          <w:szCs w:val="24"/>
          <w:rtl/>
        </w:rPr>
        <w:t>מלבד אסופת המאמרים אשר חלקם הצביע כאמור על המקובלות המדעית של בדיקת השיער וחלקם האחר סרק פסקי דין אשר התקבלה בהם בדיקת שיער כראיה, סקר בית המשפט אסופת פסקי דין שניתנו בארצות הברית ומדינות נוספות בהן קיבל בית המשפט כראיה בדיקת שיער לגילוי חשיפה לסמים.</w:t>
      </w:r>
    </w:p>
    <w:p w14:paraId="55AB4239" w14:textId="77777777" w:rsidR="004F5CAB" w:rsidRPr="004D2EE3" w:rsidRDefault="004F5CAB" w:rsidP="00AD3F21">
      <w:pPr>
        <w:spacing w:line="360" w:lineRule="auto"/>
        <w:jc w:val="both"/>
        <w:rPr>
          <w:rFonts w:ascii="David" w:hAnsi="David" w:cs="David"/>
          <w:color w:val="222222"/>
          <w:sz w:val="24"/>
          <w:szCs w:val="24"/>
        </w:rPr>
      </w:pPr>
      <w:r w:rsidRPr="004D2EE3">
        <w:rPr>
          <w:rFonts w:ascii="David" w:hAnsi="David" w:cs="David"/>
          <w:color w:val="222222"/>
          <w:sz w:val="24"/>
          <w:szCs w:val="24"/>
          <w:rtl/>
        </w:rPr>
        <w:t xml:space="preserve">לסיכום המבחן הצר קבע בית המשפט כי על אף שבדיקת השיער טרם נבחנה בבתי המשפט בישראל, הרי בבתי משפט בארצות הברית, באנגליה ובקנדה, בדיקת שיער היוותה אחת הראיות הראשיות ברבים מפסקי הדין, בערכאות השונות בהליכים פליליים ואף בבתי הדין לענייני עבודה ובבתי המשפט לענייני משפחה. ברבים מפסקי הדין שנסקרו, העניקו בתי המשפט משקל משמעותי לראיה המדעית של בדיקת סם בשיער אשר סייעה בידם להכריע  בתיק.  </w:t>
      </w:r>
    </w:p>
    <w:p w14:paraId="261862E5" w14:textId="77777777" w:rsidR="004F5CAB" w:rsidRPr="004D2EE3" w:rsidRDefault="004F5CAB" w:rsidP="002524E4">
      <w:pPr>
        <w:pStyle w:val="NoSpacing"/>
        <w:spacing w:line="360" w:lineRule="auto"/>
        <w:jc w:val="both"/>
        <w:rPr>
          <w:rFonts w:ascii="David" w:hAnsi="David" w:cs="David"/>
          <w:b/>
          <w:bCs/>
          <w:sz w:val="24"/>
          <w:szCs w:val="24"/>
          <w:rtl/>
        </w:rPr>
      </w:pPr>
      <w:r w:rsidRPr="004D2EE3">
        <w:rPr>
          <w:rFonts w:ascii="David" w:hAnsi="David" w:cs="David"/>
          <w:b/>
          <w:bCs/>
          <w:sz w:val="24"/>
          <w:szCs w:val="24"/>
          <w:rtl/>
        </w:rPr>
        <w:t>ביקורת שיפו</w:t>
      </w:r>
      <w:bookmarkStart w:id="7" w:name="_GoBack"/>
      <w:bookmarkEnd w:id="7"/>
      <w:r w:rsidRPr="004D2EE3">
        <w:rPr>
          <w:rFonts w:ascii="David" w:hAnsi="David" w:cs="David"/>
          <w:b/>
          <w:bCs/>
          <w:sz w:val="24"/>
          <w:szCs w:val="24"/>
          <w:rtl/>
        </w:rPr>
        <w:t>טית במובן הרחב</w:t>
      </w:r>
    </w:p>
    <w:p w14:paraId="1096AB09" w14:textId="77777777" w:rsidR="004F5CAB" w:rsidRPr="004D2EE3" w:rsidRDefault="004F5CAB" w:rsidP="00395CA0">
      <w:pPr>
        <w:spacing w:line="360" w:lineRule="auto"/>
        <w:jc w:val="both"/>
        <w:rPr>
          <w:rFonts w:ascii="David" w:hAnsi="David" w:cs="David"/>
          <w:sz w:val="24"/>
          <w:szCs w:val="24"/>
          <w:rtl/>
        </w:rPr>
      </w:pPr>
      <w:r w:rsidRPr="004D2EE3">
        <w:rPr>
          <w:rFonts w:ascii="David" w:hAnsi="David" w:cs="David"/>
          <w:sz w:val="24"/>
          <w:szCs w:val="24"/>
          <w:rtl/>
        </w:rPr>
        <w:t xml:space="preserve">בהקשר זה קבע בית המשפט כי אכן היה פילוג בדעות המומחים, אולם ניתוח הטענות שהועלו מטעם ההגנה ובדיקת הממצאים שהונחו בפניו מטעם שני הצדדים, הובילו למסקנה כי יש לקבל את חוות הדעת שערך המומחה מטעם המאשימה, פרופ' טליארו. </w:t>
      </w:r>
    </w:p>
    <w:p w14:paraId="7F2C2273" w14:textId="77777777" w:rsidR="004D2EE3" w:rsidRPr="0014129C" w:rsidRDefault="004F5CAB" w:rsidP="0014129C">
      <w:pPr>
        <w:spacing w:line="360" w:lineRule="auto"/>
        <w:jc w:val="both"/>
        <w:rPr>
          <w:rFonts w:ascii="David" w:hAnsi="David" w:cs="David"/>
          <w:b/>
          <w:sz w:val="24"/>
          <w:szCs w:val="24"/>
          <w:rtl/>
        </w:rPr>
      </w:pPr>
      <w:r w:rsidRPr="004D2EE3">
        <w:rPr>
          <w:rFonts w:ascii="David" w:hAnsi="David" w:cs="David"/>
          <w:sz w:val="24"/>
          <w:szCs w:val="24"/>
          <w:rtl/>
        </w:rPr>
        <w:t xml:space="preserve">לסיכום קבע בית המשפט כי לאחר ששקל את המבחן הפנימי על שני חלקיו, שיטת המומחה פרופ'  </w:t>
      </w:r>
      <w:bookmarkEnd w:id="0"/>
      <w:r w:rsidR="004D2EE3" w:rsidRPr="0014129C">
        <w:rPr>
          <w:rFonts w:ascii="David" w:hAnsi="David" w:cs="David"/>
          <w:b/>
          <w:sz w:val="24"/>
          <w:szCs w:val="24"/>
          <w:rtl/>
        </w:rPr>
        <w:t>טליארו והשלכות ההוכחה, ולאחר ששקל את המבחן החיצוני אף הוא על שני חלקיו, גישת המדע</w:t>
      </w:r>
    </w:p>
    <w:p w14:paraId="5B32A018" w14:textId="77777777" w:rsidR="004F5CAB" w:rsidRDefault="0014129C" w:rsidP="004D2EE3">
      <w:pPr>
        <w:keepNext/>
        <w:spacing w:after="0" w:line="360" w:lineRule="auto"/>
        <w:rPr>
          <w:rFonts w:ascii="David" w:hAnsi="David" w:cs="David" w:hint="cs"/>
          <w:sz w:val="24"/>
          <w:szCs w:val="24"/>
          <w:rtl/>
        </w:rPr>
      </w:pPr>
      <w:r w:rsidRPr="0014129C">
        <w:rPr>
          <w:rFonts w:ascii="David" w:hAnsi="David" w:cs="David"/>
          <w:color w:val="FFFFFF"/>
          <w:sz w:val="2"/>
          <w:szCs w:val="2"/>
          <w:rtl/>
        </w:rPr>
        <w:t>5129371</w:t>
      </w:r>
      <w:r w:rsidR="004F5CAB" w:rsidRPr="00F75011">
        <w:rPr>
          <w:rFonts w:ascii="David" w:hAnsi="David" w:cs="David"/>
          <w:sz w:val="24"/>
          <w:szCs w:val="24"/>
          <w:rtl/>
        </w:rPr>
        <w:t>והביקורת השיפוטית, הג</w:t>
      </w:r>
      <w:r w:rsidR="004F5CAB">
        <w:rPr>
          <w:rFonts w:ascii="David" w:hAnsi="David" w:cs="David"/>
          <w:sz w:val="24"/>
          <w:szCs w:val="24"/>
          <w:rtl/>
        </w:rPr>
        <w:t>י</w:t>
      </w:r>
      <w:r w:rsidR="004F5CAB" w:rsidRPr="00F75011">
        <w:rPr>
          <w:rFonts w:ascii="David" w:hAnsi="David" w:cs="David"/>
          <w:sz w:val="24"/>
          <w:szCs w:val="24"/>
          <w:rtl/>
        </w:rPr>
        <w:t>ע לכלל מסקנה כי חוות הדעת שערך פרופ' טליארו קבילה כראיה, זאת לאחר שהוכח בפני</w:t>
      </w:r>
      <w:r w:rsidR="004F5CAB">
        <w:rPr>
          <w:rFonts w:ascii="David" w:hAnsi="David" w:cs="David"/>
          <w:sz w:val="24"/>
          <w:szCs w:val="24"/>
          <w:rtl/>
        </w:rPr>
        <w:t>ו</w:t>
      </w:r>
      <w:r w:rsidR="004F5CAB" w:rsidRPr="00F75011">
        <w:rPr>
          <w:rFonts w:ascii="David" w:hAnsi="David" w:cs="David"/>
          <w:sz w:val="24"/>
          <w:szCs w:val="24"/>
          <w:rtl/>
        </w:rPr>
        <w:t xml:space="preserve"> כי המדובר בטכניקה מדעית מקובלת ו</w:t>
      </w:r>
      <w:r w:rsidR="004F5CAB">
        <w:rPr>
          <w:rFonts w:ascii="David" w:hAnsi="David" w:cs="David"/>
          <w:sz w:val="24"/>
          <w:szCs w:val="24"/>
          <w:rtl/>
        </w:rPr>
        <w:t>מצוטטת רבות בפסיקה המשווה.</w:t>
      </w:r>
      <w:r w:rsidR="004F5CAB" w:rsidRPr="00F75011">
        <w:rPr>
          <w:rFonts w:ascii="David" w:hAnsi="David" w:cs="David"/>
          <w:sz w:val="24"/>
          <w:szCs w:val="24"/>
          <w:rtl/>
        </w:rPr>
        <w:t xml:space="preserve"> שיטות רבות בעולם, מחקרים רבים ואף בתי המשפט בעולם, הכירו בכשרותה ודומה כי בדיקת השיער לגילוי חשיפה לסמים, מאופיינת במרכיבים, ממצאים  וניתוחים שונים העונים על דרישת קבילותה כראיה מדעית ועל כן מצא </w:t>
      </w:r>
      <w:r w:rsidR="004F5CAB">
        <w:rPr>
          <w:rFonts w:ascii="David" w:hAnsi="David" w:cs="David"/>
          <w:sz w:val="24"/>
          <w:szCs w:val="24"/>
          <w:rtl/>
        </w:rPr>
        <w:t xml:space="preserve">בית המשפט, </w:t>
      </w:r>
      <w:r w:rsidR="004F5CAB" w:rsidRPr="00F75011">
        <w:rPr>
          <w:rFonts w:ascii="David" w:hAnsi="David" w:cs="David"/>
          <w:sz w:val="24"/>
          <w:szCs w:val="24"/>
          <w:rtl/>
        </w:rPr>
        <w:t xml:space="preserve">לקבוע כי היא עברה את "מבחני האש" והפכה לקבילה. </w:t>
      </w:r>
    </w:p>
    <w:p w14:paraId="40349E8C" w14:textId="77777777" w:rsidR="0014129C" w:rsidRPr="0014129C" w:rsidRDefault="0014129C" w:rsidP="004D2EE3">
      <w:pPr>
        <w:keepNext/>
        <w:spacing w:after="0" w:line="360" w:lineRule="auto"/>
        <w:rPr>
          <w:rFonts w:ascii="David" w:hAnsi="David" w:cs="David" w:hint="cs"/>
          <w:color w:val="FFFFFF"/>
          <w:sz w:val="2"/>
          <w:szCs w:val="2"/>
          <w:rtl/>
        </w:rPr>
      </w:pPr>
      <w:r w:rsidRPr="0014129C">
        <w:rPr>
          <w:rFonts w:ascii="David" w:hAnsi="David" w:cs="David"/>
          <w:color w:val="FFFFFF"/>
          <w:sz w:val="2"/>
          <w:szCs w:val="2"/>
          <w:rtl/>
        </w:rPr>
        <w:t>54678313</w:t>
      </w:r>
    </w:p>
    <w:p w14:paraId="3DB334EE" w14:textId="77777777" w:rsidR="004D2EE3" w:rsidRDefault="004D2EE3" w:rsidP="004D2EE3">
      <w:pPr>
        <w:spacing w:line="360" w:lineRule="auto"/>
        <w:rPr>
          <w:rFonts w:ascii="David" w:hAnsi="David" w:cs="David"/>
          <w:sz w:val="24"/>
          <w:szCs w:val="24"/>
          <w:rtl/>
        </w:rPr>
      </w:pPr>
    </w:p>
    <w:p w14:paraId="1F0260A9" w14:textId="77777777" w:rsidR="004D2EE3" w:rsidRDefault="004D2EE3" w:rsidP="004D2EE3">
      <w:pPr>
        <w:spacing w:line="360" w:lineRule="auto"/>
        <w:jc w:val="center"/>
        <w:rPr>
          <w:rFonts w:ascii="David" w:hAnsi="David" w:cs="David"/>
          <w:color w:val="0000FF"/>
          <w:sz w:val="24"/>
          <w:szCs w:val="24"/>
          <w:u w:val="single"/>
          <w:rtl/>
        </w:rPr>
      </w:pPr>
      <w:hyperlink r:id="rId33" w:history="1">
        <w:r>
          <w:rPr>
            <w:rFonts w:ascii="David" w:hAnsi="David" w:cs="David"/>
            <w:color w:val="0000FF"/>
            <w:sz w:val="24"/>
            <w:szCs w:val="24"/>
            <w:u w:val="single"/>
            <w:rtl/>
          </w:rPr>
          <w:t>בעניין עריכה ושינויים במסמכי פסיקה, חקיקה ועוד באתר נבו – הקש כאן</w:t>
        </w:r>
      </w:hyperlink>
    </w:p>
    <w:p w14:paraId="3942F0D6" w14:textId="77777777" w:rsidR="0014129C" w:rsidRPr="0014129C" w:rsidRDefault="0014129C" w:rsidP="0014129C">
      <w:pPr>
        <w:keepNext/>
        <w:spacing w:after="0" w:line="360" w:lineRule="auto"/>
        <w:rPr>
          <w:rFonts w:ascii="David" w:hAnsi="David" w:cs="David"/>
          <w:color w:val="000000"/>
          <w:rtl/>
        </w:rPr>
      </w:pPr>
    </w:p>
    <w:p w14:paraId="581E197B" w14:textId="77777777" w:rsidR="0014129C" w:rsidRPr="0014129C" w:rsidRDefault="0014129C" w:rsidP="0014129C">
      <w:pPr>
        <w:keepNext/>
        <w:spacing w:after="0" w:line="360" w:lineRule="auto"/>
        <w:rPr>
          <w:rFonts w:ascii="David" w:hAnsi="David" w:cs="David"/>
          <w:color w:val="000000"/>
          <w:rtl/>
        </w:rPr>
      </w:pPr>
      <w:r w:rsidRPr="0014129C">
        <w:rPr>
          <w:rFonts w:ascii="David" w:hAnsi="David" w:cs="David"/>
          <w:color w:val="000000"/>
          <w:rtl/>
        </w:rPr>
        <w:t>חנא סבאג 54678313-/</w:t>
      </w:r>
    </w:p>
    <w:p w14:paraId="15C4786D" w14:textId="77777777" w:rsidR="004D2EE3" w:rsidRPr="004D2EE3" w:rsidRDefault="0014129C" w:rsidP="0014129C">
      <w:pPr>
        <w:spacing w:line="360" w:lineRule="auto"/>
        <w:rPr>
          <w:rFonts w:ascii="David" w:hAnsi="David" w:cs="David"/>
          <w:color w:val="0000FF"/>
          <w:sz w:val="24"/>
          <w:szCs w:val="24"/>
          <w:u w:val="single"/>
          <w:rtl/>
        </w:rPr>
      </w:pPr>
      <w:r w:rsidRPr="0014129C">
        <w:rPr>
          <w:rFonts w:ascii="David" w:hAnsi="David" w:cs="David"/>
          <w:color w:val="000000"/>
          <w:sz w:val="24"/>
          <w:szCs w:val="24"/>
          <w:u w:val="single"/>
          <w:rtl/>
        </w:rPr>
        <w:t>נוסח מסמך זה כפוף לשינויי ניסוח ועריכה</w:t>
      </w:r>
    </w:p>
    <w:sectPr w:rsidR="004D2EE3" w:rsidRPr="004D2EE3" w:rsidSect="0014129C">
      <w:headerReference w:type="even" r:id="rId34"/>
      <w:headerReference w:type="default" r:id="rId35"/>
      <w:footerReference w:type="even" r:id="rId36"/>
      <w:footerReference w:type="default" r:id="rId37"/>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A557" w14:textId="77777777" w:rsidR="004045B9" w:rsidRDefault="004045B9" w:rsidP="00925B69">
      <w:pPr>
        <w:spacing w:after="0" w:line="240" w:lineRule="auto"/>
      </w:pPr>
      <w:r>
        <w:separator/>
      </w:r>
    </w:p>
  </w:endnote>
  <w:endnote w:type="continuationSeparator" w:id="0">
    <w:p w14:paraId="3B3002FF" w14:textId="77777777" w:rsidR="004045B9" w:rsidRDefault="004045B9" w:rsidP="0092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78AE" w14:textId="77777777" w:rsidR="0014129C" w:rsidRDefault="0014129C" w:rsidP="0014129C">
    <w:pPr>
      <w:pStyle w:val="Footer"/>
      <w:jc w:val="center"/>
      <w:rPr>
        <w:rFonts w:ascii="FrankRuehl" w:hAnsi="FrankRuehl" w:cs="FrankRuehl"/>
        <w:sz w:val="24"/>
        <w:szCs w:val="24"/>
        <w:rtl/>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1</w:t>
    </w:r>
    <w:r>
      <w:rPr>
        <w:rFonts w:ascii="FrankRuehl" w:hAnsi="FrankRuehl" w:cs="FrankRuehl"/>
        <w:sz w:val="24"/>
        <w:szCs w:val="24"/>
        <w:rtl/>
      </w:rPr>
      <w:fldChar w:fldCharType="end"/>
    </w:r>
  </w:p>
  <w:p w14:paraId="48BD8F8A" w14:textId="77777777" w:rsidR="004D2EE3" w:rsidRPr="0014129C" w:rsidRDefault="0014129C" w:rsidP="0014129C">
    <w:pPr>
      <w:pStyle w:val="Footer"/>
      <w:pBdr>
        <w:top w:val="single" w:sz="4" w:space="1" w:color="auto"/>
        <w:between w:val="single" w:sz="4" w:space="0" w:color="auto"/>
      </w:pBdr>
      <w:spacing w:after="60"/>
      <w:jc w:val="center"/>
      <w:rPr>
        <w:rFonts w:ascii="FrankRuehl" w:hAnsi="FrankRuehl" w:cs="FrankRuehl"/>
        <w:color w:val="000000"/>
        <w:sz w:val="24"/>
        <w:szCs w:val="24"/>
      </w:rPr>
    </w:pPr>
    <w:r w:rsidRPr="0014129C">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85C6" w14:textId="77777777" w:rsidR="0014129C" w:rsidRDefault="0014129C" w:rsidP="0014129C">
    <w:pPr>
      <w:pStyle w:val="Footer"/>
      <w:jc w:val="center"/>
      <w:rPr>
        <w:rFonts w:ascii="FrankRuehl" w:hAnsi="FrankRuehl" w:cs="FrankRuehl"/>
        <w:sz w:val="24"/>
        <w:szCs w:val="24"/>
        <w:rtl/>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992DB9">
      <w:rPr>
        <w:rFonts w:ascii="FrankRuehl" w:hAnsi="FrankRuehl" w:cs="FrankRuehl"/>
        <w:noProof/>
        <w:sz w:val="24"/>
        <w:szCs w:val="24"/>
        <w:rtl/>
      </w:rPr>
      <w:t>1</w:t>
    </w:r>
    <w:r>
      <w:rPr>
        <w:rFonts w:ascii="FrankRuehl" w:hAnsi="FrankRuehl" w:cs="FrankRuehl"/>
        <w:sz w:val="24"/>
        <w:szCs w:val="24"/>
        <w:rtl/>
      </w:rPr>
      <w:fldChar w:fldCharType="end"/>
    </w:r>
  </w:p>
  <w:p w14:paraId="6545D93D" w14:textId="77777777" w:rsidR="004F5CAB" w:rsidRPr="0014129C" w:rsidRDefault="0014129C" w:rsidP="0014129C">
    <w:pPr>
      <w:pStyle w:val="Footer"/>
      <w:pBdr>
        <w:top w:val="single" w:sz="4" w:space="1" w:color="auto"/>
        <w:between w:val="single" w:sz="4" w:space="0" w:color="auto"/>
      </w:pBdr>
      <w:spacing w:after="60"/>
      <w:jc w:val="center"/>
      <w:rPr>
        <w:rFonts w:ascii="FrankRuehl" w:hAnsi="FrankRuehl" w:cs="FrankRuehl"/>
        <w:color w:val="000000"/>
        <w:sz w:val="24"/>
        <w:szCs w:val="24"/>
      </w:rPr>
    </w:pPr>
    <w:r w:rsidRPr="0014129C">
      <w:rPr>
        <w:rFonts w:ascii="FrankRuehl" w:hAnsi="FrankRuehl" w:cs="FrankRuehl"/>
        <w:color w:val="000000"/>
        <w:sz w:val="24"/>
        <w:szCs w:val="24"/>
      </w:rPr>
      <w:pict w14:anchorId="0D89A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A0ED" w14:textId="77777777" w:rsidR="004045B9" w:rsidRDefault="004045B9" w:rsidP="00925B69">
      <w:pPr>
        <w:spacing w:after="0" w:line="240" w:lineRule="auto"/>
      </w:pPr>
      <w:r>
        <w:separator/>
      </w:r>
    </w:p>
  </w:footnote>
  <w:footnote w:type="continuationSeparator" w:id="0">
    <w:p w14:paraId="298A3803" w14:textId="77777777" w:rsidR="004045B9" w:rsidRDefault="004045B9" w:rsidP="00925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90AE" w14:textId="77777777" w:rsidR="004D2EE3" w:rsidRPr="0014129C" w:rsidRDefault="0014129C" w:rsidP="0014129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8398-12-16</w:t>
    </w:r>
    <w:r>
      <w:rPr>
        <w:color w:val="000000"/>
        <w:sz w:val="22"/>
        <w:szCs w:val="22"/>
        <w:rtl/>
      </w:rPr>
      <w:tab/>
      <w:t xml:space="preserve"> מדינת ישראל נ' שמואל בן אבו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5F9D" w14:textId="77777777" w:rsidR="004D2EE3" w:rsidRPr="0014129C" w:rsidRDefault="0014129C" w:rsidP="0014129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8398-12-16</w:t>
    </w:r>
    <w:r>
      <w:rPr>
        <w:color w:val="000000"/>
        <w:sz w:val="22"/>
        <w:szCs w:val="22"/>
        <w:rtl/>
      </w:rPr>
      <w:tab/>
      <w:t xml:space="preserve"> מדינת ישראל נ' שמואל בן אבו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D88033C"/>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08A6001B"/>
    <w:multiLevelType w:val="hybridMultilevel"/>
    <w:tmpl w:val="D8B40088"/>
    <w:lvl w:ilvl="0" w:tplc="983A8CBE">
      <w:start w:val="1"/>
      <w:numFmt w:val="decimal"/>
      <w:pStyle w:val="Ruller4"/>
      <w:lvlText w:val="%1."/>
      <w:lvlJc w:val="left"/>
      <w:pPr>
        <w:tabs>
          <w:tab w:val="num" w:pos="907"/>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A04620F"/>
    <w:multiLevelType w:val="hybridMultilevel"/>
    <w:tmpl w:val="D18EEE8A"/>
    <w:lvl w:ilvl="0" w:tplc="AD60C7DC">
      <w:start w:val="1"/>
      <w:numFmt w:val="decimal"/>
      <w:lvlText w:val="%1."/>
      <w:lvlJc w:val="left"/>
      <w:pPr>
        <w:ind w:left="720" w:hanging="360"/>
      </w:pPr>
      <w:rPr>
        <w:rFonts w:ascii="Times New Roman" w:eastAsia="Times New Roman" w:hAnsi="Times New Roman"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A3460BC"/>
    <w:multiLevelType w:val="hybridMultilevel"/>
    <w:tmpl w:val="17906F04"/>
    <w:lvl w:ilvl="0" w:tplc="6C1249A2">
      <w:start w:val="1"/>
      <w:numFmt w:val="decimal"/>
      <w:lvlText w:val="%1."/>
      <w:lvlJc w:val="left"/>
      <w:pPr>
        <w:tabs>
          <w:tab w:val="num" w:pos="720"/>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15:restartNumberingAfterBreak="0">
    <w:nsid w:val="20587840"/>
    <w:multiLevelType w:val="hybridMultilevel"/>
    <w:tmpl w:val="A9A250B6"/>
    <w:lvl w:ilvl="0" w:tplc="77B86C2C">
      <w:start w:val="1"/>
      <w:numFmt w:val="decimal"/>
      <w:lvlText w:val="%1."/>
      <w:lvlJc w:val="left"/>
      <w:pPr>
        <w:ind w:left="720" w:hanging="360"/>
      </w:pPr>
      <w:rPr>
        <w:rFonts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28D3862"/>
    <w:multiLevelType w:val="hybridMultilevel"/>
    <w:tmpl w:val="4C4C95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45C1E14"/>
    <w:multiLevelType w:val="hybridMultilevel"/>
    <w:tmpl w:val="B0CE56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ABB0DAA"/>
    <w:multiLevelType w:val="hybridMultilevel"/>
    <w:tmpl w:val="DFAC541A"/>
    <w:lvl w:ilvl="0" w:tplc="C1C40104">
      <w:start w:val="1"/>
      <w:numFmt w:val="hebrew1"/>
      <w:lvlText w:val="%1."/>
      <w:lvlJc w:val="left"/>
      <w:pPr>
        <w:tabs>
          <w:tab w:val="num" w:pos="794"/>
        </w:tabs>
      </w:pPr>
      <w:rPr>
        <w:rFonts w:ascii="Century" w:hAnsi="Century" w:cs="FrankRuehl" w:hint="default"/>
        <w:b w:val="0"/>
        <w:bCs w:val="0"/>
        <w:i w:val="0"/>
        <w:iCs w:val="0"/>
        <w:caps w:val="0"/>
        <w:smallCaps w:val="0"/>
        <w:strike w:val="0"/>
        <w:dstrike w:val="0"/>
        <w:outline w:val="0"/>
        <w:shadow w:val="0"/>
        <w:emboss w:val="0"/>
        <w:imprint w:val="0"/>
        <w:vanish w:val="0"/>
        <w:color w:val="auto"/>
        <w:spacing w:val="10"/>
        <w:w w:val="100"/>
        <w:kern w:val="0"/>
        <w:position w:val="0"/>
        <w:sz w:val="22"/>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15:restartNumberingAfterBreak="0">
    <w:nsid w:val="2E3C6C00"/>
    <w:multiLevelType w:val="hybridMultilevel"/>
    <w:tmpl w:val="363604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39C314D"/>
    <w:multiLevelType w:val="hybridMultilevel"/>
    <w:tmpl w:val="CDA01038"/>
    <w:lvl w:ilvl="0" w:tplc="7CD0C624">
      <w:start w:val="1"/>
      <w:numFmt w:val="hebrew1"/>
      <w:lvlText w:val="%1."/>
      <w:lvlJc w:val="left"/>
      <w:pPr>
        <w:ind w:left="662" w:hanging="360"/>
      </w:pPr>
      <w:rPr>
        <w:rFonts w:cs="David" w:hint="default"/>
        <w:szCs w:val="22"/>
      </w:rPr>
    </w:lvl>
    <w:lvl w:ilvl="1" w:tplc="04090019" w:tentative="1">
      <w:start w:val="1"/>
      <w:numFmt w:val="lowerLetter"/>
      <w:lvlText w:val="%2."/>
      <w:lvlJc w:val="left"/>
      <w:pPr>
        <w:ind w:left="1382" w:hanging="360"/>
      </w:pPr>
      <w:rPr>
        <w:rFonts w:cs="Times New Roman"/>
      </w:rPr>
    </w:lvl>
    <w:lvl w:ilvl="2" w:tplc="0409001B" w:tentative="1">
      <w:start w:val="1"/>
      <w:numFmt w:val="lowerRoman"/>
      <w:lvlText w:val="%3."/>
      <w:lvlJc w:val="right"/>
      <w:pPr>
        <w:ind w:left="2102" w:hanging="180"/>
      </w:pPr>
      <w:rPr>
        <w:rFonts w:cs="Times New Roman"/>
      </w:rPr>
    </w:lvl>
    <w:lvl w:ilvl="3" w:tplc="0409000F" w:tentative="1">
      <w:start w:val="1"/>
      <w:numFmt w:val="decimal"/>
      <w:lvlText w:val="%4."/>
      <w:lvlJc w:val="left"/>
      <w:pPr>
        <w:ind w:left="2822" w:hanging="360"/>
      </w:pPr>
      <w:rPr>
        <w:rFonts w:cs="Times New Roman"/>
      </w:rPr>
    </w:lvl>
    <w:lvl w:ilvl="4" w:tplc="04090019" w:tentative="1">
      <w:start w:val="1"/>
      <w:numFmt w:val="lowerLetter"/>
      <w:lvlText w:val="%5."/>
      <w:lvlJc w:val="left"/>
      <w:pPr>
        <w:ind w:left="3542" w:hanging="360"/>
      </w:pPr>
      <w:rPr>
        <w:rFonts w:cs="Times New Roman"/>
      </w:rPr>
    </w:lvl>
    <w:lvl w:ilvl="5" w:tplc="0409001B" w:tentative="1">
      <w:start w:val="1"/>
      <w:numFmt w:val="lowerRoman"/>
      <w:lvlText w:val="%6."/>
      <w:lvlJc w:val="right"/>
      <w:pPr>
        <w:ind w:left="4262" w:hanging="180"/>
      </w:pPr>
      <w:rPr>
        <w:rFonts w:cs="Times New Roman"/>
      </w:rPr>
    </w:lvl>
    <w:lvl w:ilvl="6" w:tplc="0409000F" w:tentative="1">
      <w:start w:val="1"/>
      <w:numFmt w:val="decimal"/>
      <w:lvlText w:val="%7."/>
      <w:lvlJc w:val="left"/>
      <w:pPr>
        <w:ind w:left="4982" w:hanging="360"/>
      </w:pPr>
      <w:rPr>
        <w:rFonts w:cs="Times New Roman"/>
      </w:rPr>
    </w:lvl>
    <w:lvl w:ilvl="7" w:tplc="04090019" w:tentative="1">
      <w:start w:val="1"/>
      <w:numFmt w:val="lowerLetter"/>
      <w:lvlText w:val="%8."/>
      <w:lvlJc w:val="left"/>
      <w:pPr>
        <w:ind w:left="5702" w:hanging="360"/>
      </w:pPr>
      <w:rPr>
        <w:rFonts w:cs="Times New Roman"/>
      </w:rPr>
    </w:lvl>
    <w:lvl w:ilvl="8" w:tplc="0409001B" w:tentative="1">
      <w:start w:val="1"/>
      <w:numFmt w:val="lowerRoman"/>
      <w:lvlText w:val="%9."/>
      <w:lvlJc w:val="right"/>
      <w:pPr>
        <w:ind w:left="6422" w:hanging="180"/>
      </w:pPr>
      <w:rPr>
        <w:rFonts w:cs="Times New Roman"/>
      </w:rPr>
    </w:lvl>
  </w:abstractNum>
  <w:abstractNum w:abstractNumId="10" w15:restartNumberingAfterBreak="0">
    <w:nsid w:val="341E1F84"/>
    <w:multiLevelType w:val="hybridMultilevel"/>
    <w:tmpl w:val="C23E6A90"/>
    <w:lvl w:ilvl="0" w:tplc="90B85D40">
      <w:start w:val="1"/>
      <w:numFmt w:val="hebrew1"/>
      <w:lvlText w:val="%1."/>
      <w:lvlJc w:val="left"/>
      <w:pPr>
        <w:ind w:left="720" w:hanging="360"/>
      </w:pPr>
      <w:rPr>
        <w:rFonts w:cs="David" w:hint="default"/>
        <w:b/>
        <w:bCs/>
        <w:sz w:val="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248165A"/>
    <w:multiLevelType w:val="hybridMultilevel"/>
    <w:tmpl w:val="8D8469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6EE4A26"/>
    <w:multiLevelType w:val="hybridMultilevel"/>
    <w:tmpl w:val="452E56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EF26C19"/>
    <w:multiLevelType w:val="multilevel"/>
    <w:tmpl w:val="DC425322"/>
    <w:lvl w:ilvl="0">
      <w:start w:val="1"/>
      <w:numFmt w:val="decimal"/>
      <w:lvlText w:val="%1."/>
      <w:lvlJc w:val="left"/>
      <w:pPr>
        <w:ind w:left="142"/>
      </w:pPr>
      <w:rPr>
        <w:rFonts w:ascii="David" w:hAnsi="David" w:cs="David" w:hint="cs"/>
        <w:b/>
        <w:bCs w:val="0"/>
        <w:sz w:val="24"/>
        <w:szCs w:val="24"/>
      </w:rPr>
    </w:lvl>
    <w:lvl w:ilvl="1">
      <w:start w:val="1"/>
      <w:numFmt w:val="decimal"/>
      <w:isLgl/>
      <w:lvlText w:val="%1.%2"/>
      <w:lvlJc w:val="left"/>
      <w:rPr>
        <w:rFonts w:cs="Times New Roman"/>
      </w:rPr>
    </w:lvl>
    <w:lvl w:ilvl="2">
      <w:start w:val="1"/>
      <w:numFmt w:val="decimal"/>
      <w:isLgl/>
      <w:lvlText w:val="%1.%2.%3"/>
      <w:lvlJc w:val="left"/>
      <w:pPr>
        <w:ind w:left="-113"/>
      </w:pPr>
      <w:rPr>
        <w:rFonts w:cs="Times New Roman"/>
      </w:rPr>
    </w:lvl>
    <w:lvl w:ilvl="3">
      <w:start w:val="1"/>
      <w:numFmt w:val="decimal"/>
      <w:isLgl/>
      <w:lvlText w:val="%1.%2.%3.%4"/>
      <w:lvlJc w:val="left"/>
      <w:pPr>
        <w:ind w:left="-226"/>
      </w:pPr>
      <w:rPr>
        <w:rFonts w:cs="Times New Roman"/>
      </w:rPr>
    </w:lvl>
    <w:lvl w:ilvl="4">
      <w:start w:val="1"/>
      <w:numFmt w:val="decimal"/>
      <w:isLgl/>
      <w:lvlText w:val="%1.%2.%3.%4.%5"/>
      <w:lvlJc w:val="left"/>
      <w:pPr>
        <w:ind w:left="-339"/>
      </w:pPr>
      <w:rPr>
        <w:rFonts w:cs="Times New Roman"/>
      </w:rPr>
    </w:lvl>
    <w:lvl w:ilvl="5">
      <w:start w:val="1"/>
      <w:numFmt w:val="decimal"/>
      <w:isLgl/>
      <w:lvlText w:val="%1.%2.%3.%4.%5.%6"/>
      <w:lvlJc w:val="left"/>
      <w:pPr>
        <w:ind w:left="-452"/>
      </w:pPr>
      <w:rPr>
        <w:rFonts w:cs="Times New Roman"/>
      </w:rPr>
    </w:lvl>
    <w:lvl w:ilvl="6">
      <w:start w:val="1"/>
      <w:numFmt w:val="decimal"/>
      <w:isLgl/>
      <w:lvlText w:val="%1.%2.%3.%4.%5.%6.%7"/>
      <w:lvlJc w:val="left"/>
      <w:pPr>
        <w:ind w:left="-565"/>
      </w:pPr>
      <w:rPr>
        <w:rFonts w:cs="Times New Roman"/>
      </w:rPr>
    </w:lvl>
    <w:lvl w:ilvl="7">
      <w:start w:val="1"/>
      <w:numFmt w:val="decimal"/>
      <w:isLgl/>
      <w:lvlText w:val="%1.%2.%3.%4.%5.%6.%7.%8"/>
      <w:lvlJc w:val="left"/>
      <w:pPr>
        <w:ind w:left="-678"/>
      </w:pPr>
      <w:rPr>
        <w:rFonts w:cs="Times New Roman"/>
      </w:rPr>
    </w:lvl>
    <w:lvl w:ilvl="8">
      <w:start w:val="1"/>
      <w:numFmt w:val="decimal"/>
      <w:isLgl/>
      <w:lvlText w:val="%1.%2.%3.%4.%5.%6.%7.%8.%9"/>
      <w:lvlJc w:val="left"/>
      <w:pPr>
        <w:ind w:left="-791"/>
      </w:pPr>
      <w:rPr>
        <w:rFonts w:cs="Times New Roman"/>
      </w:rPr>
    </w:lvl>
  </w:abstractNum>
  <w:abstractNum w:abstractNumId="14" w15:restartNumberingAfterBreak="0">
    <w:nsid w:val="4FE6017B"/>
    <w:multiLevelType w:val="hybridMultilevel"/>
    <w:tmpl w:val="682007F8"/>
    <w:lvl w:ilvl="0" w:tplc="33464CB0">
      <w:start w:val="1"/>
      <w:numFmt w:val="decimal"/>
      <w:lvlText w:val="%1."/>
      <w:lvlJc w:val="left"/>
      <w:pPr>
        <w:ind w:left="1004" w:hanging="720"/>
      </w:pPr>
      <w:rPr>
        <w:rFonts w:cs="David" w:hint="default"/>
        <w:b w:val="0"/>
        <w:bCs w:val="0"/>
        <w:sz w:val="24"/>
        <w:szCs w:val="24"/>
      </w:rPr>
    </w:lvl>
    <w:lvl w:ilvl="1" w:tplc="04090019">
      <w:start w:val="1"/>
      <w:numFmt w:val="lowerLetter"/>
      <w:lvlText w:val="%2."/>
      <w:lvlJc w:val="left"/>
      <w:pPr>
        <w:ind w:left="1800" w:hanging="360"/>
      </w:pPr>
      <w:rPr>
        <w:rFonts w:cs="Times New Roman"/>
      </w:rPr>
    </w:lvl>
    <w:lvl w:ilvl="2" w:tplc="EF9CBFA6">
      <w:start w:val="1"/>
      <w:numFmt w:val="hebrew1"/>
      <w:lvlText w:val="%3."/>
      <w:lvlJc w:val="left"/>
      <w:pPr>
        <w:ind w:left="3060" w:hanging="720"/>
      </w:pPr>
      <w:rPr>
        <w:rFonts w:cs="Times New Roman" w:hint="default"/>
        <w:szCs w:val="22"/>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528A4872"/>
    <w:multiLevelType w:val="hybridMultilevel"/>
    <w:tmpl w:val="F544DB38"/>
    <w:lvl w:ilvl="0" w:tplc="740214B4">
      <w:start w:val="1"/>
      <w:numFmt w:val="decimal"/>
      <w:lvlText w:val="%1."/>
      <w:lvlJc w:val="left"/>
      <w:pPr>
        <w:tabs>
          <w:tab w:val="num" w:pos="720"/>
        </w:tabs>
      </w:pPr>
      <w:rPr>
        <w:rFonts w:cs="Times New Roman"/>
      </w:rPr>
    </w:lvl>
    <w:lvl w:ilvl="1" w:tplc="DDFE067C">
      <w:start w:val="1"/>
      <w:numFmt w:val="decimal"/>
      <w:lvlText w:val="%2)"/>
      <w:lvlJc w:val="left"/>
      <w:pPr>
        <w:tabs>
          <w:tab w:val="num" w:pos="284"/>
        </w:tabs>
        <w:ind w:left="1418" w:hanging="284"/>
      </w:pPr>
      <w:rPr>
        <w:rFonts w:cs="Times New Roman"/>
      </w:rPr>
    </w:lvl>
    <w:lvl w:ilvl="2" w:tplc="0D6C69CC">
      <w:start w:val="1"/>
      <w:numFmt w:val="hebrew1"/>
      <w:lvlText w:val="%3."/>
      <w:lvlJc w:val="left"/>
      <w:pPr>
        <w:tabs>
          <w:tab w:val="num" w:pos="2340"/>
        </w:tabs>
        <w:ind w:left="2340" w:hanging="360"/>
      </w:pPr>
      <w:rPr>
        <w:rFonts w:cs="Miriam"/>
        <w:i/>
        <w:sz w:val="24"/>
        <w:szCs w:val="22"/>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15:restartNumberingAfterBreak="0">
    <w:nsid w:val="5D985AA9"/>
    <w:multiLevelType w:val="hybridMultilevel"/>
    <w:tmpl w:val="8CA05E34"/>
    <w:lvl w:ilvl="0" w:tplc="E14E3062">
      <w:start w:val="1"/>
      <w:numFmt w:val="decimal"/>
      <w:lvlText w:val="%1."/>
      <w:lvlJc w:val="left"/>
      <w:pPr>
        <w:ind w:left="720" w:hanging="360"/>
      </w:pPr>
      <w:rPr>
        <w:rFonts w:cs="Times New Roman" w:hint="default"/>
        <w:b w:val="0"/>
        <w:bCs w:val="0"/>
      </w:rPr>
    </w:lvl>
    <w:lvl w:ilvl="1" w:tplc="DDD25648">
      <w:start w:val="1"/>
      <w:numFmt w:val="hebrew1"/>
      <w:lvlText w:val="%2."/>
      <w:lvlJc w:val="left"/>
      <w:pPr>
        <w:ind w:left="1440" w:hanging="360"/>
      </w:pPr>
      <w:rPr>
        <w:rFonts w:cs="Times New Roman" w:hint="default"/>
        <w:b w:val="0"/>
        <w:bCs w:val="0"/>
        <w:szCs w:val="22"/>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D73243"/>
    <w:multiLevelType w:val="hybridMultilevel"/>
    <w:tmpl w:val="C92EA5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0C41138"/>
    <w:multiLevelType w:val="hybridMultilevel"/>
    <w:tmpl w:val="7F18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8227A"/>
    <w:multiLevelType w:val="hybridMultilevel"/>
    <w:tmpl w:val="CF628FCC"/>
    <w:lvl w:ilvl="0" w:tplc="0312168E">
      <w:start w:val="1"/>
      <w:numFmt w:val="decimal"/>
      <w:lvlText w:val="%1."/>
      <w:lvlJc w:val="left"/>
      <w:pPr>
        <w:tabs>
          <w:tab w:val="num" w:pos="746"/>
        </w:tabs>
        <w:ind w:left="746" w:hanging="360"/>
      </w:pPr>
      <w:rPr>
        <w:rFonts w:ascii="Arial" w:hAnsi="Arial" w:cs="Arial" w:hint="default"/>
        <w:b w:val="0"/>
        <w:bCs w:val="0"/>
        <w:sz w:val="24"/>
        <w:szCs w:val="24"/>
      </w:rPr>
    </w:lvl>
    <w:lvl w:ilvl="1" w:tplc="04090019">
      <w:start w:val="1"/>
      <w:numFmt w:val="lowerLetter"/>
      <w:lvlText w:val="%2."/>
      <w:lvlJc w:val="left"/>
      <w:pPr>
        <w:tabs>
          <w:tab w:val="num" w:pos="1466"/>
        </w:tabs>
        <w:ind w:left="1466"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15:restartNumberingAfterBreak="0">
    <w:nsid w:val="68054F33"/>
    <w:multiLevelType w:val="hybridMultilevel"/>
    <w:tmpl w:val="37F41C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5091B1B"/>
    <w:multiLevelType w:val="hybridMultilevel"/>
    <w:tmpl w:val="0A8A89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5FF0151"/>
    <w:multiLevelType w:val="hybridMultilevel"/>
    <w:tmpl w:val="70889A7E"/>
    <w:lvl w:ilvl="0" w:tplc="752C8798">
      <w:start w:val="1"/>
      <w:numFmt w:val="decimal"/>
      <w:lvlText w:val="%1."/>
      <w:lvlJc w:val="left"/>
      <w:pPr>
        <w:tabs>
          <w:tab w:val="num" w:pos="386"/>
        </w:tabs>
        <w:ind w:left="386" w:hanging="360"/>
      </w:pPr>
      <w:rPr>
        <w:rFonts w:cs="Times New Roman"/>
      </w:rPr>
    </w:lvl>
    <w:lvl w:ilvl="1" w:tplc="040D000F">
      <w:start w:val="1"/>
      <w:numFmt w:val="decimal"/>
      <w:lvlText w:val="%2."/>
      <w:lvlJc w:val="left"/>
      <w:pPr>
        <w:tabs>
          <w:tab w:val="num" w:pos="1106"/>
        </w:tabs>
        <w:ind w:left="1106"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num w:numId="1" w16cid:durableId="546727130">
    <w:abstractNumId w:val="0"/>
  </w:num>
  <w:num w:numId="2" w16cid:durableId="1521165368">
    <w:abstractNumId w:val="8"/>
  </w:num>
  <w:num w:numId="3" w16cid:durableId="902259132">
    <w:abstractNumId w:val="5"/>
  </w:num>
  <w:num w:numId="4" w16cid:durableId="1176503053">
    <w:abstractNumId w:val="11"/>
  </w:num>
  <w:num w:numId="5" w16cid:durableId="1174413344">
    <w:abstractNumId w:val="21"/>
  </w:num>
  <w:num w:numId="6" w16cid:durableId="358822426">
    <w:abstractNumId w:val="17"/>
  </w:num>
  <w:num w:numId="7" w16cid:durableId="1080299040">
    <w:abstractNumId w:val="6"/>
  </w:num>
  <w:num w:numId="8" w16cid:durableId="703922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838793">
    <w:abstractNumId w:val="0"/>
    <w:lvlOverride w:ilvl="0">
      <w:startOverride w:val="1"/>
    </w:lvlOverride>
  </w:num>
  <w:num w:numId="10" w16cid:durableId="2758727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18008188">
    <w:abstractNumId w:val="16"/>
  </w:num>
  <w:num w:numId="12" w16cid:durableId="510266954">
    <w:abstractNumId w:val="4"/>
  </w:num>
  <w:num w:numId="13" w16cid:durableId="1388648736">
    <w:abstractNumId w:val="9"/>
  </w:num>
  <w:num w:numId="14" w16cid:durableId="560944577">
    <w:abstractNumId w:val="10"/>
  </w:num>
  <w:num w:numId="15" w16cid:durableId="2663519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14781388">
    <w:abstractNumId w:val="20"/>
  </w:num>
  <w:num w:numId="17" w16cid:durableId="1724868606">
    <w:abstractNumId w:val="14"/>
  </w:num>
  <w:num w:numId="18" w16cid:durableId="11177187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1679651">
    <w:abstractNumId w:val="2"/>
  </w:num>
  <w:num w:numId="20" w16cid:durableId="1729113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52820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9821741">
    <w:abstractNumId w:val="12"/>
  </w:num>
  <w:num w:numId="23" w16cid:durableId="1117523367">
    <w:abstractNumId w:val="18"/>
  </w:num>
  <w:num w:numId="24" w16cid:durableId="196557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6A4A"/>
    <w:rsid w:val="00002F32"/>
    <w:rsid w:val="00012197"/>
    <w:rsid w:val="00015F85"/>
    <w:rsid w:val="0002129D"/>
    <w:rsid w:val="00023102"/>
    <w:rsid w:val="00025EB7"/>
    <w:rsid w:val="00036968"/>
    <w:rsid w:val="00040509"/>
    <w:rsid w:val="00050BAF"/>
    <w:rsid w:val="0005167F"/>
    <w:rsid w:val="000519E2"/>
    <w:rsid w:val="00056371"/>
    <w:rsid w:val="00066E5C"/>
    <w:rsid w:val="0008414A"/>
    <w:rsid w:val="000847B4"/>
    <w:rsid w:val="000875F3"/>
    <w:rsid w:val="000902F8"/>
    <w:rsid w:val="00097B3C"/>
    <w:rsid w:val="000A5407"/>
    <w:rsid w:val="000B2CB5"/>
    <w:rsid w:val="000C1937"/>
    <w:rsid w:val="000C6477"/>
    <w:rsid w:val="000D0B2F"/>
    <w:rsid w:val="000D7EA5"/>
    <w:rsid w:val="000E7E8A"/>
    <w:rsid w:val="000F59AA"/>
    <w:rsid w:val="001018C6"/>
    <w:rsid w:val="00115563"/>
    <w:rsid w:val="00115839"/>
    <w:rsid w:val="00115C89"/>
    <w:rsid w:val="0011728D"/>
    <w:rsid w:val="0012075F"/>
    <w:rsid w:val="00125AED"/>
    <w:rsid w:val="00125C97"/>
    <w:rsid w:val="00130F16"/>
    <w:rsid w:val="0013465E"/>
    <w:rsid w:val="0014129C"/>
    <w:rsid w:val="0015744D"/>
    <w:rsid w:val="001574A0"/>
    <w:rsid w:val="00165D13"/>
    <w:rsid w:val="00167154"/>
    <w:rsid w:val="00167349"/>
    <w:rsid w:val="00174D60"/>
    <w:rsid w:val="00177918"/>
    <w:rsid w:val="0019455F"/>
    <w:rsid w:val="001B17B6"/>
    <w:rsid w:val="001B25C9"/>
    <w:rsid w:val="001C29E4"/>
    <w:rsid w:val="001C2DBE"/>
    <w:rsid w:val="001D0968"/>
    <w:rsid w:val="001F1F16"/>
    <w:rsid w:val="001F4475"/>
    <w:rsid w:val="00201AAC"/>
    <w:rsid w:val="00204763"/>
    <w:rsid w:val="00204F2C"/>
    <w:rsid w:val="00214164"/>
    <w:rsid w:val="002161A1"/>
    <w:rsid w:val="00235B77"/>
    <w:rsid w:val="002436D8"/>
    <w:rsid w:val="0024413F"/>
    <w:rsid w:val="00250FA6"/>
    <w:rsid w:val="002524E4"/>
    <w:rsid w:val="00272AF9"/>
    <w:rsid w:val="00295184"/>
    <w:rsid w:val="002A5B47"/>
    <w:rsid w:val="002A6C09"/>
    <w:rsid w:val="002C266B"/>
    <w:rsid w:val="002C743E"/>
    <w:rsid w:val="002D7862"/>
    <w:rsid w:val="002F3415"/>
    <w:rsid w:val="002F775E"/>
    <w:rsid w:val="00306C74"/>
    <w:rsid w:val="0031113D"/>
    <w:rsid w:val="0032426F"/>
    <w:rsid w:val="0032737C"/>
    <w:rsid w:val="0033054C"/>
    <w:rsid w:val="00336222"/>
    <w:rsid w:val="00361E29"/>
    <w:rsid w:val="00361EBD"/>
    <w:rsid w:val="00375FF9"/>
    <w:rsid w:val="00377086"/>
    <w:rsid w:val="0038059F"/>
    <w:rsid w:val="003919EE"/>
    <w:rsid w:val="003938C6"/>
    <w:rsid w:val="00393E18"/>
    <w:rsid w:val="00394A70"/>
    <w:rsid w:val="00395CA0"/>
    <w:rsid w:val="00396EC0"/>
    <w:rsid w:val="003A50EA"/>
    <w:rsid w:val="003B038B"/>
    <w:rsid w:val="003F0FF9"/>
    <w:rsid w:val="003F34B3"/>
    <w:rsid w:val="003F6417"/>
    <w:rsid w:val="00401059"/>
    <w:rsid w:val="004039CA"/>
    <w:rsid w:val="004045B9"/>
    <w:rsid w:val="00413E81"/>
    <w:rsid w:val="0043315B"/>
    <w:rsid w:val="00435081"/>
    <w:rsid w:val="00446A77"/>
    <w:rsid w:val="00447B7A"/>
    <w:rsid w:val="0045151D"/>
    <w:rsid w:val="00476821"/>
    <w:rsid w:val="00482AD2"/>
    <w:rsid w:val="00486B85"/>
    <w:rsid w:val="00492E8B"/>
    <w:rsid w:val="004A52E0"/>
    <w:rsid w:val="004A609A"/>
    <w:rsid w:val="004B3455"/>
    <w:rsid w:val="004C362B"/>
    <w:rsid w:val="004C5947"/>
    <w:rsid w:val="004C7375"/>
    <w:rsid w:val="004D2EE3"/>
    <w:rsid w:val="004D5BFE"/>
    <w:rsid w:val="004E7409"/>
    <w:rsid w:val="004F13DE"/>
    <w:rsid w:val="004F5CAB"/>
    <w:rsid w:val="004F6795"/>
    <w:rsid w:val="005162F5"/>
    <w:rsid w:val="005175EE"/>
    <w:rsid w:val="00520252"/>
    <w:rsid w:val="00530D4A"/>
    <w:rsid w:val="00544EE4"/>
    <w:rsid w:val="00546160"/>
    <w:rsid w:val="00555B6B"/>
    <w:rsid w:val="005734AE"/>
    <w:rsid w:val="0057749E"/>
    <w:rsid w:val="0059050D"/>
    <w:rsid w:val="00597258"/>
    <w:rsid w:val="005A383A"/>
    <w:rsid w:val="005A6A82"/>
    <w:rsid w:val="005C1BE7"/>
    <w:rsid w:val="005E4873"/>
    <w:rsid w:val="005F2262"/>
    <w:rsid w:val="005F72F6"/>
    <w:rsid w:val="00607D64"/>
    <w:rsid w:val="00611FF9"/>
    <w:rsid w:val="00612F6A"/>
    <w:rsid w:val="00616E1E"/>
    <w:rsid w:val="00620971"/>
    <w:rsid w:val="006314BF"/>
    <w:rsid w:val="00644779"/>
    <w:rsid w:val="006539EB"/>
    <w:rsid w:val="0065652A"/>
    <w:rsid w:val="00657AA9"/>
    <w:rsid w:val="00683B32"/>
    <w:rsid w:val="00691942"/>
    <w:rsid w:val="006A28C7"/>
    <w:rsid w:val="006B0F57"/>
    <w:rsid w:val="006C1059"/>
    <w:rsid w:val="006C5509"/>
    <w:rsid w:val="006D06A2"/>
    <w:rsid w:val="006E3E8F"/>
    <w:rsid w:val="006E6A28"/>
    <w:rsid w:val="006F2621"/>
    <w:rsid w:val="00701832"/>
    <w:rsid w:val="00712145"/>
    <w:rsid w:val="00714FA5"/>
    <w:rsid w:val="0071633B"/>
    <w:rsid w:val="00726B7D"/>
    <w:rsid w:val="0073688C"/>
    <w:rsid w:val="007405F0"/>
    <w:rsid w:val="00741088"/>
    <w:rsid w:val="00756A4A"/>
    <w:rsid w:val="00761739"/>
    <w:rsid w:val="007650F9"/>
    <w:rsid w:val="00786DA1"/>
    <w:rsid w:val="00796FE5"/>
    <w:rsid w:val="007A13BF"/>
    <w:rsid w:val="007A2067"/>
    <w:rsid w:val="007A44ED"/>
    <w:rsid w:val="007B2853"/>
    <w:rsid w:val="007F464F"/>
    <w:rsid w:val="0080403C"/>
    <w:rsid w:val="00824E09"/>
    <w:rsid w:val="00833552"/>
    <w:rsid w:val="0085168F"/>
    <w:rsid w:val="0085609F"/>
    <w:rsid w:val="00860291"/>
    <w:rsid w:val="008756DB"/>
    <w:rsid w:val="0087594B"/>
    <w:rsid w:val="00877C7C"/>
    <w:rsid w:val="00880040"/>
    <w:rsid w:val="0088694D"/>
    <w:rsid w:val="008939F3"/>
    <w:rsid w:val="008A2E24"/>
    <w:rsid w:val="008A346D"/>
    <w:rsid w:val="008A6D4C"/>
    <w:rsid w:val="008C2521"/>
    <w:rsid w:val="008E450C"/>
    <w:rsid w:val="008F3E4F"/>
    <w:rsid w:val="008F5336"/>
    <w:rsid w:val="00901ACF"/>
    <w:rsid w:val="00911ACD"/>
    <w:rsid w:val="00913451"/>
    <w:rsid w:val="00922C21"/>
    <w:rsid w:val="00925B69"/>
    <w:rsid w:val="009356DD"/>
    <w:rsid w:val="0093624D"/>
    <w:rsid w:val="009413F8"/>
    <w:rsid w:val="009419DE"/>
    <w:rsid w:val="00945F72"/>
    <w:rsid w:val="00951382"/>
    <w:rsid w:val="00952190"/>
    <w:rsid w:val="00952759"/>
    <w:rsid w:val="00954859"/>
    <w:rsid w:val="009663CF"/>
    <w:rsid w:val="00973292"/>
    <w:rsid w:val="0097464A"/>
    <w:rsid w:val="009769FF"/>
    <w:rsid w:val="00990BA3"/>
    <w:rsid w:val="009915C2"/>
    <w:rsid w:val="00992DB9"/>
    <w:rsid w:val="00993E6E"/>
    <w:rsid w:val="009952E8"/>
    <w:rsid w:val="009A6361"/>
    <w:rsid w:val="009C5982"/>
    <w:rsid w:val="009E1356"/>
    <w:rsid w:val="009E1B49"/>
    <w:rsid w:val="009E24A5"/>
    <w:rsid w:val="009E6DA9"/>
    <w:rsid w:val="009E75E6"/>
    <w:rsid w:val="009F3FC4"/>
    <w:rsid w:val="009F4E5A"/>
    <w:rsid w:val="009F71AB"/>
    <w:rsid w:val="009F7C90"/>
    <w:rsid w:val="00A0087D"/>
    <w:rsid w:val="00A10AD0"/>
    <w:rsid w:val="00A11687"/>
    <w:rsid w:val="00A12E97"/>
    <w:rsid w:val="00A167EE"/>
    <w:rsid w:val="00A174A2"/>
    <w:rsid w:val="00A3450D"/>
    <w:rsid w:val="00A4272E"/>
    <w:rsid w:val="00A43EDA"/>
    <w:rsid w:val="00A506A9"/>
    <w:rsid w:val="00A5266F"/>
    <w:rsid w:val="00A5377A"/>
    <w:rsid w:val="00A61CB4"/>
    <w:rsid w:val="00A62F56"/>
    <w:rsid w:val="00A74D17"/>
    <w:rsid w:val="00A904CC"/>
    <w:rsid w:val="00A94C16"/>
    <w:rsid w:val="00AA6196"/>
    <w:rsid w:val="00AB0DDF"/>
    <w:rsid w:val="00AC2807"/>
    <w:rsid w:val="00AD3F21"/>
    <w:rsid w:val="00AF7E41"/>
    <w:rsid w:val="00B4510F"/>
    <w:rsid w:val="00B50C67"/>
    <w:rsid w:val="00B51095"/>
    <w:rsid w:val="00B60751"/>
    <w:rsid w:val="00B61A70"/>
    <w:rsid w:val="00B61CE7"/>
    <w:rsid w:val="00B621A5"/>
    <w:rsid w:val="00B750E5"/>
    <w:rsid w:val="00BA3773"/>
    <w:rsid w:val="00BB20B2"/>
    <w:rsid w:val="00BB3157"/>
    <w:rsid w:val="00BC5F70"/>
    <w:rsid w:val="00BD4813"/>
    <w:rsid w:val="00BE1EBD"/>
    <w:rsid w:val="00BF26DA"/>
    <w:rsid w:val="00BF6079"/>
    <w:rsid w:val="00BF7E03"/>
    <w:rsid w:val="00C00FA9"/>
    <w:rsid w:val="00C0691B"/>
    <w:rsid w:val="00C15FEB"/>
    <w:rsid w:val="00C4275A"/>
    <w:rsid w:val="00C601C5"/>
    <w:rsid w:val="00C73060"/>
    <w:rsid w:val="00C77122"/>
    <w:rsid w:val="00C81030"/>
    <w:rsid w:val="00C825A3"/>
    <w:rsid w:val="00C84525"/>
    <w:rsid w:val="00C90ABE"/>
    <w:rsid w:val="00C94E1D"/>
    <w:rsid w:val="00CA235B"/>
    <w:rsid w:val="00CA4A3D"/>
    <w:rsid w:val="00CB0E35"/>
    <w:rsid w:val="00CC3BB4"/>
    <w:rsid w:val="00CD15C6"/>
    <w:rsid w:val="00CD2137"/>
    <w:rsid w:val="00CD7B89"/>
    <w:rsid w:val="00CE05A4"/>
    <w:rsid w:val="00D11C15"/>
    <w:rsid w:val="00D142F9"/>
    <w:rsid w:val="00D16E6D"/>
    <w:rsid w:val="00D20CD4"/>
    <w:rsid w:val="00D22FA6"/>
    <w:rsid w:val="00D256D5"/>
    <w:rsid w:val="00D31BE0"/>
    <w:rsid w:val="00D424A5"/>
    <w:rsid w:val="00D42B65"/>
    <w:rsid w:val="00D4680F"/>
    <w:rsid w:val="00D4798A"/>
    <w:rsid w:val="00D479F6"/>
    <w:rsid w:val="00D51FFD"/>
    <w:rsid w:val="00D658E5"/>
    <w:rsid w:val="00D6768E"/>
    <w:rsid w:val="00D7375E"/>
    <w:rsid w:val="00D84EB3"/>
    <w:rsid w:val="00D910CE"/>
    <w:rsid w:val="00DA2446"/>
    <w:rsid w:val="00DB0A15"/>
    <w:rsid w:val="00DB10AB"/>
    <w:rsid w:val="00DB56B7"/>
    <w:rsid w:val="00DC6FB8"/>
    <w:rsid w:val="00DD01F7"/>
    <w:rsid w:val="00DD43F6"/>
    <w:rsid w:val="00DF0D62"/>
    <w:rsid w:val="00DF428F"/>
    <w:rsid w:val="00E0423C"/>
    <w:rsid w:val="00E10481"/>
    <w:rsid w:val="00E13F58"/>
    <w:rsid w:val="00E16C62"/>
    <w:rsid w:val="00E2076F"/>
    <w:rsid w:val="00E329A3"/>
    <w:rsid w:val="00E6501E"/>
    <w:rsid w:val="00E70837"/>
    <w:rsid w:val="00E75145"/>
    <w:rsid w:val="00E76618"/>
    <w:rsid w:val="00E937E3"/>
    <w:rsid w:val="00EA583B"/>
    <w:rsid w:val="00EA7A92"/>
    <w:rsid w:val="00EB5868"/>
    <w:rsid w:val="00ED55D0"/>
    <w:rsid w:val="00EF37A4"/>
    <w:rsid w:val="00F10ECD"/>
    <w:rsid w:val="00F11F70"/>
    <w:rsid w:val="00F20F7F"/>
    <w:rsid w:val="00F23A16"/>
    <w:rsid w:val="00F24352"/>
    <w:rsid w:val="00F25E4B"/>
    <w:rsid w:val="00F33CDA"/>
    <w:rsid w:val="00F7189A"/>
    <w:rsid w:val="00F75011"/>
    <w:rsid w:val="00F80630"/>
    <w:rsid w:val="00F80FA1"/>
    <w:rsid w:val="00FA55B3"/>
    <w:rsid w:val="00FA6BCF"/>
    <w:rsid w:val="00FB075D"/>
    <w:rsid w:val="00FB491B"/>
    <w:rsid w:val="00FC4CE8"/>
    <w:rsid w:val="00FD193C"/>
    <w:rsid w:val="00FD73EC"/>
    <w:rsid w:val="00FE0F4D"/>
    <w:rsid w:val="00FE24C8"/>
    <w:rsid w:val="00FF0D9D"/>
    <w:rsid w:val="00FF10F2"/>
    <w:rsid w:val="00FF4B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D1154C"/>
  <w15:chartTrackingRefBased/>
  <w15:docId w15:val="{BD512C5C-FEBA-4E81-9C79-648CBFFC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caption" w:locked="1" w:semiHidden="1" w:unhideWhenUsed="1" w:qFormat="1"/>
    <w:lsdException w:name="List Number" w:locked="1"/>
    <w:lsdException w:name="Title" w:locked="1" w:qFormat="1"/>
    <w:lsdException w:name="Default Paragraph Font" w:locked="1"/>
    <w:lsdException w:name="Subtitle" w:locked="1" w:qFormat="1"/>
    <w:lsdException w:name="Hyperlink" w:locked="1"/>
    <w:lsdException w:name="Followed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A4A"/>
    <w:pPr>
      <w:bidi/>
      <w:spacing w:after="160" w:line="259" w:lineRule="auto"/>
    </w:pPr>
    <w:rPr>
      <w:rFonts w:eastAsia="Times New Roman"/>
      <w:sz w:val="22"/>
      <w:szCs w:val="22"/>
    </w:rPr>
  </w:style>
  <w:style w:type="paragraph" w:styleId="Heading1">
    <w:name w:val="heading 1"/>
    <w:basedOn w:val="Normal"/>
    <w:next w:val="Normal"/>
    <w:link w:val="Heading1Char"/>
    <w:qFormat/>
    <w:rsid w:val="0008414A"/>
    <w:pPr>
      <w:keepNext/>
      <w:keepLines/>
      <w:spacing w:before="240" w:after="0"/>
      <w:outlineLvl w:val="0"/>
    </w:pPr>
    <w:rPr>
      <w:rFonts w:ascii="Calibri Light" w:eastAsia="Calibri" w:hAnsi="Calibri Light" w:cs="Times New Roman"/>
      <w:color w:val="2E74B5"/>
      <w:sz w:val="32"/>
      <w:szCs w:val="32"/>
    </w:rPr>
  </w:style>
  <w:style w:type="paragraph" w:styleId="Heading4">
    <w:name w:val="heading 4"/>
    <w:basedOn w:val="Normal"/>
    <w:next w:val="Normal"/>
    <w:link w:val="Heading4Char"/>
    <w:qFormat/>
    <w:rsid w:val="009F71AB"/>
    <w:pPr>
      <w:keepNext/>
      <w:spacing w:after="0" w:line="360" w:lineRule="auto"/>
      <w:jc w:val="center"/>
      <w:outlineLvl w:val="3"/>
    </w:pPr>
    <w:rPr>
      <w:rFonts w:ascii="Times New Roman" w:eastAsia="Calibri" w:hAnsi="Times New Roman" w:cs="David"/>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qFormat/>
    <w:rsid w:val="00756A4A"/>
    <w:pPr>
      <w:bidi/>
    </w:pPr>
    <w:rPr>
      <w:rFonts w:eastAsia="Times New Roman"/>
      <w:sz w:val="22"/>
      <w:szCs w:val="22"/>
    </w:rPr>
  </w:style>
  <w:style w:type="character" w:styleId="Hyperlink">
    <w:name w:val="Hyperlink"/>
    <w:rsid w:val="00756A4A"/>
    <w:rPr>
      <w:rFonts w:cs="Times New Roman"/>
      <w:color w:val="0000FF"/>
      <w:u w:val="single"/>
    </w:rPr>
  </w:style>
  <w:style w:type="paragraph" w:customStyle="1" w:styleId="1">
    <w:name w:val="פיסקת רשימה1"/>
    <w:basedOn w:val="Normal"/>
    <w:rsid w:val="00756A4A"/>
    <w:pPr>
      <w:spacing w:after="0" w:line="240" w:lineRule="auto"/>
      <w:ind w:left="720"/>
      <w:contextualSpacing/>
    </w:pPr>
    <w:rPr>
      <w:rFonts w:ascii="Arial (W1)" w:eastAsia="Calibri" w:hAnsi="Arial (W1)" w:cs="David"/>
      <w:sz w:val="24"/>
      <w:szCs w:val="24"/>
    </w:rPr>
  </w:style>
  <w:style w:type="paragraph" w:customStyle="1" w:styleId="2">
    <w:name w:val="פיסקת רשימה2"/>
    <w:basedOn w:val="Normal"/>
    <w:rsid w:val="00756A4A"/>
    <w:pPr>
      <w:spacing w:after="0" w:line="240" w:lineRule="auto"/>
      <w:ind w:left="720"/>
      <w:contextualSpacing/>
    </w:pPr>
    <w:rPr>
      <w:rFonts w:ascii="Arial (W1)" w:eastAsia="Calibri" w:hAnsi="Arial (W1)" w:cs="David"/>
      <w:sz w:val="24"/>
      <w:szCs w:val="24"/>
    </w:rPr>
  </w:style>
  <w:style w:type="character" w:customStyle="1" w:styleId="Heading4Char">
    <w:name w:val="Heading 4 Char"/>
    <w:link w:val="Heading4"/>
    <w:locked/>
    <w:rsid w:val="009F71AB"/>
    <w:rPr>
      <w:rFonts w:ascii="Times New Roman" w:hAnsi="Times New Roman" w:cs="David"/>
      <w:b/>
      <w:bCs/>
      <w:sz w:val="28"/>
      <w:szCs w:val="28"/>
      <w:u w:val="single"/>
    </w:rPr>
  </w:style>
  <w:style w:type="paragraph" w:styleId="ListParagraph">
    <w:name w:val="List Paragraph"/>
    <w:basedOn w:val="Normal"/>
    <w:qFormat/>
    <w:rsid w:val="009F71AB"/>
    <w:pPr>
      <w:ind w:left="720"/>
      <w:contextualSpacing/>
    </w:pPr>
  </w:style>
  <w:style w:type="paragraph" w:customStyle="1" w:styleId="P00">
    <w:name w:val="P00"/>
    <w:rsid w:val="009F71A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hAnsi="Times New Roman" w:cs="Times New Roman"/>
      <w:noProof/>
      <w:szCs w:val="26"/>
      <w:lang w:eastAsia="he-IL"/>
    </w:rPr>
  </w:style>
  <w:style w:type="paragraph" w:styleId="Header">
    <w:name w:val="header"/>
    <w:basedOn w:val="Normal"/>
    <w:link w:val="HeaderChar"/>
    <w:rsid w:val="009F71AB"/>
    <w:pPr>
      <w:tabs>
        <w:tab w:val="center" w:pos="4153"/>
        <w:tab w:val="right" w:pos="8306"/>
      </w:tabs>
      <w:spacing w:after="0" w:line="240" w:lineRule="auto"/>
    </w:pPr>
    <w:rPr>
      <w:rFonts w:ascii="David" w:eastAsia="Calibri" w:hAnsi="David" w:cs="David"/>
      <w:sz w:val="24"/>
      <w:szCs w:val="24"/>
    </w:rPr>
  </w:style>
  <w:style w:type="character" w:customStyle="1" w:styleId="HeaderChar">
    <w:name w:val="Header Char"/>
    <w:link w:val="Header"/>
    <w:locked/>
    <w:rsid w:val="009F71AB"/>
    <w:rPr>
      <w:rFonts w:ascii="David" w:hAnsi="David" w:cs="David"/>
      <w:sz w:val="24"/>
      <w:szCs w:val="24"/>
    </w:rPr>
  </w:style>
  <w:style w:type="paragraph" w:customStyle="1" w:styleId="ecxmsonormal">
    <w:name w:val="ecxmsonormal"/>
    <w:basedOn w:val="Normal"/>
    <w:rsid w:val="009F71AB"/>
    <w:pPr>
      <w:bidi w:val="0"/>
      <w:spacing w:after="324" w:line="240" w:lineRule="auto"/>
    </w:pPr>
    <w:rPr>
      <w:rFonts w:ascii="Times New Roman" w:hAnsi="Times New Roman" w:cs="Times New Roman"/>
      <w:sz w:val="24"/>
      <w:szCs w:val="24"/>
    </w:rPr>
  </w:style>
  <w:style w:type="paragraph" w:styleId="Footer">
    <w:name w:val="footer"/>
    <w:basedOn w:val="Normal"/>
    <w:link w:val="FooterChar"/>
    <w:rsid w:val="009F71AB"/>
    <w:pPr>
      <w:tabs>
        <w:tab w:val="center" w:pos="4153"/>
        <w:tab w:val="right" w:pos="8306"/>
      </w:tabs>
      <w:spacing w:after="0" w:line="240" w:lineRule="auto"/>
    </w:pPr>
  </w:style>
  <w:style w:type="character" w:customStyle="1" w:styleId="FooterChar">
    <w:name w:val="Footer Char"/>
    <w:link w:val="Footer"/>
    <w:locked/>
    <w:rsid w:val="009F71AB"/>
    <w:rPr>
      <w:rFonts w:cs="Times New Roman"/>
    </w:rPr>
  </w:style>
  <w:style w:type="paragraph" w:styleId="BalloonText">
    <w:name w:val="Balloon Text"/>
    <w:basedOn w:val="Normal"/>
    <w:link w:val="BalloonTextChar"/>
    <w:semiHidden/>
    <w:rsid w:val="009F71AB"/>
    <w:pPr>
      <w:spacing w:after="0" w:line="240" w:lineRule="auto"/>
    </w:pPr>
    <w:rPr>
      <w:rFonts w:ascii="Tahoma" w:hAnsi="Tahoma" w:cs="Tahoma"/>
      <w:sz w:val="18"/>
      <w:szCs w:val="18"/>
    </w:rPr>
  </w:style>
  <w:style w:type="character" w:customStyle="1" w:styleId="BalloonTextChar">
    <w:name w:val="Balloon Text Char"/>
    <w:link w:val="BalloonText"/>
    <w:semiHidden/>
    <w:locked/>
    <w:rsid w:val="009F71AB"/>
    <w:rPr>
      <w:rFonts w:ascii="Tahoma" w:hAnsi="Tahoma" w:cs="Tahoma"/>
      <w:sz w:val="18"/>
      <w:szCs w:val="18"/>
    </w:rPr>
  </w:style>
  <w:style w:type="character" w:customStyle="1" w:styleId="default">
    <w:name w:val="default"/>
    <w:rsid w:val="009F71AB"/>
    <w:rPr>
      <w:rFonts w:ascii="Times New Roman" w:hAnsi="Times New Roman"/>
      <w:sz w:val="26"/>
    </w:rPr>
  </w:style>
  <w:style w:type="paragraph" w:styleId="ListNumber">
    <w:name w:val="List Number"/>
    <w:basedOn w:val="Normal"/>
    <w:rsid w:val="009F71AB"/>
    <w:pPr>
      <w:numPr>
        <w:numId w:val="9"/>
      </w:numPr>
      <w:spacing w:after="120" w:line="360" w:lineRule="auto"/>
      <w:jc w:val="both"/>
    </w:pPr>
    <w:rPr>
      <w:rFonts w:ascii="David" w:eastAsia="Calibri" w:hAnsi="David" w:cs="David"/>
      <w:sz w:val="24"/>
      <w:szCs w:val="24"/>
    </w:rPr>
  </w:style>
  <w:style w:type="character" w:styleId="FollowedHyperlink">
    <w:name w:val="FollowedHyperlink"/>
    <w:rsid w:val="009F71AB"/>
    <w:rPr>
      <w:rFonts w:cs="Times New Roman"/>
      <w:color w:val="800080"/>
      <w:u w:val="single"/>
    </w:rPr>
  </w:style>
  <w:style w:type="table" w:styleId="TableGrid">
    <w:name w:val="Table Grid"/>
    <w:basedOn w:val="TableNormal"/>
    <w:rsid w:val="009F71AB"/>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ler40">
    <w:name w:val="Ruller4"/>
    <w:basedOn w:val="Normal"/>
    <w:link w:val="Ruller41"/>
    <w:rsid w:val="009F71AB"/>
    <w:pPr>
      <w:tabs>
        <w:tab w:val="left" w:pos="800"/>
      </w:tabs>
      <w:overflowPunct w:val="0"/>
      <w:autoSpaceDE w:val="0"/>
      <w:autoSpaceDN w:val="0"/>
      <w:adjustRightInd w:val="0"/>
      <w:spacing w:after="0" w:line="360" w:lineRule="auto"/>
      <w:jc w:val="both"/>
    </w:pPr>
    <w:rPr>
      <w:rFonts w:ascii="Arial TUR" w:eastAsia="Calibri" w:hAnsi="Arial TUR" w:cs="FrankRuehl"/>
      <w:spacing w:val="10"/>
      <w:szCs w:val="28"/>
    </w:rPr>
  </w:style>
  <w:style w:type="character" w:customStyle="1" w:styleId="Ruller5">
    <w:name w:val="Ruller5 תו"/>
    <w:link w:val="Ruller50"/>
    <w:locked/>
    <w:rsid w:val="009F71AB"/>
    <w:rPr>
      <w:rFonts w:ascii="Arial TUR" w:hAnsi="Arial TUR"/>
      <w:spacing w:val="10"/>
      <w:sz w:val="28"/>
    </w:rPr>
  </w:style>
  <w:style w:type="paragraph" w:customStyle="1" w:styleId="Ruller50">
    <w:name w:val="Ruller5"/>
    <w:basedOn w:val="Normal"/>
    <w:link w:val="Ruller5"/>
    <w:rsid w:val="009F71AB"/>
    <w:pPr>
      <w:overflowPunct w:val="0"/>
      <w:autoSpaceDE w:val="0"/>
      <w:autoSpaceDN w:val="0"/>
      <w:adjustRightInd w:val="0"/>
      <w:spacing w:after="0" w:line="240" w:lineRule="auto"/>
      <w:ind w:left="1642" w:right="1282"/>
      <w:jc w:val="both"/>
    </w:pPr>
    <w:rPr>
      <w:rFonts w:ascii="Arial TUR" w:hAnsi="Arial TUR" w:cs="Times New Roman"/>
      <w:spacing w:val="10"/>
      <w:sz w:val="20"/>
      <w:szCs w:val="28"/>
    </w:rPr>
  </w:style>
  <w:style w:type="table" w:customStyle="1" w:styleId="10">
    <w:name w:val="רשת טבלה1"/>
    <w:rsid w:val="00FF10F2"/>
    <w:pPr>
      <w:jc w:val="right"/>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רשת טבלה2"/>
    <w:rsid w:val="00AC2807"/>
    <w:pPr>
      <w:jc w:val="right"/>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locked/>
    <w:rsid w:val="0008414A"/>
    <w:rPr>
      <w:rFonts w:ascii="Calibri Light" w:hAnsi="Calibri Light" w:cs="Times New Roman"/>
      <w:color w:val="2E74B5"/>
      <w:sz w:val="32"/>
      <w:szCs w:val="32"/>
    </w:rPr>
  </w:style>
  <w:style w:type="character" w:customStyle="1" w:styleId="Ruller41">
    <w:name w:val="Ruller4 תו"/>
    <w:link w:val="Ruller40"/>
    <w:locked/>
    <w:rsid w:val="0008414A"/>
    <w:rPr>
      <w:rFonts w:ascii="Arial TUR" w:hAnsi="Arial TUR" w:cs="FrankRuehl"/>
      <w:spacing w:val="10"/>
      <w:sz w:val="28"/>
      <w:szCs w:val="28"/>
    </w:rPr>
  </w:style>
  <w:style w:type="paragraph" w:styleId="HTMLPreformatted">
    <w:name w:val="HTML Preformatted"/>
    <w:basedOn w:val="Normal"/>
    <w:link w:val="HTMLPreformattedChar"/>
    <w:rsid w:val="0008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Calibri" w:hAnsi="Courier New" w:cs="Courier New"/>
      <w:sz w:val="20"/>
      <w:szCs w:val="20"/>
    </w:rPr>
  </w:style>
  <w:style w:type="character" w:customStyle="1" w:styleId="HTMLPreformattedChar">
    <w:name w:val="HTML Preformatted Char"/>
    <w:link w:val="HTMLPreformatted"/>
    <w:locked/>
    <w:rsid w:val="0008414A"/>
    <w:rPr>
      <w:rFonts w:ascii="Courier New" w:hAnsi="Courier New" w:cs="Courier New"/>
      <w:sz w:val="20"/>
      <w:szCs w:val="20"/>
    </w:rPr>
  </w:style>
  <w:style w:type="character" w:customStyle="1" w:styleId="maintextundlerline1">
    <w:name w:val="maintextundlerline1"/>
    <w:rsid w:val="0008414A"/>
    <w:rPr>
      <w:rFonts w:cs="Times New Roman"/>
      <w:u w:val="single"/>
    </w:rPr>
  </w:style>
  <w:style w:type="character" w:customStyle="1" w:styleId="sh1639763368">
    <w:name w:val="sh_1639763368"/>
    <w:rsid w:val="0008414A"/>
    <w:rPr>
      <w:rFonts w:cs="Times New Roman"/>
    </w:rPr>
  </w:style>
  <w:style w:type="character" w:customStyle="1" w:styleId="injectednode">
    <w:name w:val="injectednode"/>
    <w:rsid w:val="0008414A"/>
    <w:rPr>
      <w:rFonts w:cs="Times New Roman"/>
    </w:rPr>
  </w:style>
  <w:style w:type="paragraph" w:customStyle="1" w:styleId="ssinlinetext2">
    <w:name w:val="ss_inlinetext2"/>
    <w:basedOn w:val="Normal"/>
    <w:rsid w:val="0008414A"/>
    <w:pPr>
      <w:bidi w:val="0"/>
      <w:spacing w:after="100" w:afterAutospacing="1" w:line="240" w:lineRule="auto"/>
    </w:pPr>
    <w:rPr>
      <w:rFonts w:ascii="Times New Roman" w:eastAsia="Calibri" w:hAnsi="Times New Roman" w:cs="Times New Roman"/>
      <w:sz w:val="24"/>
      <w:szCs w:val="24"/>
    </w:rPr>
  </w:style>
  <w:style w:type="character" w:customStyle="1" w:styleId="sssh">
    <w:name w:val="ss_sh"/>
    <w:rsid w:val="0008414A"/>
    <w:rPr>
      <w:rFonts w:cs="Times New Roman"/>
    </w:rPr>
  </w:style>
  <w:style w:type="character" w:customStyle="1" w:styleId="nowrap">
    <w:name w:val="nowrap"/>
    <w:rsid w:val="0008414A"/>
    <w:rPr>
      <w:rFonts w:cs="Times New Roman"/>
    </w:rPr>
  </w:style>
  <w:style w:type="character" w:customStyle="1" w:styleId="solexhl">
    <w:name w:val="solexhl"/>
    <w:rsid w:val="0008414A"/>
    <w:rPr>
      <w:rFonts w:cs="Times New Roman"/>
    </w:rPr>
  </w:style>
  <w:style w:type="table" w:customStyle="1" w:styleId="3">
    <w:name w:val="רשת טבלה3"/>
    <w:rsid w:val="009F7C90"/>
    <w:pPr>
      <w:jc w:val="right"/>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ler4">
    <w:name w:val="Ruller 4 ממוספר"/>
    <w:basedOn w:val="Ruller40"/>
    <w:next w:val="Ruller40"/>
    <w:rsid w:val="00250FA6"/>
    <w:pPr>
      <w:numPr>
        <w:numId w:val="24"/>
      </w:numPr>
      <w:tabs>
        <w:tab w:val="clear" w:pos="907"/>
        <w:tab w:val="num" w:pos="360"/>
      </w:tabs>
      <w:textAlignment w:val="baseline"/>
    </w:pPr>
    <w:rPr>
      <w:rFonts w:ascii="Garamond" w:eastAsia="MS Mincho" w:hAnsi="Garamond"/>
      <w:sz w:val="24"/>
    </w:rPr>
  </w:style>
  <w:style w:type="paragraph" w:styleId="Title">
    <w:name w:val="Title"/>
    <w:basedOn w:val="Normal"/>
    <w:next w:val="Normal"/>
    <w:link w:val="TitleChar"/>
    <w:qFormat/>
    <w:rsid w:val="002C266B"/>
    <w:pPr>
      <w:spacing w:after="0" w:line="240" w:lineRule="auto"/>
      <w:contextualSpacing/>
    </w:pPr>
    <w:rPr>
      <w:rFonts w:ascii="Calibri Light" w:eastAsia="Calibri" w:hAnsi="Calibri Light" w:cs="Times New Roman"/>
      <w:spacing w:val="-10"/>
      <w:kern w:val="28"/>
      <w:sz w:val="56"/>
      <w:szCs w:val="56"/>
    </w:rPr>
  </w:style>
  <w:style w:type="character" w:customStyle="1" w:styleId="TitleChar">
    <w:name w:val="Title Char"/>
    <w:link w:val="Title"/>
    <w:locked/>
    <w:rsid w:val="002C266B"/>
    <w:rPr>
      <w:rFonts w:ascii="Calibri Light" w:hAnsi="Calibri Light" w:cs="Times New Roman"/>
      <w:spacing w:val="-10"/>
      <w:kern w:val="28"/>
      <w:sz w:val="56"/>
      <w:szCs w:val="56"/>
    </w:rPr>
  </w:style>
  <w:style w:type="character" w:styleId="PageNumber">
    <w:name w:val="page number"/>
    <w:rsid w:val="004D2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5" TargetMode="External"/><Relationship Id="rId18" Type="http://schemas.openxmlformats.org/officeDocument/2006/relationships/hyperlink" Target="http://www.nevo.co.il/law/74345" TargetMode="External"/><Relationship Id="rId26" Type="http://schemas.openxmlformats.org/officeDocument/2006/relationships/hyperlink" Target="http://www.nevo.co.il/law/70301/383;384"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84" TargetMode="External"/><Relationship Id="rId17" Type="http://schemas.openxmlformats.org/officeDocument/2006/relationships/hyperlink" Target="http://www.nevo.co.il/law/71631/5.3" TargetMode="External"/><Relationship Id="rId25" Type="http://schemas.openxmlformats.org/officeDocument/2006/relationships/hyperlink" Target="http://www.nevo.co.il/law/70301/428"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1631" TargetMode="External"/><Relationship Id="rId20" Type="http://schemas.openxmlformats.org/officeDocument/2006/relationships/hyperlink" Target="http://www.nevo.co.il/law/70301/327" TargetMode="External"/><Relationship Id="rId29" Type="http://schemas.openxmlformats.org/officeDocument/2006/relationships/hyperlink" Target="http://www.nevo.co.il/law/716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3" TargetMode="External"/><Relationship Id="rId24" Type="http://schemas.openxmlformats.org/officeDocument/2006/relationships/hyperlink" Target="http://www.nevo.co.il/law/70301/415" TargetMode="External"/><Relationship Id="rId32" Type="http://schemas.openxmlformats.org/officeDocument/2006/relationships/hyperlink" Target="http://www.nevo.co.il/case/5694508"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30" TargetMode="External"/><Relationship Id="rId23" Type="http://schemas.openxmlformats.org/officeDocument/2006/relationships/hyperlink" Target="http://www.nevo.co.il/law/70301/345.a.4" TargetMode="External"/><Relationship Id="rId28" Type="http://schemas.openxmlformats.org/officeDocument/2006/relationships/hyperlink" Target="http://www.nevo.co.il/law/71631/5.3" TargetMode="External"/><Relationship Id="rId36" Type="http://schemas.openxmlformats.org/officeDocument/2006/relationships/footer" Target="footer1.xml"/><Relationship Id="rId10" Type="http://schemas.openxmlformats.org/officeDocument/2006/relationships/hyperlink" Target="http://www.nevo.co.il/law/70301/348.a" TargetMode="External"/><Relationship Id="rId19" Type="http://schemas.openxmlformats.org/officeDocument/2006/relationships/hyperlink" Target="http://www.nevo.co.il/law/74345/3.a" TargetMode="External"/><Relationship Id="rId31" Type="http://schemas.openxmlformats.org/officeDocument/2006/relationships/hyperlink" Target="http://www.nevo.co.il/law/74345" TargetMode="External"/><Relationship Id="rId4" Type="http://schemas.openxmlformats.org/officeDocument/2006/relationships/webSettings" Target="webSettings.xml"/><Relationship Id="rId9" Type="http://schemas.openxmlformats.org/officeDocument/2006/relationships/hyperlink" Target="http://www.nevo.co.il/law/70301/345.a.4" TargetMode="External"/><Relationship Id="rId14" Type="http://schemas.openxmlformats.org/officeDocument/2006/relationships/hyperlink" Target="http://www.nevo.co.il/law/70301/428" TargetMode="External"/><Relationship Id="rId22" Type="http://schemas.openxmlformats.org/officeDocument/2006/relationships/hyperlink" Target="http://www.nevo.co.il/law/70301/348.a" TargetMode="External"/><Relationship Id="rId27" Type="http://schemas.openxmlformats.org/officeDocument/2006/relationships/hyperlink" Target="http://www.nevo.co.il/law/70301/430" TargetMode="External"/><Relationship Id="rId30" Type="http://schemas.openxmlformats.org/officeDocument/2006/relationships/hyperlink" Target="http://www.nevo.co.il/law/74345/3.a" TargetMode="External"/><Relationship Id="rId35" Type="http://schemas.openxmlformats.org/officeDocument/2006/relationships/header" Target="header2.xml"/><Relationship Id="rId8" Type="http://schemas.openxmlformats.org/officeDocument/2006/relationships/hyperlink" Target="http://www.nevo.co.il/law/70301/327"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18679</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3211382</vt:i4>
      </vt:variant>
      <vt:variant>
        <vt:i4>75</vt:i4>
      </vt:variant>
      <vt:variant>
        <vt:i4>0</vt:i4>
      </vt:variant>
      <vt:variant>
        <vt:i4>5</vt:i4>
      </vt:variant>
      <vt:variant>
        <vt:lpwstr>http://www.nevo.co.il/case/5694508</vt:lpwstr>
      </vt:variant>
      <vt:variant>
        <vt:lpwstr/>
      </vt:variant>
      <vt:variant>
        <vt:i4>7995492</vt:i4>
      </vt:variant>
      <vt:variant>
        <vt:i4>72</vt:i4>
      </vt:variant>
      <vt:variant>
        <vt:i4>0</vt:i4>
      </vt:variant>
      <vt:variant>
        <vt:i4>5</vt:i4>
      </vt:variant>
      <vt:variant>
        <vt:lpwstr>http://www.nevo.co.il/law/74345</vt:lpwstr>
      </vt:variant>
      <vt:variant>
        <vt:lpwstr/>
      </vt:variant>
      <vt:variant>
        <vt:i4>8061026</vt:i4>
      </vt:variant>
      <vt:variant>
        <vt:i4>69</vt:i4>
      </vt:variant>
      <vt:variant>
        <vt:i4>0</vt:i4>
      </vt:variant>
      <vt:variant>
        <vt:i4>5</vt:i4>
      </vt:variant>
      <vt:variant>
        <vt:lpwstr>http://www.nevo.co.il/law/74345/3.a</vt:lpwstr>
      </vt:variant>
      <vt:variant>
        <vt:lpwstr/>
      </vt:variant>
      <vt:variant>
        <vt:i4>7864417</vt:i4>
      </vt:variant>
      <vt:variant>
        <vt:i4>66</vt:i4>
      </vt:variant>
      <vt:variant>
        <vt:i4>0</vt:i4>
      </vt:variant>
      <vt:variant>
        <vt:i4>5</vt:i4>
      </vt:variant>
      <vt:variant>
        <vt:lpwstr>http://www.nevo.co.il/law/71631</vt:lpwstr>
      </vt:variant>
      <vt:variant>
        <vt:lpwstr/>
      </vt:variant>
      <vt:variant>
        <vt:i4>7929957</vt:i4>
      </vt:variant>
      <vt:variant>
        <vt:i4>63</vt:i4>
      </vt:variant>
      <vt:variant>
        <vt:i4>0</vt:i4>
      </vt:variant>
      <vt:variant>
        <vt:i4>5</vt:i4>
      </vt:variant>
      <vt:variant>
        <vt:lpwstr>http://www.nevo.co.il/law/71631/5.3</vt:lpwstr>
      </vt:variant>
      <vt:variant>
        <vt:lpwstr/>
      </vt:variant>
      <vt:variant>
        <vt:i4>6684769</vt:i4>
      </vt:variant>
      <vt:variant>
        <vt:i4>60</vt:i4>
      </vt:variant>
      <vt:variant>
        <vt:i4>0</vt:i4>
      </vt:variant>
      <vt:variant>
        <vt:i4>5</vt:i4>
      </vt:variant>
      <vt:variant>
        <vt:lpwstr>http://www.nevo.co.il/law/70301/430</vt:lpwstr>
      </vt:variant>
      <vt:variant>
        <vt:lpwstr/>
      </vt:variant>
      <vt:variant>
        <vt:i4>7209062</vt:i4>
      </vt:variant>
      <vt:variant>
        <vt:i4>57</vt:i4>
      </vt:variant>
      <vt:variant>
        <vt:i4>0</vt:i4>
      </vt:variant>
      <vt:variant>
        <vt:i4>5</vt:i4>
      </vt:variant>
      <vt:variant>
        <vt:lpwstr>http://www.nevo.co.il/law/70301/383;384</vt:lpwstr>
      </vt:variant>
      <vt:variant>
        <vt:lpwstr/>
      </vt:variant>
      <vt:variant>
        <vt:i4>6750305</vt:i4>
      </vt:variant>
      <vt:variant>
        <vt:i4>54</vt:i4>
      </vt:variant>
      <vt:variant>
        <vt:i4>0</vt:i4>
      </vt:variant>
      <vt:variant>
        <vt:i4>5</vt:i4>
      </vt:variant>
      <vt:variant>
        <vt:lpwstr>http://www.nevo.co.il/law/70301/428</vt:lpwstr>
      </vt:variant>
      <vt:variant>
        <vt:lpwstr/>
      </vt:variant>
      <vt:variant>
        <vt:i4>6553697</vt:i4>
      </vt:variant>
      <vt:variant>
        <vt:i4>51</vt:i4>
      </vt:variant>
      <vt:variant>
        <vt:i4>0</vt:i4>
      </vt:variant>
      <vt:variant>
        <vt:i4>5</vt:i4>
      </vt:variant>
      <vt:variant>
        <vt:lpwstr>http://www.nevo.co.il/law/70301/415</vt:lpwstr>
      </vt:variant>
      <vt:variant>
        <vt:lpwstr/>
      </vt:variant>
      <vt:variant>
        <vt:i4>6357042</vt:i4>
      </vt:variant>
      <vt:variant>
        <vt:i4>48</vt:i4>
      </vt:variant>
      <vt:variant>
        <vt:i4>0</vt:i4>
      </vt:variant>
      <vt:variant>
        <vt:i4>5</vt:i4>
      </vt:variant>
      <vt:variant>
        <vt:lpwstr>http://www.nevo.co.il/law/70301/345.a.4</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6750310</vt:i4>
      </vt:variant>
      <vt:variant>
        <vt:i4>39</vt:i4>
      </vt:variant>
      <vt:variant>
        <vt:i4>0</vt:i4>
      </vt:variant>
      <vt:variant>
        <vt:i4>5</vt:i4>
      </vt:variant>
      <vt:variant>
        <vt:lpwstr>http://www.nevo.co.il/law/70301/327</vt:lpwstr>
      </vt:variant>
      <vt:variant>
        <vt:lpwstr/>
      </vt:variant>
      <vt:variant>
        <vt:i4>8061026</vt:i4>
      </vt:variant>
      <vt:variant>
        <vt:i4>36</vt:i4>
      </vt:variant>
      <vt:variant>
        <vt:i4>0</vt:i4>
      </vt:variant>
      <vt:variant>
        <vt:i4>5</vt:i4>
      </vt:variant>
      <vt:variant>
        <vt:lpwstr>http://www.nevo.co.il/law/74345/3.a</vt:lpwstr>
      </vt:variant>
      <vt:variant>
        <vt:lpwstr/>
      </vt:variant>
      <vt:variant>
        <vt:i4>7995492</vt:i4>
      </vt:variant>
      <vt:variant>
        <vt:i4>33</vt:i4>
      </vt:variant>
      <vt:variant>
        <vt:i4>0</vt:i4>
      </vt:variant>
      <vt:variant>
        <vt:i4>5</vt:i4>
      </vt:variant>
      <vt:variant>
        <vt:lpwstr>http://www.nevo.co.il/law/74345</vt:lpwstr>
      </vt:variant>
      <vt:variant>
        <vt:lpwstr/>
      </vt:variant>
      <vt:variant>
        <vt:i4>7929957</vt:i4>
      </vt:variant>
      <vt:variant>
        <vt:i4>30</vt:i4>
      </vt:variant>
      <vt:variant>
        <vt:i4>0</vt:i4>
      </vt:variant>
      <vt:variant>
        <vt:i4>5</vt:i4>
      </vt:variant>
      <vt:variant>
        <vt:lpwstr>http://www.nevo.co.il/law/71631/5.3</vt:lpwstr>
      </vt:variant>
      <vt:variant>
        <vt:lpwstr/>
      </vt:variant>
      <vt:variant>
        <vt:i4>7864417</vt:i4>
      </vt:variant>
      <vt:variant>
        <vt:i4>27</vt:i4>
      </vt:variant>
      <vt:variant>
        <vt:i4>0</vt:i4>
      </vt:variant>
      <vt:variant>
        <vt:i4>5</vt:i4>
      </vt:variant>
      <vt:variant>
        <vt:lpwstr>http://www.nevo.co.il/law/71631</vt:lpwstr>
      </vt:variant>
      <vt:variant>
        <vt:lpwstr/>
      </vt:variant>
      <vt:variant>
        <vt:i4>6684769</vt:i4>
      </vt:variant>
      <vt:variant>
        <vt:i4>24</vt:i4>
      </vt:variant>
      <vt:variant>
        <vt:i4>0</vt:i4>
      </vt:variant>
      <vt:variant>
        <vt:i4>5</vt:i4>
      </vt:variant>
      <vt:variant>
        <vt:lpwstr>http://www.nevo.co.il/law/70301/430</vt:lpwstr>
      </vt:variant>
      <vt:variant>
        <vt:lpwstr/>
      </vt:variant>
      <vt:variant>
        <vt:i4>6750305</vt:i4>
      </vt:variant>
      <vt:variant>
        <vt:i4>21</vt:i4>
      </vt:variant>
      <vt:variant>
        <vt:i4>0</vt:i4>
      </vt:variant>
      <vt:variant>
        <vt:i4>5</vt:i4>
      </vt:variant>
      <vt:variant>
        <vt:lpwstr>http://www.nevo.co.il/law/70301/428</vt:lpwstr>
      </vt:variant>
      <vt:variant>
        <vt:lpwstr/>
      </vt:variant>
      <vt:variant>
        <vt:i4>6553697</vt:i4>
      </vt:variant>
      <vt:variant>
        <vt:i4>18</vt:i4>
      </vt:variant>
      <vt:variant>
        <vt:i4>0</vt:i4>
      </vt:variant>
      <vt:variant>
        <vt:i4>5</vt:i4>
      </vt:variant>
      <vt:variant>
        <vt:lpwstr>http://www.nevo.co.il/law/70301/415</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7143526</vt:i4>
      </vt:variant>
      <vt:variant>
        <vt:i4>12</vt:i4>
      </vt:variant>
      <vt:variant>
        <vt:i4>0</vt:i4>
      </vt:variant>
      <vt:variant>
        <vt:i4>5</vt:i4>
      </vt:variant>
      <vt:variant>
        <vt:lpwstr>http://www.nevo.co.il/law/70301/383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6750310</vt:i4>
      </vt:variant>
      <vt:variant>
        <vt:i4>3</vt:i4>
      </vt:variant>
      <vt:variant>
        <vt:i4>0</vt:i4>
      </vt:variant>
      <vt:variant>
        <vt:i4>5</vt:i4>
      </vt:variant>
      <vt:variant>
        <vt:lpwstr>http://www.nevo.co.il/law/70301/327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2020-02-06T10:11:00Z</cp:lastPrinted>
  <dcterms:created xsi:type="dcterms:W3CDTF">2022-05-24T10:04:00Z</dcterms:created>
  <dcterms:modified xsi:type="dcterms:W3CDTF">2022-05-24T10:04:00Z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8398</vt:lpwstr>
  </property>
  <property fmtid="{D5CDD505-2E9C-101B-9397-08002B2CF9AE}" pid="9" name="NEWPARTB">
    <vt:lpwstr>12</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שמואל בן אבו</vt:lpwstr>
  </property>
  <property fmtid="{D5CDD505-2E9C-101B-9397-08002B2CF9AE}" pid="13" name="LAWYER">
    <vt:lpwstr/>
  </property>
  <property fmtid="{D5CDD505-2E9C-101B-9397-08002B2CF9AE}" pid="14" name="CITY">
    <vt:lpwstr>נצ'</vt:lpwstr>
  </property>
  <property fmtid="{D5CDD505-2E9C-101B-9397-08002B2CF9AE}" pid="15" name="DATE">
    <vt:lpwstr>20200205</vt:lpwstr>
  </property>
  <property fmtid="{D5CDD505-2E9C-101B-9397-08002B2CF9AE}" pid="16" name="FICTIVEDATE">
    <vt:lpwstr>YES</vt:lpwstr>
  </property>
  <property fmtid="{D5CDD505-2E9C-101B-9397-08002B2CF9AE}" pid="17" name="TYPE_N_DATE">
    <vt:lpwstr>39020200205</vt:lpwstr>
  </property>
  <property fmtid="{D5CDD505-2E9C-101B-9397-08002B2CF9AE}" pid="18" name="CASESLISTTMP1">
    <vt:lpwstr>5694508</vt:lpwstr>
  </property>
  <property fmtid="{D5CDD505-2E9C-101B-9397-08002B2CF9AE}" pid="19" name="CASENOTES1">
    <vt:lpwstr>ProcID=58;278&amp;PartA=21&amp;PartB=10&amp;PartC=20</vt:lpwstr>
  </property>
  <property fmtid="{D5CDD505-2E9C-101B-9397-08002B2CF9AE}" pid="20" name="WORDNUMPAGES">
    <vt:lpwstr>9</vt:lpwstr>
  </property>
  <property fmtid="{D5CDD505-2E9C-101B-9397-08002B2CF9AE}" pid="21" name="TYPE_ABS_DATE">
    <vt:lpwstr>390120200205</vt:lpwstr>
  </property>
  <property fmtid="{D5CDD505-2E9C-101B-9397-08002B2CF9AE}" pid="22" name="ISABSTRACT">
    <vt:lpwstr>Y</vt:lpwstr>
  </property>
  <property fmtid="{D5CDD505-2E9C-101B-9397-08002B2CF9AE}" pid="23" name="JUDGE">
    <vt:lpwstr>חנא סבאג</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YES</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70301/327;348.a;345.a.4;415;428;383;384;430</vt:lpwstr>
  </property>
  <property fmtid="{D5CDD505-2E9C-101B-9397-08002B2CF9AE}" pid="39" name="LAWLISTTMP2">
    <vt:lpwstr>71631/005.3</vt:lpwstr>
  </property>
  <property fmtid="{D5CDD505-2E9C-101B-9397-08002B2CF9AE}" pid="40" name="LAWLISTTMP3">
    <vt:lpwstr>74345/003.a</vt:lpwstr>
  </property>
  <property fmtid="{D5CDD505-2E9C-101B-9397-08002B2CF9AE}" pid="41" name="METAKZER">
    <vt:lpwstr>מיכל</vt:lpwstr>
  </property>
  <property fmtid="{D5CDD505-2E9C-101B-9397-08002B2CF9AE}" pid="42" name="NOSE1ID">
    <vt:lpwstr>89;89</vt:lpwstr>
  </property>
  <property fmtid="{D5CDD505-2E9C-101B-9397-08002B2CF9AE}" pid="43" name="NOSE2ID">
    <vt:lpwstr>1661;1661</vt:lpwstr>
  </property>
  <property fmtid="{D5CDD505-2E9C-101B-9397-08002B2CF9AE}" pid="44" name="NOSE3ID">
    <vt:lpwstr>10506;</vt:lpwstr>
  </property>
  <property fmtid="{D5CDD505-2E9C-101B-9397-08002B2CF9AE}" pid="45" name="NOSE11">
    <vt:lpwstr>ראיות</vt:lpwstr>
  </property>
  <property fmtid="{D5CDD505-2E9C-101B-9397-08002B2CF9AE}" pid="46" name="NOSE21">
    <vt:lpwstr>קבילות</vt:lpwstr>
  </property>
  <property fmtid="{D5CDD505-2E9C-101B-9397-08002B2CF9AE}" pid="47" name="NOSE31">
    <vt:lpwstr>קביעתה</vt:lpwstr>
  </property>
  <property fmtid="{D5CDD505-2E9C-101B-9397-08002B2CF9AE}" pid="48" name="NOSE12">
    <vt:lpwstr>ראיות</vt:lpwstr>
  </property>
  <property fmtid="{D5CDD505-2E9C-101B-9397-08002B2CF9AE}" pid="49" name="NOSE22">
    <vt:lpwstr>קבילות</vt:lpwstr>
  </property>
  <property fmtid="{D5CDD505-2E9C-101B-9397-08002B2CF9AE}" pid="50" name="NOSE32">
    <vt:lpwstr>ראיה מדעית חדשה</vt:lpwstr>
  </property>
  <property fmtid="{D5CDD505-2E9C-101B-9397-08002B2CF9AE}" pid="51" name="NOSE13">
    <vt:lpwstr/>
  </property>
  <property fmtid="{D5CDD505-2E9C-101B-9397-08002B2CF9AE}" pid="52" name="NOSE23">
    <vt:lpwstr/>
  </property>
  <property fmtid="{D5CDD505-2E9C-101B-9397-08002B2CF9AE}" pid="53" name="NOSE3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20200211</vt:lpwstr>
  </property>
</Properties>
</file>