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FADD2F" w14:textId="77777777" w:rsidR="008C1F45" w:rsidRDefault="008C1F45">
      <w:pPr>
        <w:tabs>
          <w:tab w:val="left" w:pos="432"/>
          <w:tab w:val="left" w:pos="720"/>
          <w:tab w:val="left" w:pos="1152"/>
          <w:tab w:val="left" w:pos="1728"/>
          <w:tab w:val="left" w:pos="3600"/>
          <w:tab w:val="left" w:pos="4464"/>
          <w:tab w:val="left" w:pos="7344"/>
        </w:tabs>
        <w:autoSpaceDE w:val="0"/>
        <w:autoSpaceDN w:val="0"/>
        <w:bidi/>
        <w:adjustRightInd w:val="0"/>
        <w:spacing w:after="80" w:line="260" w:lineRule="exact"/>
        <w:jc w:val="right"/>
        <w:rPr>
          <w:rFonts w:cs="FrankRuehl"/>
          <w:rtl/>
          <w:lang w:eastAsia="en-US"/>
        </w:rPr>
      </w:pPr>
      <w:r>
        <w:rPr>
          <w:rFonts w:cs="FrankRuehl"/>
          <w:rtl/>
          <w:lang w:eastAsia="en-US"/>
        </w:rPr>
        <w:t xml:space="preserve">תיק פלילי מס' </w:t>
      </w:r>
      <w:r>
        <w:rPr>
          <w:rFonts w:cs="FrankRuehl"/>
          <w:lang w:eastAsia="en-US"/>
        </w:rPr>
        <w:t>1454/92</w:t>
      </w:r>
    </w:p>
    <w:p w14:paraId="52041C28" w14:textId="77777777" w:rsidR="008C1F45" w:rsidRDefault="008C1F45">
      <w:pPr>
        <w:tabs>
          <w:tab w:val="left" w:pos="432"/>
          <w:tab w:val="left" w:pos="720"/>
          <w:tab w:val="left" w:pos="1152"/>
          <w:tab w:val="left" w:pos="1728"/>
          <w:tab w:val="left" w:pos="3600"/>
          <w:tab w:val="left" w:pos="4464"/>
          <w:tab w:val="left" w:pos="7344"/>
        </w:tabs>
        <w:autoSpaceDE w:val="0"/>
        <w:autoSpaceDN w:val="0"/>
        <w:bidi/>
        <w:adjustRightInd w:val="0"/>
        <w:spacing w:after="80" w:line="260" w:lineRule="exact"/>
        <w:jc w:val="right"/>
        <w:rPr>
          <w:rFonts w:cs="FrankRuehl"/>
          <w:lang w:eastAsia="en-US"/>
        </w:rPr>
      </w:pPr>
    </w:p>
    <w:p w14:paraId="02B8FA55" w14:textId="77777777" w:rsidR="008C1F45" w:rsidRDefault="008C1F45">
      <w:pPr>
        <w:tabs>
          <w:tab w:val="left" w:pos="432"/>
          <w:tab w:val="left" w:pos="720"/>
          <w:tab w:val="left" w:pos="1152"/>
          <w:tab w:val="left" w:pos="1728"/>
          <w:tab w:val="left" w:pos="3600"/>
          <w:tab w:val="left" w:pos="4464"/>
          <w:tab w:val="left" w:pos="7344"/>
        </w:tabs>
        <w:autoSpaceDE w:val="0"/>
        <w:autoSpaceDN w:val="0"/>
        <w:bidi/>
        <w:adjustRightInd w:val="0"/>
        <w:spacing w:after="80" w:line="260" w:lineRule="exact"/>
        <w:rPr>
          <w:rFonts w:cs="FrankRuehl"/>
          <w:rtl/>
          <w:lang w:eastAsia="en-US"/>
        </w:rPr>
      </w:pPr>
      <w:r>
        <w:rPr>
          <w:rFonts w:cs="FrankRuehl"/>
          <w:rtl/>
          <w:lang w:eastAsia="en-US"/>
        </w:rPr>
        <w:t>מדינת ישראל</w:t>
      </w:r>
    </w:p>
    <w:p w14:paraId="0D685384" w14:textId="77777777" w:rsidR="008C1F45" w:rsidRDefault="008C1F45">
      <w:pPr>
        <w:tabs>
          <w:tab w:val="left" w:pos="432"/>
          <w:tab w:val="left" w:pos="720"/>
          <w:tab w:val="left" w:pos="1152"/>
          <w:tab w:val="left" w:pos="1728"/>
          <w:tab w:val="left" w:pos="3600"/>
          <w:tab w:val="left" w:pos="4464"/>
          <w:tab w:val="left" w:pos="7344"/>
        </w:tabs>
        <w:autoSpaceDE w:val="0"/>
        <w:autoSpaceDN w:val="0"/>
        <w:bidi/>
        <w:adjustRightInd w:val="0"/>
        <w:spacing w:after="80" w:line="260" w:lineRule="exact"/>
        <w:rPr>
          <w:rFonts w:cs="FrankRuehl"/>
          <w:lang w:eastAsia="en-US"/>
        </w:rPr>
      </w:pPr>
      <w:r>
        <w:rPr>
          <w:rFonts w:cs="FrankRuehl"/>
          <w:rtl/>
          <w:lang w:eastAsia="en-US"/>
        </w:rPr>
        <w:t>נגד</w:t>
      </w:r>
    </w:p>
    <w:p w14:paraId="7658B11D" w14:textId="77777777" w:rsidR="008C1F45" w:rsidRDefault="008C1F45">
      <w:pPr>
        <w:tabs>
          <w:tab w:val="left" w:pos="432"/>
          <w:tab w:val="left" w:pos="720"/>
          <w:tab w:val="left" w:pos="1152"/>
          <w:tab w:val="left" w:pos="1728"/>
          <w:tab w:val="left" w:pos="3600"/>
          <w:tab w:val="left" w:pos="4464"/>
          <w:tab w:val="left" w:pos="7344"/>
        </w:tabs>
        <w:autoSpaceDE w:val="0"/>
        <w:autoSpaceDN w:val="0"/>
        <w:bidi/>
        <w:adjustRightInd w:val="0"/>
        <w:spacing w:after="80" w:line="260" w:lineRule="exact"/>
        <w:jc w:val="both"/>
        <w:rPr>
          <w:rFonts w:cs="FrankRuehl"/>
          <w:rtl/>
          <w:lang w:eastAsia="en-US"/>
        </w:rPr>
      </w:pPr>
      <w:r>
        <w:rPr>
          <w:rFonts w:cs="FrankRuehl"/>
          <w:rtl/>
          <w:lang w:eastAsia="en-US"/>
        </w:rPr>
        <w:t>יוסף וירטגיים</w:t>
      </w:r>
    </w:p>
    <w:p w14:paraId="438FA54A" w14:textId="77777777" w:rsidR="008C1F45" w:rsidRDefault="008C1F45">
      <w:pPr>
        <w:tabs>
          <w:tab w:val="left" w:pos="432"/>
          <w:tab w:val="left" w:pos="720"/>
          <w:tab w:val="left" w:pos="1152"/>
          <w:tab w:val="left" w:pos="1728"/>
          <w:tab w:val="left" w:pos="3600"/>
          <w:tab w:val="left" w:pos="4464"/>
          <w:tab w:val="left" w:pos="7344"/>
        </w:tabs>
        <w:autoSpaceDE w:val="0"/>
        <w:autoSpaceDN w:val="0"/>
        <w:bidi/>
        <w:adjustRightInd w:val="0"/>
        <w:spacing w:after="80" w:line="260" w:lineRule="exact"/>
        <w:jc w:val="both"/>
        <w:rPr>
          <w:rFonts w:cs="FrankRuehl"/>
          <w:rtl/>
          <w:lang w:eastAsia="en-US"/>
        </w:rPr>
      </w:pPr>
    </w:p>
    <w:p w14:paraId="78C4D62E" w14:textId="77777777" w:rsidR="008C1F45" w:rsidRDefault="008C1F45">
      <w:pPr>
        <w:tabs>
          <w:tab w:val="left" w:pos="432"/>
          <w:tab w:val="left" w:pos="720"/>
          <w:tab w:val="left" w:pos="1152"/>
          <w:tab w:val="left" w:pos="1728"/>
          <w:tab w:val="left" w:pos="3600"/>
          <w:tab w:val="left" w:pos="4464"/>
          <w:tab w:val="left" w:pos="7344"/>
        </w:tabs>
        <w:autoSpaceDE w:val="0"/>
        <w:autoSpaceDN w:val="0"/>
        <w:bidi/>
        <w:adjustRightInd w:val="0"/>
        <w:spacing w:after="80" w:line="260" w:lineRule="exact"/>
        <w:jc w:val="center"/>
        <w:rPr>
          <w:rFonts w:cs="FrankRuehl"/>
          <w:lang w:eastAsia="en-US"/>
        </w:rPr>
      </w:pPr>
      <w:bookmarkStart w:id="0" w:name="BeitMishpat"/>
      <w:bookmarkEnd w:id="0"/>
      <w:r>
        <w:rPr>
          <w:rFonts w:cs="FrankRuehl"/>
          <w:rtl/>
          <w:lang w:eastAsia="en-US"/>
        </w:rPr>
        <w:t>בבית-משפט השלום באשדוד</w:t>
      </w:r>
    </w:p>
    <w:p w14:paraId="32599BCC" w14:textId="77777777" w:rsidR="008C1F45" w:rsidRDefault="008C1F45">
      <w:pPr>
        <w:tabs>
          <w:tab w:val="left" w:pos="432"/>
          <w:tab w:val="left" w:pos="720"/>
          <w:tab w:val="left" w:pos="1152"/>
          <w:tab w:val="left" w:pos="1728"/>
          <w:tab w:val="left" w:pos="3600"/>
          <w:tab w:val="left" w:pos="4464"/>
          <w:tab w:val="left" w:pos="7344"/>
        </w:tabs>
        <w:autoSpaceDE w:val="0"/>
        <w:autoSpaceDN w:val="0"/>
        <w:bidi/>
        <w:adjustRightInd w:val="0"/>
        <w:spacing w:after="80" w:line="260" w:lineRule="exact"/>
        <w:jc w:val="center"/>
        <w:rPr>
          <w:rFonts w:cs="FrankRuehl"/>
          <w:lang w:eastAsia="en-US"/>
        </w:rPr>
      </w:pPr>
      <w:r>
        <w:rPr>
          <w:rFonts w:cs="FrankRuehl"/>
          <w:rtl/>
          <w:lang w:eastAsia="en-US"/>
        </w:rPr>
        <w:t xml:space="preserve"> [</w:t>
      </w:r>
      <w:r>
        <w:rPr>
          <w:rFonts w:cs="FrankRuehl"/>
          <w:lang w:eastAsia="en-US"/>
        </w:rPr>
        <w:t>20.1.94</w:t>
      </w:r>
      <w:r>
        <w:rPr>
          <w:rFonts w:cs="FrankRuehl"/>
          <w:rtl/>
          <w:lang w:eastAsia="en-US"/>
        </w:rPr>
        <w:t>]</w:t>
      </w:r>
    </w:p>
    <w:p w14:paraId="32BAA8F7" w14:textId="77777777" w:rsidR="008C1F45" w:rsidRDefault="008C1F45">
      <w:pPr>
        <w:tabs>
          <w:tab w:val="left" w:pos="432"/>
          <w:tab w:val="left" w:pos="720"/>
          <w:tab w:val="left" w:pos="1152"/>
          <w:tab w:val="left" w:pos="1728"/>
          <w:tab w:val="left" w:pos="3600"/>
          <w:tab w:val="left" w:pos="4464"/>
          <w:tab w:val="left" w:pos="7344"/>
        </w:tabs>
        <w:autoSpaceDE w:val="0"/>
        <w:autoSpaceDN w:val="0"/>
        <w:bidi/>
        <w:adjustRightInd w:val="0"/>
        <w:spacing w:after="80" w:line="260" w:lineRule="exact"/>
        <w:jc w:val="center"/>
        <w:rPr>
          <w:rFonts w:cs="FrankRuehl"/>
          <w:rtl/>
          <w:lang w:eastAsia="en-US"/>
        </w:rPr>
      </w:pPr>
      <w:r>
        <w:rPr>
          <w:rFonts w:cs="FrankRuehl"/>
          <w:rtl/>
          <w:lang w:eastAsia="en-US"/>
        </w:rPr>
        <w:t>לפני השופט ח' נחמיאס</w:t>
      </w:r>
    </w:p>
    <w:p w14:paraId="3DF0ECFD" w14:textId="77777777" w:rsidR="008C1F45" w:rsidRDefault="008C1F45">
      <w:pPr>
        <w:tabs>
          <w:tab w:val="left" w:pos="432"/>
          <w:tab w:val="left" w:pos="720"/>
          <w:tab w:val="left" w:pos="1152"/>
          <w:tab w:val="left" w:pos="1728"/>
          <w:tab w:val="left" w:pos="3600"/>
          <w:tab w:val="left" w:pos="4464"/>
          <w:tab w:val="left" w:pos="7344"/>
        </w:tabs>
        <w:autoSpaceDE w:val="0"/>
        <w:autoSpaceDN w:val="0"/>
        <w:bidi/>
        <w:adjustRightInd w:val="0"/>
        <w:spacing w:after="80" w:line="260" w:lineRule="exact"/>
        <w:jc w:val="center"/>
        <w:rPr>
          <w:rFonts w:cs="FrankRuehl"/>
          <w:lang w:eastAsia="en-US"/>
        </w:rPr>
      </w:pPr>
    </w:p>
    <w:p w14:paraId="5EC076E8" w14:textId="77777777" w:rsidR="008C1F45" w:rsidRDefault="008C1F45">
      <w:pPr>
        <w:tabs>
          <w:tab w:val="left" w:pos="432"/>
          <w:tab w:val="left" w:pos="720"/>
          <w:tab w:val="left" w:pos="1152"/>
          <w:tab w:val="left" w:pos="1728"/>
          <w:tab w:val="left" w:pos="3600"/>
          <w:tab w:val="left" w:pos="4464"/>
          <w:tab w:val="left" w:pos="7344"/>
        </w:tabs>
        <w:autoSpaceDE w:val="0"/>
        <w:autoSpaceDN w:val="0"/>
        <w:bidi/>
        <w:adjustRightInd w:val="0"/>
        <w:spacing w:after="80" w:line="260" w:lineRule="exact"/>
        <w:jc w:val="center"/>
        <w:rPr>
          <w:rFonts w:cs="FrankRuehl"/>
          <w:rtl/>
          <w:lang w:eastAsia="en-US"/>
        </w:rPr>
      </w:pPr>
      <w:bookmarkStart w:id="1" w:name="LastJudge"/>
    </w:p>
    <w:bookmarkStart w:id="2" w:name="ABSTRACT_START"/>
    <w:bookmarkEnd w:id="1"/>
    <w:bookmarkEnd w:id="2"/>
    <w:p w14:paraId="189E89AF" w14:textId="77777777" w:rsidR="008C1F45" w:rsidRDefault="00730B50">
      <w:pPr>
        <w:tabs>
          <w:tab w:val="left" w:pos="432"/>
          <w:tab w:val="left" w:pos="720"/>
          <w:tab w:val="left" w:pos="1152"/>
          <w:tab w:val="left" w:pos="1728"/>
          <w:tab w:val="left" w:pos="3600"/>
          <w:tab w:val="left" w:pos="4464"/>
          <w:tab w:val="left" w:pos="7344"/>
        </w:tabs>
        <w:autoSpaceDE w:val="0"/>
        <w:autoSpaceDN w:val="0"/>
        <w:bidi/>
        <w:adjustRightInd w:val="0"/>
        <w:spacing w:after="80" w:line="260" w:lineRule="exact"/>
        <w:jc w:val="both"/>
        <w:rPr>
          <w:rFonts w:cs="FrankRuehl"/>
          <w:sz w:val="22"/>
          <w:szCs w:val="22"/>
          <w:lang w:eastAsia="en-US"/>
        </w:rPr>
      </w:pPr>
      <w:r w:rsidRPr="00730B50">
        <w:rPr>
          <w:rFonts w:cs="FrankRuehl"/>
          <w:color w:val="0000FF"/>
          <w:sz w:val="22"/>
          <w:szCs w:val="22"/>
          <w:u w:val="single"/>
          <w:rtl/>
          <w:lang w:eastAsia="en-US"/>
        </w:rPr>
        <w:fldChar w:fldCharType="begin"/>
      </w:r>
      <w:r w:rsidRPr="00730B50">
        <w:rPr>
          <w:rFonts w:cs="FrankRuehl"/>
          <w:color w:val="0000FF"/>
          <w:sz w:val="22"/>
          <w:szCs w:val="22"/>
          <w:u w:val="single"/>
          <w:rtl/>
          <w:lang w:eastAsia="en-US"/>
        </w:rPr>
        <w:instrText xml:space="preserve"> </w:instrText>
      </w:r>
      <w:r w:rsidRPr="00730B50">
        <w:rPr>
          <w:rFonts w:cs="FrankRuehl"/>
          <w:color w:val="0000FF"/>
          <w:sz w:val="22"/>
          <w:szCs w:val="22"/>
          <w:u w:val="single"/>
          <w:lang w:eastAsia="en-US"/>
        </w:rPr>
        <w:instrText>HYPERLINK</w:instrText>
      </w:r>
      <w:r w:rsidRPr="00730B50">
        <w:rPr>
          <w:rFonts w:cs="FrankRuehl"/>
          <w:color w:val="0000FF"/>
          <w:sz w:val="22"/>
          <w:szCs w:val="22"/>
          <w:u w:val="single"/>
          <w:rtl/>
          <w:lang w:eastAsia="en-US"/>
        </w:rPr>
        <w:instrText xml:space="preserve"> "</w:instrText>
      </w:r>
      <w:r w:rsidRPr="00730B50">
        <w:rPr>
          <w:rFonts w:cs="FrankRuehl"/>
          <w:color w:val="0000FF"/>
          <w:sz w:val="22"/>
          <w:szCs w:val="22"/>
          <w:u w:val="single"/>
          <w:lang w:eastAsia="en-US"/>
        </w:rPr>
        <w:instrText>http://www.nevo.co.il/law/74903</w:instrText>
      </w:r>
      <w:r w:rsidRPr="00730B50">
        <w:rPr>
          <w:rFonts w:cs="FrankRuehl"/>
          <w:color w:val="0000FF"/>
          <w:sz w:val="22"/>
          <w:szCs w:val="22"/>
          <w:u w:val="single"/>
          <w:rtl/>
          <w:lang w:eastAsia="en-US"/>
        </w:rPr>
        <w:instrText xml:space="preserve">" </w:instrText>
      </w:r>
      <w:r w:rsidRPr="00730B50">
        <w:rPr>
          <w:rFonts w:cs="FrankRuehl"/>
          <w:color w:val="0000FF"/>
          <w:sz w:val="22"/>
          <w:szCs w:val="22"/>
          <w:u w:val="single"/>
          <w:lang w:eastAsia="en-US"/>
        </w:rPr>
      </w:r>
      <w:r w:rsidRPr="00730B50">
        <w:rPr>
          <w:rFonts w:cs="FrankRuehl"/>
          <w:color w:val="0000FF"/>
          <w:sz w:val="22"/>
          <w:szCs w:val="22"/>
          <w:u w:val="single"/>
          <w:rtl/>
          <w:lang w:eastAsia="en-US"/>
        </w:rPr>
        <w:fldChar w:fldCharType="separate"/>
      </w:r>
      <w:r w:rsidRPr="00730B50">
        <w:rPr>
          <w:rStyle w:val="Hyperlink"/>
          <w:rFonts w:cs="FrankRuehl"/>
          <w:sz w:val="22"/>
          <w:szCs w:val="22"/>
          <w:rtl/>
          <w:lang w:eastAsia="en-US"/>
        </w:rPr>
        <w:t>חוק סדר הדין הפלילי</w:t>
      </w:r>
      <w:r w:rsidRPr="00730B50">
        <w:rPr>
          <w:rFonts w:cs="FrankRuehl"/>
          <w:color w:val="0000FF"/>
          <w:sz w:val="22"/>
          <w:szCs w:val="22"/>
          <w:u w:val="single"/>
          <w:rtl/>
          <w:lang w:eastAsia="en-US"/>
        </w:rPr>
        <w:fldChar w:fldCharType="end"/>
      </w:r>
      <w:r w:rsidR="008C1F45">
        <w:rPr>
          <w:rFonts w:cs="FrankRuehl"/>
          <w:sz w:val="22"/>
          <w:szCs w:val="22"/>
          <w:rtl/>
          <w:lang w:eastAsia="en-US"/>
        </w:rPr>
        <w:t xml:space="preserve"> [נוסח משולב], תשמ"ב-</w:t>
      </w:r>
      <w:r w:rsidR="008C1F45">
        <w:rPr>
          <w:rFonts w:cs="FrankRuehl"/>
          <w:sz w:val="22"/>
          <w:szCs w:val="22"/>
          <w:lang w:eastAsia="en-US"/>
        </w:rPr>
        <w:t>1982</w:t>
      </w:r>
      <w:r w:rsidR="008C1F45">
        <w:rPr>
          <w:rFonts w:cs="FrankRuehl"/>
          <w:sz w:val="22"/>
          <w:szCs w:val="22"/>
          <w:rtl/>
          <w:lang w:eastAsia="en-US"/>
        </w:rPr>
        <w:t xml:space="preserve">, ס"ח </w:t>
      </w:r>
      <w:r w:rsidR="008C1F45">
        <w:rPr>
          <w:rFonts w:cs="FrankRuehl"/>
          <w:sz w:val="22"/>
          <w:szCs w:val="22"/>
          <w:lang w:eastAsia="en-US"/>
        </w:rPr>
        <w:t>43</w:t>
      </w:r>
      <w:r w:rsidR="008C1F45">
        <w:rPr>
          <w:rFonts w:cs="FrankRuehl"/>
          <w:sz w:val="22"/>
          <w:szCs w:val="22"/>
          <w:rtl/>
          <w:lang w:eastAsia="en-US"/>
        </w:rPr>
        <w:t xml:space="preserve">, </w:t>
      </w:r>
      <w:hyperlink r:id="rId6" w:history="1">
        <w:r w:rsidR="004D3697" w:rsidRPr="004D3697">
          <w:rPr>
            <w:rFonts w:cs="FrankRuehl"/>
            <w:color w:val="0000FF"/>
            <w:sz w:val="22"/>
            <w:szCs w:val="22"/>
            <w:rtl/>
            <w:lang w:eastAsia="en-US"/>
          </w:rPr>
          <w:t>סעיף 182-</w:t>
        </w:r>
      </w:hyperlink>
      <w:r w:rsidR="008C1F45">
        <w:rPr>
          <w:rFonts w:cs="FrankRuehl"/>
          <w:sz w:val="22"/>
          <w:szCs w:val="22"/>
          <w:rtl/>
          <w:lang w:eastAsia="en-US"/>
        </w:rPr>
        <w:t xml:space="preserve"> </w:t>
      </w:r>
      <w:hyperlink r:id="rId7" w:history="1">
        <w:r w:rsidRPr="00730B50">
          <w:rPr>
            <w:rStyle w:val="Hyperlink"/>
            <w:rFonts w:cs="FrankRuehl"/>
            <w:sz w:val="22"/>
            <w:szCs w:val="22"/>
            <w:rtl/>
            <w:lang w:eastAsia="en-US"/>
          </w:rPr>
          <w:t>חוק העונשין</w:t>
        </w:r>
      </w:hyperlink>
      <w:r w:rsidR="008C1F45">
        <w:rPr>
          <w:rFonts w:cs="FrankRuehl"/>
          <w:sz w:val="22"/>
          <w:szCs w:val="22"/>
          <w:rtl/>
          <w:lang w:eastAsia="en-US"/>
        </w:rPr>
        <w:t>, תשל"ז-</w:t>
      </w:r>
      <w:r w:rsidR="008C1F45">
        <w:rPr>
          <w:rFonts w:cs="FrankRuehl"/>
          <w:sz w:val="22"/>
          <w:szCs w:val="22"/>
          <w:lang w:eastAsia="en-US"/>
        </w:rPr>
        <w:t>1977</w:t>
      </w:r>
      <w:r w:rsidR="008C1F45">
        <w:rPr>
          <w:rFonts w:cs="FrankRuehl"/>
          <w:sz w:val="22"/>
          <w:szCs w:val="22"/>
          <w:rtl/>
          <w:lang w:eastAsia="en-US"/>
        </w:rPr>
        <w:t xml:space="preserve">, ס"ח </w:t>
      </w:r>
      <w:r w:rsidR="008C1F45">
        <w:rPr>
          <w:rFonts w:cs="FrankRuehl"/>
          <w:sz w:val="22"/>
          <w:szCs w:val="22"/>
          <w:lang w:eastAsia="en-US"/>
        </w:rPr>
        <w:t>226</w:t>
      </w:r>
      <w:r w:rsidR="008C1F45">
        <w:rPr>
          <w:rFonts w:cs="FrankRuehl"/>
          <w:sz w:val="22"/>
          <w:szCs w:val="22"/>
          <w:rtl/>
          <w:lang w:eastAsia="en-US"/>
        </w:rPr>
        <w:t xml:space="preserve">, סעיפים </w:t>
      </w:r>
      <w:r w:rsidR="008C1F45">
        <w:rPr>
          <w:rFonts w:cs="FrankRuehl"/>
          <w:sz w:val="22"/>
          <w:szCs w:val="22"/>
          <w:lang w:eastAsia="en-US"/>
        </w:rPr>
        <w:t xml:space="preserve">349 </w:t>
      </w:r>
      <w:hyperlink r:id="rId8" w:history="1">
        <w:r w:rsidR="004D3697" w:rsidRPr="004D3697">
          <w:rPr>
            <w:rFonts w:cs="FrankRuehl"/>
            <w:color w:val="0000FF"/>
            <w:sz w:val="22"/>
            <w:szCs w:val="22"/>
            <w:u w:val="single"/>
            <w:rtl/>
            <w:lang w:eastAsia="en-US"/>
          </w:rPr>
          <w:t>2</w:t>
        </w:r>
      </w:hyperlink>
      <w:r w:rsidR="008C1F45">
        <w:rPr>
          <w:rFonts w:cs="FrankRuehl"/>
          <w:sz w:val="22"/>
          <w:szCs w:val="22"/>
          <w:rtl/>
          <w:lang w:eastAsia="en-US"/>
        </w:rPr>
        <w:t>(</w:t>
      </w:r>
      <w:hyperlink r:id="rId9" w:history="1">
        <w:r w:rsidR="004D3697" w:rsidRPr="004D3697">
          <w:rPr>
            <w:rStyle w:val="Hyperlink"/>
            <w:rFonts w:cs="FrankRuehl"/>
            <w:sz w:val="22"/>
            <w:szCs w:val="22"/>
            <w:rtl/>
            <w:lang w:eastAsia="en-US"/>
          </w:rPr>
          <w:t>א),</w:t>
        </w:r>
      </w:hyperlink>
      <w:r w:rsidR="008C1F45">
        <w:rPr>
          <w:rFonts w:cs="FrankRuehl"/>
          <w:sz w:val="22"/>
          <w:szCs w:val="22"/>
          <w:rtl/>
          <w:lang w:eastAsia="en-US"/>
        </w:rPr>
        <w:t xml:space="preserve"> </w:t>
      </w:r>
      <w:hyperlink r:id="rId10" w:history="1">
        <w:r w:rsidR="004D3697" w:rsidRPr="004D3697">
          <w:rPr>
            <w:rStyle w:val="Hyperlink"/>
            <w:rFonts w:cs="FrankRuehl"/>
            <w:sz w:val="22"/>
            <w:szCs w:val="22"/>
            <w:lang w:eastAsia="en-US"/>
          </w:rPr>
          <w:t>349(</w:t>
        </w:r>
        <w:r w:rsidR="004D3697" w:rsidRPr="004D3697">
          <w:rPr>
            <w:rStyle w:val="Hyperlink"/>
            <w:rFonts w:cs="FrankRuehl"/>
            <w:sz w:val="22"/>
            <w:szCs w:val="22"/>
            <w:rtl/>
            <w:lang w:eastAsia="en-US"/>
          </w:rPr>
          <w:t>ב</w:t>
        </w:r>
        <w:r w:rsidR="004D3697" w:rsidRPr="004D3697">
          <w:rPr>
            <w:rStyle w:val="Hyperlink"/>
            <w:rFonts w:cs="FrankRuehl"/>
            <w:sz w:val="22"/>
            <w:szCs w:val="22"/>
            <w:lang w:eastAsia="en-US"/>
          </w:rPr>
          <w:t>).</w:t>
        </w:r>
      </w:hyperlink>
    </w:p>
    <w:p w14:paraId="1514CB87" w14:textId="77777777" w:rsidR="008C1F45" w:rsidRDefault="008C1F45">
      <w:pPr>
        <w:tabs>
          <w:tab w:val="left" w:pos="432"/>
          <w:tab w:val="left" w:pos="720"/>
          <w:tab w:val="left" w:pos="1152"/>
          <w:tab w:val="left" w:pos="1728"/>
          <w:tab w:val="left" w:pos="3600"/>
          <w:tab w:val="left" w:pos="4464"/>
          <w:tab w:val="left" w:pos="7344"/>
        </w:tabs>
        <w:autoSpaceDE w:val="0"/>
        <w:autoSpaceDN w:val="0"/>
        <w:bidi/>
        <w:adjustRightInd w:val="0"/>
        <w:spacing w:after="80" w:line="260" w:lineRule="exact"/>
        <w:jc w:val="both"/>
        <w:rPr>
          <w:rFonts w:cs="FrankRuehl"/>
          <w:sz w:val="22"/>
          <w:szCs w:val="22"/>
          <w:rtl/>
          <w:lang w:eastAsia="en-US"/>
        </w:rPr>
      </w:pPr>
      <w:r>
        <w:rPr>
          <w:rFonts w:cs="FrankRuehl"/>
          <w:sz w:val="22"/>
          <w:szCs w:val="22"/>
          <w:rtl/>
          <w:lang w:eastAsia="en-US"/>
        </w:rPr>
        <w:t>בכתב האישום יוחסה לנאשם עבירה של מעשה מגונה בפומבי. נטען נגדו, כי בשעות היום ביצע הנאשם מעשה מגונה בכך שאונן מול חלון דירתו. התנהגותו של הנאשם, שנעשתה בין כתלי ביתו, נשקפה לעיניה של המתלוננת, שכנתו של הנאשם, בעת שתלתה כביסה בדירתה. הנאשם שב וחזר על מעשהו פעם נוספת.</w:t>
      </w:r>
    </w:p>
    <w:p w14:paraId="59D0C26C" w14:textId="77777777" w:rsidR="008C1F45" w:rsidRDefault="008C1F45">
      <w:pPr>
        <w:tabs>
          <w:tab w:val="left" w:pos="432"/>
          <w:tab w:val="left" w:pos="720"/>
          <w:tab w:val="left" w:pos="1152"/>
          <w:tab w:val="left" w:pos="1728"/>
          <w:tab w:val="left" w:pos="3600"/>
          <w:tab w:val="left" w:pos="4464"/>
          <w:tab w:val="left" w:pos="7344"/>
        </w:tabs>
        <w:autoSpaceDE w:val="0"/>
        <w:autoSpaceDN w:val="0"/>
        <w:bidi/>
        <w:adjustRightInd w:val="0"/>
        <w:spacing w:after="80" w:line="260" w:lineRule="exact"/>
        <w:jc w:val="both"/>
        <w:rPr>
          <w:rFonts w:cs="FrankRuehl"/>
          <w:sz w:val="22"/>
          <w:szCs w:val="22"/>
          <w:rtl/>
          <w:lang w:eastAsia="en-US"/>
        </w:rPr>
      </w:pPr>
      <w:r>
        <w:rPr>
          <w:rFonts w:cs="FrankRuehl"/>
          <w:sz w:val="22"/>
          <w:szCs w:val="22"/>
          <w:rtl/>
          <w:lang w:eastAsia="en-US"/>
        </w:rPr>
        <w:t>לטענת הנאשם, נגבתה ממנו הודאתו במשטרה, בלא שהבין את תוכן ההאשמה. לפי הטענה, הוא אינו דובר עברית, וחתימתו על ההודעה (הודאה) נעשתה לאחר שהבין, כי אם לא יחתום - ייעצר.</w:t>
      </w:r>
    </w:p>
    <w:p w14:paraId="38BF94E8" w14:textId="77777777" w:rsidR="008C1F45" w:rsidRDefault="008C1F45">
      <w:pPr>
        <w:tabs>
          <w:tab w:val="left" w:pos="432"/>
          <w:tab w:val="left" w:pos="720"/>
          <w:tab w:val="left" w:pos="1152"/>
          <w:tab w:val="left" w:pos="1728"/>
          <w:tab w:val="left" w:pos="3600"/>
          <w:tab w:val="left" w:pos="4464"/>
          <w:tab w:val="left" w:pos="7344"/>
        </w:tabs>
        <w:autoSpaceDE w:val="0"/>
        <w:autoSpaceDN w:val="0"/>
        <w:bidi/>
        <w:adjustRightInd w:val="0"/>
        <w:spacing w:after="80" w:line="260" w:lineRule="exact"/>
        <w:jc w:val="both"/>
        <w:rPr>
          <w:rFonts w:cs="FrankRuehl"/>
          <w:sz w:val="22"/>
          <w:szCs w:val="22"/>
          <w:rtl/>
          <w:lang w:eastAsia="en-US"/>
        </w:rPr>
      </w:pPr>
      <w:bookmarkStart w:id="3" w:name="ABSTRACT_END"/>
      <w:bookmarkEnd w:id="3"/>
    </w:p>
    <w:p w14:paraId="28C062CC" w14:textId="77777777" w:rsidR="008C1F45" w:rsidRDefault="008C1F45">
      <w:pPr>
        <w:tabs>
          <w:tab w:val="left" w:pos="432"/>
          <w:tab w:val="left" w:pos="720"/>
          <w:tab w:val="left" w:pos="1152"/>
          <w:tab w:val="left" w:pos="1728"/>
          <w:tab w:val="left" w:pos="3600"/>
          <w:tab w:val="left" w:pos="4464"/>
          <w:tab w:val="left" w:pos="7344"/>
        </w:tabs>
        <w:autoSpaceDE w:val="0"/>
        <w:autoSpaceDN w:val="0"/>
        <w:bidi/>
        <w:adjustRightInd w:val="0"/>
        <w:spacing w:after="80" w:line="260" w:lineRule="exact"/>
        <w:jc w:val="both"/>
        <w:rPr>
          <w:rFonts w:cs="FrankRuehl"/>
          <w:sz w:val="22"/>
          <w:szCs w:val="22"/>
          <w:lang w:eastAsia="en-US"/>
        </w:rPr>
      </w:pPr>
      <w:r>
        <w:rPr>
          <w:rFonts w:cs="FrankRuehl"/>
          <w:sz w:val="22"/>
          <w:szCs w:val="22"/>
          <w:rtl/>
          <w:lang w:eastAsia="en-US"/>
        </w:rPr>
        <w:t>בית-משפט השלום פסק</w:t>
      </w:r>
      <w:r>
        <w:rPr>
          <w:rFonts w:cs="FrankRuehl"/>
          <w:sz w:val="22"/>
          <w:szCs w:val="22"/>
          <w:lang w:eastAsia="en-US"/>
        </w:rPr>
        <w:t>:</w:t>
      </w:r>
      <w:r>
        <w:rPr>
          <w:rFonts w:cs="FrankRuehl"/>
          <w:color w:val="FFFFFF"/>
          <w:sz w:val="22"/>
          <w:szCs w:val="22"/>
          <w:rtl/>
          <w:lang w:eastAsia="en-US"/>
        </w:rPr>
        <w:t>נ</w:t>
      </w:r>
    </w:p>
    <w:p w14:paraId="779AEFC4" w14:textId="77777777" w:rsidR="008C1F45" w:rsidRDefault="008C1F45">
      <w:pPr>
        <w:tabs>
          <w:tab w:val="left" w:pos="432"/>
          <w:tab w:val="left" w:pos="720"/>
          <w:tab w:val="left" w:pos="1152"/>
          <w:tab w:val="left" w:pos="1728"/>
          <w:tab w:val="left" w:pos="3600"/>
          <w:tab w:val="left" w:pos="4464"/>
          <w:tab w:val="left" w:pos="7344"/>
        </w:tabs>
        <w:autoSpaceDE w:val="0"/>
        <w:autoSpaceDN w:val="0"/>
        <w:bidi/>
        <w:adjustRightInd w:val="0"/>
        <w:spacing w:after="80" w:line="260" w:lineRule="exact"/>
        <w:jc w:val="both"/>
        <w:rPr>
          <w:rFonts w:cs="FrankRuehl"/>
          <w:sz w:val="22"/>
          <w:szCs w:val="22"/>
          <w:lang w:eastAsia="en-US"/>
        </w:rPr>
      </w:pPr>
      <w:r>
        <w:rPr>
          <w:rFonts w:cs="FrankRuehl"/>
          <w:sz w:val="22"/>
          <w:szCs w:val="22"/>
          <w:rtl/>
          <w:lang w:eastAsia="en-US"/>
        </w:rPr>
        <w:t>א. (1) בנסיבות דנן, השוטרים אשר גבו מן הנאשם את הודאתו, העידו בבית המשפט עדות אמת. הנאשם הבין וידע את כל אשר היה חשוד בו</w:t>
      </w:r>
      <w:r>
        <w:rPr>
          <w:rFonts w:cs="FrankRuehl"/>
          <w:sz w:val="22"/>
          <w:szCs w:val="22"/>
          <w:lang w:eastAsia="en-US"/>
        </w:rPr>
        <w:t>:</w:t>
      </w:r>
      <w:r>
        <w:rPr>
          <w:rFonts w:cs="FrankRuehl"/>
          <w:color w:val="FFFFFF"/>
          <w:sz w:val="22"/>
          <w:szCs w:val="22"/>
          <w:rtl/>
          <w:lang w:eastAsia="en-US"/>
        </w:rPr>
        <w:t>ב</w:t>
      </w:r>
      <w:r>
        <w:rPr>
          <w:rFonts w:cs="FrankRuehl"/>
          <w:sz w:val="22"/>
          <w:szCs w:val="22"/>
          <w:lang w:eastAsia="en-US"/>
        </w:rPr>
        <w:t xml:space="preserve"> </w:t>
      </w:r>
      <w:r>
        <w:rPr>
          <w:rFonts w:cs="FrankRuehl"/>
          <w:sz w:val="22"/>
          <w:szCs w:val="22"/>
          <w:rtl/>
          <w:lang w:eastAsia="en-US"/>
        </w:rPr>
        <w:t>את האזהרה בפתח אימרתו ואת משמעות המילה "לאונן</w:t>
      </w:r>
      <w:r>
        <w:rPr>
          <w:rFonts w:cs="FrankRuehl"/>
          <w:sz w:val="22"/>
          <w:szCs w:val="22"/>
          <w:lang w:eastAsia="en-US"/>
        </w:rPr>
        <w:t>".</w:t>
      </w:r>
    </w:p>
    <w:p w14:paraId="0DED333C" w14:textId="77777777" w:rsidR="008C1F45" w:rsidRDefault="008C1F45">
      <w:pPr>
        <w:tabs>
          <w:tab w:val="left" w:pos="432"/>
          <w:tab w:val="left" w:pos="720"/>
          <w:tab w:val="left" w:pos="1152"/>
          <w:tab w:val="left" w:pos="1728"/>
          <w:tab w:val="left" w:pos="3600"/>
          <w:tab w:val="left" w:pos="4464"/>
          <w:tab w:val="left" w:pos="7344"/>
        </w:tabs>
        <w:autoSpaceDE w:val="0"/>
        <w:autoSpaceDN w:val="0"/>
        <w:bidi/>
        <w:adjustRightInd w:val="0"/>
        <w:spacing w:after="80" w:line="260" w:lineRule="exact"/>
        <w:jc w:val="both"/>
        <w:rPr>
          <w:rFonts w:cs="FrankRuehl"/>
          <w:sz w:val="22"/>
          <w:szCs w:val="22"/>
          <w:lang w:eastAsia="en-US"/>
        </w:rPr>
      </w:pPr>
      <w:r>
        <w:rPr>
          <w:rFonts w:cs="FrankRuehl"/>
          <w:sz w:val="22"/>
          <w:szCs w:val="22"/>
          <w:rtl/>
          <w:lang w:eastAsia="en-US"/>
        </w:rPr>
        <w:t>(</w:t>
      </w:r>
      <w:r>
        <w:rPr>
          <w:rFonts w:cs="FrankRuehl"/>
          <w:sz w:val="22"/>
          <w:szCs w:val="22"/>
          <w:lang w:eastAsia="en-US"/>
        </w:rPr>
        <w:t>2</w:t>
      </w:r>
      <w:r>
        <w:rPr>
          <w:rFonts w:cs="FrankRuehl"/>
          <w:sz w:val="22"/>
          <w:szCs w:val="22"/>
          <w:rtl/>
          <w:lang w:eastAsia="en-US"/>
        </w:rPr>
        <w:t>)</w:t>
      </w:r>
      <w:r>
        <w:rPr>
          <w:rFonts w:cs="FrankRuehl"/>
          <w:sz w:val="22"/>
          <w:szCs w:val="22"/>
          <w:lang w:eastAsia="en-US"/>
        </w:rPr>
        <w:t xml:space="preserve"> </w:t>
      </w:r>
      <w:r>
        <w:rPr>
          <w:rFonts w:cs="FrankRuehl"/>
          <w:sz w:val="22"/>
          <w:szCs w:val="22"/>
          <w:rtl/>
          <w:lang w:eastAsia="en-US"/>
        </w:rPr>
        <w:t>בנסיבות דנן, האזהרה בפתח האימרה תורגמה לנאשם, ולאחר מכן כל האימרה נגבתה בסיוע תרגומו של מתורגמן</w:t>
      </w:r>
      <w:r>
        <w:rPr>
          <w:rFonts w:cs="FrankRuehl"/>
          <w:sz w:val="22"/>
          <w:szCs w:val="22"/>
          <w:lang w:eastAsia="en-US"/>
        </w:rPr>
        <w:t>.</w:t>
      </w:r>
    </w:p>
    <w:p w14:paraId="5FD3302E" w14:textId="77777777" w:rsidR="008C1F45" w:rsidRDefault="008C1F45">
      <w:pPr>
        <w:tabs>
          <w:tab w:val="left" w:pos="432"/>
          <w:tab w:val="left" w:pos="720"/>
          <w:tab w:val="left" w:pos="1152"/>
          <w:tab w:val="left" w:pos="1728"/>
          <w:tab w:val="left" w:pos="3600"/>
          <w:tab w:val="left" w:pos="4464"/>
          <w:tab w:val="left" w:pos="7344"/>
        </w:tabs>
        <w:autoSpaceDE w:val="0"/>
        <w:autoSpaceDN w:val="0"/>
        <w:bidi/>
        <w:adjustRightInd w:val="0"/>
        <w:spacing w:after="80" w:line="260" w:lineRule="exact"/>
        <w:jc w:val="both"/>
        <w:rPr>
          <w:rFonts w:cs="FrankRuehl"/>
          <w:sz w:val="22"/>
          <w:szCs w:val="22"/>
          <w:rtl/>
          <w:lang w:eastAsia="en-US"/>
        </w:rPr>
      </w:pPr>
      <w:r>
        <w:rPr>
          <w:rFonts w:cs="FrankRuehl"/>
          <w:sz w:val="22"/>
          <w:szCs w:val="22"/>
          <w:rtl/>
          <w:lang w:eastAsia="en-US"/>
        </w:rPr>
        <w:t>(</w:t>
      </w:r>
      <w:r>
        <w:rPr>
          <w:rFonts w:cs="FrankRuehl"/>
          <w:sz w:val="22"/>
          <w:szCs w:val="22"/>
          <w:lang w:eastAsia="en-US"/>
        </w:rPr>
        <w:t>3</w:t>
      </w:r>
      <w:r>
        <w:rPr>
          <w:rFonts w:cs="FrankRuehl"/>
          <w:sz w:val="22"/>
          <w:szCs w:val="22"/>
          <w:rtl/>
          <w:lang w:eastAsia="en-US"/>
        </w:rPr>
        <w:t>)</w:t>
      </w:r>
      <w:r>
        <w:rPr>
          <w:rFonts w:cs="FrankRuehl"/>
          <w:sz w:val="22"/>
          <w:szCs w:val="22"/>
          <w:lang w:eastAsia="en-US"/>
        </w:rPr>
        <w:t xml:space="preserve"> </w:t>
      </w:r>
      <w:r>
        <w:rPr>
          <w:rFonts w:cs="FrankRuehl"/>
          <w:sz w:val="22"/>
          <w:szCs w:val="22"/>
          <w:rtl/>
          <w:lang w:eastAsia="en-US"/>
        </w:rPr>
        <w:t>בנסיבות דנן, אין מנוס מהמסקנה, נוכח חוסר האמון בגירסת הנאשם, כי האימרה היא קבילה באשר ניתנה מרצונו הטוב והחופשי של הנאשם.</w:t>
      </w:r>
    </w:p>
    <w:p w14:paraId="43EC3512" w14:textId="77777777" w:rsidR="008C1F45" w:rsidRDefault="008C1F45">
      <w:pPr>
        <w:tabs>
          <w:tab w:val="left" w:pos="432"/>
          <w:tab w:val="left" w:pos="720"/>
          <w:tab w:val="left" w:pos="1152"/>
          <w:tab w:val="left" w:pos="1728"/>
          <w:tab w:val="left" w:pos="3600"/>
          <w:tab w:val="left" w:pos="4464"/>
          <w:tab w:val="left" w:pos="7344"/>
        </w:tabs>
        <w:autoSpaceDE w:val="0"/>
        <w:autoSpaceDN w:val="0"/>
        <w:bidi/>
        <w:adjustRightInd w:val="0"/>
        <w:spacing w:after="80" w:line="260" w:lineRule="exact"/>
        <w:jc w:val="both"/>
        <w:rPr>
          <w:rFonts w:cs="FrankRuehl"/>
          <w:sz w:val="22"/>
          <w:szCs w:val="22"/>
          <w:rtl/>
          <w:lang w:eastAsia="en-US"/>
        </w:rPr>
      </w:pPr>
      <w:r>
        <w:rPr>
          <w:rFonts w:cs="FrankRuehl"/>
          <w:sz w:val="22"/>
          <w:szCs w:val="22"/>
          <w:rtl/>
          <w:lang w:eastAsia="en-US"/>
        </w:rPr>
        <w:t>ב. (1) בנסיבות דנן, ניתן לקבל, באופן מלא ומוחלט, את גירסת המתלוננת</w:t>
      </w:r>
      <w:r>
        <w:rPr>
          <w:rFonts w:cs="FrankRuehl"/>
          <w:sz w:val="22"/>
          <w:szCs w:val="22"/>
          <w:lang w:eastAsia="en-US"/>
        </w:rPr>
        <w:t xml:space="preserve">, </w:t>
      </w:r>
      <w:r>
        <w:rPr>
          <w:rFonts w:cs="FrankRuehl"/>
          <w:sz w:val="22"/>
          <w:szCs w:val="22"/>
          <w:rtl/>
          <w:lang w:eastAsia="en-US"/>
        </w:rPr>
        <w:t>לפיה ממקום עמידתה בדירתה שלה ניתן היה לראות היטב את הנאשם עומד בחלון דירתו, מגלה את ערוותו ומאונן. אך עדיין אין בכך כדי להרשיע את הנאשם</w:t>
      </w:r>
      <w:r>
        <w:rPr>
          <w:rFonts w:cs="FrankRuehl"/>
          <w:sz w:val="22"/>
          <w:szCs w:val="22"/>
          <w:lang w:eastAsia="en-US"/>
        </w:rPr>
        <w:t>.</w:t>
      </w:r>
    </w:p>
    <w:p w14:paraId="57BCBDA4" w14:textId="77777777" w:rsidR="008C1F45" w:rsidRDefault="008C1F45">
      <w:pPr>
        <w:tabs>
          <w:tab w:val="left" w:pos="432"/>
          <w:tab w:val="left" w:pos="720"/>
          <w:tab w:val="left" w:pos="1152"/>
          <w:tab w:val="left" w:pos="1728"/>
          <w:tab w:val="left" w:pos="3600"/>
          <w:tab w:val="left" w:pos="4464"/>
          <w:tab w:val="left" w:pos="7344"/>
        </w:tabs>
        <w:autoSpaceDE w:val="0"/>
        <w:autoSpaceDN w:val="0"/>
        <w:bidi/>
        <w:adjustRightInd w:val="0"/>
        <w:spacing w:after="80" w:line="260" w:lineRule="exact"/>
        <w:jc w:val="both"/>
        <w:rPr>
          <w:rFonts w:cs="FrankRuehl"/>
          <w:sz w:val="22"/>
          <w:szCs w:val="22"/>
          <w:rtl/>
          <w:lang w:eastAsia="en-US"/>
        </w:rPr>
      </w:pPr>
      <w:r>
        <w:rPr>
          <w:rFonts w:cs="FrankRuehl"/>
          <w:sz w:val="22"/>
          <w:szCs w:val="22"/>
          <w:rtl/>
          <w:lang w:eastAsia="en-US"/>
        </w:rPr>
        <w:t>(</w:t>
      </w:r>
      <w:r>
        <w:rPr>
          <w:rFonts w:cs="FrankRuehl"/>
          <w:sz w:val="22"/>
          <w:szCs w:val="22"/>
          <w:lang w:eastAsia="en-US"/>
        </w:rPr>
        <w:t>2</w:t>
      </w:r>
      <w:r>
        <w:rPr>
          <w:rFonts w:cs="FrankRuehl"/>
          <w:sz w:val="22"/>
          <w:szCs w:val="22"/>
          <w:rtl/>
          <w:lang w:eastAsia="en-US"/>
        </w:rPr>
        <w:t>)</w:t>
      </w:r>
      <w:r>
        <w:rPr>
          <w:rFonts w:cs="FrankRuehl"/>
          <w:sz w:val="22"/>
          <w:szCs w:val="22"/>
          <w:lang w:eastAsia="en-US"/>
        </w:rPr>
        <w:t xml:space="preserve"> </w:t>
      </w:r>
      <w:r>
        <w:rPr>
          <w:rFonts w:cs="FrankRuehl"/>
          <w:sz w:val="22"/>
          <w:szCs w:val="22"/>
          <w:rtl/>
          <w:lang w:eastAsia="en-US"/>
        </w:rPr>
        <w:t xml:space="preserve">דירתו של הנאשם אינה "מקום ציבורי", כהגדרת הביטוי </w:t>
      </w:r>
      <w:hyperlink r:id="rId11" w:history="1">
        <w:r w:rsidR="004D3697" w:rsidRPr="004D3697">
          <w:rPr>
            <w:rFonts w:cs="FrankRuehl"/>
            <w:color w:val="0000FF"/>
            <w:sz w:val="22"/>
            <w:szCs w:val="22"/>
            <w:u w:val="single"/>
            <w:rtl/>
            <w:lang w:eastAsia="en-US"/>
          </w:rPr>
          <w:t>בסעיף 2</w:t>
        </w:r>
      </w:hyperlink>
    </w:p>
    <w:p w14:paraId="7EC42F11" w14:textId="77777777" w:rsidR="008C1F45" w:rsidRDefault="008C1F45">
      <w:pPr>
        <w:tabs>
          <w:tab w:val="left" w:pos="432"/>
          <w:tab w:val="left" w:pos="720"/>
          <w:tab w:val="left" w:pos="1152"/>
          <w:tab w:val="left" w:pos="1728"/>
          <w:tab w:val="left" w:pos="3600"/>
          <w:tab w:val="left" w:pos="4464"/>
          <w:tab w:val="left" w:pos="7344"/>
        </w:tabs>
        <w:autoSpaceDE w:val="0"/>
        <w:autoSpaceDN w:val="0"/>
        <w:bidi/>
        <w:adjustRightInd w:val="0"/>
        <w:spacing w:after="80" w:line="260" w:lineRule="exact"/>
        <w:jc w:val="both"/>
        <w:rPr>
          <w:rFonts w:cs="FrankRuehl"/>
          <w:sz w:val="22"/>
          <w:szCs w:val="22"/>
          <w:rtl/>
          <w:lang w:eastAsia="en-US"/>
        </w:rPr>
      </w:pPr>
      <w:r>
        <w:rPr>
          <w:rFonts w:cs="FrankRuehl"/>
          <w:sz w:val="22"/>
          <w:szCs w:val="22"/>
          <w:rtl/>
          <w:lang w:eastAsia="en-US"/>
        </w:rPr>
        <w:t>ל</w:t>
      </w:r>
      <w:hyperlink r:id="rId12" w:history="1">
        <w:r w:rsidR="00730B50" w:rsidRPr="00730B50">
          <w:rPr>
            <w:rStyle w:val="Hyperlink"/>
            <w:rFonts w:cs="FrankRuehl"/>
            <w:sz w:val="22"/>
            <w:szCs w:val="22"/>
            <w:rtl/>
            <w:lang w:eastAsia="en-US"/>
          </w:rPr>
          <w:t>חוק העונשין</w:t>
        </w:r>
      </w:hyperlink>
      <w:r>
        <w:rPr>
          <w:rFonts w:cs="FrankRuehl"/>
          <w:sz w:val="22"/>
          <w:szCs w:val="22"/>
          <w:rtl/>
          <w:lang w:eastAsia="en-US"/>
        </w:rPr>
        <w:t>. גם דירתה של המתלוננת אינה בבחינת "מקום ציבורי</w:t>
      </w:r>
      <w:r>
        <w:rPr>
          <w:rFonts w:cs="FrankRuehl"/>
          <w:sz w:val="22"/>
          <w:szCs w:val="22"/>
          <w:lang w:eastAsia="en-US"/>
        </w:rPr>
        <w:t>".</w:t>
      </w:r>
    </w:p>
    <w:p w14:paraId="474E8DFF" w14:textId="77777777" w:rsidR="008C1F45" w:rsidRDefault="008C1F45">
      <w:pPr>
        <w:tabs>
          <w:tab w:val="left" w:pos="288"/>
          <w:tab w:val="left" w:pos="720"/>
          <w:tab w:val="left" w:pos="864"/>
          <w:tab w:val="left" w:pos="1008"/>
          <w:tab w:val="left" w:pos="1440"/>
          <w:tab w:val="left" w:pos="1584"/>
          <w:tab w:val="left" w:pos="2016"/>
          <w:tab w:val="left" w:pos="4752"/>
        </w:tabs>
        <w:autoSpaceDE w:val="0"/>
        <w:autoSpaceDN w:val="0"/>
        <w:bidi/>
        <w:adjustRightInd w:val="0"/>
        <w:spacing w:after="80" w:line="260" w:lineRule="exact"/>
        <w:jc w:val="both"/>
        <w:rPr>
          <w:rFonts w:cs="FrankRuehl"/>
          <w:sz w:val="22"/>
          <w:szCs w:val="22"/>
          <w:rtl/>
          <w:lang w:eastAsia="en-US"/>
        </w:rPr>
      </w:pPr>
      <w:r>
        <w:rPr>
          <w:rFonts w:cs="FrankRuehl"/>
          <w:sz w:val="22"/>
          <w:szCs w:val="22"/>
          <w:rtl/>
          <w:lang w:eastAsia="en-US"/>
        </w:rPr>
        <w:t>(</w:t>
      </w:r>
      <w:r>
        <w:rPr>
          <w:rFonts w:cs="FrankRuehl"/>
          <w:sz w:val="22"/>
          <w:szCs w:val="22"/>
          <w:lang w:eastAsia="en-US"/>
        </w:rPr>
        <w:t>3</w:t>
      </w:r>
      <w:r>
        <w:rPr>
          <w:rFonts w:cs="FrankRuehl"/>
          <w:sz w:val="22"/>
          <w:szCs w:val="22"/>
          <w:rtl/>
          <w:lang w:eastAsia="en-US"/>
        </w:rPr>
        <w:t>)</w:t>
      </w:r>
      <w:r>
        <w:rPr>
          <w:rFonts w:cs="FrankRuehl"/>
          <w:sz w:val="22"/>
          <w:szCs w:val="22"/>
          <w:lang w:eastAsia="en-US"/>
        </w:rPr>
        <w:t xml:space="preserve"> </w:t>
      </w:r>
      <w:r>
        <w:rPr>
          <w:rFonts w:cs="FrankRuehl"/>
          <w:sz w:val="22"/>
          <w:szCs w:val="22"/>
          <w:rtl/>
          <w:lang w:eastAsia="en-US"/>
        </w:rPr>
        <w:t>גם אם ניתן לומר, שאין צורך שהמתלונן יהיה מצוי דווקא במקום</w:t>
      </w:r>
      <w:r>
        <w:rPr>
          <w:rFonts w:cs="FrankRuehl"/>
          <w:sz w:val="22"/>
          <w:szCs w:val="22"/>
          <w:lang w:eastAsia="en-US"/>
        </w:rPr>
        <w:t xml:space="preserve"> </w:t>
      </w:r>
      <w:r>
        <w:rPr>
          <w:rFonts w:cs="FrankRuehl"/>
          <w:sz w:val="22"/>
          <w:szCs w:val="22"/>
          <w:rtl/>
          <w:lang w:eastAsia="en-US"/>
        </w:rPr>
        <w:cr/>
      </w:r>
      <w:r>
        <w:rPr>
          <w:rFonts w:cs="FrankRuehl"/>
          <w:sz w:val="22"/>
          <w:szCs w:val="22"/>
          <w:rtl/>
          <w:lang w:eastAsia="en-US"/>
        </w:rPr>
        <w:br w:type="page"/>
      </w:r>
      <w:r>
        <w:rPr>
          <w:rFonts w:cs="FrankRuehl"/>
          <w:sz w:val="22"/>
          <w:szCs w:val="22"/>
          <w:rtl/>
          <w:lang w:eastAsia="en-US"/>
        </w:rPr>
        <w:lastRenderedPageBreak/>
        <w:t>ציבורי, ודי בכך שאדם המצוי במקום ציבורי יכול לראות את המעשה המגונה, עדיין לא הוכיחה התביעה תנאי זה, דהיינו, שבאזור דירתו של הנאשם קיים "מקום ציבורי", שהמצוי בו יכול לראות את המעשה.</w:t>
      </w:r>
    </w:p>
    <w:p w14:paraId="2BAA3BFD" w14:textId="77777777" w:rsidR="008C1F45" w:rsidRDefault="008C1F45">
      <w:pPr>
        <w:tabs>
          <w:tab w:val="left" w:pos="288"/>
          <w:tab w:val="left" w:pos="720"/>
          <w:tab w:val="left" w:pos="864"/>
          <w:tab w:val="left" w:pos="1008"/>
          <w:tab w:val="left" w:pos="1440"/>
          <w:tab w:val="left" w:pos="1584"/>
          <w:tab w:val="left" w:pos="2016"/>
          <w:tab w:val="left" w:pos="4752"/>
        </w:tabs>
        <w:autoSpaceDE w:val="0"/>
        <w:autoSpaceDN w:val="0"/>
        <w:bidi/>
        <w:adjustRightInd w:val="0"/>
        <w:spacing w:after="80" w:line="260" w:lineRule="exact"/>
        <w:jc w:val="both"/>
        <w:rPr>
          <w:rFonts w:cs="FrankRuehl"/>
          <w:sz w:val="22"/>
          <w:szCs w:val="22"/>
          <w:lang w:eastAsia="en-US"/>
        </w:rPr>
      </w:pPr>
      <w:r>
        <w:rPr>
          <w:rFonts w:cs="FrankRuehl"/>
          <w:sz w:val="22"/>
          <w:szCs w:val="22"/>
          <w:rtl/>
          <w:lang w:eastAsia="en-US"/>
        </w:rPr>
        <w:t>ג. (1) ההגנה על צנעת הפרט ופרטיותו של אדם בביתו היא זכות הראויה להגנה משפטית, ברם, אין להרחיבה באופן שתנוצל לפגיעה בזכויותיו של הזולת</w:t>
      </w:r>
      <w:r>
        <w:rPr>
          <w:rFonts w:cs="FrankRuehl"/>
          <w:sz w:val="22"/>
          <w:szCs w:val="22"/>
          <w:lang w:eastAsia="en-US"/>
        </w:rPr>
        <w:t>.</w:t>
      </w:r>
    </w:p>
    <w:p w14:paraId="3CCC3645" w14:textId="77777777" w:rsidR="008C1F45" w:rsidRDefault="008C1F45">
      <w:pPr>
        <w:tabs>
          <w:tab w:val="left" w:pos="288"/>
          <w:tab w:val="left" w:pos="720"/>
          <w:tab w:val="left" w:pos="864"/>
          <w:tab w:val="left" w:pos="1008"/>
          <w:tab w:val="left" w:pos="1440"/>
          <w:tab w:val="left" w:pos="1584"/>
          <w:tab w:val="left" w:pos="2016"/>
          <w:tab w:val="left" w:pos="4752"/>
        </w:tabs>
        <w:autoSpaceDE w:val="0"/>
        <w:autoSpaceDN w:val="0"/>
        <w:bidi/>
        <w:adjustRightInd w:val="0"/>
        <w:spacing w:after="80" w:line="260" w:lineRule="exact"/>
        <w:jc w:val="both"/>
        <w:rPr>
          <w:rFonts w:cs="FrankRuehl"/>
          <w:sz w:val="22"/>
          <w:szCs w:val="22"/>
          <w:rtl/>
          <w:lang w:eastAsia="en-US"/>
        </w:rPr>
      </w:pPr>
      <w:r>
        <w:rPr>
          <w:rFonts w:cs="FrankRuehl"/>
          <w:sz w:val="22"/>
          <w:szCs w:val="22"/>
          <w:rtl/>
          <w:lang w:eastAsia="en-US"/>
        </w:rPr>
        <w:t>(</w:t>
      </w:r>
      <w:r>
        <w:rPr>
          <w:rFonts w:cs="FrankRuehl"/>
          <w:sz w:val="22"/>
          <w:szCs w:val="22"/>
          <w:lang w:eastAsia="en-US"/>
        </w:rPr>
        <w:t>2</w:t>
      </w:r>
      <w:r>
        <w:rPr>
          <w:rFonts w:cs="FrankRuehl"/>
          <w:sz w:val="22"/>
          <w:szCs w:val="22"/>
          <w:rtl/>
          <w:lang w:eastAsia="en-US"/>
        </w:rPr>
        <w:t>)</w:t>
      </w:r>
      <w:r>
        <w:rPr>
          <w:rFonts w:cs="FrankRuehl"/>
          <w:sz w:val="22"/>
          <w:szCs w:val="22"/>
          <w:lang w:eastAsia="en-US"/>
        </w:rPr>
        <w:t xml:space="preserve"> </w:t>
      </w:r>
      <w:r>
        <w:rPr>
          <w:rFonts w:cs="FrankRuehl"/>
          <w:sz w:val="22"/>
          <w:szCs w:val="22"/>
          <w:rtl/>
          <w:lang w:eastAsia="en-US"/>
        </w:rPr>
        <w:t>הביטוי "היזק ראיה" מכוון לכך שפרטיותו של אדם לא תופרע על ידי אחרים, המשקיפים עליו; בנסיבות דנן, ביקש הנאשם וחפץ בכך שפרטיותו תופרע.</w:t>
      </w:r>
    </w:p>
    <w:p w14:paraId="014ADB59" w14:textId="77777777" w:rsidR="008C1F45" w:rsidRDefault="008C1F45">
      <w:pPr>
        <w:tabs>
          <w:tab w:val="left" w:pos="288"/>
          <w:tab w:val="left" w:pos="720"/>
          <w:tab w:val="left" w:pos="864"/>
          <w:tab w:val="left" w:pos="1008"/>
          <w:tab w:val="left" w:pos="1440"/>
          <w:tab w:val="left" w:pos="1584"/>
          <w:tab w:val="left" w:pos="2016"/>
          <w:tab w:val="left" w:pos="4752"/>
        </w:tabs>
        <w:autoSpaceDE w:val="0"/>
        <w:autoSpaceDN w:val="0"/>
        <w:bidi/>
        <w:adjustRightInd w:val="0"/>
        <w:spacing w:after="80" w:line="260" w:lineRule="exact"/>
        <w:jc w:val="both"/>
        <w:rPr>
          <w:rFonts w:cs="FrankRuehl"/>
          <w:sz w:val="22"/>
          <w:szCs w:val="22"/>
          <w:rtl/>
          <w:lang w:eastAsia="en-US"/>
        </w:rPr>
      </w:pPr>
      <w:r>
        <w:rPr>
          <w:rFonts w:cs="FrankRuehl"/>
          <w:sz w:val="22"/>
          <w:szCs w:val="22"/>
          <w:rtl/>
          <w:lang w:eastAsia="en-US"/>
        </w:rPr>
        <w:t>(</w:t>
      </w:r>
      <w:r>
        <w:rPr>
          <w:rFonts w:cs="FrankRuehl"/>
          <w:sz w:val="22"/>
          <w:szCs w:val="22"/>
          <w:lang w:eastAsia="en-US"/>
        </w:rPr>
        <w:t>3</w:t>
      </w:r>
      <w:r>
        <w:rPr>
          <w:rFonts w:cs="FrankRuehl"/>
          <w:sz w:val="22"/>
          <w:szCs w:val="22"/>
          <w:rtl/>
          <w:lang w:eastAsia="en-US"/>
        </w:rPr>
        <w:t>)</w:t>
      </w:r>
      <w:r>
        <w:rPr>
          <w:rFonts w:cs="FrankRuehl"/>
          <w:sz w:val="22"/>
          <w:szCs w:val="22"/>
          <w:lang w:eastAsia="en-US"/>
        </w:rPr>
        <w:t xml:space="preserve"> </w:t>
      </w:r>
      <w:r>
        <w:rPr>
          <w:rFonts w:cs="FrankRuehl"/>
          <w:sz w:val="22"/>
          <w:szCs w:val="22"/>
          <w:rtl/>
          <w:lang w:eastAsia="en-US"/>
        </w:rPr>
        <w:t>במשפט העברי, כאשר פרטיותו של אדם נפגעה מתוך ששכנו פתח חלון כנגד חצרו, זכאי הנפגע לא רק לקבל צו-מניעה נגד שכנו, אלא גם החזרת המצב לקדמותו, באופן שלא ייפגע עוד.</w:t>
      </w:r>
    </w:p>
    <w:p w14:paraId="2FCD967C" w14:textId="77777777" w:rsidR="008C1F45" w:rsidRDefault="008C1F45">
      <w:pPr>
        <w:tabs>
          <w:tab w:val="left" w:pos="288"/>
          <w:tab w:val="left" w:pos="720"/>
          <w:tab w:val="left" w:pos="864"/>
          <w:tab w:val="left" w:pos="1008"/>
          <w:tab w:val="left" w:pos="1440"/>
          <w:tab w:val="left" w:pos="1584"/>
          <w:tab w:val="left" w:pos="2016"/>
          <w:tab w:val="left" w:pos="4752"/>
        </w:tabs>
        <w:autoSpaceDE w:val="0"/>
        <w:autoSpaceDN w:val="0"/>
        <w:bidi/>
        <w:adjustRightInd w:val="0"/>
        <w:spacing w:after="80" w:line="260" w:lineRule="exact"/>
        <w:jc w:val="both"/>
        <w:rPr>
          <w:rFonts w:cs="FrankRuehl"/>
          <w:sz w:val="22"/>
          <w:szCs w:val="22"/>
          <w:lang w:eastAsia="en-US"/>
        </w:rPr>
      </w:pPr>
      <w:r>
        <w:rPr>
          <w:rFonts w:cs="FrankRuehl"/>
          <w:sz w:val="22"/>
          <w:szCs w:val="22"/>
          <w:rtl/>
          <w:lang w:eastAsia="en-US"/>
        </w:rPr>
        <w:t>(</w:t>
      </w:r>
      <w:r>
        <w:rPr>
          <w:rFonts w:cs="FrankRuehl"/>
          <w:sz w:val="22"/>
          <w:szCs w:val="22"/>
          <w:lang w:eastAsia="en-US"/>
        </w:rPr>
        <w:t>4</w:t>
      </w:r>
      <w:r>
        <w:rPr>
          <w:rFonts w:cs="FrankRuehl"/>
          <w:sz w:val="22"/>
          <w:szCs w:val="22"/>
          <w:rtl/>
          <w:lang w:eastAsia="en-US"/>
        </w:rPr>
        <w:t>)</w:t>
      </w:r>
      <w:r>
        <w:rPr>
          <w:rFonts w:cs="FrankRuehl"/>
          <w:sz w:val="22"/>
          <w:szCs w:val="22"/>
          <w:lang w:eastAsia="en-US"/>
        </w:rPr>
        <w:t xml:space="preserve"> </w:t>
      </w:r>
      <w:r>
        <w:rPr>
          <w:rFonts w:cs="FrankRuehl"/>
          <w:sz w:val="22"/>
          <w:szCs w:val="22"/>
          <w:rtl/>
          <w:lang w:eastAsia="en-US"/>
        </w:rPr>
        <w:t>זהו מצב רצוי, שהרי קשה הוא לבריות ולהדיוטות, שהנאשם ייצא פטור בלא-כלום. אלא שלמחוקק בלבד מסורה הסמכות לתקן את המצב המצוי, באופן שאף מקרה כגון זה הנדון יהא בר-ענישה</w:t>
      </w:r>
      <w:r>
        <w:rPr>
          <w:rFonts w:cs="FrankRuehl"/>
          <w:sz w:val="22"/>
          <w:szCs w:val="22"/>
          <w:lang w:eastAsia="en-US"/>
        </w:rPr>
        <w:t>.</w:t>
      </w:r>
    </w:p>
    <w:p w14:paraId="7D12F2E1" w14:textId="77777777" w:rsidR="008C1F45" w:rsidRDefault="008C1F45">
      <w:pPr>
        <w:tabs>
          <w:tab w:val="left" w:pos="288"/>
          <w:tab w:val="left" w:pos="720"/>
          <w:tab w:val="left" w:pos="864"/>
          <w:tab w:val="left" w:pos="1008"/>
          <w:tab w:val="left" w:pos="1440"/>
          <w:tab w:val="left" w:pos="1584"/>
          <w:tab w:val="left" w:pos="2016"/>
          <w:tab w:val="left" w:pos="4752"/>
        </w:tabs>
        <w:autoSpaceDE w:val="0"/>
        <w:autoSpaceDN w:val="0"/>
        <w:bidi/>
        <w:adjustRightInd w:val="0"/>
        <w:spacing w:after="80" w:line="260" w:lineRule="exact"/>
        <w:jc w:val="both"/>
        <w:rPr>
          <w:rFonts w:cs="FrankRuehl"/>
          <w:sz w:val="22"/>
          <w:szCs w:val="22"/>
          <w:rtl/>
          <w:lang w:eastAsia="en-US"/>
        </w:rPr>
      </w:pPr>
      <w:r>
        <w:rPr>
          <w:rFonts w:cs="FrankRuehl"/>
          <w:sz w:val="22"/>
          <w:szCs w:val="22"/>
          <w:rtl/>
          <w:lang w:eastAsia="en-US"/>
        </w:rPr>
        <w:t>(</w:t>
      </w:r>
      <w:r>
        <w:rPr>
          <w:rFonts w:cs="FrankRuehl"/>
          <w:sz w:val="22"/>
          <w:szCs w:val="22"/>
          <w:lang w:eastAsia="en-US"/>
        </w:rPr>
        <w:t>5</w:t>
      </w:r>
      <w:r>
        <w:rPr>
          <w:rFonts w:cs="FrankRuehl"/>
          <w:sz w:val="22"/>
          <w:szCs w:val="22"/>
          <w:rtl/>
          <w:lang w:eastAsia="en-US"/>
        </w:rPr>
        <w:t>)</w:t>
      </w:r>
      <w:r>
        <w:rPr>
          <w:rFonts w:cs="FrankRuehl"/>
          <w:sz w:val="22"/>
          <w:szCs w:val="22"/>
          <w:lang w:eastAsia="en-US"/>
        </w:rPr>
        <w:t xml:space="preserve"> </w:t>
      </w:r>
      <w:r>
        <w:rPr>
          <w:rFonts w:cs="FrankRuehl"/>
          <w:sz w:val="22"/>
          <w:szCs w:val="22"/>
          <w:rtl/>
          <w:lang w:eastAsia="en-US"/>
        </w:rPr>
        <w:t>בנסיבות דנן, אפשר שקיים למתלוננת סעד משפטי מתחום אחר, היינו, סעד על פי דיני הנזיקין בעילת מטרד.</w:t>
      </w:r>
    </w:p>
    <w:p w14:paraId="5AFC934A" w14:textId="77777777" w:rsidR="008C1F45" w:rsidRDefault="008C1F45">
      <w:pPr>
        <w:tabs>
          <w:tab w:val="left" w:pos="288"/>
          <w:tab w:val="left" w:pos="720"/>
          <w:tab w:val="left" w:pos="864"/>
          <w:tab w:val="left" w:pos="1008"/>
          <w:tab w:val="left" w:pos="1440"/>
          <w:tab w:val="left" w:pos="1584"/>
          <w:tab w:val="left" w:pos="2016"/>
          <w:tab w:val="left" w:pos="4752"/>
        </w:tabs>
        <w:autoSpaceDE w:val="0"/>
        <w:autoSpaceDN w:val="0"/>
        <w:bidi/>
        <w:adjustRightInd w:val="0"/>
        <w:spacing w:after="80" w:line="260" w:lineRule="exact"/>
        <w:jc w:val="both"/>
        <w:rPr>
          <w:rFonts w:cs="FrankRuehl"/>
          <w:rtl/>
          <w:lang w:eastAsia="en-US"/>
        </w:rPr>
      </w:pPr>
      <w:bookmarkStart w:id="4" w:name="FirstUzkeru"/>
      <w:bookmarkEnd w:id="4"/>
    </w:p>
    <w:p w14:paraId="26AB758C" w14:textId="77777777" w:rsidR="008C1F45" w:rsidRDefault="008C1F45">
      <w:pPr>
        <w:tabs>
          <w:tab w:val="left" w:pos="288"/>
          <w:tab w:val="left" w:pos="720"/>
          <w:tab w:val="left" w:pos="864"/>
          <w:tab w:val="left" w:pos="1008"/>
          <w:tab w:val="left" w:pos="1440"/>
          <w:tab w:val="left" w:pos="1584"/>
          <w:tab w:val="left" w:pos="2016"/>
          <w:tab w:val="left" w:pos="4752"/>
        </w:tabs>
        <w:autoSpaceDE w:val="0"/>
        <w:autoSpaceDN w:val="0"/>
        <w:bidi/>
        <w:adjustRightInd w:val="0"/>
        <w:spacing w:after="80" w:line="260" w:lineRule="exact"/>
        <w:jc w:val="both"/>
        <w:rPr>
          <w:rFonts w:cs="FrankRuehl"/>
          <w:rtl/>
          <w:lang w:eastAsia="en-US"/>
        </w:rPr>
      </w:pPr>
      <w:r>
        <w:rPr>
          <w:rFonts w:cs="FrankRuehl"/>
          <w:rtl/>
          <w:lang w:eastAsia="en-US"/>
        </w:rPr>
        <w:t>פסקי-דין של בית המשפט העליון שאוזכרו</w:t>
      </w:r>
      <w:r>
        <w:rPr>
          <w:rFonts w:cs="FrankRuehl"/>
          <w:lang w:eastAsia="en-US"/>
        </w:rPr>
        <w:t>:</w:t>
      </w:r>
      <w:r>
        <w:rPr>
          <w:rFonts w:cs="FrankRuehl"/>
          <w:color w:val="FFFFFF"/>
          <w:rtl/>
          <w:lang w:eastAsia="en-US"/>
        </w:rPr>
        <w:t>ו</w:t>
      </w:r>
    </w:p>
    <w:p w14:paraId="1AC93269" w14:textId="77777777" w:rsidR="008C1F45" w:rsidRDefault="008C1F45">
      <w:pPr>
        <w:tabs>
          <w:tab w:val="left" w:pos="288"/>
          <w:tab w:val="left" w:pos="720"/>
          <w:tab w:val="left" w:pos="864"/>
          <w:tab w:val="left" w:pos="1008"/>
          <w:tab w:val="left" w:pos="1440"/>
          <w:tab w:val="left" w:pos="1584"/>
          <w:tab w:val="left" w:pos="2016"/>
          <w:tab w:val="left" w:pos="4752"/>
        </w:tabs>
        <w:autoSpaceDE w:val="0"/>
        <w:autoSpaceDN w:val="0"/>
        <w:bidi/>
        <w:adjustRightInd w:val="0"/>
        <w:spacing w:after="80" w:line="260" w:lineRule="exact"/>
        <w:jc w:val="both"/>
        <w:rPr>
          <w:rFonts w:cs="FrankRuehl"/>
          <w:lang w:eastAsia="en-US"/>
        </w:rPr>
      </w:pPr>
      <w:r>
        <w:rPr>
          <w:rFonts w:cs="FrankRuehl"/>
          <w:rtl/>
          <w:lang w:eastAsia="en-US"/>
        </w:rPr>
        <w:t>[</w:t>
      </w:r>
      <w:r>
        <w:rPr>
          <w:rFonts w:cs="FrankRuehl"/>
          <w:lang w:eastAsia="en-US"/>
        </w:rPr>
        <w:t>1</w:t>
      </w:r>
      <w:r>
        <w:rPr>
          <w:rFonts w:cs="FrankRuehl"/>
          <w:rtl/>
          <w:lang w:eastAsia="en-US"/>
        </w:rPr>
        <w:t>]</w:t>
      </w:r>
      <w:r>
        <w:rPr>
          <w:rFonts w:cs="FrankRuehl"/>
          <w:lang w:eastAsia="en-US"/>
        </w:rPr>
        <w:t xml:space="preserve"> </w:t>
      </w:r>
      <w:hyperlink r:id="rId13" w:history="1">
        <w:r w:rsidR="00730B50" w:rsidRPr="00730B50">
          <w:rPr>
            <w:rStyle w:val="Hyperlink"/>
            <w:rFonts w:cs="FrankRuehl"/>
            <w:rtl/>
            <w:lang w:eastAsia="en-US"/>
          </w:rPr>
          <w:t>ע"פ 383/80 פקלר נ' מדינת ישראל, פ"ד לה</w:t>
        </w:r>
      </w:hyperlink>
      <w:r>
        <w:rPr>
          <w:rFonts w:cs="FrankRuehl"/>
          <w:rtl/>
          <w:lang w:eastAsia="en-US"/>
        </w:rPr>
        <w:t xml:space="preserve">(1) </w:t>
      </w:r>
      <w:r>
        <w:rPr>
          <w:rFonts w:cs="FrankRuehl"/>
          <w:lang w:eastAsia="en-US"/>
        </w:rPr>
        <w:t>.172</w:t>
      </w:r>
    </w:p>
    <w:p w14:paraId="339FA29D" w14:textId="77777777" w:rsidR="008C1F45" w:rsidRDefault="008C1F45">
      <w:pPr>
        <w:tabs>
          <w:tab w:val="left" w:pos="288"/>
          <w:tab w:val="left" w:pos="720"/>
          <w:tab w:val="left" w:pos="864"/>
          <w:tab w:val="left" w:pos="1008"/>
          <w:tab w:val="left" w:pos="1440"/>
          <w:tab w:val="left" w:pos="1584"/>
          <w:tab w:val="left" w:pos="2016"/>
          <w:tab w:val="left" w:pos="4752"/>
        </w:tabs>
        <w:autoSpaceDE w:val="0"/>
        <w:autoSpaceDN w:val="0"/>
        <w:bidi/>
        <w:adjustRightInd w:val="0"/>
        <w:spacing w:after="80" w:line="260" w:lineRule="exact"/>
        <w:jc w:val="both"/>
        <w:rPr>
          <w:rFonts w:cs="FrankRuehl"/>
          <w:rtl/>
          <w:lang w:eastAsia="en-US"/>
        </w:rPr>
      </w:pPr>
    </w:p>
    <w:p w14:paraId="0E2E2AEB" w14:textId="77777777" w:rsidR="008C1F45" w:rsidRDefault="008C1F45">
      <w:pPr>
        <w:tabs>
          <w:tab w:val="left" w:pos="288"/>
          <w:tab w:val="left" w:pos="720"/>
          <w:tab w:val="left" w:pos="864"/>
          <w:tab w:val="left" w:pos="1008"/>
          <w:tab w:val="left" w:pos="1440"/>
          <w:tab w:val="left" w:pos="1584"/>
          <w:tab w:val="left" w:pos="2016"/>
          <w:tab w:val="left" w:pos="4752"/>
        </w:tabs>
        <w:autoSpaceDE w:val="0"/>
        <w:autoSpaceDN w:val="0"/>
        <w:bidi/>
        <w:adjustRightInd w:val="0"/>
        <w:spacing w:after="80" w:line="260" w:lineRule="exact"/>
        <w:jc w:val="both"/>
        <w:rPr>
          <w:rFonts w:cs="FrankRuehl"/>
          <w:rtl/>
          <w:lang w:eastAsia="en-US"/>
        </w:rPr>
      </w:pPr>
      <w:r>
        <w:rPr>
          <w:rFonts w:cs="FrankRuehl"/>
          <w:rtl/>
          <w:lang w:eastAsia="en-US"/>
        </w:rPr>
        <w:t>פסקי-דין אנגליים שאוזכרו</w:t>
      </w:r>
      <w:r>
        <w:rPr>
          <w:rFonts w:cs="FrankRuehl"/>
          <w:lang w:eastAsia="en-US"/>
        </w:rPr>
        <w:t>:</w:t>
      </w:r>
      <w:r>
        <w:rPr>
          <w:rFonts w:cs="FrankRuehl"/>
          <w:color w:val="FFFFFF"/>
          <w:rtl/>
          <w:lang w:eastAsia="en-US"/>
        </w:rPr>
        <w:t>נ</w:t>
      </w:r>
    </w:p>
    <w:p w14:paraId="1C313099" w14:textId="77777777" w:rsidR="008C1F45" w:rsidRDefault="008C1F45">
      <w:pPr>
        <w:tabs>
          <w:tab w:val="left" w:pos="288"/>
          <w:tab w:val="left" w:pos="720"/>
          <w:tab w:val="decimal" w:pos="864"/>
          <w:tab w:val="left" w:pos="1008"/>
          <w:tab w:val="decimal" w:pos="1440"/>
          <w:tab w:val="left" w:pos="1584"/>
          <w:tab w:val="left" w:pos="2016"/>
          <w:tab w:val="decimal" w:pos="4752"/>
        </w:tabs>
        <w:autoSpaceDE w:val="0"/>
        <w:autoSpaceDN w:val="0"/>
        <w:bidi/>
        <w:adjustRightInd w:val="0"/>
        <w:spacing w:after="80" w:line="260" w:lineRule="exact"/>
        <w:jc w:val="right"/>
        <w:rPr>
          <w:rFonts w:cs="FrankRuehl"/>
          <w:rtl/>
          <w:lang w:eastAsia="en-US"/>
        </w:rPr>
      </w:pPr>
      <w:r>
        <w:rPr>
          <w:rFonts w:cs="FrankRuehl"/>
          <w:lang w:eastAsia="en-US"/>
        </w:rPr>
        <w:t>.22</w:t>
      </w:r>
      <w:r>
        <w:rPr>
          <w:rFonts w:cs="FrankRuehl"/>
          <w:rtl/>
          <w:lang w:eastAsia="en-US"/>
        </w:rPr>
        <w:t xml:space="preserve"> </w:t>
      </w:r>
      <w:r>
        <w:rPr>
          <w:rFonts w:cs="FrankRuehl"/>
          <w:lang w:eastAsia="en-US"/>
        </w:rPr>
        <w:t>. All e.r 2</w:t>
      </w:r>
      <w:r>
        <w:rPr>
          <w:rFonts w:cs="FrankRuehl"/>
          <w:rtl/>
          <w:lang w:eastAsia="en-US"/>
        </w:rPr>
        <w:t>[</w:t>
      </w:r>
      <w:r>
        <w:rPr>
          <w:rFonts w:cs="FrankRuehl"/>
          <w:lang w:eastAsia="en-US"/>
        </w:rPr>
        <w:t>1972</w:t>
      </w:r>
      <w:r>
        <w:rPr>
          <w:rFonts w:cs="FrankRuehl"/>
          <w:rtl/>
          <w:lang w:eastAsia="en-US"/>
        </w:rPr>
        <w:t>]</w:t>
      </w:r>
      <w:r>
        <w:rPr>
          <w:rFonts w:cs="FrankRuehl"/>
          <w:lang w:eastAsia="en-US"/>
        </w:rPr>
        <w:t xml:space="preserve"> ;337</w:t>
      </w:r>
      <w:r>
        <w:rPr>
          <w:rFonts w:cs="FrankRuehl"/>
          <w:rtl/>
          <w:lang w:eastAsia="en-US"/>
        </w:rPr>
        <w:t xml:space="preserve"> </w:t>
      </w:r>
      <w:r>
        <w:rPr>
          <w:rFonts w:cs="FrankRuehl"/>
          <w:lang w:eastAsia="en-US"/>
        </w:rPr>
        <w:t>. Cr. App. R 56</w:t>
      </w:r>
      <w:r>
        <w:rPr>
          <w:rFonts w:cs="FrankRuehl"/>
          <w:rtl/>
          <w:lang w:eastAsia="en-US"/>
        </w:rPr>
        <w:t>(</w:t>
      </w:r>
      <w:r>
        <w:rPr>
          <w:rFonts w:cs="FrankRuehl"/>
          <w:lang w:eastAsia="en-US"/>
        </w:rPr>
        <w:t>1972</w:t>
      </w:r>
      <w:r>
        <w:rPr>
          <w:rFonts w:cs="FrankRuehl"/>
          <w:rtl/>
          <w:lang w:eastAsia="en-US"/>
        </w:rPr>
        <w:t xml:space="preserve">) </w:t>
      </w:r>
      <w:r>
        <w:rPr>
          <w:rFonts w:cs="FrankRuehl"/>
          <w:lang w:eastAsia="en-US"/>
        </w:rPr>
        <w:t>evans v. Ewels</w:t>
      </w:r>
      <w:r>
        <w:rPr>
          <w:rFonts w:cs="FrankRuehl"/>
          <w:rtl/>
          <w:lang w:eastAsia="en-US"/>
        </w:rPr>
        <w:t>[</w:t>
      </w:r>
      <w:r>
        <w:rPr>
          <w:rFonts w:cs="FrankRuehl"/>
          <w:lang w:eastAsia="en-US"/>
        </w:rPr>
        <w:t>2</w:t>
      </w:r>
      <w:r>
        <w:rPr>
          <w:rFonts w:cs="FrankRuehl"/>
          <w:rtl/>
          <w:lang w:eastAsia="en-US"/>
        </w:rPr>
        <w:t>]</w:t>
      </w:r>
    </w:p>
    <w:p w14:paraId="26220C0A" w14:textId="77777777" w:rsidR="008C1F45" w:rsidRDefault="008C1F45">
      <w:pPr>
        <w:tabs>
          <w:tab w:val="left" w:pos="288"/>
          <w:tab w:val="left" w:pos="720"/>
          <w:tab w:val="decimal" w:pos="864"/>
          <w:tab w:val="left" w:pos="1008"/>
          <w:tab w:val="decimal" w:pos="1440"/>
          <w:tab w:val="left" w:pos="1584"/>
          <w:tab w:val="left" w:pos="2016"/>
          <w:tab w:val="decimal" w:pos="4752"/>
        </w:tabs>
        <w:autoSpaceDE w:val="0"/>
        <w:autoSpaceDN w:val="0"/>
        <w:bidi/>
        <w:adjustRightInd w:val="0"/>
        <w:spacing w:after="80" w:line="260" w:lineRule="exact"/>
        <w:jc w:val="both"/>
        <w:rPr>
          <w:rFonts w:cs="FrankRuehl"/>
          <w:rtl/>
          <w:lang w:eastAsia="en-US"/>
        </w:rPr>
      </w:pPr>
    </w:p>
    <w:p w14:paraId="0334A6CA" w14:textId="77777777" w:rsidR="008C1F45" w:rsidRDefault="008C1F45">
      <w:pPr>
        <w:tabs>
          <w:tab w:val="left" w:pos="288"/>
          <w:tab w:val="left" w:pos="720"/>
          <w:tab w:val="decimal" w:pos="864"/>
          <w:tab w:val="left" w:pos="1008"/>
          <w:tab w:val="decimal" w:pos="1440"/>
          <w:tab w:val="left" w:pos="1584"/>
          <w:tab w:val="left" w:pos="2016"/>
          <w:tab w:val="decimal" w:pos="4752"/>
        </w:tabs>
        <w:autoSpaceDE w:val="0"/>
        <w:autoSpaceDN w:val="0"/>
        <w:bidi/>
        <w:adjustRightInd w:val="0"/>
        <w:spacing w:after="80" w:line="260" w:lineRule="exact"/>
        <w:jc w:val="both"/>
        <w:rPr>
          <w:rFonts w:cs="FrankRuehl"/>
          <w:rtl/>
          <w:lang w:eastAsia="en-US"/>
        </w:rPr>
      </w:pPr>
    </w:p>
    <w:p w14:paraId="15EF4DFB" w14:textId="77777777" w:rsidR="008C1F45" w:rsidRDefault="008C1F45">
      <w:pPr>
        <w:tabs>
          <w:tab w:val="left" w:pos="288"/>
          <w:tab w:val="left" w:pos="720"/>
          <w:tab w:val="decimal" w:pos="864"/>
          <w:tab w:val="left" w:pos="1008"/>
          <w:tab w:val="decimal" w:pos="1440"/>
          <w:tab w:val="left" w:pos="1584"/>
          <w:tab w:val="left" w:pos="2016"/>
          <w:tab w:val="decimal" w:pos="4752"/>
        </w:tabs>
        <w:autoSpaceDE w:val="0"/>
        <w:autoSpaceDN w:val="0"/>
        <w:bidi/>
        <w:adjustRightInd w:val="0"/>
        <w:spacing w:after="80" w:line="260" w:lineRule="exact"/>
        <w:jc w:val="both"/>
        <w:rPr>
          <w:rFonts w:cs="FrankRuehl"/>
          <w:rtl/>
          <w:lang w:eastAsia="en-US"/>
        </w:rPr>
      </w:pPr>
      <w:r>
        <w:rPr>
          <w:rFonts w:cs="FrankRuehl"/>
          <w:rtl/>
          <w:lang w:eastAsia="en-US"/>
        </w:rPr>
        <w:t>מקורות המשפט העברי שאוזכרו:</w:t>
      </w:r>
      <w:r>
        <w:rPr>
          <w:rFonts w:cs="FrankRuehl"/>
          <w:color w:val="FFFFFF"/>
          <w:rtl/>
          <w:lang w:eastAsia="en-US"/>
        </w:rPr>
        <w:t>ב</w:t>
      </w:r>
    </w:p>
    <w:p w14:paraId="188F4B50" w14:textId="77777777" w:rsidR="008C1F45" w:rsidRDefault="008C1F45">
      <w:pPr>
        <w:tabs>
          <w:tab w:val="left" w:pos="288"/>
          <w:tab w:val="left" w:pos="720"/>
          <w:tab w:val="decimal" w:pos="864"/>
          <w:tab w:val="left" w:pos="1008"/>
          <w:tab w:val="decimal" w:pos="1440"/>
          <w:tab w:val="left" w:pos="1584"/>
          <w:tab w:val="left" w:pos="2016"/>
          <w:tab w:val="decimal" w:pos="4752"/>
        </w:tabs>
        <w:autoSpaceDE w:val="0"/>
        <w:autoSpaceDN w:val="0"/>
        <w:bidi/>
        <w:adjustRightInd w:val="0"/>
        <w:spacing w:after="80" w:line="260" w:lineRule="exact"/>
        <w:jc w:val="both"/>
        <w:rPr>
          <w:rFonts w:cs="FrankRuehl"/>
          <w:rtl/>
          <w:lang w:eastAsia="en-US"/>
        </w:rPr>
      </w:pPr>
      <w:r>
        <w:rPr>
          <w:rFonts w:cs="FrankRuehl"/>
          <w:rtl/>
          <w:lang w:eastAsia="en-US"/>
        </w:rPr>
        <w:t>[א] שו"ע, חו"מ, סימן קנד, ז', הגהת הרמ"א</w:t>
      </w:r>
      <w:r>
        <w:rPr>
          <w:rFonts w:cs="FrankRuehl"/>
          <w:lang w:eastAsia="en-US"/>
        </w:rPr>
        <w:t>.</w:t>
      </w:r>
    </w:p>
    <w:p w14:paraId="4C48FE39" w14:textId="77777777" w:rsidR="008C1F45" w:rsidRDefault="008C1F45">
      <w:pPr>
        <w:tabs>
          <w:tab w:val="left" w:pos="288"/>
          <w:tab w:val="left" w:pos="720"/>
          <w:tab w:val="decimal" w:pos="864"/>
          <w:tab w:val="left" w:pos="1008"/>
          <w:tab w:val="decimal" w:pos="1440"/>
          <w:tab w:val="left" w:pos="1584"/>
          <w:tab w:val="left" w:pos="2016"/>
          <w:tab w:val="decimal" w:pos="4752"/>
        </w:tabs>
        <w:autoSpaceDE w:val="0"/>
        <w:autoSpaceDN w:val="0"/>
        <w:bidi/>
        <w:adjustRightInd w:val="0"/>
        <w:spacing w:after="80" w:line="260" w:lineRule="exact"/>
        <w:jc w:val="both"/>
        <w:rPr>
          <w:rFonts w:cs="FrankRuehl"/>
          <w:rtl/>
          <w:lang w:eastAsia="en-US"/>
        </w:rPr>
      </w:pPr>
      <w:r>
        <w:rPr>
          <w:rFonts w:cs="FrankRuehl"/>
          <w:rtl/>
          <w:lang w:eastAsia="en-US"/>
        </w:rPr>
        <w:t>[ב] רמב"ם, הלכות שכנים, פרק ה, ו</w:t>
      </w:r>
      <w:r>
        <w:rPr>
          <w:rFonts w:cs="FrankRuehl"/>
          <w:lang w:eastAsia="en-US"/>
        </w:rPr>
        <w:t>.</w:t>
      </w:r>
    </w:p>
    <w:p w14:paraId="274DB975" w14:textId="77777777" w:rsidR="008C1F45" w:rsidRDefault="008C1F45">
      <w:pPr>
        <w:tabs>
          <w:tab w:val="left" w:pos="288"/>
          <w:tab w:val="left" w:pos="720"/>
          <w:tab w:val="decimal" w:pos="864"/>
          <w:tab w:val="left" w:pos="1008"/>
          <w:tab w:val="decimal" w:pos="1440"/>
          <w:tab w:val="left" w:pos="1584"/>
          <w:tab w:val="left" w:pos="2016"/>
          <w:tab w:val="decimal" w:pos="4752"/>
        </w:tabs>
        <w:autoSpaceDE w:val="0"/>
        <w:autoSpaceDN w:val="0"/>
        <w:bidi/>
        <w:adjustRightInd w:val="0"/>
        <w:spacing w:after="80" w:line="260" w:lineRule="exact"/>
        <w:jc w:val="both"/>
        <w:rPr>
          <w:rFonts w:cs="FrankRuehl"/>
          <w:rtl/>
          <w:lang w:eastAsia="en-US"/>
        </w:rPr>
      </w:pPr>
      <w:r>
        <w:rPr>
          <w:rFonts w:cs="FrankRuehl"/>
          <w:rtl/>
          <w:lang w:eastAsia="en-US"/>
        </w:rPr>
        <w:t>[ג] בבא בחרא, דף ס, א</w:t>
      </w:r>
      <w:r>
        <w:rPr>
          <w:rFonts w:cs="FrankRuehl"/>
          <w:lang w:eastAsia="en-US"/>
        </w:rPr>
        <w:t>.</w:t>
      </w:r>
    </w:p>
    <w:p w14:paraId="6BD094CB" w14:textId="77777777" w:rsidR="008C1F45" w:rsidRDefault="008C1F45">
      <w:pPr>
        <w:tabs>
          <w:tab w:val="left" w:pos="288"/>
          <w:tab w:val="left" w:pos="720"/>
          <w:tab w:val="left" w:pos="864"/>
          <w:tab w:val="left" w:pos="1008"/>
          <w:tab w:val="left" w:pos="1440"/>
          <w:tab w:val="left" w:pos="1584"/>
          <w:tab w:val="left" w:pos="2016"/>
          <w:tab w:val="decimal" w:pos="4752"/>
        </w:tabs>
        <w:autoSpaceDE w:val="0"/>
        <w:autoSpaceDN w:val="0"/>
        <w:bidi/>
        <w:adjustRightInd w:val="0"/>
        <w:spacing w:after="80" w:line="260" w:lineRule="exact"/>
        <w:jc w:val="both"/>
        <w:rPr>
          <w:rFonts w:cs="FrankRuehl"/>
          <w:rtl/>
          <w:lang w:eastAsia="en-US"/>
        </w:rPr>
      </w:pPr>
    </w:p>
    <w:p w14:paraId="3BE9210A" w14:textId="77777777" w:rsidR="008C1F45" w:rsidRDefault="008C1F45">
      <w:pPr>
        <w:tabs>
          <w:tab w:val="left" w:pos="288"/>
          <w:tab w:val="left" w:pos="720"/>
          <w:tab w:val="left" w:pos="864"/>
          <w:tab w:val="left" w:pos="1008"/>
          <w:tab w:val="left" w:pos="1440"/>
          <w:tab w:val="left" w:pos="1584"/>
          <w:tab w:val="left" w:pos="2016"/>
          <w:tab w:val="decimal" w:pos="4752"/>
        </w:tabs>
        <w:autoSpaceDE w:val="0"/>
        <w:autoSpaceDN w:val="0"/>
        <w:bidi/>
        <w:adjustRightInd w:val="0"/>
        <w:spacing w:after="80" w:line="260" w:lineRule="exact"/>
        <w:jc w:val="both"/>
        <w:rPr>
          <w:rFonts w:cs="FrankRuehl"/>
          <w:rtl/>
          <w:lang w:eastAsia="en-US"/>
        </w:rPr>
      </w:pPr>
      <w:r>
        <w:rPr>
          <w:rFonts w:cs="FrankRuehl"/>
          <w:rtl/>
          <w:lang w:eastAsia="en-US"/>
        </w:rPr>
        <w:t>יפה - בשם המאשימה</w:t>
      </w:r>
      <w:r>
        <w:rPr>
          <w:rFonts w:cs="FrankRuehl"/>
          <w:lang w:eastAsia="en-US"/>
        </w:rPr>
        <w:t>;</w:t>
      </w:r>
    </w:p>
    <w:p w14:paraId="79A548AF" w14:textId="77777777" w:rsidR="008C1F45" w:rsidRDefault="008C1F45">
      <w:pPr>
        <w:tabs>
          <w:tab w:val="left" w:pos="288"/>
          <w:tab w:val="left" w:pos="720"/>
          <w:tab w:val="left" w:pos="864"/>
          <w:tab w:val="left" w:pos="1008"/>
          <w:tab w:val="left" w:pos="1440"/>
          <w:tab w:val="left" w:pos="1584"/>
          <w:tab w:val="left" w:pos="2016"/>
          <w:tab w:val="decimal" w:pos="4752"/>
        </w:tabs>
        <w:autoSpaceDE w:val="0"/>
        <w:autoSpaceDN w:val="0"/>
        <w:bidi/>
        <w:adjustRightInd w:val="0"/>
        <w:spacing w:after="80" w:line="260" w:lineRule="exact"/>
        <w:jc w:val="both"/>
        <w:rPr>
          <w:rFonts w:cs="FrankRuehl"/>
          <w:rtl/>
          <w:lang w:eastAsia="en-US"/>
        </w:rPr>
      </w:pPr>
    </w:p>
    <w:p w14:paraId="54E2496D" w14:textId="77777777" w:rsidR="008C1F45" w:rsidRDefault="008C1F45">
      <w:pPr>
        <w:tabs>
          <w:tab w:val="left" w:pos="288"/>
          <w:tab w:val="left" w:pos="720"/>
          <w:tab w:val="left" w:pos="864"/>
          <w:tab w:val="left" w:pos="1008"/>
          <w:tab w:val="left" w:pos="1440"/>
          <w:tab w:val="left" w:pos="1584"/>
          <w:tab w:val="left" w:pos="2016"/>
          <w:tab w:val="decimal" w:pos="4752"/>
        </w:tabs>
        <w:autoSpaceDE w:val="0"/>
        <w:autoSpaceDN w:val="0"/>
        <w:bidi/>
        <w:adjustRightInd w:val="0"/>
        <w:spacing w:after="80" w:line="260" w:lineRule="exact"/>
        <w:jc w:val="both"/>
        <w:rPr>
          <w:rFonts w:cs="FrankRuehl"/>
          <w:lang w:eastAsia="en-US"/>
        </w:rPr>
      </w:pPr>
      <w:r>
        <w:rPr>
          <w:rFonts w:cs="FrankRuehl"/>
          <w:rtl/>
          <w:lang w:eastAsia="en-US"/>
        </w:rPr>
        <w:t>א' אלפסי - בשם הנאשם</w:t>
      </w:r>
      <w:r>
        <w:rPr>
          <w:rFonts w:cs="FrankRuehl"/>
          <w:lang w:eastAsia="en-US"/>
        </w:rPr>
        <w:t>.</w:t>
      </w:r>
    </w:p>
    <w:p w14:paraId="0827AB26" w14:textId="77777777" w:rsidR="008C1F45" w:rsidRDefault="008C1F45">
      <w:pPr>
        <w:tabs>
          <w:tab w:val="left" w:pos="288"/>
          <w:tab w:val="left" w:pos="720"/>
          <w:tab w:val="left" w:pos="864"/>
          <w:tab w:val="left" w:pos="1008"/>
          <w:tab w:val="left" w:pos="1440"/>
          <w:tab w:val="left" w:pos="1584"/>
          <w:tab w:val="left" w:pos="2016"/>
          <w:tab w:val="decimal" w:pos="4752"/>
        </w:tabs>
        <w:autoSpaceDE w:val="0"/>
        <w:autoSpaceDN w:val="0"/>
        <w:bidi/>
        <w:adjustRightInd w:val="0"/>
        <w:spacing w:after="80" w:line="260" w:lineRule="exact"/>
        <w:jc w:val="center"/>
        <w:rPr>
          <w:rFonts w:cs="FrankRuehl"/>
          <w:bCs/>
          <w:rtl/>
          <w:lang w:eastAsia="en-US"/>
        </w:rPr>
      </w:pPr>
      <w:bookmarkStart w:id="5" w:name="PsakDin"/>
    </w:p>
    <w:p w14:paraId="74DD8E65" w14:textId="77777777" w:rsidR="008C1F45" w:rsidRDefault="008C1F45">
      <w:pPr>
        <w:tabs>
          <w:tab w:val="left" w:pos="288"/>
          <w:tab w:val="left" w:pos="720"/>
          <w:tab w:val="left" w:pos="864"/>
          <w:tab w:val="left" w:pos="1008"/>
          <w:tab w:val="left" w:pos="1440"/>
          <w:tab w:val="left" w:pos="1584"/>
          <w:tab w:val="left" w:pos="2016"/>
          <w:tab w:val="decimal" w:pos="4752"/>
        </w:tabs>
        <w:autoSpaceDE w:val="0"/>
        <w:autoSpaceDN w:val="0"/>
        <w:bidi/>
        <w:adjustRightInd w:val="0"/>
        <w:spacing w:after="80" w:line="260" w:lineRule="exact"/>
        <w:jc w:val="center"/>
        <w:rPr>
          <w:rFonts w:cs="FrankRuehl"/>
          <w:bCs/>
          <w:rtl/>
          <w:lang w:eastAsia="en-US"/>
        </w:rPr>
      </w:pPr>
    </w:p>
    <w:p w14:paraId="72AC9E5E" w14:textId="77777777" w:rsidR="008C1F45" w:rsidRDefault="008C1F45">
      <w:pPr>
        <w:tabs>
          <w:tab w:val="left" w:pos="288"/>
          <w:tab w:val="left" w:pos="720"/>
          <w:tab w:val="left" w:pos="864"/>
          <w:tab w:val="left" w:pos="1008"/>
          <w:tab w:val="left" w:pos="1440"/>
          <w:tab w:val="left" w:pos="1584"/>
          <w:tab w:val="left" w:pos="2016"/>
          <w:tab w:val="decimal" w:pos="4752"/>
        </w:tabs>
        <w:autoSpaceDE w:val="0"/>
        <w:autoSpaceDN w:val="0"/>
        <w:bidi/>
        <w:adjustRightInd w:val="0"/>
        <w:spacing w:after="80" w:line="260" w:lineRule="exact"/>
        <w:jc w:val="center"/>
        <w:rPr>
          <w:rFonts w:cs="FrankRuehl"/>
          <w:bCs/>
          <w:rtl/>
          <w:lang w:eastAsia="en-US"/>
        </w:rPr>
      </w:pPr>
      <w:r>
        <w:rPr>
          <w:rFonts w:cs="FrankRuehl"/>
          <w:bCs/>
          <w:rtl/>
          <w:lang w:eastAsia="en-US"/>
        </w:rPr>
        <w:t>הכרעת-דין</w:t>
      </w:r>
    </w:p>
    <w:bookmarkEnd w:id="5"/>
    <w:p w14:paraId="634468B8" w14:textId="77777777" w:rsidR="008C1F45" w:rsidRDefault="008C1F45">
      <w:pPr>
        <w:tabs>
          <w:tab w:val="left" w:pos="288"/>
          <w:tab w:val="left" w:pos="720"/>
          <w:tab w:val="left" w:pos="864"/>
          <w:tab w:val="left" w:pos="1008"/>
          <w:tab w:val="left" w:pos="1440"/>
          <w:tab w:val="left" w:pos="1584"/>
          <w:tab w:val="left" w:pos="2016"/>
          <w:tab w:val="decimal" w:pos="4752"/>
        </w:tabs>
        <w:autoSpaceDE w:val="0"/>
        <w:autoSpaceDN w:val="0"/>
        <w:bidi/>
        <w:adjustRightInd w:val="0"/>
        <w:spacing w:after="80" w:line="260" w:lineRule="exact"/>
        <w:ind w:firstLine="283"/>
        <w:jc w:val="both"/>
        <w:rPr>
          <w:rFonts w:cs="FrankRuehl"/>
          <w:rtl/>
          <w:lang w:eastAsia="en-US"/>
        </w:rPr>
      </w:pPr>
    </w:p>
    <w:p w14:paraId="52723C53" w14:textId="77777777" w:rsidR="008C1F45" w:rsidRDefault="008C1F45">
      <w:pPr>
        <w:tabs>
          <w:tab w:val="left" w:pos="288"/>
          <w:tab w:val="left" w:pos="720"/>
          <w:tab w:val="left" w:pos="864"/>
          <w:tab w:val="left" w:pos="1008"/>
          <w:tab w:val="left" w:pos="1440"/>
          <w:tab w:val="left" w:pos="1584"/>
          <w:tab w:val="left" w:pos="2016"/>
          <w:tab w:val="decimal" w:pos="4752"/>
        </w:tabs>
        <w:autoSpaceDE w:val="0"/>
        <w:autoSpaceDN w:val="0"/>
        <w:bidi/>
        <w:adjustRightInd w:val="0"/>
        <w:spacing w:after="80" w:line="260" w:lineRule="exact"/>
        <w:ind w:firstLine="283"/>
        <w:jc w:val="both"/>
        <w:rPr>
          <w:rFonts w:cs="FrankRuehl"/>
          <w:lang w:eastAsia="en-US"/>
        </w:rPr>
      </w:pPr>
      <w:r>
        <w:rPr>
          <w:rFonts w:cs="FrankRuehl"/>
          <w:rtl/>
          <w:lang w:eastAsia="en-US"/>
        </w:rPr>
        <w:t xml:space="preserve">בהתאם להוראת סעיף </w:t>
      </w:r>
      <w:hyperlink r:id="rId14" w:history="1">
        <w:r w:rsidR="004D3697" w:rsidRPr="004D3697">
          <w:rPr>
            <w:rFonts w:cs="FrankRuehl"/>
            <w:color w:val="0000FF"/>
            <w:u w:val="single"/>
            <w:lang w:eastAsia="en-US"/>
          </w:rPr>
          <w:t>182</w:t>
        </w:r>
      </w:hyperlink>
      <w:r>
        <w:rPr>
          <w:rFonts w:cs="FrankRuehl"/>
          <w:rtl/>
          <w:lang w:eastAsia="en-US"/>
        </w:rPr>
        <w:t>סיפא ל</w:t>
      </w:r>
      <w:hyperlink r:id="rId15" w:history="1">
        <w:r w:rsidR="00730B50" w:rsidRPr="00730B50">
          <w:rPr>
            <w:rStyle w:val="Hyperlink"/>
            <w:rFonts w:cs="FrankRuehl"/>
            <w:rtl/>
            <w:lang w:eastAsia="en-US"/>
          </w:rPr>
          <w:t>חוק סדר הדין הפלילי</w:t>
        </w:r>
      </w:hyperlink>
      <w:r>
        <w:rPr>
          <w:rFonts w:cs="FrankRuehl"/>
          <w:rtl/>
          <w:lang w:eastAsia="en-US"/>
        </w:rPr>
        <w:t xml:space="preserve"> [נוסח משולב], תשמ"ב-</w:t>
      </w:r>
      <w:r>
        <w:rPr>
          <w:rFonts w:cs="FrankRuehl"/>
          <w:lang w:eastAsia="en-US"/>
        </w:rPr>
        <w:t>1982</w:t>
      </w:r>
      <w:r>
        <w:rPr>
          <w:rFonts w:cs="FrankRuehl"/>
          <w:rtl/>
          <w:lang w:eastAsia="en-US"/>
        </w:rPr>
        <w:t>, את</w:t>
      </w:r>
      <w:r>
        <w:rPr>
          <w:rFonts w:cs="FrankRuehl"/>
          <w:lang w:eastAsia="en-US"/>
        </w:rPr>
        <w:t xml:space="preserve"> </w:t>
      </w:r>
      <w:r>
        <w:rPr>
          <w:rFonts w:cs="FrankRuehl"/>
          <w:rtl/>
          <w:lang w:eastAsia="en-US"/>
        </w:rPr>
        <w:t>תוצאת הכרעת דין זו יש להודיע בתחילה. לפיכך, מקדים ומודיע אני בזאת, כי החלטתי לזכות את הנאשם מהעבירה המיוחסת לו בכתב אישום זה</w:t>
      </w:r>
      <w:r>
        <w:rPr>
          <w:rFonts w:cs="FrankRuehl"/>
          <w:lang w:eastAsia="en-US"/>
        </w:rPr>
        <w:t>.</w:t>
      </w:r>
    </w:p>
    <w:p w14:paraId="0381220F" w14:textId="77777777" w:rsidR="008C1F45" w:rsidRDefault="008C1F45">
      <w:pPr>
        <w:tabs>
          <w:tab w:val="left" w:pos="288"/>
          <w:tab w:val="left" w:pos="720"/>
          <w:tab w:val="left" w:pos="864"/>
          <w:tab w:val="left" w:pos="1008"/>
          <w:tab w:val="left" w:pos="1440"/>
          <w:tab w:val="left" w:pos="1584"/>
          <w:tab w:val="left" w:pos="2016"/>
          <w:tab w:val="decimal" w:pos="4752"/>
        </w:tabs>
        <w:autoSpaceDE w:val="0"/>
        <w:autoSpaceDN w:val="0"/>
        <w:bidi/>
        <w:adjustRightInd w:val="0"/>
        <w:spacing w:after="80" w:line="260" w:lineRule="exact"/>
        <w:ind w:firstLine="283"/>
        <w:jc w:val="both"/>
        <w:rPr>
          <w:rFonts w:cs="FrankRuehl"/>
          <w:rtl/>
          <w:lang w:eastAsia="en-US"/>
        </w:rPr>
      </w:pPr>
      <w:r>
        <w:rPr>
          <w:rFonts w:cs="FrankRuehl"/>
          <w:rtl/>
          <w:lang w:eastAsia="en-US"/>
        </w:rPr>
        <w:cr/>
      </w:r>
      <w:r>
        <w:rPr>
          <w:rFonts w:cs="FrankRuehl"/>
          <w:rtl/>
          <w:lang w:eastAsia="en-US"/>
        </w:rPr>
        <w:br w:type="page"/>
      </w:r>
      <w:r>
        <w:rPr>
          <w:rFonts w:cs="FrankRuehl"/>
          <w:rtl/>
          <w:lang w:eastAsia="en-US"/>
        </w:rPr>
        <w:lastRenderedPageBreak/>
        <w:t>עתה, למשמע דבר הזיכוי ודאי נגולה אבן מלבו של הנאשם, אלא שראוי שיסכית</w:t>
      </w:r>
      <w:r>
        <w:rPr>
          <w:rFonts w:cs="FrankRuehl"/>
          <w:lang w:eastAsia="en-US"/>
        </w:rPr>
        <w:t xml:space="preserve"> </w:t>
      </w:r>
      <w:r>
        <w:rPr>
          <w:rFonts w:cs="FrankRuehl"/>
          <w:rtl/>
          <w:lang w:eastAsia="en-US"/>
        </w:rPr>
        <w:t>וישמע את מלוא הכרעת הדין והאמור בה, שכן משמעות זיכויו במקרה זה אינה שהתנהגותו לא היתה מגונה-תרתי משמע, אלא אך ששיחק לו מזלו והתנהגותו המגונה אינה נכנסת במקרה דנן בגדר דל"ת אמות העבירה הפלילית המיוחסת לו, והיא הנותנת שמוטב לו לנאשם שיחדל מהתנהגותו המגונה חרף אי-הרשעתו בפלילים, בזו הפעם, כי בידו הדבר.</w:t>
      </w:r>
    </w:p>
    <w:p w14:paraId="0C044E21" w14:textId="77777777" w:rsidR="008C1F45" w:rsidRDefault="008C1F45">
      <w:pPr>
        <w:tabs>
          <w:tab w:val="left" w:pos="288"/>
          <w:tab w:val="left" w:pos="720"/>
          <w:tab w:val="left" w:pos="864"/>
          <w:tab w:val="left" w:pos="1008"/>
          <w:tab w:val="left" w:pos="1440"/>
          <w:tab w:val="left" w:pos="1584"/>
          <w:tab w:val="left" w:pos="2016"/>
          <w:tab w:val="decimal" w:pos="4752"/>
        </w:tabs>
        <w:autoSpaceDE w:val="0"/>
        <w:autoSpaceDN w:val="0"/>
        <w:bidi/>
        <w:adjustRightInd w:val="0"/>
        <w:spacing w:after="80" w:line="260" w:lineRule="exact"/>
        <w:ind w:firstLine="283"/>
        <w:jc w:val="both"/>
        <w:rPr>
          <w:rFonts w:cs="FrankRuehl"/>
          <w:rtl/>
          <w:lang w:eastAsia="en-US"/>
        </w:rPr>
      </w:pPr>
      <w:r>
        <w:rPr>
          <w:rFonts w:cs="FrankRuehl"/>
          <w:rtl/>
          <w:lang w:eastAsia="en-US"/>
        </w:rPr>
        <w:t xml:space="preserve">בכתב האישום יוחסה לנאשם עבירה של מעשה מגונה בפומבי, ובעובדות המצוינות בו נטען נגדו כי "בתאריך </w:t>
      </w:r>
      <w:r>
        <w:rPr>
          <w:rFonts w:cs="FrankRuehl"/>
          <w:lang w:eastAsia="en-US"/>
        </w:rPr>
        <w:t>30.7.92</w:t>
      </w:r>
      <w:r>
        <w:rPr>
          <w:rFonts w:cs="FrankRuehl"/>
          <w:rtl/>
          <w:lang w:eastAsia="en-US"/>
        </w:rPr>
        <w:t>בשעות היום, או בסמוך לכך באשקלון, ביצע הנאשם מעשה מגונה בפומבי בכך שאונן מול חלון ביתו</w:t>
      </w:r>
      <w:r>
        <w:rPr>
          <w:rFonts w:cs="FrankRuehl"/>
          <w:lang w:eastAsia="en-US"/>
        </w:rPr>
        <w:t>".</w:t>
      </w:r>
    </w:p>
    <w:p w14:paraId="1C35EFB4" w14:textId="77777777" w:rsidR="008C1F45" w:rsidRDefault="008C1F45">
      <w:pPr>
        <w:tabs>
          <w:tab w:val="left" w:pos="288"/>
          <w:tab w:val="left" w:pos="720"/>
          <w:tab w:val="left" w:pos="864"/>
          <w:tab w:val="left" w:pos="1008"/>
          <w:tab w:val="left" w:pos="1440"/>
          <w:tab w:val="left" w:pos="1584"/>
          <w:tab w:val="left" w:pos="2016"/>
          <w:tab w:val="decimal" w:pos="4752"/>
        </w:tabs>
        <w:autoSpaceDE w:val="0"/>
        <w:autoSpaceDN w:val="0"/>
        <w:bidi/>
        <w:adjustRightInd w:val="0"/>
        <w:spacing w:after="80" w:line="260" w:lineRule="exact"/>
        <w:ind w:firstLine="283"/>
        <w:jc w:val="both"/>
        <w:rPr>
          <w:rFonts w:cs="FrankRuehl"/>
          <w:rtl/>
          <w:lang w:eastAsia="en-US"/>
        </w:rPr>
      </w:pPr>
      <w:r>
        <w:rPr>
          <w:rFonts w:cs="FrankRuehl"/>
          <w:rtl/>
          <w:lang w:eastAsia="en-US"/>
        </w:rPr>
        <w:t>למעשה, למשמע ולמקרא הראיות שהובאו לפניי ניתן בפירוט יתר לתאר כי המעשה</w:t>
      </w:r>
      <w:r>
        <w:rPr>
          <w:rFonts w:cs="FrankRuehl"/>
          <w:lang w:eastAsia="en-US"/>
        </w:rPr>
        <w:t xml:space="preserve"> </w:t>
      </w:r>
      <w:r>
        <w:rPr>
          <w:rFonts w:cs="FrankRuehl"/>
          <w:rtl/>
          <w:lang w:eastAsia="en-US"/>
        </w:rPr>
        <w:t>המיוחס לנאשם היה כי עמד לו בפתח חלון דירתו הממוקמת בקומה השלישית של בית מגורים משותף, חשף עצמו ונותר עומד עירום ועריה מול שכנתו (להלן:</w:t>
      </w:r>
      <w:r>
        <w:rPr>
          <w:rFonts w:cs="FrankRuehl"/>
          <w:color w:val="FFFFFF"/>
          <w:rtl/>
          <w:lang w:eastAsia="en-US"/>
        </w:rPr>
        <w:t>ו</w:t>
      </w:r>
      <w:r>
        <w:rPr>
          <w:rFonts w:cs="FrankRuehl"/>
          <w:rtl/>
          <w:lang w:eastAsia="en-US"/>
        </w:rPr>
        <w:t xml:space="preserve"> "המתלוננת"), שעה שזו ניצבה לה בחלון דירתה המצויה מנגד, מרחק של מטרים ספורים בקומה הרביעית של בניין מגורים סמוך. כל שביקשה המתלוננת, הוא לתלות בנחת ובשלווה כביסת בני ביתה בחבלי הכביסה החיצוניים. הנאשם, למראה שכנתו, החל לבצע במו ידיו מעשה אונן, עד שמלוא תאוותו נותרה בידו והגיע לכלל סיפוקו. שמים היו בינו לבינה, איש מלבדם, ועל פיהם ייפול דבר. למראה המחזה, לא שבעה המתלוננת הצנועה נחת וקורת רוח מהתנהגותו של הנאשם, שכאמור אמנם נעשתה בין כתלי דירתו, אלא שנשקפה לה מבעד לחלון. למעשה, כדברי הנאשם עצמו במשטרה, רק משנחה דעתו כי שכנתו מתבוננת בו ורואה את מעשה ידיו (שלא להתפאר בו), הגיע לכלל סיפוקו. למתלוננת לא אצה הדרך והשעה לעשות מעשה כנגד הנאשם; היא סברה שהמדובר במקרה חריג וחד-פעמי, בבחינת - אין אדם נתפס על מעשהו לראשונה, ועברה עליו לסדר היום. אלא שמששב הנאשם וחזר על התנהגותו המגונה הנ"ל מקץ ימים ספורים, החליטה-בחרה המתלוננת לפנות-לגשת לתחנת המשטרה ולהתלונן נגד הנאשם בגין התנהגותו, שכן ניתן להבין שרוחה לא היתה נוחה מלגור עם הנאשם בשכנות אחת.</w:t>
      </w:r>
    </w:p>
    <w:p w14:paraId="5C398A34" w14:textId="77777777" w:rsidR="008C1F45" w:rsidRDefault="008C1F45">
      <w:pPr>
        <w:tabs>
          <w:tab w:val="left" w:pos="288"/>
          <w:tab w:val="left" w:pos="720"/>
          <w:tab w:val="left" w:pos="864"/>
          <w:tab w:val="left" w:pos="1008"/>
          <w:tab w:val="left" w:pos="1440"/>
          <w:tab w:val="left" w:pos="1584"/>
          <w:tab w:val="left" w:pos="2016"/>
          <w:tab w:val="decimal" w:pos="4752"/>
        </w:tabs>
        <w:autoSpaceDE w:val="0"/>
        <w:autoSpaceDN w:val="0"/>
        <w:bidi/>
        <w:adjustRightInd w:val="0"/>
        <w:spacing w:after="80" w:line="260" w:lineRule="exact"/>
        <w:ind w:firstLine="283"/>
        <w:jc w:val="both"/>
        <w:rPr>
          <w:rFonts w:cs="FrankRuehl"/>
          <w:lang w:eastAsia="en-US"/>
        </w:rPr>
      </w:pPr>
      <w:r>
        <w:rPr>
          <w:rFonts w:cs="FrankRuehl"/>
          <w:rtl/>
          <w:lang w:eastAsia="en-US"/>
        </w:rPr>
        <w:t>נתגלגל תיק החקירה ובתום חקירת האירועים באה התביעה המשטרתית לכלל מסקנה</w:t>
      </w:r>
    </w:p>
    <w:p w14:paraId="2677E77A" w14:textId="77777777" w:rsidR="008C1F45" w:rsidRDefault="008C1F45">
      <w:pPr>
        <w:tabs>
          <w:tab w:val="left" w:pos="288"/>
          <w:tab w:val="left" w:pos="720"/>
          <w:tab w:val="left" w:pos="864"/>
          <w:tab w:val="left" w:pos="1008"/>
          <w:tab w:val="left" w:pos="1440"/>
          <w:tab w:val="left" w:pos="1584"/>
          <w:tab w:val="left" w:pos="2016"/>
          <w:tab w:val="decimal" w:pos="4752"/>
        </w:tabs>
        <w:autoSpaceDE w:val="0"/>
        <w:autoSpaceDN w:val="0"/>
        <w:bidi/>
        <w:adjustRightInd w:val="0"/>
        <w:spacing w:after="80" w:line="260" w:lineRule="exact"/>
        <w:ind w:firstLine="283"/>
        <w:jc w:val="both"/>
        <w:rPr>
          <w:rFonts w:cs="FrankRuehl"/>
          <w:rtl/>
          <w:lang w:eastAsia="en-US"/>
        </w:rPr>
      </w:pPr>
      <w:r>
        <w:rPr>
          <w:rFonts w:cs="FrankRuehl"/>
          <w:rtl/>
          <w:lang w:eastAsia="en-US"/>
        </w:rPr>
        <w:t>שיש להעמיד את הנאשם לדין פלילי. כך עשתה וייחסה לו עבירה של "מעשה מגונה</w:t>
      </w:r>
      <w:r>
        <w:rPr>
          <w:rFonts w:cs="FrankRuehl"/>
          <w:lang w:eastAsia="en-US"/>
        </w:rPr>
        <w:t xml:space="preserve"> </w:t>
      </w:r>
      <w:r>
        <w:rPr>
          <w:rFonts w:cs="FrankRuehl"/>
          <w:rtl/>
          <w:lang w:eastAsia="en-US"/>
        </w:rPr>
        <w:t xml:space="preserve">בפומבי," בניגוד </w:t>
      </w:r>
      <w:hyperlink r:id="rId16" w:history="1">
        <w:r w:rsidR="004D3697" w:rsidRPr="004D3697">
          <w:rPr>
            <w:rFonts w:cs="FrankRuehl"/>
            <w:color w:val="0000FF"/>
            <w:u w:val="single"/>
            <w:rtl/>
            <w:lang w:eastAsia="en-US"/>
          </w:rPr>
          <w:t>לסעיף 349(א)</w:t>
        </w:r>
      </w:hyperlink>
      <w:r>
        <w:rPr>
          <w:rFonts w:cs="FrankRuehl"/>
          <w:rtl/>
          <w:lang w:eastAsia="en-US"/>
        </w:rPr>
        <w:t xml:space="preserve"> ל</w:t>
      </w:r>
      <w:hyperlink r:id="rId17" w:history="1">
        <w:r w:rsidR="00730B50" w:rsidRPr="00730B50">
          <w:rPr>
            <w:rStyle w:val="Hyperlink"/>
            <w:rFonts w:cs="FrankRuehl"/>
            <w:rtl/>
            <w:lang w:eastAsia="en-US"/>
          </w:rPr>
          <w:t>חוק העונשין</w:t>
        </w:r>
      </w:hyperlink>
      <w:r>
        <w:rPr>
          <w:rFonts w:cs="FrankRuehl"/>
          <w:rtl/>
          <w:lang w:eastAsia="en-US"/>
        </w:rPr>
        <w:t>, תשל"ז-</w:t>
      </w:r>
      <w:r>
        <w:rPr>
          <w:rFonts w:cs="FrankRuehl"/>
          <w:lang w:eastAsia="en-US"/>
        </w:rPr>
        <w:t>1977</w:t>
      </w:r>
      <w:r>
        <w:rPr>
          <w:rFonts w:cs="FrankRuehl"/>
          <w:rtl/>
          <w:lang w:eastAsia="en-US"/>
        </w:rPr>
        <w:t>, שזה לשונו (ככל שהוא נוגע לענייננו):</w:t>
      </w:r>
      <w:r>
        <w:rPr>
          <w:rFonts w:cs="FrankRuehl"/>
          <w:color w:val="FFFFFF"/>
          <w:rtl/>
          <w:lang w:eastAsia="en-US"/>
        </w:rPr>
        <w:t>נ</w:t>
      </w:r>
      <w:r>
        <w:rPr>
          <w:rFonts w:cs="FrankRuehl"/>
          <w:rtl/>
          <w:lang w:eastAsia="en-US"/>
        </w:rPr>
        <w:t xml:space="preserve"> "העושה מעשה מגונה בפומבי בפני אדם אחר, ללא הסכמתו</w:t>
      </w:r>
      <w:r>
        <w:rPr>
          <w:rFonts w:cs="FrankRuehl"/>
          <w:lang w:eastAsia="en-US"/>
        </w:rPr>
        <w:t>...</w:t>
      </w:r>
    </w:p>
    <w:p w14:paraId="60F7ED17" w14:textId="77777777" w:rsidR="008C1F45" w:rsidRDefault="008C1F45">
      <w:pPr>
        <w:tabs>
          <w:tab w:val="left" w:pos="288"/>
          <w:tab w:val="left" w:pos="720"/>
          <w:tab w:val="left" w:pos="864"/>
          <w:tab w:val="left" w:pos="1008"/>
          <w:tab w:val="left" w:pos="1440"/>
          <w:tab w:val="left" w:pos="1584"/>
          <w:tab w:val="left" w:pos="2016"/>
          <w:tab w:val="decimal" w:pos="4752"/>
        </w:tabs>
        <w:autoSpaceDE w:val="0"/>
        <w:autoSpaceDN w:val="0"/>
        <w:bidi/>
        <w:adjustRightInd w:val="0"/>
        <w:spacing w:after="80" w:line="260" w:lineRule="exact"/>
        <w:ind w:firstLine="283"/>
        <w:jc w:val="both"/>
        <w:rPr>
          <w:rFonts w:cs="FrankRuehl"/>
          <w:rtl/>
          <w:lang w:eastAsia="en-US"/>
        </w:rPr>
      </w:pPr>
    </w:p>
    <w:p w14:paraId="224F66EC" w14:textId="77777777" w:rsidR="008C1F45" w:rsidRDefault="008C1F45">
      <w:pPr>
        <w:tabs>
          <w:tab w:val="left" w:pos="288"/>
          <w:tab w:val="left" w:pos="720"/>
          <w:tab w:val="left" w:pos="864"/>
          <w:tab w:val="left" w:pos="1008"/>
          <w:tab w:val="left" w:pos="1440"/>
          <w:tab w:val="left" w:pos="1584"/>
          <w:tab w:val="left" w:pos="2016"/>
          <w:tab w:val="decimal" w:pos="4752"/>
        </w:tabs>
        <w:autoSpaceDE w:val="0"/>
        <w:autoSpaceDN w:val="0"/>
        <w:bidi/>
        <w:adjustRightInd w:val="0"/>
        <w:spacing w:after="80" w:line="260" w:lineRule="exact"/>
        <w:ind w:firstLine="283"/>
        <w:jc w:val="both"/>
        <w:rPr>
          <w:rFonts w:cs="FrankRuehl"/>
          <w:rtl/>
          <w:lang w:eastAsia="en-US"/>
        </w:rPr>
      </w:pPr>
      <w:r>
        <w:rPr>
          <w:rFonts w:cs="FrankRuehl"/>
          <w:rtl/>
          <w:lang w:eastAsia="en-US"/>
        </w:rPr>
        <w:t>דינו - מאסר שנה</w:t>
      </w:r>
      <w:r>
        <w:rPr>
          <w:rFonts w:cs="FrankRuehl"/>
          <w:lang w:eastAsia="en-US"/>
        </w:rPr>
        <w:t>".</w:t>
      </w:r>
    </w:p>
    <w:p w14:paraId="5B2C1DDC" w14:textId="77777777" w:rsidR="008C1F45" w:rsidRDefault="008C1F45">
      <w:pPr>
        <w:tabs>
          <w:tab w:val="left" w:pos="288"/>
          <w:tab w:val="left" w:pos="720"/>
          <w:tab w:val="left" w:pos="864"/>
          <w:tab w:val="left" w:pos="1008"/>
          <w:tab w:val="left" w:pos="1440"/>
          <w:tab w:val="left" w:pos="1584"/>
          <w:tab w:val="left" w:pos="2016"/>
          <w:tab w:val="decimal" w:pos="4752"/>
        </w:tabs>
        <w:autoSpaceDE w:val="0"/>
        <w:autoSpaceDN w:val="0"/>
        <w:bidi/>
        <w:adjustRightInd w:val="0"/>
        <w:spacing w:after="80" w:line="260" w:lineRule="exact"/>
        <w:ind w:firstLine="283"/>
        <w:jc w:val="both"/>
        <w:rPr>
          <w:rFonts w:cs="FrankRuehl"/>
          <w:rtl/>
          <w:lang w:eastAsia="en-US"/>
        </w:rPr>
      </w:pPr>
      <w:r>
        <w:rPr>
          <w:rFonts w:cs="FrankRuehl"/>
          <w:rtl/>
          <w:lang w:eastAsia="en-US"/>
        </w:rPr>
        <w:t xml:space="preserve">הנאשם בחר למנות לו את עו"ד אבי אלפסי המלומד לייצגו בתיק זה, אשר טען כל טענה לטובת מרשו ולא השאיר אבן על אבן ללא הופכין; כפר בשם מרשו בכל עובדות כתב האישום, אף טען שמרשו דובר עברית קלה מאוד, ומה שמסר במשטרה אינו האמת, שכן לא הבין את מה שנאמר לו, והוא חתם על אימרתו לפני שהוסבר </w:t>
      </w:r>
      <w:r>
        <w:rPr>
          <w:rFonts w:cs="FrankRuehl"/>
          <w:rtl/>
          <w:lang w:eastAsia="en-US"/>
        </w:rPr>
        <w:cr/>
      </w:r>
      <w:r>
        <w:rPr>
          <w:rFonts w:cs="FrankRuehl"/>
          <w:rtl/>
          <w:lang w:eastAsia="en-US"/>
        </w:rPr>
        <w:br w:type="page"/>
      </w:r>
      <w:r>
        <w:rPr>
          <w:rFonts w:cs="FrankRuehl"/>
          <w:rtl/>
          <w:lang w:eastAsia="en-US"/>
        </w:rPr>
        <w:lastRenderedPageBreak/>
        <w:t>לו תוכנה. אף טען הנאשם שנאמר לו שאם לו יחתום על ההודעה - ייעצר. הגדיל</w:t>
      </w:r>
      <w:r>
        <w:rPr>
          <w:rFonts w:cs="FrankRuehl"/>
          <w:lang w:eastAsia="en-US"/>
        </w:rPr>
        <w:t xml:space="preserve"> </w:t>
      </w:r>
      <w:r>
        <w:rPr>
          <w:rFonts w:cs="FrankRuehl"/>
          <w:rtl/>
          <w:lang w:eastAsia="en-US"/>
        </w:rPr>
        <w:t>הסניגור לעשות בכך ששכר שירותיו של חוקר פרטי אשר טרח לצלם הזירה מכל רוחות השמים, מתוך כוונה להביא התמונות לבית המשפט, תחת ביקור במקום, למען הוכיח לדיין - שאין לו אלא מה שעיניו רואות - שהמתלוננת לא מסוגלת היתה לראות אשר טענה לו.</w:t>
      </w:r>
    </w:p>
    <w:p w14:paraId="46826E9E" w14:textId="77777777" w:rsidR="008C1F45" w:rsidRDefault="008C1F45">
      <w:pPr>
        <w:tabs>
          <w:tab w:val="left" w:pos="288"/>
          <w:tab w:val="left" w:pos="720"/>
          <w:tab w:val="left" w:pos="864"/>
          <w:tab w:val="left" w:pos="1008"/>
          <w:tab w:val="left" w:pos="1440"/>
          <w:tab w:val="left" w:pos="1584"/>
          <w:tab w:val="left" w:pos="2016"/>
          <w:tab w:val="decimal" w:pos="4752"/>
        </w:tabs>
        <w:autoSpaceDE w:val="0"/>
        <w:autoSpaceDN w:val="0"/>
        <w:bidi/>
        <w:adjustRightInd w:val="0"/>
        <w:spacing w:after="80" w:line="260" w:lineRule="exact"/>
        <w:ind w:firstLine="283"/>
        <w:jc w:val="both"/>
        <w:rPr>
          <w:rFonts w:cs="FrankRuehl"/>
          <w:rtl/>
          <w:lang w:eastAsia="en-US"/>
        </w:rPr>
      </w:pPr>
      <w:r>
        <w:rPr>
          <w:rFonts w:cs="FrankRuehl"/>
          <w:rtl/>
          <w:lang w:eastAsia="en-US"/>
        </w:rPr>
        <w:t>בנסיבות אלה ולאור טענות הנאשם, מינה לו בית המשפט את שומר בית המשפט (שהינו משפטן עולה חדש), כמתורגמן מהשפה העברית לרוסית וההפך.</w:t>
      </w:r>
    </w:p>
    <w:p w14:paraId="14DA7A3E" w14:textId="77777777" w:rsidR="008C1F45" w:rsidRDefault="008C1F45">
      <w:pPr>
        <w:tabs>
          <w:tab w:val="left" w:pos="288"/>
          <w:tab w:val="left" w:pos="720"/>
          <w:tab w:val="left" w:pos="864"/>
          <w:tab w:val="left" w:pos="1008"/>
          <w:tab w:val="left" w:pos="1440"/>
          <w:tab w:val="left" w:pos="1584"/>
          <w:tab w:val="left" w:pos="2016"/>
          <w:tab w:val="decimal" w:pos="4752"/>
        </w:tabs>
        <w:autoSpaceDE w:val="0"/>
        <w:autoSpaceDN w:val="0"/>
        <w:bidi/>
        <w:adjustRightInd w:val="0"/>
        <w:spacing w:after="80" w:line="260" w:lineRule="exact"/>
        <w:ind w:firstLine="283"/>
        <w:jc w:val="both"/>
        <w:rPr>
          <w:rFonts w:cs="FrankRuehl"/>
          <w:rtl/>
          <w:lang w:eastAsia="en-US"/>
        </w:rPr>
      </w:pPr>
    </w:p>
    <w:p w14:paraId="1C906402" w14:textId="77777777" w:rsidR="008C1F45" w:rsidRDefault="008C1F45">
      <w:pPr>
        <w:tabs>
          <w:tab w:val="left" w:pos="288"/>
          <w:tab w:val="left" w:pos="720"/>
          <w:tab w:val="left" w:pos="864"/>
          <w:tab w:val="left" w:pos="1008"/>
          <w:tab w:val="left" w:pos="1440"/>
          <w:tab w:val="left" w:pos="1584"/>
          <w:tab w:val="left" w:pos="2016"/>
          <w:tab w:val="decimal" w:pos="4752"/>
        </w:tabs>
        <w:autoSpaceDE w:val="0"/>
        <w:autoSpaceDN w:val="0"/>
        <w:bidi/>
        <w:adjustRightInd w:val="0"/>
        <w:spacing w:after="80" w:line="260" w:lineRule="exact"/>
        <w:ind w:firstLine="283"/>
        <w:jc w:val="both"/>
        <w:rPr>
          <w:rFonts w:cs="FrankRuehl"/>
          <w:lang w:eastAsia="en-US"/>
        </w:rPr>
      </w:pPr>
      <w:r>
        <w:rPr>
          <w:rFonts w:cs="FrankRuehl"/>
          <w:rtl/>
          <w:lang w:eastAsia="en-US"/>
        </w:rPr>
        <w:t>התביעה מצידה זימנה למשפט הזוטא מספר עדים</w:t>
      </w:r>
      <w:r>
        <w:rPr>
          <w:rFonts w:cs="FrankRuehl"/>
          <w:lang w:eastAsia="en-US"/>
        </w:rPr>
        <w:t>.</w:t>
      </w:r>
    </w:p>
    <w:p w14:paraId="6A595F24" w14:textId="77777777" w:rsidR="008C1F45" w:rsidRDefault="008C1F45">
      <w:pPr>
        <w:tabs>
          <w:tab w:val="left" w:pos="288"/>
          <w:tab w:val="left" w:pos="720"/>
          <w:tab w:val="left" w:pos="864"/>
          <w:tab w:val="left" w:pos="1008"/>
          <w:tab w:val="left" w:pos="1440"/>
          <w:tab w:val="left" w:pos="1584"/>
          <w:tab w:val="left" w:pos="2016"/>
          <w:tab w:val="decimal" w:pos="4752"/>
        </w:tabs>
        <w:autoSpaceDE w:val="0"/>
        <w:autoSpaceDN w:val="0"/>
        <w:bidi/>
        <w:adjustRightInd w:val="0"/>
        <w:spacing w:after="80" w:line="260" w:lineRule="exact"/>
        <w:ind w:firstLine="283"/>
        <w:jc w:val="both"/>
        <w:rPr>
          <w:rFonts w:cs="FrankRuehl"/>
          <w:rtl/>
          <w:lang w:eastAsia="en-US"/>
        </w:rPr>
      </w:pPr>
      <w:r>
        <w:rPr>
          <w:rFonts w:cs="FrankRuehl"/>
          <w:rtl/>
          <w:lang w:eastAsia="en-US"/>
        </w:rPr>
        <w:t>השוטרת, אמנו מרגו, המשמשת כחוקרת בתחנת אשקלון, היא אשר גבתה מאת הנאשם</w:t>
      </w:r>
      <w:r>
        <w:rPr>
          <w:rFonts w:cs="FrankRuehl"/>
          <w:lang w:eastAsia="en-US"/>
        </w:rPr>
        <w:t xml:space="preserve"> </w:t>
      </w:r>
      <w:r>
        <w:rPr>
          <w:rFonts w:cs="FrankRuehl"/>
          <w:rtl/>
          <w:lang w:eastAsia="en-US"/>
        </w:rPr>
        <w:t xml:space="preserve">אימרה שלאחר אזהרה (ת/2) בתאריך </w:t>
      </w:r>
      <w:r>
        <w:rPr>
          <w:rFonts w:cs="FrankRuehl"/>
          <w:lang w:eastAsia="en-US"/>
        </w:rPr>
        <w:t>6.8.92</w:t>
      </w:r>
      <w:r>
        <w:rPr>
          <w:rFonts w:cs="FrankRuehl"/>
          <w:rtl/>
          <w:lang w:eastAsia="en-US"/>
        </w:rPr>
        <w:t xml:space="preserve">, בשעה </w:t>
      </w:r>
      <w:r>
        <w:rPr>
          <w:rFonts w:cs="FrankRuehl"/>
          <w:lang w:eastAsia="en-US"/>
        </w:rPr>
        <w:t>25</w:t>
      </w:r>
      <w:r>
        <w:rPr>
          <w:rFonts w:cs="FrankRuehl"/>
          <w:rtl/>
          <w:lang w:eastAsia="en-US"/>
        </w:rPr>
        <w:t>:</w:t>
      </w:r>
      <w:r>
        <w:rPr>
          <w:rFonts w:cs="FrankRuehl"/>
          <w:color w:val="FFFFFF"/>
          <w:rtl/>
          <w:lang w:eastAsia="en-US"/>
        </w:rPr>
        <w:t>ב</w:t>
      </w:r>
      <w:r>
        <w:rPr>
          <w:rFonts w:cs="FrankRuehl"/>
          <w:rtl/>
          <w:lang w:eastAsia="en-US"/>
        </w:rPr>
        <w:t>. מסרה העדה, כי בזמן החקירה</w:t>
      </w:r>
      <w:r>
        <w:rPr>
          <w:rFonts w:cs="FrankRuehl"/>
          <w:lang w:eastAsia="en-US"/>
        </w:rPr>
        <w:t xml:space="preserve"> </w:t>
      </w:r>
      <w:r>
        <w:rPr>
          <w:rFonts w:cs="FrankRuehl"/>
          <w:rtl/>
          <w:lang w:eastAsia="en-US"/>
        </w:rPr>
        <w:t>נכח השוטר מיכאל בן ארצי, המשרת אף הוא בתחנת אשקלון, וזאת, לאחר שהזמינה אותו, על מנת שישמש מתורגמן בינה לבין הנאשם. עם הנאשם שוחחה באמצעות המתורגמן, באופן שהשאלות נשאלו על ידיה בעברית, המתורגמן תרגמן לשפתו של הנאשם, הנאשם השיב על השאלות, והמתורגמן תרגם אותן לעברית, וכל אשר תרגם המתורגמן נמסר על ידי הנאשם מרצונו הטוב והחופשי ונרשם על ידיה באימרתו.</w:t>
      </w:r>
    </w:p>
    <w:p w14:paraId="01A3CDAF" w14:textId="77777777" w:rsidR="008C1F45" w:rsidRDefault="008C1F45">
      <w:pPr>
        <w:tabs>
          <w:tab w:val="left" w:pos="288"/>
          <w:tab w:val="left" w:pos="720"/>
          <w:tab w:val="left" w:pos="864"/>
          <w:tab w:val="left" w:pos="1008"/>
          <w:tab w:val="left" w:pos="1440"/>
          <w:tab w:val="left" w:pos="1584"/>
          <w:tab w:val="left" w:pos="2016"/>
          <w:tab w:val="decimal" w:pos="4752"/>
        </w:tabs>
        <w:autoSpaceDE w:val="0"/>
        <w:autoSpaceDN w:val="0"/>
        <w:bidi/>
        <w:adjustRightInd w:val="0"/>
        <w:spacing w:after="80" w:line="260" w:lineRule="exact"/>
        <w:ind w:firstLine="283"/>
        <w:jc w:val="both"/>
        <w:rPr>
          <w:rFonts w:cs="FrankRuehl"/>
          <w:rtl/>
          <w:lang w:eastAsia="en-US"/>
        </w:rPr>
      </w:pPr>
      <w:r>
        <w:rPr>
          <w:rFonts w:cs="FrankRuehl"/>
          <w:rtl/>
          <w:lang w:eastAsia="en-US"/>
        </w:rPr>
        <w:t>בשלב זה טען הסניגור, כי הוא מתנגד להגשת אותה אימרה מהטעם שהופעל על הנאשם אמצעי פסול, על ידי העדה אמנו מרגו, על שאמרה לו, לטענתו, שאם לא יודה או לא יחתום על האימרה, ייעצר. הסניגור הוסיף וציין, כי מרשו אינו טוען כי השוטר מיכאל בן ארצי, ששימש כאמור כמתורגמן, איים עליו בחקירה.</w:t>
      </w:r>
    </w:p>
    <w:p w14:paraId="041671BE" w14:textId="77777777" w:rsidR="008C1F45" w:rsidRDefault="008C1F45">
      <w:pPr>
        <w:tabs>
          <w:tab w:val="left" w:pos="288"/>
          <w:tab w:val="left" w:pos="720"/>
          <w:tab w:val="left" w:pos="864"/>
          <w:tab w:val="left" w:pos="1008"/>
          <w:tab w:val="left" w:pos="1440"/>
          <w:tab w:val="left" w:pos="1584"/>
          <w:tab w:val="left" w:pos="2016"/>
          <w:tab w:val="decimal" w:pos="4752"/>
        </w:tabs>
        <w:autoSpaceDE w:val="0"/>
        <w:autoSpaceDN w:val="0"/>
        <w:bidi/>
        <w:adjustRightInd w:val="0"/>
        <w:spacing w:after="80" w:line="260" w:lineRule="exact"/>
        <w:ind w:firstLine="283"/>
        <w:jc w:val="both"/>
        <w:rPr>
          <w:rFonts w:cs="FrankRuehl"/>
          <w:rtl/>
          <w:lang w:eastAsia="en-US"/>
        </w:rPr>
      </w:pPr>
      <w:r>
        <w:rPr>
          <w:rFonts w:cs="FrankRuehl"/>
          <w:rtl/>
          <w:lang w:eastAsia="en-US"/>
        </w:rPr>
        <w:t>לאור אלו הטענות, החלטתי לקיים משפט זוטא לגבי קבילותה של אימרת הנאשם הנזכרת לעיל</w:t>
      </w:r>
      <w:r>
        <w:rPr>
          <w:rFonts w:cs="FrankRuehl"/>
          <w:lang w:eastAsia="en-US"/>
        </w:rPr>
        <w:t>.</w:t>
      </w:r>
    </w:p>
    <w:p w14:paraId="6C163E38" w14:textId="77777777" w:rsidR="008C1F45" w:rsidRDefault="008C1F45">
      <w:pPr>
        <w:tabs>
          <w:tab w:val="left" w:pos="288"/>
          <w:tab w:val="left" w:pos="720"/>
          <w:tab w:val="left" w:pos="864"/>
          <w:tab w:val="left" w:pos="1008"/>
          <w:tab w:val="left" w:pos="1440"/>
          <w:tab w:val="left" w:pos="1584"/>
          <w:tab w:val="left" w:pos="2016"/>
          <w:tab w:val="decimal" w:pos="4752"/>
        </w:tabs>
        <w:autoSpaceDE w:val="0"/>
        <w:autoSpaceDN w:val="0"/>
        <w:bidi/>
        <w:adjustRightInd w:val="0"/>
        <w:spacing w:after="80" w:line="260" w:lineRule="exact"/>
        <w:ind w:firstLine="283"/>
        <w:jc w:val="both"/>
        <w:rPr>
          <w:rFonts w:cs="FrankRuehl"/>
          <w:rtl/>
          <w:lang w:eastAsia="en-US"/>
        </w:rPr>
      </w:pPr>
      <w:r>
        <w:rPr>
          <w:rFonts w:cs="FrankRuehl"/>
          <w:rtl/>
          <w:lang w:eastAsia="en-US"/>
        </w:rPr>
        <w:t>החוקרת, אמנו מרגו, הכחישה כי נודע לה על דברים כלשהם שעניינם איום במעצר על הנאשם</w:t>
      </w:r>
      <w:r>
        <w:rPr>
          <w:rFonts w:cs="FrankRuehl"/>
          <w:lang w:eastAsia="en-US"/>
        </w:rPr>
        <w:t xml:space="preserve">, </w:t>
      </w:r>
      <w:r>
        <w:rPr>
          <w:rFonts w:cs="FrankRuehl"/>
          <w:rtl/>
          <w:lang w:eastAsia="en-US"/>
        </w:rPr>
        <w:t xml:space="preserve">הוסיפה וטענה כי היא אינה מאיימת במעצר, ושאלה לתומה מה יש לה לאיים על אדם. לדבריה, הדו"ח שמילאה בתחילת החקירה מיום </w:t>
      </w:r>
      <w:r>
        <w:rPr>
          <w:rFonts w:cs="FrankRuehl"/>
          <w:lang w:eastAsia="en-US"/>
        </w:rPr>
        <w:t>6.8.92</w:t>
      </w:r>
      <w:r>
        <w:rPr>
          <w:rFonts w:cs="FrankRuehl"/>
          <w:rtl/>
          <w:lang w:eastAsia="en-US"/>
        </w:rPr>
        <w:t xml:space="preserve">שעה </w:t>
      </w:r>
      <w:r>
        <w:rPr>
          <w:rFonts w:cs="FrankRuehl"/>
          <w:lang w:eastAsia="en-US"/>
        </w:rPr>
        <w:t>20</w:t>
      </w:r>
      <w:r>
        <w:rPr>
          <w:rFonts w:cs="FrankRuehl"/>
          <w:rtl/>
          <w:lang w:eastAsia="en-US"/>
        </w:rPr>
        <w:t>:</w:t>
      </w:r>
      <w:r>
        <w:rPr>
          <w:rFonts w:cs="FrankRuehl"/>
          <w:lang w:eastAsia="en-US"/>
        </w:rPr>
        <w:t>08</w:t>
      </w:r>
      <w:r>
        <w:rPr>
          <w:rFonts w:cs="FrankRuehl"/>
          <w:rtl/>
          <w:lang w:eastAsia="en-US"/>
        </w:rPr>
        <w:t xml:space="preserve">, היה זה אך דו"ח עיכוב (ת/1, המדבר בעד עצמו) ולא דו"ח מעצר, ועל פיו הודיעה לנאשם שהוא מעוכב על מעשים מגונים בפומבי. הוסיפה העדה והסבירה, כי לקראת סיומה של האימרה (בעמ' 2, בשורה </w:t>
      </w:r>
      <w:r>
        <w:rPr>
          <w:rFonts w:cs="FrankRuehl"/>
          <w:lang w:eastAsia="en-US"/>
        </w:rPr>
        <w:t>17</w:t>
      </w:r>
      <w:r>
        <w:rPr>
          <w:rFonts w:cs="FrankRuehl"/>
          <w:rtl/>
          <w:lang w:eastAsia="en-US"/>
        </w:rPr>
        <w:t xml:space="preserve">), לאחר שנסתיימה ונסגרה והנאשם אף חתם עליה, הוספה הערה (בשורות </w:t>
      </w:r>
      <w:r>
        <w:rPr>
          <w:rFonts w:cs="FrankRuehl"/>
          <w:lang w:eastAsia="en-US"/>
        </w:rPr>
        <w:t>17</w:t>
      </w:r>
      <w:r>
        <w:rPr>
          <w:rFonts w:cs="FrankRuehl"/>
          <w:rtl/>
          <w:lang w:eastAsia="en-US"/>
        </w:rPr>
        <w:t>-</w:t>
      </w:r>
      <w:r>
        <w:rPr>
          <w:rFonts w:cs="FrankRuehl"/>
          <w:lang w:eastAsia="en-US"/>
        </w:rPr>
        <w:t>22</w:t>
      </w:r>
      <w:r>
        <w:rPr>
          <w:rFonts w:cs="FrankRuehl"/>
          <w:rtl/>
          <w:lang w:eastAsia="en-US"/>
        </w:rPr>
        <w:t xml:space="preserve">), ביוזמת הנאשם. העדה בהמשך חקירתה הנגדית הדגישה כי לא התעוררה כל בעיה עם הנאשם במסירת גירסתו, היא לא אמרה לו שעדיף לו להודות. לשאלת הסניגור, כיצד מסבירה היא כי בתחילת האימרה הכחיש הנאשם את אשר היה חשוד בו ולאחר מכן בהמשך האימרה הודה בדבר, הפנתה החוקרת את </w:t>
      </w:r>
      <w:r>
        <w:rPr>
          <w:rFonts w:cs="FrankRuehl"/>
          <w:rtl/>
          <w:lang w:eastAsia="en-US"/>
        </w:rPr>
        <w:cr/>
      </w:r>
      <w:r>
        <w:rPr>
          <w:rFonts w:cs="FrankRuehl"/>
          <w:rtl/>
          <w:lang w:eastAsia="en-US"/>
        </w:rPr>
        <w:br w:type="page"/>
        <w:t xml:space="preserve">הסניגור אל הנאשם עצמו, והסבירה שזה עניינו. הדגישה, כי לא איימה על הנאשם שייעצר, במקום נכח, כאמור, אדם נוסף ודלת החדר היתה פתוחה, גביית האימרה ארכה בערך </w:t>
      </w:r>
      <w:r>
        <w:rPr>
          <w:rFonts w:cs="FrankRuehl"/>
          <w:lang w:eastAsia="en-US"/>
        </w:rPr>
        <w:t>45</w:t>
      </w:r>
      <w:r>
        <w:rPr>
          <w:rFonts w:cs="FrankRuehl"/>
          <w:rtl/>
          <w:lang w:eastAsia="en-US"/>
        </w:rPr>
        <w:t xml:space="preserve">דקות. היא ציינה, כי ייתכן שהביאה את המתורגמן לאחר ששוחחה עם הנאשם, אבל לא לפני שהתחילה לגבות את אימרתו בכתב. הדגישה, כי לא אמרה לנאשם שהיא תלך למקום עבודתו או לשכניו; הוא הגיע אליה על סמך הזמנה. אין חולק שהחוקר, הרצל פרגון, ביקר במקום עבודתו של הנאשם בתאריך </w:t>
      </w:r>
      <w:r>
        <w:rPr>
          <w:rFonts w:cs="FrankRuehl"/>
          <w:lang w:eastAsia="en-US"/>
        </w:rPr>
        <w:t>4.8.92</w:t>
      </w:r>
      <w:r>
        <w:rPr>
          <w:rFonts w:cs="FrankRuehl"/>
          <w:rtl/>
          <w:lang w:eastAsia="en-US"/>
        </w:rPr>
        <w:t>, כעולה מהמסמך נ/</w:t>
      </w:r>
      <w:r>
        <w:rPr>
          <w:rFonts w:cs="FrankRuehl"/>
          <w:lang w:eastAsia="en-US"/>
        </w:rPr>
        <w:t>.1</w:t>
      </w:r>
    </w:p>
    <w:p w14:paraId="2C5DD886" w14:textId="77777777" w:rsidR="008C1F45" w:rsidRDefault="008C1F45">
      <w:pPr>
        <w:tabs>
          <w:tab w:val="left" w:pos="288"/>
          <w:tab w:val="left" w:pos="720"/>
          <w:tab w:val="left" w:pos="864"/>
          <w:tab w:val="left" w:pos="1008"/>
          <w:tab w:val="left" w:pos="1440"/>
          <w:tab w:val="left" w:pos="1584"/>
          <w:tab w:val="left" w:pos="2016"/>
          <w:tab w:val="decimal" w:pos="4752"/>
        </w:tabs>
        <w:autoSpaceDE w:val="0"/>
        <w:autoSpaceDN w:val="0"/>
        <w:bidi/>
        <w:adjustRightInd w:val="0"/>
        <w:spacing w:after="80" w:line="260" w:lineRule="exact"/>
        <w:ind w:firstLine="283"/>
        <w:jc w:val="both"/>
        <w:rPr>
          <w:rFonts w:cs="FrankRuehl"/>
          <w:rtl/>
          <w:lang w:eastAsia="en-US"/>
        </w:rPr>
      </w:pPr>
      <w:r>
        <w:rPr>
          <w:rFonts w:cs="FrankRuehl"/>
          <w:rtl/>
          <w:lang w:eastAsia="en-US"/>
        </w:rPr>
        <w:t xml:space="preserve">עד התביעה 2, מיכאל בן ארצי, המשמש שוטר בתחנת משטרת אשקלון כרכז סיור, הינו יליד ברית המועצות, דובר השפה הרוסית ונמצא בארץ כבר </w:t>
      </w:r>
      <w:r>
        <w:rPr>
          <w:rFonts w:cs="FrankRuehl"/>
          <w:lang w:eastAsia="en-US"/>
        </w:rPr>
        <w:t>18</w:t>
      </w:r>
      <w:r>
        <w:rPr>
          <w:rFonts w:cs="FrankRuehl"/>
          <w:rtl/>
          <w:lang w:eastAsia="en-US"/>
        </w:rPr>
        <w:t>שנה, אישר כי ביום שנגבתה מהנאשם אימרתו ת/2, ביקשה ממנו החוקרת מרגו עזרה בתרגום הדברים מהשפה העברית לרוסית וההפך. הדגיש כי מסר ותרגם במדויק את הדברים שאמרה החוקרת לחשוד ושאמר החשוד לחוקרת. העד ציין כי מצב הנאשם בחקירה היה שגרתי ורגוע, איש לא איים על הנאשם, ומלבדם לא היה במקום אדם נוסף; הודעת הנאשם נמסרה מרצונו הטוב והחופשי.</w:t>
      </w:r>
    </w:p>
    <w:p w14:paraId="27484FBE" w14:textId="77777777" w:rsidR="008C1F45" w:rsidRDefault="008C1F45">
      <w:pPr>
        <w:tabs>
          <w:tab w:val="left" w:pos="288"/>
          <w:tab w:val="left" w:pos="720"/>
          <w:tab w:val="left" w:pos="864"/>
          <w:tab w:val="left" w:pos="1008"/>
          <w:tab w:val="left" w:pos="1440"/>
          <w:tab w:val="left" w:pos="1584"/>
          <w:tab w:val="left" w:pos="2016"/>
          <w:tab w:val="decimal" w:pos="4752"/>
        </w:tabs>
        <w:autoSpaceDE w:val="0"/>
        <w:autoSpaceDN w:val="0"/>
        <w:bidi/>
        <w:adjustRightInd w:val="0"/>
        <w:spacing w:after="80" w:line="260" w:lineRule="exact"/>
        <w:ind w:firstLine="283"/>
        <w:jc w:val="both"/>
        <w:rPr>
          <w:rFonts w:cs="FrankRuehl"/>
          <w:lang w:eastAsia="en-US"/>
        </w:rPr>
      </w:pPr>
      <w:r>
        <w:rPr>
          <w:rFonts w:cs="FrankRuehl"/>
          <w:rtl/>
          <w:lang w:eastAsia="en-US"/>
        </w:rPr>
        <w:t>גם בחקירתו הנגדית עמד העד על גירסתו, הדגיש כי הוא שולט היטב בשפה</w:t>
      </w:r>
      <w:r>
        <w:rPr>
          <w:rFonts w:cs="FrankRuehl"/>
          <w:lang w:eastAsia="en-US"/>
        </w:rPr>
        <w:t xml:space="preserve"> </w:t>
      </w:r>
      <w:r>
        <w:rPr>
          <w:rFonts w:cs="FrankRuehl"/>
          <w:rtl/>
          <w:lang w:eastAsia="en-US"/>
        </w:rPr>
        <w:t>הרוסית, למרות שהיא אינה שפת אימו, ציין כי כשהגיעה החוקרת מרגו כבר רשמה את האזהרה, ביקשה שהוא יתרגם לנאשם את הדברים, ומאותו שלב הצטרף למלאכת התרגום. הדגיש, כי תרגם כל שלב ושלב, כל שאלה ותשובה</w:t>
      </w:r>
      <w:r>
        <w:rPr>
          <w:rFonts w:cs="FrankRuehl"/>
          <w:lang w:eastAsia="en-US"/>
        </w:rPr>
        <w:t xml:space="preserve">, </w:t>
      </w:r>
      <w:r>
        <w:rPr>
          <w:rFonts w:cs="FrankRuehl"/>
          <w:rtl/>
          <w:lang w:eastAsia="en-US"/>
        </w:rPr>
        <w:t xml:space="preserve">הגם שבסוף לא הקריא לנאשם מחדש את כל עדותו. אף הוא חתם בסופה של העדות. זכור לו שהנאשם שאלו מה יהיה הלאה, ואז השיב לו שהחוקרת תסביר לו זאת. גם עד זה הדגיש ואמר כי זכור לו שהדברים המופיעים בשורות </w:t>
      </w:r>
      <w:r>
        <w:rPr>
          <w:rFonts w:cs="FrankRuehl"/>
          <w:lang w:eastAsia="en-US"/>
        </w:rPr>
        <w:t>17</w:t>
      </w:r>
      <w:r>
        <w:rPr>
          <w:rFonts w:cs="FrankRuehl"/>
          <w:rtl/>
          <w:lang w:eastAsia="en-US"/>
        </w:rPr>
        <w:t>-</w:t>
      </w:r>
      <w:r>
        <w:rPr>
          <w:rFonts w:cs="FrankRuehl"/>
          <w:lang w:eastAsia="en-US"/>
        </w:rPr>
        <w:t>22</w:t>
      </w:r>
      <w:r>
        <w:rPr>
          <w:rFonts w:cs="FrankRuehl"/>
          <w:rtl/>
          <w:lang w:eastAsia="en-US"/>
        </w:rPr>
        <w:t>, בעמ' 2, לאימרת הנאשם, אכן נאמרו</w:t>
      </w:r>
      <w:r>
        <w:rPr>
          <w:rFonts w:cs="FrankRuehl"/>
          <w:lang w:eastAsia="en-US"/>
        </w:rPr>
        <w:t>.</w:t>
      </w:r>
    </w:p>
    <w:p w14:paraId="1C27F54E" w14:textId="77777777" w:rsidR="008C1F45" w:rsidRDefault="008C1F45">
      <w:pPr>
        <w:tabs>
          <w:tab w:val="left" w:pos="288"/>
          <w:tab w:val="left" w:pos="720"/>
          <w:tab w:val="left" w:pos="864"/>
          <w:tab w:val="left" w:pos="1008"/>
          <w:tab w:val="left" w:pos="1440"/>
          <w:tab w:val="left" w:pos="1584"/>
          <w:tab w:val="left" w:pos="2016"/>
          <w:tab w:val="decimal" w:pos="4752"/>
        </w:tabs>
        <w:autoSpaceDE w:val="0"/>
        <w:autoSpaceDN w:val="0"/>
        <w:bidi/>
        <w:adjustRightInd w:val="0"/>
        <w:spacing w:after="80" w:line="260" w:lineRule="exact"/>
        <w:ind w:firstLine="283"/>
        <w:jc w:val="both"/>
        <w:rPr>
          <w:rFonts w:cs="FrankRuehl"/>
          <w:rtl/>
          <w:lang w:eastAsia="en-US"/>
        </w:rPr>
      </w:pPr>
      <w:r>
        <w:rPr>
          <w:rFonts w:cs="FrankRuehl"/>
          <w:rtl/>
          <w:lang w:eastAsia="en-US"/>
        </w:rPr>
        <w:t>הנאשם, בעדותו לעניין משפט הזוטא, סיפר כי זומן למשטרה, טלפונית. כאשר הגיע למשטרה שאל, אם הוזמן לחקירה, והדברים אושרו. החוקרת מרגו אמרה לו שהוא</w:t>
      </w:r>
      <w:r>
        <w:rPr>
          <w:rFonts w:cs="FrankRuehl"/>
          <w:lang w:eastAsia="en-US"/>
        </w:rPr>
        <w:t xml:space="preserve"> </w:t>
      </w:r>
      <w:r>
        <w:rPr>
          <w:rFonts w:cs="FrankRuehl"/>
          <w:rtl/>
          <w:lang w:eastAsia="en-US"/>
        </w:rPr>
        <w:t>חשוד משום שישנה תלונה משכנה בשם סמדר, שכאשר זו תלתה כביסה הוא עמד ועשה</w:t>
      </w:r>
      <w:r>
        <w:rPr>
          <w:rFonts w:cs="FrankRuehl"/>
          <w:lang w:eastAsia="en-US"/>
        </w:rPr>
        <w:t xml:space="preserve"> </w:t>
      </w:r>
      <w:r>
        <w:rPr>
          <w:rFonts w:cs="FrankRuehl"/>
          <w:rtl/>
          <w:lang w:eastAsia="en-US"/>
        </w:rPr>
        <w:t xml:space="preserve">מעשה מגונה. כן אמרה לו שיש תלונה גם מעולה חדשה המתגוררת בקומה הרביעית. הוא השיב לה, שהם יכולים ללכת למקום עבודתו, ואף לשכניו, לשאלם. אז שאלה אותו החוקרת אם יהיה זה יפה שתלך למקום עבודתו או לשכניו לשאול אותם אודותיו. לטענתו, החוקרת אמרה לו לפני שהמתורגמן הגיע שאם הוא יודה הוא יקבל </w:t>
      </w:r>
      <w:r>
        <w:rPr>
          <w:rFonts w:cs="FrankRuehl"/>
          <w:lang w:eastAsia="en-US"/>
        </w:rPr>
        <w:t>8</w:t>
      </w:r>
      <w:r>
        <w:rPr>
          <w:rFonts w:cs="FrankRuehl"/>
          <w:rtl/>
          <w:lang w:eastAsia="en-US"/>
        </w:rPr>
        <w:t>חודשים בבית סוהר, ואם הוא ישיב בשלילה</w:t>
      </w:r>
      <w:r>
        <w:rPr>
          <w:rFonts w:cs="FrankRuehl"/>
          <w:lang w:eastAsia="en-US"/>
        </w:rPr>
        <w:t xml:space="preserve">, </w:t>
      </w:r>
      <w:r>
        <w:rPr>
          <w:rFonts w:cs="FrankRuehl"/>
          <w:rtl/>
          <w:lang w:eastAsia="en-US"/>
        </w:rPr>
        <w:t>הוא יקבל יותר, כי "יתחילו סיפורים". לדבריו, אחר כך היא ביקשה שיחתום; הוא ביקש שהיא תקריא לו והוא אינו יודע מה פירוש המילה "לאונן" ואז היא קראה למתורגמן. זה התחיל לתרגם הכל מהתחלה (הכוונה לאזהרה), ואז אמר הנאשם למתורגמן שהוא מבין הכל אך אינו מבין את המילה</w:t>
      </w:r>
      <w:r>
        <w:rPr>
          <w:rFonts w:cs="FrankRuehl"/>
          <w:lang w:eastAsia="en-US"/>
        </w:rPr>
        <w:t xml:space="preserve"> "</w:t>
      </w:r>
      <w:r>
        <w:rPr>
          <w:rFonts w:cs="FrankRuehl"/>
          <w:rtl/>
          <w:lang w:eastAsia="en-US"/>
        </w:rPr>
        <w:t>לאונן". לדבריו, היה מבולבל. זו פעם ראשונה שנחקר במשטרה. הוא טען שידע שברוסיה מרביצים בבית-סוהר, וידע שגם בארץ כך עושים. הוא גם פחד. החוקרת, לדבריו, אמרה לו שהיא יכולה לעצור אותו ל-</w:t>
      </w:r>
      <w:r>
        <w:rPr>
          <w:rFonts w:cs="FrankRuehl"/>
          <w:lang w:eastAsia="en-US"/>
        </w:rPr>
        <w:t xml:space="preserve"> 24</w:t>
      </w:r>
      <w:r>
        <w:rPr>
          <w:rFonts w:cs="FrankRuehl"/>
          <w:rtl/>
          <w:lang w:eastAsia="en-US"/>
        </w:rPr>
        <w:t>שעות. כשנשאל מדוע</w:t>
      </w:r>
      <w:r>
        <w:rPr>
          <w:rFonts w:cs="FrankRuehl"/>
          <w:lang w:eastAsia="en-US"/>
        </w:rPr>
        <w:t xml:space="preserve"> </w:t>
      </w:r>
      <w:r>
        <w:rPr>
          <w:rFonts w:cs="FrankRuehl"/>
          <w:rtl/>
          <w:lang w:eastAsia="en-US"/>
        </w:rPr>
        <w:cr/>
      </w:r>
      <w:r>
        <w:rPr>
          <w:rFonts w:cs="FrankRuehl"/>
          <w:rtl/>
          <w:lang w:eastAsia="en-US"/>
        </w:rPr>
        <w:br w:type="page"/>
        <w:t xml:space="preserve">אמרה לו זאת, השיב כי אינו יודע, והוסיף "עכשיו הראש שלי לא עובד בכלל, אני לא יודע למה" (עמ' 9, שורות </w:t>
      </w:r>
      <w:r>
        <w:rPr>
          <w:rFonts w:cs="FrankRuehl"/>
          <w:lang w:eastAsia="en-US"/>
        </w:rPr>
        <w:t>23</w:t>
      </w:r>
      <w:r>
        <w:rPr>
          <w:rFonts w:cs="FrankRuehl"/>
          <w:rtl/>
          <w:lang w:eastAsia="en-US"/>
        </w:rPr>
        <w:t>-</w:t>
      </w:r>
      <w:r>
        <w:rPr>
          <w:rFonts w:cs="FrankRuehl"/>
          <w:lang w:eastAsia="en-US"/>
        </w:rPr>
        <w:t>24</w:t>
      </w:r>
      <w:r>
        <w:rPr>
          <w:rFonts w:cs="FrankRuehl"/>
          <w:rtl/>
          <w:lang w:eastAsia="en-US"/>
        </w:rPr>
        <w:t>), כעולה מפרוטוקול בית המשפט. בית המשפט</w:t>
      </w:r>
      <w:r>
        <w:rPr>
          <w:rFonts w:cs="FrankRuehl"/>
          <w:lang w:eastAsia="en-US"/>
        </w:rPr>
        <w:t xml:space="preserve"> </w:t>
      </w:r>
      <w:r>
        <w:rPr>
          <w:rFonts w:cs="FrankRuehl"/>
          <w:rtl/>
          <w:lang w:eastAsia="en-US"/>
        </w:rPr>
        <w:t>יצא להפסקה קצרה על מנת לאפשר לנאשם לשתות משקה קר. לטענת הנאשם, בא המתורגמן אחרי שהחוקרת כתבה את כל אימרתו על גבי שני הדפים. אחרי שבא המתורגמן, החוקרת לא כתבה עוד כלום.</w:t>
      </w:r>
    </w:p>
    <w:p w14:paraId="43FA7D8A" w14:textId="77777777" w:rsidR="008C1F45" w:rsidRDefault="008C1F45">
      <w:pPr>
        <w:tabs>
          <w:tab w:val="left" w:pos="288"/>
          <w:tab w:val="left" w:pos="720"/>
          <w:tab w:val="left" w:pos="864"/>
          <w:tab w:val="left" w:pos="1008"/>
          <w:tab w:val="left" w:pos="1440"/>
          <w:tab w:val="left" w:pos="1584"/>
          <w:tab w:val="left" w:pos="2016"/>
          <w:tab w:val="decimal" w:pos="4752"/>
        </w:tabs>
        <w:autoSpaceDE w:val="0"/>
        <w:autoSpaceDN w:val="0"/>
        <w:bidi/>
        <w:adjustRightInd w:val="0"/>
        <w:spacing w:after="80" w:line="260" w:lineRule="exact"/>
        <w:ind w:firstLine="283"/>
        <w:jc w:val="both"/>
        <w:rPr>
          <w:rFonts w:cs="FrankRuehl"/>
          <w:lang w:eastAsia="en-US"/>
        </w:rPr>
      </w:pPr>
      <w:r>
        <w:rPr>
          <w:rFonts w:cs="FrankRuehl"/>
          <w:rtl/>
          <w:lang w:eastAsia="en-US"/>
        </w:rPr>
        <w:t xml:space="preserve">בסיכומיו למשפט הזוטא טען הסניגור, בין היתר, כי על התביעה היה להוכיח שלא הופעל אמצעי פסול, וכי בשאלות הלא-נוחות לעדים בעניין זה, הם אמרו שאינם זוכרים. עוד טען, שגביית העדות ארכה </w:t>
      </w:r>
      <w:r>
        <w:rPr>
          <w:rFonts w:cs="FrankRuehl"/>
          <w:lang w:eastAsia="en-US"/>
        </w:rPr>
        <w:t>45</w:t>
      </w:r>
      <w:r>
        <w:rPr>
          <w:rFonts w:cs="FrankRuehl"/>
          <w:rtl/>
          <w:lang w:eastAsia="en-US"/>
        </w:rPr>
        <w:t>דקות, ואם מביאים בחשבון שהיה צורך בתרגום, אין זה זמן סביר. טען</w:t>
      </w:r>
      <w:r>
        <w:rPr>
          <w:rFonts w:cs="FrankRuehl"/>
          <w:lang w:eastAsia="en-US"/>
        </w:rPr>
        <w:t xml:space="preserve"> </w:t>
      </w:r>
      <w:r>
        <w:rPr>
          <w:rFonts w:cs="FrankRuehl"/>
          <w:rtl/>
          <w:lang w:eastAsia="en-US"/>
        </w:rPr>
        <w:t>שהופעל על הנאשם לחץ נפשי</w:t>
      </w:r>
      <w:r>
        <w:rPr>
          <w:rFonts w:cs="FrankRuehl"/>
          <w:lang w:eastAsia="en-US"/>
        </w:rPr>
        <w:t>.</w:t>
      </w:r>
    </w:p>
    <w:p w14:paraId="7BAEE68E" w14:textId="77777777" w:rsidR="008C1F45" w:rsidRDefault="008C1F45">
      <w:pPr>
        <w:tabs>
          <w:tab w:val="left" w:pos="288"/>
          <w:tab w:val="left" w:pos="720"/>
          <w:tab w:val="left" w:pos="864"/>
          <w:tab w:val="left" w:pos="1008"/>
          <w:tab w:val="left" w:pos="1440"/>
          <w:tab w:val="left" w:pos="1584"/>
          <w:tab w:val="left" w:pos="2016"/>
          <w:tab w:val="decimal" w:pos="4752"/>
        </w:tabs>
        <w:autoSpaceDE w:val="0"/>
        <w:autoSpaceDN w:val="0"/>
        <w:bidi/>
        <w:adjustRightInd w:val="0"/>
        <w:spacing w:after="80" w:line="260" w:lineRule="exact"/>
        <w:ind w:firstLine="283"/>
        <w:jc w:val="both"/>
        <w:rPr>
          <w:rFonts w:cs="FrankRuehl"/>
          <w:lang w:eastAsia="en-US"/>
        </w:rPr>
      </w:pPr>
      <w:r>
        <w:rPr>
          <w:rFonts w:cs="FrankRuehl"/>
          <w:rtl/>
          <w:lang w:eastAsia="en-US"/>
        </w:rPr>
        <w:t xml:space="preserve">בהחלטתי מיום </w:t>
      </w:r>
      <w:r>
        <w:rPr>
          <w:rFonts w:cs="FrankRuehl"/>
          <w:lang w:eastAsia="en-US"/>
        </w:rPr>
        <w:t>10.10.93</w:t>
      </w:r>
      <w:r>
        <w:rPr>
          <w:rFonts w:cs="FrankRuehl"/>
          <w:rtl/>
          <w:lang w:eastAsia="en-US"/>
        </w:rPr>
        <w:t xml:space="preserve">(בעמ' </w:t>
      </w:r>
      <w:r>
        <w:rPr>
          <w:rFonts w:cs="FrankRuehl"/>
          <w:lang w:eastAsia="en-US"/>
        </w:rPr>
        <w:t>11</w:t>
      </w:r>
      <w:r>
        <w:rPr>
          <w:rFonts w:cs="FrankRuehl"/>
          <w:rtl/>
          <w:lang w:eastAsia="en-US"/>
        </w:rPr>
        <w:t>לפרוטוקול), החלטתי לקבל את אימרת הנאשם</w:t>
      </w:r>
      <w:r>
        <w:rPr>
          <w:rFonts w:cs="FrankRuehl"/>
          <w:lang w:eastAsia="en-US"/>
        </w:rPr>
        <w:t xml:space="preserve"> </w:t>
      </w:r>
      <w:r>
        <w:rPr>
          <w:rFonts w:cs="FrankRuehl"/>
          <w:rtl/>
          <w:lang w:eastAsia="en-US"/>
        </w:rPr>
        <w:t>ת/2, כראיה קבילה, שכן ניתנה באופן חופשי ומרצונו המלא של הנאשם. את הנימוקים החלטתי ליתן בהכרעת הדין. להלן אפרע חוב זה</w:t>
      </w:r>
      <w:r>
        <w:rPr>
          <w:rFonts w:cs="FrankRuehl"/>
          <w:lang w:eastAsia="en-US"/>
        </w:rPr>
        <w:t>.</w:t>
      </w:r>
    </w:p>
    <w:p w14:paraId="7FCFC41A" w14:textId="77777777" w:rsidR="008C1F45" w:rsidRDefault="008C1F45">
      <w:pPr>
        <w:tabs>
          <w:tab w:val="left" w:pos="288"/>
          <w:tab w:val="left" w:pos="720"/>
          <w:tab w:val="left" w:pos="864"/>
          <w:tab w:val="left" w:pos="1008"/>
          <w:tab w:val="left" w:pos="1440"/>
          <w:tab w:val="left" w:pos="1584"/>
          <w:tab w:val="left" w:pos="2016"/>
          <w:tab w:val="decimal" w:pos="4752"/>
        </w:tabs>
        <w:autoSpaceDE w:val="0"/>
        <w:autoSpaceDN w:val="0"/>
        <w:bidi/>
        <w:adjustRightInd w:val="0"/>
        <w:spacing w:after="80" w:line="260" w:lineRule="exact"/>
        <w:ind w:firstLine="283"/>
        <w:jc w:val="both"/>
        <w:rPr>
          <w:rFonts w:cs="FrankRuehl"/>
          <w:rtl/>
          <w:lang w:eastAsia="en-US"/>
        </w:rPr>
      </w:pPr>
      <w:r>
        <w:rPr>
          <w:rFonts w:cs="FrankRuehl"/>
          <w:rtl/>
          <w:lang w:eastAsia="en-US"/>
        </w:rPr>
        <w:t>שמעתי והתרשמתי מעדותם של שני עדי התביעה במשפט הזוטא ומעדותו של הנאשם.</w:t>
      </w:r>
    </w:p>
    <w:p w14:paraId="60A316A6" w14:textId="77777777" w:rsidR="008C1F45" w:rsidRDefault="008C1F45">
      <w:pPr>
        <w:tabs>
          <w:tab w:val="left" w:pos="288"/>
          <w:tab w:val="left" w:pos="720"/>
          <w:tab w:val="left" w:pos="864"/>
          <w:tab w:val="left" w:pos="1008"/>
          <w:tab w:val="left" w:pos="1440"/>
          <w:tab w:val="left" w:pos="1584"/>
          <w:tab w:val="left" w:pos="2016"/>
          <w:tab w:val="decimal" w:pos="4752"/>
        </w:tabs>
        <w:autoSpaceDE w:val="0"/>
        <w:autoSpaceDN w:val="0"/>
        <w:bidi/>
        <w:adjustRightInd w:val="0"/>
        <w:spacing w:after="80" w:line="260" w:lineRule="exact"/>
        <w:ind w:firstLine="283"/>
        <w:jc w:val="both"/>
        <w:rPr>
          <w:rFonts w:cs="FrankRuehl"/>
          <w:rtl/>
          <w:lang w:eastAsia="en-US"/>
        </w:rPr>
      </w:pPr>
      <w:r>
        <w:rPr>
          <w:rFonts w:cs="FrankRuehl"/>
          <w:rtl/>
          <w:lang w:eastAsia="en-US"/>
        </w:rPr>
        <w:t>עיינתי גם באימרה ת/2, נושא משפט הזוטא. אין לי ספק, שהן החוקרת (אמנו מרגו)</w:t>
      </w:r>
      <w:r>
        <w:rPr>
          <w:rFonts w:cs="FrankRuehl"/>
          <w:lang w:eastAsia="en-US"/>
        </w:rPr>
        <w:t xml:space="preserve"> </w:t>
      </w:r>
      <w:r>
        <w:rPr>
          <w:rFonts w:cs="FrankRuehl"/>
          <w:rtl/>
          <w:lang w:eastAsia="en-US"/>
        </w:rPr>
        <w:t>והן המתורגמן (מיכאל בן ארצי) העידו לפניי עדויות אמת. לא הופעל על הנאשם שום לחץ פיסי או נפשי על ידי מי מהם (למעשה, הסניגור בעצמו טען רק שהאמצעי הפסול ננקט על ידי החוקרת, בכך שאמרה לנאשם שאם לא יודה הוא ייעצר).</w:t>
      </w:r>
    </w:p>
    <w:p w14:paraId="6BA8CC39" w14:textId="77777777" w:rsidR="008C1F45" w:rsidRDefault="008C1F45">
      <w:pPr>
        <w:tabs>
          <w:tab w:val="left" w:pos="288"/>
          <w:tab w:val="left" w:pos="720"/>
          <w:tab w:val="left" w:pos="864"/>
          <w:tab w:val="left" w:pos="1008"/>
          <w:tab w:val="left" w:pos="1440"/>
          <w:tab w:val="left" w:pos="1584"/>
          <w:tab w:val="left" w:pos="2016"/>
          <w:tab w:val="decimal" w:pos="4752"/>
        </w:tabs>
        <w:autoSpaceDE w:val="0"/>
        <w:autoSpaceDN w:val="0"/>
        <w:bidi/>
        <w:adjustRightInd w:val="0"/>
        <w:spacing w:after="80" w:line="260" w:lineRule="exact"/>
        <w:ind w:firstLine="283"/>
        <w:jc w:val="both"/>
        <w:rPr>
          <w:rFonts w:cs="FrankRuehl"/>
          <w:lang w:eastAsia="en-US"/>
        </w:rPr>
      </w:pPr>
      <w:r>
        <w:rPr>
          <w:rFonts w:cs="FrankRuehl"/>
          <w:rtl/>
          <w:lang w:eastAsia="en-US"/>
        </w:rPr>
        <w:t>לא מצאתי כל פגם ודופי בהתנהגותם של החוקרת והמתורגמן. אין לי ספק, שהנאשם אמנם לא נעצר, אלא אך עוכב, כעולה מת/1, על פיו נרשמה מפי הנאשם תגובתו לחשד שבגינו עוכב (דהיינו, מעורבותו בעבירה של מעשים מגונים</w:t>
      </w:r>
      <w:r>
        <w:rPr>
          <w:rFonts w:cs="FrankRuehl"/>
          <w:lang w:eastAsia="en-US"/>
        </w:rPr>
        <w:t xml:space="preserve"> </w:t>
      </w:r>
      <w:r>
        <w:rPr>
          <w:rFonts w:cs="FrankRuehl"/>
          <w:rtl/>
          <w:lang w:eastAsia="en-US"/>
        </w:rPr>
        <w:t xml:space="preserve">בפומבי). במילותיו </w:t>
      </w:r>
      <w:r>
        <w:rPr>
          <w:rFonts w:cs="FrankRuehl"/>
          <w:lang w:eastAsia="en-US"/>
        </w:rPr>
        <w:softHyphen/>
      </w:r>
      <w:r>
        <w:rPr>
          <w:rFonts w:cs="FrankRuehl"/>
          <w:rtl/>
          <w:lang w:eastAsia="en-US"/>
        </w:rPr>
        <w:t>"שכן היה", הכוונה - "היה כן". נראה לי, שזו הודאה מפורשת מצידו של הנאשם, אף בטרם נחקר לגופם של דברים, ובעניין זה לא שמעתי כל טענה מצד ההגנה</w:t>
      </w:r>
      <w:r>
        <w:rPr>
          <w:rFonts w:cs="FrankRuehl"/>
          <w:lang w:eastAsia="en-US"/>
        </w:rPr>
        <w:t>.</w:t>
      </w:r>
    </w:p>
    <w:p w14:paraId="45AF9274" w14:textId="77777777" w:rsidR="008C1F45" w:rsidRDefault="008C1F45">
      <w:pPr>
        <w:tabs>
          <w:tab w:val="left" w:pos="288"/>
          <w:tab w:val="left" w:pos="720"/>
          <w:tab w:val="left" w:pos="864"/>
          <w:tab w:val="left" w:pos="1008"/>
          <w:tab w:val="left" w:pos="1440"/>
          <w:tab w:val="left" w:pos="1584"/>
          <w:tab w:val="left" w:pos="2016"/>
          <w:tab w:val="decimal" w:pos="4752"/>
        </w:tabs>
        <w:autoSpaceDE w:val="0"/>
        <w:autoSpaceDN w:val="0"/>
        <w:bidi/>
        <w:adjustRightInd w:val="0"/>
        <w:spacing w:after="80" w:line="260" w:lineRule="exact"/>
        <w:ind w:firstLine="283"/>
        <w:jc w:val="both"/>
        <w:rPr>
          <w:rFonts w:cs="FrankRuehl"/>
          <w:rtl/>
          <w:lang w:eastAsia="en-US"/>
        </w:rPr>
      </w:pPr>
      <w:r>
        <w:rPr>
          <w:rFonts w:cs="FrankRuehl"/>
          <w:rtl/>
          <w:lang w:eastAsia="en-US"/>
        </w:rPr>
        <w:t>אני מקבל כאמור את עדויותיהם של החוקרת והמתורגמן כמהימנות לחלוטין. אין</w:t>
      </w:r>
      <w:r>
        <w:rPr>
          <w:rFonts w:cs="FrankRuehl"/>
          <w:lang w:eastAsia="en-US"/>
        </w:rPr>
        <w:t xml:space="preserve"> </w:t>
      </w:r>
      <w:r>
        <w:rPr>
          <w:rFonts w:cs="FrankRuehl"/>
          <w:rtl/>
          <w:lang w:eastAsia="en-US"/>
        </w:rPr>
        <w:t>לי ספק שהנאשם הבין וידע כל</w:t>
      </w:r>
      <w:r>
        <w:rPr>
          <w:rFonts w:cs="FrankRuehl"/>
          <w:lang w:eastAsia="en-US"/>
        </w:rPr>
        <w:t xml:space="preserve"> </w:t>
      </w:r>
      <w:r>
        <w:rPr>
          <w:rFonts w:cs="FrankRuehl"/>
          <w:rtl/>
          <w:lang w:eastAsia="en-US"/>
        </w:rPr>
        <w:t>אשר היה חשוד בו:</w:t>
      </w:r>
      <w:r>
        <w:rPr>
          <w:rFonts w:cs="FrankRuehl"/>
          <w:color w:val="FFFFFF"/>
          <w:rtl/>
          <w:lang w:eastAsia="en-US"/>
        </w:rPr>
        <w:t>ו</w:t>
      </w:r>
      <w:r>
        <w:rPr>
          <w:rFonts w:cs="FrankRuehl"/>
          <w:rtl/>
          <w:lang w:eastAsia="en-US"/>
        </w:rPr>
        <w:t xml:space="preserve"> את האזהרה בפתח אימרתו, ואת</w:t>
      </w:r>
      <w:r>
        <w:rPr>
          <w:rFonts w:cs="FrankRuehl"/>
          <w:lang w:eastAsia="en-US"/>
        </w:rPr>
        <w:t xml:space="preserve"> </w:t>
      </w:r>
      <w:r>
        <w:rPr>
          <w:rFonts w:cs="FrankRuehl"/>
          <w:rtl/>
          <w:lang w:eastAsia="en-US"/>
        </w:rPr>
        <w:t>משמעות המילה "לאונן", שהרי הדברים הוסברו לו הסבר היטב על ידי המתורגמן. אין לי כל ספק ספיקא, שכל שאלה שנשאל הנאשם, כפי שנרשמה באימרה, אמנם משקפת את אמירתה והנאשם הבין אותה. כל תשובה שנרשמה מפיו נרשמה לאחר שתורגמה</w:t>
      </w:r>
      <w:r>
        <w:rPr>
          <w:rFonts w:cs="FrankRuehl"/>
          <w:lang w:eastAsia="en-US"/>
        </w:rPr>
        <w:t xml:space="preserve"> </w:t>
      </w:r>
      <w:r>
        <w:rPr>
          <w:rFonts w:cs="FrankRuehl"/>
          <w:rtl/>
          <w:lang w:eastAsia="en-US"/>
        </w:rPr>
        <w:t>במדויק</w:t>
      </w:r>
      <w:r>
        <w:rPr>
          <w:rFonts w:cs="FrankRuehl"/>
          <w:lang w:eastAsia="en-US"/>
        </w:rPr>
        <w:t>.</w:t>
      </w:r>
    </w:p>
    <w:p w14:paraId="7B924DC5" w14:textId="77777777" w:rsidR="008C1F45" w:rsidRDefault="008C1F45">
      <w:pPr>
        <w:tabs>
          <w:tab w:val="left" w:pos="288"/>
          <w:tab w:val="left" w:pos="720"/>
          <w:tab w:val="left" w:pos="864"/>
          <w:tab w:val="left" w:pos="1008"/>
          <w:tab w:val="left" w:pos="1440"/>
          <w:tab w:val="left" w:pos="1584"/>
          <w:tab w:val="left" w:pos="2016"/>
          <w:tab w:val="decimal" w:pos="4752"/>
        </w:tabs>
        <w:autoSpaceDE w:val="0"/>
        <w:autoSpaceDN w:val="0"/>
        <w:bidi/>
        <w:adjustRightInd w:val="0"/>
        <w:spacing w:after="80" w:line="260" w:lineRule="exact"/>
        <w:ind w:firstLine="283"/>
        <w:jc w:val="both"/>
        <w:rPr>
          <w:rFonts w:cs="FrankRuehl"/>
          <w:rtl/>
          <w:lang w:eastAsia="en-US"/>
        </w:rPr>
      </w:pPr>
      <w:r>
        <w:rPr>
          <w:rFonts w:cs="FrankRuehl"/>
          <w:rtl/>
          <w:lang w:eastAsia="en-US"/>
        </w:rPr>
        <w:t>עורך דין הייתי וגם יושב על מידין מספר שנים. כבר ראיתי אימרות רבות שבתחילתן כופר החשוד ובהמשכן - מודה. הנימוק לפשר השינוי, בדרך כלל, יימצא בלבו ובשכלו של החשוד, והדברים ידועים. אני דוחה מכל וכל טענה, כביכול, שבשל לחץ או איום כלשהו מצד החוקרת שינה הנאשם את גירסתו והודה בדבר שלא ביצע.</w:t>
      </w:r>
    </w:p>
    <w:p w14:paraId="36BE7268" w14:textId="77777777" w:rsidR="008C1F45" w:rsidRDefault="008C1F45">
      <w:pPr>
        <w:tabs>
          <w:tab w:val="left" w:pos="288"/>
          <w:tab w:val="left" w:pos="720"/>
          <w:tab w:val="left" w:pos="864"/>
          <w:tab w:val="left" w:pos="1008"/>
          <w:tab w:val="left" w:pos="1440"/>
          <w:tab w:val="left" w:pos="1584"/>
          <w:tab w:val="left" w:pos="2016"/>
          <w:tab w:val="decimal" w:pos="4752"/>
        </w:tabs>
        <w:autoSpaceDE w:val="0"/>
        <w:autoSpaceDN w:val="0"/>
        <w:bidi/>
        <w:adjustRightInd w:val="0"/>
        <w:spacing w:after="80" w:line="260" w:lineRule="exact"/>
        <w:ind w:firstLine="283"/>
        <w:jc w:val="both"/>
        <w:rPr>
          <w:rFonts w:cs="FrankRuehl"/>
          <w:lang w:eastAsia="en-US"/>
        </w:rPr>
      </w:pPr>
      <w:r>
        <w:rPr>
          <w:rFonts w:cs="FrankRuehl"/>
          <w:rtl/>
          <w:lang w:eastAsia="en-US"/>
        </w:rPr>
        <w:cr/>
      </w:r>
      <w:r>
        <w:rPr>
          <w:rFonts w:cs="FrankRuehl"/>
          <w:rtl/>
          <w:lang w:eastAsia="en-US"/>
        </w:rPr>
        <w:br w:type="page"/>
        <w:t>זאת ועוד. אין לי ספק, כפי שהעידו החוקרת והמתורגמן, שבתום מסירת האימרה</w:t>
      </w:r>
      <w:r>
        <w:rPr>
          <w:rFonts w:cs="FrankRuehl"/>
          <w:lang w:eastAsia="en-US"/>
        </w:rPr>
        <w:t xml:space="preserve"> </w:t>
      </w:r>
      <w:r>
        <w:rPr>
          <w:rFonts w:cs="FrankRuehl"/>
          <w:rtl/>
          <w:lang w:eastAsia="en-US"/>
        </w:rPr>
        <w:t xml:space="preserve">(בעמ' 2, שורה </w:t>
      </w:r>
      <w:r>
        <w:rPr>
          <w:rFonts w:cs="FrankRuehl"/>
          <w:lang w:eastAsia="en-US"/>
        </w:rPr>
        <w:t>15</w:t>
      </w:r>
      <w:r>
        <w:rPr>
          <w:rFonts w:cs="FrankRuehl"/>
          <w:rtl/>
          <w:lang w:eastAsia="en-US"/>
        </w:rPr>
        <w:t>) ולאחר שהנאשם חתם עליה, הוספה הערה לבקשתו והדברים שנרשמו שם - מפי הנאשם נרשמו, בין היתר, "את יכולה לרשום הכל, כן</w:t>
      </w:r>
      <w:r>
        <w:rPr>
          <w:rFonts w:cs="FrankRuehl"/>
          <w:lang w:eastAsia="en-US"/>
        </w:rPr>
        <w:t>".</w:t>
      </w:r>
    </w:p>
    <w:p w14:paraId="4337D2BA" w14:textId="77777777" w:rsidR="008C1F45" w:rsidRDefault="008C1F45">
      <w:pPr>
        <w:tabs>
          <w:tab w:val="left" w:pos="288"/>
          <w:tab w:val="left" w:pos="720"/>
          <w:tab w:val="left" w:pos="864"/>
          <w:tab w:val="left" w:pos="1008"/>
          <w:tab w:val="left" w:pos="1440"/>
          <w:tab w:val="left" w:pos="1584"/>
          <w:tab w:val="left" w:pos="2016"/>
          <w:tab w:val="decimal" w:pos="4752"/>
        </w:tabs>
        <w:autoSpaceDE w:val="0"/>
        <w:autoSpaceDN w:val="0"/>
        <w:bidi/>
        <w:adjustRightInd w:val="0"/>
        <w:spacing w:after="80" w:line="260" w:lineRule="exact"/>
        <w:ind w:firstLine="283"/>
        <w:jc w:val="both"/>
        <w:rPr>
          <w:rFonts w:cs="FrankRuehl"/>
          <w:rtl/>
          <w:lang w:eastAsia="en-US"/>
        </w:rPr>
      </w:pPr>
      <w:r>
        <w:rPr>
          <w:rFonts w:cs="FrankRuehl"/>
          <w:rtl/>
          <w:lang w:eastAsia="en-US"/>
        </w:rPr>
        <w:t>אני דוחה מכל וכל את גירסת הנאשם לעניין טענותיו במשפט הזוטא. זכותו של נאשם לכפור במשפטו ולהכחיש את ההאשמות המיוחסות לו. אולם צר לי על הנאשם ששיקר לפניי והעליל עלילת שווא של ממש על החוקרת, אשר, כביכול, איימה עליו במעצר. כמו כן, אני קובע כי טענת הנאשם שהמתורגמן הגיע</w:t>
      </w:r>
      <w:r>
        <w:rPr>
          <w:rFonts w:cs="FrankRuehl"/>
          <w:lang w:eastAsia="en-US"/>
        </w:rPr>
        <w:t xml:space="preserve"> </w:t>
      </w:r>
      <w:r>
        <w:rPr>
          <w:rFonts w:cs="FrankRuehl"/>
          <w:rtl/>
          <w:lang w:eastAsia="en-US"/>
        </w:rPr>
        <w:t>לאחר שכבר נגבתה ממנו האימרה כולה, היא שקרית. אין לי ספק, שהדברים אינם נכונים ושהמתורגמן הגיע לא יאוחר מכתיבת האזהרה. האזהרה בפתח האימרה תורגמה לו, ולאחר מכן כל האימרה נגבתה בסיוע תרגומו של המתורגמן. גם כל טענת הנאשם שאינו יודע מדוע תאמר לו החוקרת שהיא יכולה לעצור אותו ל-</w:t>
      </w:r>
      <w:r>
        <w:rPr>
          <w:rFonts w:cs="FrankRuehl"/>
          <w:lang w:eastAsia="en-US"/>
        </w:rPr>
        <w:t xml:space="preserve"> 24</w:t>
      </w:r>
      <w:r>
        <w:rPr>
          <w:rFonts w:cs="FrankRuehl"/>
          <w:rtl/>
          <w:lang w:eastAsia="en-US"/>
        </w:rPr>
        <w:t xml:space="preserve">שעות, ושהראש שלו אינו עובד כשנדרש להשיב לשאלה זו, מחזקת בעיניי את חוסר האמון המוחלט שנותן אני לגירסת הנאשם. הוא הדין לחוסר האמון שנותן אני לטענתו, שפחד ממעצר למשך </w:t>
      </w:r>
      <w:r>
        <w:rPr>
          <w:rFonts w:cs="FrankRuehl"/>
          <w:lang w:eastAsia="en-US"/>
        </w:rPr>
        <w:t>24</w:t>
      </w:r>
      <w:r>
        <w:rPr>
          <w:rFonts w:cs="FrankRuehl"/>
          <w:rtl/>
          <w:lang w:eastAsia="en-US"/>
        </w:rPr>
        <w:t>שעות, אך כיצד זה לא פחד ממאסר ל-</w:t>
      </w:r>
      <w:r>
        <w:rPr>
          <w:rFonts w:cs="FrankRuehl"/>
          <w:lang w:eastAsia="en-US"/>
        </w:rPr>
        <w:t xml:space="preserve"> 8</w:t>
      </w:r>
      <w:r>
        <w:rPr>
          <w:rFonts w:cs="FrankRuehl"/>
          <w:rtl/>
          <w:lang w:eastAsia="en-US"/>
        </w:rPr>
        <w:t>חודשים שאמרה לו לטענתו כביכול החוקרת שיקבל אם יודה, ולכן לגירסתו הודה.</w:t>
      </w:r>
    </w:p>
    <w:p w14:paraId="4F9C0655" w14:textId="77777777" w:rsidR="008C1F45" w:rsidRDefault="008C1F45">
      <w:pPr>
        <w:tabs>
          <w:tab w:val="left" w:pos="288"/>
          <w:tab w:val="left" w:pos="720"/>
          <w:tab w:val="left" w:pos="864"/>
          <w:tab w:val="left" w:pos="1008"/>
          <w:tab w:val="left" w:pos="1440"/>
          <w:tab w:val="left" w:pos="1584"/>
          <w:tab w:val="left" w:pos="2016"/>
          <w:tab w:val="decimal" w:pos="4752"/>
        </w:tabs>
        <w:autoSpaceDE w:val="0"/>
        <w:autoSpaceDN w:val="0"/>
        <w:bidi/>
        <w:adjustRightInd w:val="0"/>
        <w:spacing w:after="80" w:line="260" w:lineRule="exact"/>
        <w:ind w:firstLine="283"/>
        <w:jc w:val="both"/>
        <w:rPr>
          <w:rFonts w:cs="FrankRuehl"/>
          <w:rtl/>
          <w:lang w:eastAsia="en-US"/>
        </w:rPr>
      </w:pPr>
      <w:r>
        <w:rPr>
          <w:rFonts w:cs="FrankRuehl"/>
          <w:rtl/>
          <w:lang w:eastAsia="en-US"/>
        </w:rPr>
        <w:t xml:space="preserve">עוד יצוין, כי לשבחה של החוקרת ייאמר שהביאה מתורגמן לצורך חקירת הנאשם. כפי שהתרשמתי מהנאשם במהלך הדיון (כעולה מעמ' </w:t>
      </w:r>
      <w:r>
        <w:rPr>
          <w:rFonts w:cs="FrankRuehl"/>
          <w:lang w:eastAsia="en-US"/>
        </w:rPr>
        <w:t>11</w:t>
      </w:r>
      <w:r>
        <w:rPr>
          <w:rFonts w:cs="FrankRuehl"/>
          <w:rtl/>
          <w:lang w:eastAsia="en-US"/>
        </w:rPr>
        <w:t>לפרוטוקול), דווקא הוא התעקש למסור את עדותו ולהיחקר בבית המשפט בעברית ובקושי נזקק לעזרת המתורגמן (שאף שוחרר במהלך הדיון, לאחר שלא היה בו עוד צורך). גם אם בזמן המשפט ידע הנאשם טוב יותר את השפה העברית מאשר עובר לגביית אימרתו, עדיין, גם לפי גירסת הנאשם, עוד אז הבין וידע במה מדובר למעט המילה "לאונן". אף על פי כן כאמור, נעזרה החוקרת בשירותי המתורגמן מתחילת גביית האימרה ועד לסופה, וטוב שכך עשתה.</w:t>
      </w:r>
    </w:p>
    <w:p w14:paraId="2FABBFC6" w14:textId="77777777" w:rsidR="008C1F45" w:rsidRDefault="008C1F45">
      <w:pPr>
        <w:tabs>
          <w:tab w:val="left" w:pos="288"/>
          <w:tab w:val="left" w:pos="720"/>
          <w:tab w:val="left" w:pos="864"/>
          <w:tab w:val="left" w:pos="1008"/>
          <w:tab w:val="left" w:pos="1440"/>
          <w:tab w:val="left" w:pos="1584"/>
          <w:tab w:val="left" w:pos="2016"/>
          <w:tab w:val="decimal" w:pos="4752"/>
        </w:tabs>
        <w:autoSpaceDE w:val="0"/>
        <w:autoSpaceDN w:val="0"/>
        <w:bidi/>
        <w:adjustRightInd w:val="0"/>
        <w:spacing w:after="80" w:line="260" w:lineRule="exact"/>
        <w:ind w:firstLine="283"/>
        <w:jc w:val="both"/>
        <w:rPr>
          <w:rFonts w:cs="FrankRuehl"/>
          <w:rtl/>
          <w:lang w:eastAsia="en-US"/>
        </w:rPr>
      </w:pPr>
      <w:r>
        <w:rPr>
          <w:rFonts w:cs="FrankRuehl"/>
          <w:rtl/>
          <w:lang w:eastAsia="en-US"/>
        </w:rPr>
        <w:t xml:space="preserve">העולה מהמקובץ, לאור האמינות והמהימנות שנתתי לעדי התביעה </w:t>
      </w:r>
      <w:r>
        <w:rPr>
          <w:rFonts w:cs="FrankRuehl"/>
          <w:lang w:eastAsia="en-US"/>
        </w:rPr>
        <w:t>1</w:t>
      </w:r>
      <w:r>
        <w:rPr>
          <w:rFonts w:cs="FrankRuehl"/>
          <w:rtl/>
          <w:lang w:eastAsia="en-US"/>
        </w:rPr>
        <w:t>ו-2, שעסקו בגביית אימרתו של הנאשם נושא משפט הזוטא, ולאור חוסר האמינות, בלשון המעטה, לגירסת הנאשם לגבי נסיבות גביית אימרתו ולאחר עיון באימרה עצמה, המדברת בעד עצמה, החלטתי מכל הטעמים הנ"ל לקבל את האימרה כקבילה, לאחר שנחה דעתי שניתנה מרצונו הטוב והחופשי של הנאשם.</w:t>
      </w:r>
    </w:p>
    <w:p w14:paraId="6AE8E10C" w14:textId="77777777" w:rsidR="008C1F45" w:rsidRDefault="008C1F45">
      <w:pPr>
        <w:tabs>
          <w:tab w:val="left" w:pos="288"/>
          <w:tab w:val="left" w:pos="720"/>
          <w:tab w:val="left" w:pos="864"/>
          <w:tab w:val="left" w:pos="1008"/>
          <w:tab w:val="left" w:pos="1440"/>
          <w:tab w:val="left" w:pos="1584"/>
          <w:tab w:val="left" w:pos="2016"/>
          <w:tab w:val="decimal" w:pos="4752"/>
        </w:tabs>
        <w:autoSpaceDE w:val="0"/>
        <w:autoSpaceDN w:val="0"/>
        <w:bidi/>
        <w:adjustRightInd w:val="0"/>
        <w:spacing w:after="80" w:line="260" w:lineRule="exact"/>
        <w:ind w:firstLine="283"/>
        <w:jc w:val="both"/>
        <w:rPr>
          <w:rFonts w:cs="FrankRuehl"/>
          <w:rtl/>
          <w:lang w:eastAsia="en-US"/>
        </w:rPr>
      </w:pPr>
      <w:r>
        <w:rPr>
          <w:rFonts w:cs="FrankRuehl"/>
          <w:rtl/>
          <w:lang w:eastAsia="en-US"/>
        </w:rPr>
        <w:t xml:space="preserve">המתלוננת בתיק, גב' סמדר פרג, לא הופיעה בתחילה לדיון, לישיבה שהיתה קבועה לתאריך </w:t>
      </w:r>
      <w:r>
        <w:rPr>
          <w:rFonts w:cs="FrankRuehl"/>
          <w:lang w:eastAsia="en-US"/>
        </w:rPr>
        <w:t>.21.11.93</w:t>
      </w:r>
      <w:r>
        <w:rPr>
          <w:rFonts w:cs="FrankRuehl"/>
          <w:rtl/>
          <w:lang w:eastAsia="en-US"/>
        </w:rPr>
        <w:t xml:space="preserve">כעולה מהחלטתי שם הורתי להוציא נגדה צו הבאה. בתאריך </w:t>
      </w:r>
      <w:r>
        <w:rPr>
          <w:rFonts w:cs="FrankRuehl"/>
          <w:lang w:eastAsia="en-US"/>
        </w:rPr>
        <w:t>2.12.93</w:t>
      </w:r>
      <w:r>
        <w:rPr>
          <w:rFonts w:cs="FrankRuehl"/>
          <w:rtl/>
          <w:lang w:eastAsia="en-US"/>
        </w:rPr>
        <w:t>הובאה המתלוננת לפניי, לאחר שנעצרה על פי צו ההבאה, הסבירה כי לא הופיעה לישיבה הקודמת "כי פחדה לבוא ולהעיד" וגם פחדה מהנאשם, הגם שהוא לא איים עליה. היא התחייבה להופיע לישיבה הבאה.</w:t>
      </w:r>
    </w:p>
    <w:p w14:paraId="030E8C90" w14:textId="77777777" w:rsidR="008C1F45" w:rsidRDefault="008C1F45">
      <w:pPr>
        <w:tabs>
          <w:tab w:val="left" w:pos="288"/>
          <w:tab w:val="left" w:pos="720"/>
          <w:tab w:val="left" w:pos="864"/>
          <w:tab w:val="left" w:pos="1008"/>
          <w:tab w:val="left" w:pos="1440"/>
          <w:tab w:val="left" w:pos="1584"/>
          <w:tab w:val="left" w:pos="2016"/>
          <w:tab w:val="decimal" w:pos="4752"/>
        </w:tabs>
        <w:autoSpaceDE w:val="0"/>
        <w:autoSpaceDN w:val="0"/>
        <w:bidi/>
        <w:adjustRightInd w:val="0"/>
        <w:spacing w:after="80" w:line="260" w:lineRule="exact"/>
        <w:ind w:firstLine="283"/>
        <w:jc w:val="both"/>
        <w:rPr>
          <w:rFonts w:cs="FrankRuehl"/>
          <w:rtl/>
          <w:lang w:eastAsia="en-US"/>
        </w:rPr>
      </w:pPr>
      <w:r>
        <w:rPr>
          <w:rFonts w:cs="FrankRuehl"/>
          <w:rtl/>
          <w:lang w:eastAsia="en-US"/>
        </w:rPr>
        <w:cr/>
      </w:r>
      <w:r>
        <w:rPr>
          <w:rFonts w:cs="FrankRuehl"/>
          <w:rtl/>
          <w:lang w:eastAsia="en-US"/>
        </w:rPr>
        <w:br w:type="page"/>
        <w:t xml:space="preserve">בתאריך </w:t>
      </w:r>
      <w:r>
        <w:rPr>
          <w:rFonts w:cs="FrankRuehl"/>
          <w:lang w:eastAsia="en-US"/>
        </w:rPr>
        <w:t>27.12.93</w:t>
      </w:r>
      <w:r>
        <w:rPr>
          <w:rFonts w:cs="FrankRuehl"/>
          <w:rtl/>
          <w:lang w:eastAsia="en-US"/>
        </w:rPr>
        <w:t xml:space="preserve">, הופיעה אמנם המתלוננת, היא עדת התביעה 3, שבינתיים עברה לכתובת אחרת. היא סיפרה בעדותה, שביום </w:t>
      </w:r>
      <w:r>
        <w:rPr>
          <w:rFonts w:cs="FrankRuehl"/>
          <w:lang w:eastAsia="en-US"/>
        </w:rPr>
        <w:t>3.8.92</w:t>
      </w:r>
      <w:r>
        <w:rPr>
          <w:rFonts w:cs="FrankRuehl"/>
          <w:rtl/>
          <w:lang w:eastAsia="en-US"/>
        </w:rPr>
        <w:t xml:space="preserve">, מסרה תלונה בתחנת משטרה אשקלון, על כך שבאותו שבוע בשעה שתלתה כביסה במרפסת דירתה שבקומה הרביעית, הבחינה בנאשם לבוש בתחתוניו בלבד. כאשר ראה אותה הוריד את תחתוניו והתחיל לאונן מול עיניה. לדבריה, התכוונה להתקשר למשטרה אך היה זה בשעות הערב, בשעה </w:t>
      </w:r>
      <w:r>
        <w:rPr>
          <w:rFonts w:cs="FrankRuehl"/>
          <w:lang w:eastAsia="en-US"/>
        </w:rPr>
        <w:t>00</w:t>
      </w:r>
      <w:r>
        <w:rPr>
          <w:rFonts w:cs="FrankRuehl"/>
          <w:rtl/>
          <w:lang w:eastAsia="en-US"/>
        </w:rPr>
        <w:t>:</w:t>
      </w:r>
      <w:r>
        <w:rPr>
          <w:rFonts w:cs="FrankRuehl"/>
          <w:color w:val="FFFFFF"/>
          <w:rtl/>
          <w:lang w:eastAsia="en-US"/>
        </w:rPr>
        <w:t>נ</w:t>
      </w:r>
      <w:r>
        <w:rPr>
          <w:rFonts w:cs="FrankRuehl"/>
          <w:lang w:eastAsia="en-US"/>
        </w:rPr>
        <w:t xml:space="preserve"> 21</w:t>
      </w:r>
      <w:r>
        <w:rPr>
          <w:rFonts w:cs="FrankRuehl"/>
          <w:rtl/>
          <w:lang w:eastAsia="en-US"/>
        </w:rPr>
        <w:t>לערך (הדגישה כי בחוץ היה חשוך אך בדירתה ובזו של הנאשם היתה תאורה). הטלפון שלה היה מנותק באותה עת, ומכיוון שהיא מטופלת בשני ילדים בביתה, לא יכלה לגשת למשטרה וחשבה שהאירוע הוא חד-פעמי. בהמשך סיפרה, כי באותו שבוע, בזמן שתלתה כביסה, הבחינה שוב בנאשם שלבש מכנסיים קצרים. הוא הוציא את איבר מינו מתוך המכנסיים במטרה שתסתכל בו, אז ביקשה המתלוננת משכנתה לשמור על ילדיה והיא נסעה לתחנת המשטרה להגיש תלונה.</w:t>
      </w:r>
    </w:p>
    <w:p w14:paraId="603325E2" w14:textId="77777777" w:rsidR="008C1F45" w:rsidRDefault="008C1F45">
      <w:pPr>
        <w:tabs>
          <w:tab w:val="left" w:pos="288"/>
          <w:tab w:val="left" w:pos="720"/>
          <w:tab w:val="left" w:pos="864"/>
          <w:tab w:val="left" w:pos="1008"/>
          <w:tab w:val="left" w:pos="1440"/>
          <w:tab w:val="left" w:pos="1584"/>
          <w:tab w:val="left" w:pos="2016"/>
          <w:tab w:val="decimal" w:pos="4752"/>
        </w:tabs>
        <w:autoSpaceDE w:val="0"/>
        <w:autoSpaceDN w:val="0"/>
        <w:bidi/>
        <w:adjustRightInd w:val="0"/>
        <w:spacing w:after="80" w:line="260" w:lineRule="exact"/>
        <w:ind w:firstLine="283"/>
        <w:jc w:val="both"/>
        <w:rPr>
          <w:rFonts w:cs="FrankRuehl"/>
          <w:rtl/>
          <w:lang w:eastAsia="en-US"/>
        </w:rPr>
      </w:pPr>
      <w:r>
        <w:rPr>
          <w:rFonts w:cs="FrankRuehl"/>
          <w:rtl/>
          <w:lang w:eastAsia="en-US"/>
        </w:rPr>
        <w:t>המתלוננת הסבירה, כי הנאשם הסתכל עליה במבטים, ועשה זאת במטרה שהיא תקלוט את המעשה. בחקירתה</w:t>
      </w:r>
      <w:r>
        <w:rPr>
          <w:rFonts w:cs="FrankRuehl"/>
          <w:lang w:eastAsia="en-US"/>
        </w:rPr>
        <w:t xml:space="preserve"> </w:t>
      </w:r>
      <w:r>
        <w:rPr>
          <w:rFonts w:cs="FrankRuehl"/>
          <w:rtl/>
          <w:lang w:eastAsia="en-US"/>
        </w:rPr>
        <w:t>הנגדית אישרה כי באותה שעה היו אנשים בביתו של הנאשם. היא הדגישה, כי בשני המקרים ראתה את הדברים במשך מספר שניות, ולאחר שהבינה וקלטה שהנאשם רצה שהיא תסתכל עליו, התעלמה ממנו. המתלוננת גם הסבירה וציינה את מקום עמידתה, בסמוך לחלון חדר הילדים ולא במרפסת השירות, ואת מקום עמידתו של הנאשם. היא הדגישה שאין לה עניין לשקר, והדגישה כי יכלה להבחין מהמרחק שהיה בינה לבין הנאשם כיצד הוא נועץ בה מבטים, ומה עשה זה. לדבריה, נתנה לחוקר לצלם את דירתה כי חשבה שהוא מהמשטרה. לאחר שאמר לה שהוא חוקר והוא בא לצלם, צילם גם ממרפסת השירות וגם מחדר הילדים.</w:t>
      </w:r>
    </w:p>
    <w:p w14:paraId="25414A70" w14:textId="77777777" w:rsidR="008C1F45" w:rsidRDefault="008C1F45">
      <w:pPr>
        <w:tabs>
          <w:tab w:val="left" w:pos="288"/>
          <w:tab w:val="left" w:pos="720"/>
          <w:tab w:val="left" w:pos="864"/>
          <w:tab w:val="left" w:pos="1008"/>
          <w:tab w:val="left" w:pos="1440"/>
          <w:tab w:val="left" w:pos="1584"/>
          <w:tab w:val="left" w:pos="2016"/>
          <w:tab w:val="decimal" w:pos="4752"/>
        </w:tabs>
        <w:autoSpaceDE w:val="0"/>
        <w:autoSpaceDN w:val="0"/>
        <w:bidi/>
        <w:adjustRightInd w:val="0"/>
        <w:spacing w:after="80" w:line="260" w:lineRule="exact"/>
        <w:ind w:firstLine="283"/>
        <w:jc w:val="both"/>
        <w:rPr>
          <w:rFonts w:cs="FrankRuehl"/>
          <w:rtl/>
          <w:lang w:eastAsia="en-US"/>
        </w:rPr>
      </w:pPr>
    </w:p>
    <w:p w14:paraId="54D1746A" w14:textId="77777777" w:rsidR="008C1F45" w:rsidRDefault="008C1F45">
      <w:pPr>
        <w:tabs>
          <w:tab w:val="left" w:pos="288"/>
          <w:tab w:val="left" w:pos="720"/>
          <w:tab w:val="left" w:pos="864"/>
          <w:tab w:val="left" w:pos="1008"/>
          <w:tab w:val="left" w:pos="1440"/>
          <w:tab w:val="left" w:pos="1584"/>
          <w:tab w:val="left" w:pos="2016"/>
          <w:tab w:val="decimal" w:pos="4752"/>
        </w:tabs>
        <w:autoSpaceDE w:val="0"/>
        <w:autoSpaceDN w:val="0"/>
        <w:bidi/>
        <w:adjustRightInd w:val="0"/>
        <w:spacing w:after="80" w:line="260" w:lineRule="exact"/>
        <w:ind w:firstLine="283"/>
        <w:jc w:val="both"/>
        <w:rPr>
          <w:rFonts w:cs="FrankRuehl"/>
          <w:rtl/>
          <w:lang w:eastAsia="en-US"/>
        </w:rPr>
      </w:pPr>
      <w:r>
        <w:rPr>
          <w:rFonts w:cs="FrankRuehl"/>
          <w:rtl/>
          <w:lang w:eastAsia="en-US"/>
        </w:rPr>
        <w:t>מטעם ההגנה העידו הנאשם והחוקר הפרטי</w:t>
      </w:r>
      <w:r>
        <w:rPr>
          <w:rFonts w:cs="FrankRuehl"/>
          <w:lang w:eastAsia="en-US"/>
        </w:rPr>
        <w:t>.</w:t>
      </w:r>
    </w:p>
    <w:p w14:paraId="026BFC86" w14:textId="77777777" w:rsidR="008C1F45" w:rsidRDefault="008C1F45">
      <w:pPr>
        <w:tabs>
          <w:tab w:val="left" w:pos="288"/>
          <w:tab w:val="left" w:pos="720"/>
          <w:tab w:val="left" w:pos="864"/>
          <w:tab w:val="left" w:pos="1008"/>
          <w:tab w:val="left" w:pos="1440"/>
          <w:tab w:val="left" w:pos="1584"/>
          <w:tab w:val="left" w:pos="2016"/>
          <w:tab w:val="decimal" w:pos="4752"/>
        </w:tabs>
        <w:autoSpaceDE w:val="0"/>
        <w:autoSpaceDN w:val="0"/>
        <w:bidi/>
        <w:adjustRightInd w:val="0"/>
        <w:spacing w:after="80" w:line="260" w:lineRule="exact"/>
        <w:ind w:firstLine="283"/>
        <w:jc w:val="both"/>
        <w:rPr>
          <w:rFonts w:cs="FrankRuehl"/>
          <w:rtl/>
          <w:lang w:eastAsia="en-US"/>
        </w:rPr>
      </w:pPr>
      <w:r>
        <w:rPr>
          <w:rFonts w:cs="FrankRuehl"/>
          <w:rtl/>
          <w:lang w:eastAsia="en-US"/>
        </w:rPr>
        <w:t>הנאשם בעצמו טען לפניי שלא היו דברים מעולם, שמאשימים אותו בדבר שקר. ציין כי לא היה לו סכסוך עם המתלוננת ולא ידע לומר מדוע התלוננה נגדו. לדבריו, היא מעידה נגדו דבר שקר ומעלילה עליו, לטענתו, עלילה. טען שגם שדה הראייה ממקום עמידת המתלוננת למקום עמידתו, על פי גירסת המתלוננת, הוא מוגבל ביותר.</w:t>
      </w:r>
    </w:p>
    <w:p w14:paraId="03C35762" w14:textId="77777777" w:rsidR="008C1F45" w:rsidRDefault="008C1F45">
      <w:pPr>
        <w:tabs>
          <w:tab w:val="left" w:pos="288"/>
          <w:tab w:val="left" w:pos="720"/>
          <w:tab w:val="left" w:pos="864"/>
          <w:tab w:val="left" w:pos="1008"/>
          <w:tab w:val="left" w:pos="1440"/>
          <w:tab w:val="left" w:pos="1584"/>
          <w:tab w:val="left" w:pos="2016"/>
          <w:tab w:val="decimal" w:pos="4752"/>
        </w:tabs>
        <w:autoSpaceDE w:val="0"/>
        <w:autoSpaceDN w:val="0"/>
        <w:bidi/>
        <w:adjustRightInd w:val="0"/>
        <w:spacing w:after="80" w:line="260" w:lineRule="exact"/>
        <w:ind w:firstLine="283"/>
        <w:jc w:val="both"/>
        <w:rPr>
          <w:rFonts w:cs="FrankRuehl"/>
          <w:rtl/>
          <w:lang w:eastAsia="en-US"/>
        </w:rPr>
      </w:pPr>
      <w:r>
        <w:rPr>
          <w:rFonts w:cs="FrankRuehl"/>
          <w:rtl/>
          <w:lang w:eastAsia="en-US"/>
        </w:rPr>
        <w:t>עד ההגנה 2, ירון לוי, חוקר פרטי במקצועו, טען שהיה בדירתה של המתלוננת</w:t>
      </w:r>
      <w:r>
        <w:rPr>
          <w:rFonts w:cs="FrankRuehl"/>
          <w:lang w:eastAsia="en-US"/>
        </w:rPr>
        <w:t xml:space="preserve"> </w:t>
      </w:r>
      <w:r>
        <w:rPr>
          <w:rFonts w:cs="FrankRuehl"/>
          <w:rtl/>
          <w:lang w:eastAsia="en-US"/>
        </w:rPr>
        <w:t>וצילם משם צילומים, אלו (נתקבלו וסומנו נ/2, נ/3, נ/4) מתארים, משקפים ומדברים בעד עצמם. לדבריו, צילם את הצילומים מהמקום שהבין שהמתלוננת נמצאה בו, כמפורט בכתב האישום. משהוסבה תשומת לבו לכך שבכתב האישום לא צוין מקום הימצאות המתלוננת, השיב כי למיטב זיכרונו היה רשום בדו"חות שקיבל כי היה זה ממרפסת השירות. העד הסביר את פשר הצילומים ותיאר את המקומות מהם צילם אותם.</w:t>
      </w:r>
    </w:p>
    <w:p w14:paraId="77FBEEA4" w14:textId="77777777" w:rsidR="008C1F45" w:rsidRDefault="008C1F45">
      <w:pPr>
        <w:tabs>
          <w:tab w:val="left" w:pos="288"/>
          <w:tab w:val="left" w:pos="720"/>
          <w:tab w:val="left" w:pos="864"/>
          <w:tab w:val="left" w:pos="1008"/>
          <w:tab w:val="left" w:pos="1440"/>
          <w:tab w:val="left" w:pos="1584"/>
          <w:tab w:val="left" w:pos="2016"/>
          <w:tab w:val="decimal" w:pos="4752"/>
        </w:tabs>
        <w:autoSpaceDE w:val="0"/>
        <w:autoSpaceDN w:val="0"/>
        <w:bidi/>
        <w:adjustRightInd w:val="0"/>
        <w:spacing w:after="80" w:line="260" w:lineRule="exact"/>
        <w:ind w:firstLine="283"/>
        <w:jc w:val="both"/>
        <w:rPr>
          <w:rFonts w:cs="FrankRuehl"/>
          <w:rtl/>
          <w:lang w:eastAsia="en-US"/>
        </w:rPr>
      </w:pPr>
      <w:r>
        <w:rPr>
          <w:rFonts w:cs="FrankRuehl"/>
          <w:rtl/>
          <w:lang w:eastAsia="en-US"/>
        </w:rPr>
        <w:t xml:space="preserve">בשלב זה, ביקש הסניגור המלומד להגיש את עדות המתלוננת במשטרה, לצורך הוכחת אי-מהימנותה. החלטתי (בעמ' </w:t>
      </w:r>
      <w:r>
        <w:rPr>
          <w:rFonts w:cs="FrankRuehl"/>
          <w:lang w:eastAsia="en-US"/>
        </w:rPr>
        <w:t>21</w:t>
      </w:r>
      <w:r>
        <w:rPr>
          <w:rFonts w:cs="FrankRuehl"/>
          <w:rtl/>
          <w:lang w:eastAsia="en-US"/>
        </w:rPr>
        <w:t>לפרוטוקול), למרות הסטייה שהיתה בכך</w:t>
      </w:r>
      <w:r>
        <w:rPr>
          <w:rFonts w:cs="FrankRuehl"/>
          <w:lang w:eastAsia="en-US"/>
        </w:rPr>
        <w:t xml:space="preserve"> </w:t>
      </w:r>
      <w:r>
        <w:rPr>
          <w:rFonts w:cs="FrankRuehl"/>
          <w:rtl/>
          <w:lang w:eastAsia="en-US"/>
        </w:rPr>
        <w:cr/>
      </w:r>
      <w:r>
        <w:rPr>
          <w:rFonts w:cs="FrankRuehl"/>
          <w:rtl/>
          <w:lang w:eastAsia="en-US"/>
        </w:rPr>
        <w:br w:type="page"/>
        <w:t>מכללי סדר הדין והראיות, להתיר הדבר, אך קראתי למתלוננת לחזור לעדות מטעם בית המשפט. אימרתה נתקבלה וסומנה נ</w:t>
      </w:r>
      <w:r>
        <w:rPr>
          <w:rFonts w:cs="FrankRuehl"/>
          <w:lang w:eastAsia="en-US"/>
        </w:rPr>
        <w:t>/ 5</w:t>
      </w:r>
      <w:r>
        <w:rPr>
          <w:rFonts w:cs="FrankRuehl"/>
          <w:rtl/>
          <w:lang w:eastAsia="en-US"/>
        </w:rPr>
        <w:t>והיא מדברת בעד עצמה. המתלוננת הדגישה שבזמן האירועים נושא תלונותיה, החלונות בדירתו של הנאשם היו שקופים והיה להם תריס הרמה ולא תריס פתיחה כנחזה מהתמונות שצילם החוקר הפרטי</w:t>
      </w:r>
      <w:r>
        <w:rPr>
          <w:rFonts w:cs="FrankRuehl"/>
          <w:lang w:eastAsia="en-US"/>
        </w:rPr>
        <w:t>.</w:t>
      </w:r>
    </w:p>
    <w:p w14:paraId="16FF0893" w14:textId="77777777" w:rsidR="008C1F45" w:rsidRDefault="008C1F45">
      <w:pPr>
        <w:tabs>
          <w:tab w:val="left" w:pos="288"/>
          <w:tab w:val="left" w:pos="720"/>
          <w:tab w:val="left" w:pos="864"/>
          <w:tab w:val="left" w:pos="1008"/>
          <w:tab w:val="left" w:pos="1440"/>
          <w:tab w:val="left" w:pos="1584"/>
          <w:tab w:val="left" w:pos="2016"/>
          <w:tab w:val="decimal" w:pos="4752"/>
        </w:tabs>
        <w:autoSpaceDE w:val="0"/>
        <w:autoSpaceDN w:val="0"/>
        <w:bidi/>
        <w:adjustRightInd w:val="0"/>
        <w:spacing w:after="80" w:line="260" w:lineRule="exact"/>
        <w:ind w:firstLine="283"/>
        <w:jc w:val="both"/>
        <w:rPr>
          <w:rFonts w:cs="FrankRuehl"/>
          <w:rtl/>
          <w:lang w:eastAsia="en-US"/>
        </w:rPr>
      </w:pPr>
      <w:r>
        <w:rPr>
          <w:rFonts w:cs="FrankRuehl"/>
          <w:rtl/>
          <w:lang w:eastAsia="en-US"/>
        </w:rPr>
        <w:t>בסיכומיו ביקש הסניגור שלא ליתן משקל לאימרת הנאשם (ת/2), אף טען שעדותה של המתלוננת בלתי-מהימנה לחלוטין:</w:t>
      </w:r>
      <w:r>
        <w:rPr>
          <w:rFonts w:cs="FrankRuehl"/>
          <w:color w:val="FFFFFF"/>
          <w:rtl/>
          <w:lang w:eastAsia="en-US"/>
        </w:rPr>
        <w:t>ב</w:t>
      </w:r>
      <w:r>
        <w:rPr>
          <w:rFonts w:cs="FrankRuehl"/>
          <w:rtl/>
          <w:lang w:eastAsia="en-US"/>
        </w:rPr>
        <w:t xml:space="preserve"> המועדים שמסרה בעדותה לעומת אלה שמסרה במשטרה בלתי מתקבלים על הדעת ובלתי מבוססים, הוא טען גם שעדותה של המתלוננת לא-סבירה בהתחשב במצב הנתון בשטח ובזוויות הראייה. הוסיף וטען לחלופין, שיש לזכות את הנאשם, שכן לא הוכח יסוד "הפומבי" אשר בסעיף המיוחס לו.</w:t>
      </w:r>
    </w:p>
    <w:p w14:paraId="50F8B576" w14:textId="77777777" w:rsidR="008C1F45" w:rsidRDefault="008C1F45">
      <w:pPr>
        <w:tabs>
          <w:tab w:val="left" w:pos="288"/>
          <w:tab w:val="left" w:pos="720"/>
          <w:tab w:val="left" w:pos="864"/>
          <w:tab w:val="left" w:pos="1008"/>
          <w:tab w:val="left" w:pos="1440"/>
          <w:tab w:val="left" w:pos="1584"/>
          <w:tab w:val="left" w:pos="2016"/>
          <w:tab w:val="decimal" w:pos="4752"/>
        </w:tabs>
        <w:autoSpaceDE w:val="0"/>
        <w:autoSpaceDN w:val="0"/>
        <w:bidi/>
        <w:adjustRightInd w:val="0"/>
        <w:spacing w:after="80" w:line="260" w:lineRule="exact"/>
        <w:ind w:firstLine="283"/>
        <w:jc w:val="both"/>
        <w:rPr>
          <w:rFonts w:cs="FrankRuehl"/>
          <w:rtl/>
          <w:lang w:eastAsia="en-US"/>
        </w:rPr>
      </w:pPr>
      <w:r>
        <w:rPr>
          <w:rFonts w:cs="FrankRuehl"/>
          <w:rtl/>
          <w:lang w:eastAsia="en-US"/>
        </w:rPr>
        <w:t>לאחר ששקלתי את העדויות שנשמעו לפניי, אין לי ספק, וכך אני קובע</w:t>
      </w:r>
      <w:r>
        <w:rPr>
          <w:rFonts w:cs="FrankRuehl"/>
          <w:lang w:eastAsia="en-US"/>
        </w:rPr>
        <w:t xml:space="preserve">, </w:t>
      </w:r>
      <w:r>
        <w:rPr>
          <w:rFonts w:cs="FrankRuehl"/>
          <w:rtl/>
          <w:lang w:eastAsia="en-US"/>
        </w:rPr>
        <w:t>שהמתלוננת לא העלילה על הנאשם עלילת שווא, וחרף אי-ההתאמות שמצא הסניגור בין עדותה במשטרה לבין עדותה לפניי, אני קובע שאין לי ספק, שאי-ההתאמות מקורן אינו בכוונת זדון או טפילת אשמת שווא על הנאשם. נהפוך הוא - אם המתלוננת היתה רוצה שלא להקפיד במסירת עדותה האמיתית בבית המשפט, יכלה לדבוק באימרתה במשטרה, אלא שהיא הקפידה להעיד את האמת לאמיתה בבית המשפט. גם אם הדברים לא עלו בקנה אחד במלואם עם אימרתה במשטרה, לגבי המועדים והזמנים, ולגבי מקום עמידתה. אני מאמין למתלוננת באופן מלא ומוחלט, שממקום עמידתה בחלון חדר הילדים, אמנם ניתן היה לראות היטב את הנאשם עומד בחלון דירתו, מגלה ערוותו ומאונן לעיניה, וקובע אני, כי אמנם כך היו פני הדברים, בבחינת בושתה של אישה מראייה, מרובה משל איש ממעשה ידיו.</w:t>
      </w:r>
    </w:p>
    <w:p w14:paraId="70564356" w14:textId="77777777" w:rsidR="008C1F45" w:rsidRDefault="008C1F45">
      <w:pPr>
        <w:tabs>
          <w:tab w:val="left" w:pos="288"/>
          <w:tab w:val="left" w:pos="720"/>
          <w:tab w:val="left" w:pos="864"/>
          <w:tab w:val="left" w:pos="1008"/>
          <w:tab w:val="left" w:pos="1440"/>
          <w:tab w:val="left" w:pos="1584"/>
          <w:tab w:val="left" w:pos="2016"/>
          <w:tab w:val="decimal" w:pos="4752"/>
        </w:tabs>
        <w:autoSpaceDE w:val="0"/>
        <w:autoSpaceDN w:val="0"/>
        <w:bidi/>
        <w:adjustRightInd w:val="0"/>
        <w:spacing w:after="80" w:line="260" w:lineRule="exact"/>
        <w:ind w:firstLine="283"/>
        <w:jc w:val="both"/>
        <w:rPr>
          <w:rFonts w:cs="FrankRuehl"/>
          <w:rtl/>
          <w:lang w:eastAsia="en-US"/>
        </w:rPr>
      </w:pPr>
      <w:r>
        <w:rPr>
          <w:rFonts w:cs="FrankRuehl"/>
          <w:rtl/>
          <w:lang w:eastAsia="en-US"/>
        </w:rPr>
        <w:t>צר לי על הנאשם שעדותו המתכחשת לפניי היתה שקרית מתחילתה ועד סופה, ולצערי הרב אני חייב גם לקבוע שהנאשם ניסה להוליך את בית המשפט שולל, והדבר חמור ביותר.</w:t>
      </w:r>
    </w:p>
    <w:p w14:paraId="3862216B" w14:textId="77777777" w:rsidR="008C1F45" w:rsidRDefault="008C1F45">
      <w:pPr>
        <w:tabs>
          <w:tab w:val="left" w:pos="288"/>
          <w:tab w:val="left" w:pos="720"/>
          <w:tab w:val="left" w:pos="864"/>
          <w:tab w:val="left" w:pos="1008"/>
          <w:tab w:val="left" w:pos="1440"/>
          <w:tab w:val="left" w:pos="1584"/>
          <w:tab w:val="left" w:pos="2016"/>
          <w:tab w:val="decimal" w:pos="4752"/>
        </w:tabs>
        <w:autoSpaceDE w:val="0"/>
        <w:autoSpaceDN w:val="0"/>
        <w:bidi/>
        <w:adjustRightInd w:val="0"/>
        <w:spacing w:after="80" w:line="260" w:lineRule="exact"/>
        <w:ind w:firstLine="283"/>
        <w:jc w:val="both"/>
        <w:rPr>
          <w:rFonts w:cs="FrankRuehl"/>
          <w:lang w:eastAsia="en-US"/>
        </w:rPr>
      </w:pPr>
      <w:r>
        <w:rPr>
          <w:rFonts w:cs="FrankRuehl"/>
          <w:rtl/>
          <w:lang w:eastAsia="en-US"/>
        </w:rPr>
        <w:t>אין לי ספק, שהנאשם החליף את התריסים בדירתו בתקופה שמאז נושא כתב האישום ועד לצילומי החוקר הפרטי את הדירה. גם בעניין זה</w:t>
      </w:r>
      <w:r>
        <w:rPr>
          <w:rFonts w:cs="FrankRuehl"/>
          <w:lang w:eastAsia="en-US"/>
        </w:rPr>
        <w:t xml:space="preserve"> </w:t>
      </w:r>
      <w:r>
        <w:rPr>
          <w:rFonts w:cs="FrankRuehl"/>
          <w:rtl/>
          <w:lang w:eastAsia="en-US"/>
        </w:rPr>
        <w:t>אני נותן אמון מלא למתלוננת שכך העידה. הדבר גם עולה מהצילומים שהגיש החוקר, שם נוכחים לדעת שאמנם כל יתר תריסי הדירות בבניינים הנראים הינם תריסי הרמה. אין לי ספק, שגם אם הנאשם לא החליף את התריסים לצורך משפט זה, הוא הטעה חמורות את בית המשפט. ייתכן אף את החוקר</w:t>
      </w:r>
      <w:r>
        <w:rPr>
          <w:rFonts w:cs="FrankRuehl"/>
          <w:lang w:eastAsia="en-US"/>
        </w:rPr>
        <w:t xml:space="preserve"> </w:t>
      </w:r>
      <w:r>
        <w:rPr>
          <w:rFonts w:cs="FrankRuehl"/>
          <w:rtl/>
          <w:lang w:eastAsia="en-US"/>
        </w:rPr>
        <w:t>הפרטי, לאור זויות הצילום שניסה לטעון להן במקרה זה. אין ספק, שלא התעוררו שום בעיה או קושי למתלוננת לראות את הנאשם מחמת התריסים בדירתו, שכן אותה עת לא היו במקום תריסי פתיחה, אלא אך תריסי הרמה</w:t>
      </w:r>
      <w:r>
        <w:rPr>
          <w:rFonts w:cs="FrankRuehl"/>
          <w:lang w:eastAsia="en-US"/>
        </w:rPr>
        <w:t>.</w:t>
      </w:r>
    </w:p>
    <w:p w14:paraId="27A8E45C" w14:textId="77777777" w:rsidR="008C1F45" w:rsidRDefault="008C1F45">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 xml:space="preserve">זאת ועוד, אין לי ספק שגם החוקר הפרטי, עד התביעה 2, הולך שולל, וגם אם </w:t>
      </w:r>
      <w:r>
        <w:rPr>
          <w:rFonts w:cs="FrankRuehl"/>
          <w:rtl/>
          <w:lang w:eastAsia="en-US"/>
        </w:rPr>
        <w:cr/>
      </w:r>
      <w:r>
        <w:rPr>
          <w:rFonts w:cs="FrankRuehl"/>
          <w:rtl/>
          <w:lang w:eastAsia="en-US"/>
        </w:rPr>
        <w:br w:type="page"/>
        <w:t>ניתן היה לסבור מגירסתה הראשונית של המתלוננת שמקום עמידתה היה במרפסת השירות בביתה, נראה לי שחובתו של החוקר היתה לצלם אף את שדה הראייה ממקום חדר הילדים בדירתה של המתלוננת, שאמר שגם שם היה</w:t>
      </w:r>
      <w:r>
        <w:rPr>
          <w:rFonts w:cs="FrankRuehl"/>
          <w:lang w:eastAsia="en-US"/>
        </w:rPr>
        <w:t>.</w:t>
      </w:r>
    </w:p>
    <w:p w14:paraId="154D52C6" w14:textId="77777777" w:rsidR="008C1F45" w:rsidRDefault="008C1F45">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מכל מקום, דווקא מתוך הצילומים שהגישה לי הסניגוריה, אין</w:t>
      </w:r>
      <w:r>
        <w:rPr>
          <w:rFonts w:cs="FrankRuehl"/>
          <w:lang w:eastAsia="en-US"/>
        </w:rPr>
        <w:t xml:space="preserve"> </w:t>
      </w:r>
      <w:r>
        <w:rPr>
          <w:rFonts w:cs="FrankRuehl"/>
          <w:rtl/>
          <w:lang w:eastAsia="en-US"/>
        </w:rPr>
        <w:t xml:space="preserve">לי ספק שהדברים מאמתים לחלוטין את גירסת המתלוננת. אני מקבל כאמור את גירסתה שהבחינה בנאשם ממקום עמידתה בחלון חדר הילדים (המסומן </w:t>
      </w:r>
      <w:r>
        <w:rPr>
          <w:rFonts w:cs="FrankRuehl"/>
          <w:lang w:eastAsia="en-US"/>
        </w:rPr>
        <w:t>x</w:t>
      </w:r>
      <w:r>
        <w:rPr>
          <w:rFonts w:cs="FrankRuehl"/>
          <w:rtl/>
          <w:lang w:eastAsia="en-US"/>
        </w:rPr>
        <w:t xml:space="preserve">בתמונה </w:t>
      </w:r>
      <w:r>
        <w:rPr>
          <w:rFonts w:cs="FrankRuehl"/>
          <w:lang w:eastAsia="en-US"/>
        </w:rPr>
        <w:t>2</w:t>
      </w:r>
      <w:r>
        <w:rPr>
          <w:rFonts w:cs="FrankRuehl"/>
          <w:rtl/>
          <w:lang w:eastAsia="en-US"/>
        </w:rPr>
        <w:t>בנ/2), שם נראים בבירור</w:t>
      </w:r>
      <w:r>
        <w:rPr>
          <w:rFonts w:cs="FrankRuehl"/>
          <w:lang w:eastAsia="en-US"/>
        </w:rPr>
        <w:t xml:space="preserve"> </w:t>
      </w:r>
      <w:r>
        <w:rPr>
          <w:rFonts w:cs="FrankRuehl"/>
          <w:rtl/>
          <w:lang w:eastAsia="en-US"/>
        </w:rPr>
        <w:t>גם חבלי הכביסה עליהם העידה. לכן כל אדם הגיוני ובר דעת שעיניו בראשו ושכל</w:t>
      </w:r>
      <w:r>
        <w:rPr>
          <w:rFonts w:cs="FrankRuehl"/>
          <w:lang w:eastAsia="en-US"/>
        </w:rPr>
        <w:t xml:space="preserve"> </w:t>
      </w:r>
      <w:r>
        <w:rPr>
          <w:rFonts w:cs="FrankRuehl"/>
          <w:rtl/>
          <w:lang w:eastAsia="en-US"/>
        </w:rPr>
        <w:t>ישר בקודקודו ומקצת מתורת הנדסת המישור למד בחייו, יכול להבין, ללמוד ולהסיק מהצילומים שצילם החוקר ממרפסת השירות, ששדה הראייה וזווית הראייה לעבר ביתו של הנאשם מחלון חדר הילדים בדירת המתלוננת, טובים הרבה יותר הן מבחינת הזווית והן מבחינת המרחק ושדה הראייה. הסר גם את התריסים הנפתחים שהתקין הנאשם לאחר המקרה, ושים תחתם תריס מתרומם, שברור שהיה מורם עובר לאירועים, והרי לך חיזוק וראיה נוספים לאמינות המתלוננת וגירסתה, שלא לדבר על אימרת הנאשם (ת/2), בה קיימת הודאה מלאה ומפורשת בחשד שיוחס לו, ואין לי עוד ספק שהיא אמיתית ומשקלה וערכה מושלמים, באשר תומכת היא, אף נתמכת, בעדות המתלוננת.</w:t>
      </w:r>
    </w:p>
    <w:p w14:paraId="526D35FE" w14:textId="77777777" w:rsidR="008C1F45" w:rsidRDefault="008C1F45">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הנאשם, משום מה, הואשם בכתב האישום אך ורק במקרה אחד, למרות שהוכחו לפניי כגירסת המתלוננת שני מקרים שהנאשם ביצע מעשים מגונים לעיניה. אלא שעדיין בכל אלה לא די כדי להרשיע את הנאשם. הצלה מהרשעה בפלילים נמצאה לו לנאשם מהטענה האחרונה והחלופית, שטען סניגורו המלומד, על פיה לא הוכח בנסיבות העניין האלמנט של "בפומבי" הנדרש לעבירה כאמור.</w:t>
      </w:r>
    </w:p>
    <w:p w14:paraId="42BD36BA" w14:textId="77777777" w:rsidR="008C1F45" w:rsidRDefault="008C1F45">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 xml:space="preserve">על פי הגדרת המונח "פומבי" בסעיף </w:t>
      </w:r>
      <w:hyperlink r:id="rId18" w:history="1">
        <w:r w:rsidR="004D3697" w:rsidRPr="004D3697">
          <w:rPr>
            <w:rFonts w:cs="FrankRuehl"/>
            <w:color w:val="0000FF"/>
            <w:u w:val="single"/>
            <w:rtl/>
            <w:lang w:eastAsia="en-US"/>
          </w:rPr>
          <w:t>2</w:t>
        </w:r>
      </w:hyperlink>
      <w:r>
        <w:rPr>
          <w:rFonts w:cs="FrankRuehl"/>
          <w:rtl/>
          <w:lang w:eastAsia="en-US"/>
        </w:rPr>
        <w:t>ל</w:t>
      </w:r>
      <w:hyperlink r:id="rId19" w:history="1">
        <w:r w:rsidR="00730B50" w:rsidRPr="00730B50">
          <w:rPr>
            <w:rStyle w:val="Hyperlink"/>
            <w:rFonts w:cs="FrankRuehl"/>
            <w:rtl/>
            <w:lang w:eastAsia="en-US"/>
          </w:rPr>
          <w:t>חוק העונשין</w:t>
        </w:r>
      </w:hyperlink>
      <w:r>
        <w:rPr>
          <w:rFonts w:cs="FrankRuehl"/>
          <w:rtl/>
          <w:lang w:eastAsia="en-US"/>
        </w:rPr>
        <w:t>, תשל"ז-</w:t>
      </w:r>
      <w:r>
        <w:rPr>
          <w:rFonts w:cs="FrankRuehl"/>
          <w:lang w:eastAsia="en-US"/>
        </w:rPr>
        <w:t>1977</w:t>
      </w:r>
      <w:r>
        <w:rPr>
          <w:rFonts w:cs="FrankRuehl"/>
          <w:rtl/>
          <w:lang w:eastAsia="en-US"/>
        </w:rPr>
        <w:t>, הרי</w:t>
      </w:r>
    </w:p>
    <w:p w14:paraId="6FE95529" w14:textId="77777777" w:rsidR="008C1F45" w:rsidRDefault="008C1F45">
      <w:pPr>
        <w:tabs>
          <w:tab w:val="left" w:pos="288"/>
          <w:tab w:val="left" w:pos="720"/>
          <w:tab w:val="left" w:pos="1296"/>
        </w:tabs>
        <w:autoSpaceDE w:val="0"/>
        <w:autoSpaceDN w:val="0"/>
        <w:bidi/>
        <w:adjustRightInd w:val="0"/>
        <w:spacing w:after="80" w:line="260" w:lineRule="exact"/>
        <w:ind w:firstLine="283"/>
        <w:jc w:val="both"/>
        <w:rPr>
          <w:rFonts w:cs="FrankRuehl"/>
          <w:lang w:eastAsia="en-US"/>
        </w:rPr>
      </w:pPr>
    </w:p>
    <w:p w14:paraId="6574ECB2" w14:textId="77777777" w:rsidR="008C1F45" w:rsidRDefault="008C1F45">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lang w:eastAsia="en-US"/>
        </w:rPr>
        <w:t>"</w:t>
      </w:r>
      <w:r>
        <w:rPr>
          <w:rFonts w:cs="FrankRuehl"/>
          <w:rtl/>
          <w:lang w:eastAsia="en-US"/>
        </w:rPr>
        <w:t>לעניין מעשה</w:t>
      </w:r>
      <w:r>
        <w:rPr>
          <w:rFonts w:cs="FrankRuehl"/>
          <w:lang w:eastAsia="en-US"/>
        </w:rPr>
        <w:t xml:space="preserve"> -</w:t>
      </w:r>
    </w:p>
    <w:p w14:paraId="51A94A98" w14:textId="77777777" w:rsidR="008C1F45" w:rsidRDefault="008C1F45">
      <w:pPr>
        <w:tabs>
          <w:tab w:val="left" w:pos="288"/>
          <w:tab w:val="left" w:pos="720"/>
          <w:tab w:val="left" w:pos="1296"/>
        </w:tabs>
        <w:autoSpaceDE w:val="0"/>
        <w:autoSpaceDN w:val="0"/>
        <w:bidi/>
        <w:adjustRightInd w:val="0"/>
        <w:spacing w:after="80" w:line="260" w:lineRule="exact"/>
        <w:ind w:firstLine="283"/>
        <w:jc w:val="both"/>
        <w:rPr>
          <w:rFonts w:cs="FrankRuehl"/>
          <w:lang w:eastAsia="en-US"/>
        </w:rPr>
      </w:pPr>
      <w:r>
        <w:rPr>
          <w:rFonts w:cs="FrankRuehl"/>
          <w:rtl/>
          <w:lang w:eastAsia="en-US"/>
        </w:rPr>
        <w:t>(</w:t>
      </w:r>
      <w:r>
        <w:rPr>
          <w:rFonts w:cs="FrankRuehl"/>
          <w:lang w:eastAsia="en-US"/>
        </w:rPr>
        <w:t>1</w:t>
      </w:r>
      <w:r>
        <w:rPr>
          <w:rFonts w:cs="FrankRuehl"/>
          <w:rtl/>
          <w:lang w:eastAsia="en-US"/>
        </w:rPr>
        <w:t>)</w:t>
      </w:r>
      <w:r>
        <w:rPr>
          <w:rFonts w:cs="FrankRuehl"/>
          <w:lang w:eastAsia="en-US"/>
        </w:rPr>
        <w:t xml:space="preserve"> </w:t>
      </w:r>
      <w:r>
        <w:rPr>
          <w:rFonts w:cs="FrankRuehl"/>
          <w:rtl/>
          <w:lang w:eastAsia="en-US"/>
        </w:rPr>
        <w:t>מקום ציבורי, כשאדם יכול לראות את המעשה מכל מקום שהוא</w:t>
      </w:r>
      <w:r>
        <w:rPr>
          <w:rFonts w:cs="FrankRuehl"/>
          <w:lang w:eastAsia="en-US"/>
        </w:rPr>
        <w:t>.</w:t>
      </w:r>
    </w:p>
    <w:p w14:paraId="669F9291" w14:textId="77777777" w:rsidR="008C1F45" w:rsidRDefault="008C1F45">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w:t>
      </w:r>
      <w:r>
        <w:rPr>
          <w:rFonts w:cs="FrankRuehl"/>
          <w:lang w:eastAsia="en-US"/>
        </w:rPr>
        <w:t>2</w:t>
      </w:r>
      <w:r>
        <w:rPr>
          <w:rFonts w:cs="FrankRuehl"/>
          <w:rtl/>
          <w:lang w:eastAsia="en-US"/>
        </w:rPr>
        <w:t>)</w:t>
      </w:r>
      <w:r>
        <w:rPr>
          <w:rFonts w:cs="FrankRuehl"/>
          <w:lang w:eastAsia="en-US"/>
        </w:rPr>
        <w:t xml:space="preserve"> </w:t>
      </w:r>
      <w:r>
        <w:rPr>
          <w:rFonts w:cs="FrankRuehl"/>
          <w:rtl/>
          <w:lang w:eastAsia="en-US"/>
        </w:rPr>
        <w:t>מקום שאינו ציבורי, ובלבד שאדם המצוי במקום ציבורי יכול לראות את המעשה</w:t>
      </w:r>
      <w:r>
        <w:rPr>
          <w:rFonts w:cs="FrankRuehl"/>
          <w:lang w:eastAsia="en-US"/>
        </w:rPr>
        <w:t>".</w:t>
      </w:r>
    </w:p>
    <w:p w14:paraId="12C6AD5B" w14:textId="77777777" w:rsidR="008C1F45" w:rsidRDefault="008C1F45">
      <w:pPr>
        <w:tabs>
          <w:tab w:val="left" w:pos="288"/>
          <w:tab w:val="left" w:pos="720"/>
          <w:tab w:val="left" w:pos="1296"/>
        </w:tabs>
        <w:autoSpaceDE w:val="0"/>
        <w:autoSpaceDN w:val="0"/>
        <w:bidi/>
        <w:adjustRightInd w:val="0"/>
        <w:spacing w:after="80" w:line="260" w:lineRule="exact"/>
        <w:ind w:firstLine="283"/>
        <w:jc w:val="both"/>
        <w:rPr>
          <w:rFonts w:cs="FrankRuehl"/>
          <w:lang w:eastAsia="en-US"/>
        </w:rPr>
      </w:pPr>
      <w:r>
        <w:rPr>
          <w:rFonts w:cs="FrankRuehl"/>
          <w:rtl/>
          <w:lang w:eastAsia="en-US"/>
        </w:rPr>
        <w:t>ו"מקום ציבורי" מוגדר בסעיף ההגדרות הנ"ל</w:t>
      </w:r>
      <w:r>
        <w:rPr>
          <w:rFonts w:cs="FrankRuehl"/>
          <w:lang w:eastAsia="en-US"/>
        </w:rPr>
        <w:t xml:space="preserve"> -</w:t>
      </w:r>
    </w:p>
    <w:p w14:paraId="6AF52604" w14:textId="77777777" w:rsidR="008C1F45" w:rsidRDefault="008C1F45">
      <w:pPr>
        <w:tabs>
          <w:tab w:val="left" w:pos="288"/>
          <w:tab w:val="left" w:pos="720"/>
          <w:tab w:val="left" w:pos="1296"/>
        </w:tabs>
        <w:autoSpaceDE w:val="0"/>
        <w:autoSpaceDN w:val="0"/>
        <w:bidi/>
        <w:adjustRightInd w:val="0"/>
        <w:spacing w:after="80" w:line="260" w:lineRule="exact"/>
        <w:ind w:left="567" w:right="567"/>
        <w:jc w:val="both"/>
        <w:rPr>
          <w:rFonts w:cs="FrankRuehl"/>
          <w:rtl/>
          <w:lang w:eastAsia="en-US"/>
        </w:rPr>
      </w:pPr>
      <w:r>
        <w:rPr>
          <w:rFonts w:cs="FrankRuehl"/>
          <w:lang w:eastAsia="en-US"/>
        </w:rPr>
        <w:t>"</w:t>
      </w:r>
      <w:r>
        <w:rPr>
          <w:rFonts w:cs="FrankRuehl"/>
          <w:rtl/>
          <w:lang w:eastAsia="en-US"/>
        </w:rPr>
        <w:t>דרך, בנין, מקום או אמצעי תעבורה שיש אותה שעה לציבור זכות או רשות של גישה אליהם, בלא תנאי או בתנאי של תשלום, וכל בנין או מקום המשמש אותה שעה להתקהלות ציבורית או דתית או לבית משפט היושב בפומבי".</w:t>
      </w:r>
    </w:p>
    <w:p w14:paraId="59C05CDD" w14:textId="77777777" w:rsidR="008C1F45" w:rsidRDefault="008C1F45">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לענייננו ברור, שהנאשם עשה את המעשה המגונה בין כתלי דירתו, ודירתו</w:t>
      </w:r>
      <w:r>
        <w:rPr>
          <w:rFonts w:cs="FrankRuehl"/>
          <w:lang w:eastAsia="en-US"/>
        </w:rPr>
        <w:t xml:space="preserve"> </w:t>
      </w:r>
      <w:r>
        <w:rPr>
          <w:rFonts w:cs="FrankRuehl"/>
          <w:rtl/>
          <w:lang w:eastAsia="en-US"/>
        </w:rPr>
        <w:t xml:space="preserve">הפרטית ודאי אינה מקום ציבורי. על כל פנים התביעה לא הוכיחה דבר זה. אם תאמר שמא חלה בענייננו החלופה השנייה של הגדרת ה"פומבי" הנזכרת לעיל, הרי שנדרש "שאדם המצוי במקום ציבורי יכול לראות את המעשה". בעניין זה, ברור שהמתלוננת </w:t>
      </w:r>
      <w:r>
        <w:rPr>
          <w:rFonts w:cs="FrankRuehl"/>
          <w:rtl/>
          <w:lang w:eastAsia="en-US"/>
        </w:rPr>
        <w:cr/>
      </w:r>
      <w:r>
        <w:rPr>
          <w:rFonts w:cs="FrankRuehl"/>
          <w:rtl/>
          <w:lang w:eastAsia="en-US"/>
        </w:rPr>
        <w:br w:type="page"/>
        <w:t>שעמדה בדירתה - דירתה הפרטית אינה מקום ציבורי, על כל פנים התביעה לא הוכיחה זאת. גם אם תאמר שאין צורך שהמתלונן יהיה מצוי דווקא במקום הציבורי ודי בכך שאדם המצוי במקום ציבורי יכול לראות את המעשה המגונה, עדיין לא הוכיחה התביעה במקרה דנן תנאי זה, דהיינו, שבאזור דירתו של הנאשם קיים מקום ציבורי, כהגדרתו ב</w:t>
      </w:r>
      <w:hyperlink r:id="rId20" w:history="1">
        <w:r w:rsidR="00730B50" w:rsidRPr="00730B50">
          <w:rPr>
            <w:rStyle w:val="Hyperlink"/>
            <w:rFonts w:cs="FrankRuehl"/>
            <w:rtl/>
            <w:lang w:eastAsia="en-US"/>
          </w:rPr>
          <w:t>חוק העונשין</w:t>
        </w:r>
      </w:hyperlink>
      <w:r>
        <w:rPr>
          <w:rFonts w:cs="FrankRuehl"/>
          <w:rtl/>
          <w:lang w:eastAsia="en-US"/>
        </w:rPr>
        <w:t>, שהמצוי שם יכול לראות את המעשה. מוכן אני גם להניח שמגג בניין המגורים בו מצויה דירת המתלוננת אף משם ניתן היה לראות את המעשה של הנאשם, הרי עדיין לא הוכח בפניי שגג אותו בניין הוא מקום ציבורי.</w:t>
      </w:r>
    </w:p>
    <w:p w14:paraId="43B77C67" w14:textId="77777777" w:rsidR="008C1F45" w:rsidRDefault="008C1F45">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 xml:space="preserve">סוף דבר ולאור האמור לעיל, ולמרות שכאמור מבחינה עובדתית קבעתי שאני מאמין למתלוננת וקובע כי הנאשם אכן עשה מעשה מגונה לעיניה, ואפילו פעמיים בשתי הזדמנויות שונות בחודש יולי </w:t>
      </w:r>
      <w:r>
        <w:rPr>
          <w:rFonts w:cs="FrankRuehl"/>
          <w:lang w:eastAsia="en-US"/>
        </w:rPr>
        <w:t>1992</w:t>
      </w:r>
      <w:r>
        <w:rPr>
          <w:rFonts w:cs="FrankRuehl"/>
          <w:rtl/>
          <w:lang w:eastAsia="en-US"/>
        </w:rPr>
        <w:t>, או בסמוך לו, עדיין כאמור ומאחר שהתביעה לא הוכיחה את היסוד של ה"בפומבי", דינו של הנאשם לצאת זכאי מהעבירה המיוחסת לו בכתב האישום.</w:t>
      </w:r>
    </w:p>
    <w:p w14:paraId="712C4765" w14:textId="77777777" w:rsidR="008C1F45" w:rsidRDefault="008C1F45">
      <w:pPr>
        <w:tabs>
          <w:tab w:val="left" w:pos="288"/>
          <w:tab w:val="left" w:pos="720"/>
          <w:tab w:val="left" w:pos="1296"/>
        </w:tabs>
        <w:autoSpaceDE w:val="0"/>
        <w:autoSpaceDN w:val="0"/>
        <w:bidi/>
        <w:adjustRightInd w:val="0"/>
        <w:spacing w:after="80" w:line="260" w:lineRule="exact"/>
        <w:ind w:firstLine="283"/>
        <w:jc w:val="both"/>
        <w:rPr>
          <w:rFonts w:cs="FrankRuehl"/>
          <w:lang w:eastAsia="en-US"/>
        </w:rPr>
      </w:pPr>
      <w:r>
        <w:rPr>
          <w:rFonts w:cs="FrankRuehl"/>
          <w:rtl/>
          <w:lang w:eastAsia="en-US"/>
        </w:rPr>
        <w:t>לא מצאתי במקרה דנן מקום לשקול את הרשעתו של הנאשם בעבירה אחרת תחת זו שיוחסה לו, שכן לא ניתנה לנאשם ההזדמנות הראויה להתגונן</w:t>
      </w:r>
      <w:r>
        <w:rPr>
          <w:rFonts w:cs="FrankRuehl"/>
          <w:lang w:eastAsia="en-US"/>
        </w:rPr>
        <w:t xml:space="preserve"> </w:t>
      </w:r>
      <w:r>
        <w:rPr>
          <w:rFonts w:cs="FrankRuehl"/>
          <w:rtl/>
          <w:lang w:eastAsia="en-US"/>
        </w:rPr>
        <w:t>מפניה, ובאי-כוח הצדדים כלל לא טענו בעניין זה</w:t>
      </w:r>
      <w:r>
        <w:rPr>
          <w:rFonts w:cs="FrankRuehl"/>
          <w:lang w:eastAsia="en-US"/>
        </w:rPr>
        <w:t>.</w:t>
      </w:r>
    </w:p>
    <w:p w14:paraId="4ABBCE93" w14:textId="77777777" w:rsidR="008C1F45" w:rsidRDefault="008C1F45">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מבחינת היגיון הדברים, ניתן להקשות מבחינת הדין הרצוי ולשאול האם במקרה כגון דא, אין זה ראוי שתוטל אחריות פלילית על הנאשם, שוודאי שכשעשה את</w:t>
      </w:r>
      <w:r>
        <w:rPr>
          <w:rFonts w:cs="FrankRuehl"/>
          <w:lang w:eastAsia="en-US"/>
        </w:rPr>
        <w:t xml:space="preserve"> </w:t>
      </w:r>
      <w:r>
        <w:rPr>
          <w:rFonts w:cs="FrankRuehl"/>
          <w:rtl/>
          <w:lang w:eastAsia="en-US"/>
        </w:rPr>
        <w:t>אשר עשה ונתן את עיניו בשכנתו ואת ידו במבושיו, לא חשב ולא כלכל את מעשיו מההיבט המשפטי, וכל ההתדיינות המשפטית בתיק זה הינה לאחר מעשה ולא בבחינת "סוף מעשה במחשבה תחילה" מצידו של הנאשם. אמנם כבר נפסק כי מבחינת המצב הרצוי מאחר שב</w:t>
      </w:r>
      <w:hyperlink r:id="rId21" w:history="1">
        <w:r w:rsidR="00730B50" w:rsidRPr="00730B50">
          <w:rPr>
            <w:rStyle w:val="Hyperlink"/>
            <w:rFonts w:cs="FrankRuehl"/>
            <w:rtl/>
            <w:lang w:eastAsia="en-US"/>
          </w:rPr>
          <w:t>חוק העונשין</w:t>
        </w:r>
      </w:hyperlink>
      <w:r>
        <w:rPr>
          <w:rFonts w:cs="FrankRuehl"/>
          <w:rtl/>
          <w:lang w:eastAsia="en-US"/>
        </w:rPr>
        <w:t xml:space="preserve"> ישנה הגדרה ברורה של "מקום ציבורי" אין צורך לפנות להגדרות הסוגיה במשפט האנגלי (</w:t>
      </w:r>
      <w:hyperlink r:id="rId22" w:history="1">
        <w:r w:rsidR="00730B50" w:rsidRPr="00730B50">
          <w:rPr>
            <w:rStyle w:val="Hyperlink"/>
            <w:rFonts w:cs="FrankRuehl"/>
            <w:rtl/>
            <w:lang w:eastAsia="en-US"/>
          </w:rPr>
          <w:t>ע"פ 383/80</w:t>
        </w:r>
      </w:hyperlink>
      <w:r>
        <w:rPr>
          <w:rFonts w:cs="FrankRuehl"/>
          <w:rtl/>
          <w:lang w:eastAsia="en-US"/>
        </w:rPr>
        <w:t xml:space="preserve"> [1], בעמ' </w:t>
      </w:r>
      <w:r>
        <w:rPr>
          <w:rFonts w:cs="FrankRuehl"/>
          <w:lang w:eastAsia="en-US"/>
        </w:rPr>
        <w:t>175</w:t>
      </w:r>
      <w:r>
        <w:rPr>
          <w:rFonts w:cs="FrankRuehl"/>
          <w:rtl/>
          <w:lang w:eastAsia="en-US"/>
        </w:rPr>
        <w:t xml:space="preserve">), אלא שבהחלט מבחינת המצב הראוי ניתן ללמוד מפסק הדין האנגלי בעניין </w:t>
      </w:r>
      <w:r>
        <w:rPr>
          <w:rFonts w:cs="FrankRuehl"/>
          <w:lang w:eastAsia="en-US"/>
        </w:rPr>
        <w:t>evans v. Ewels</w:t>
      </w:r>
      <w:r>
        <w:rPr>
          <w:rFonts w:cs="FrankRuehl"/>
          <w:rtl/>
          <w:lang w:eastAsia="en-US"/>
        </w:rPr>
        <w:t>הנזכר ב</w:t>
      </w:r>
      <w:hyperlink r:id="rId23" w:history="1">
        <w:r w:rsidR="00730B50" w:rsidRPr="00730B50">
          <w:rPr>
            <w:rStyle w:val="Hyperlink"/>
            <w:rFonts w:cs="FrankRuehl"/>
            <w:rtl/>
            <w:lang w:eastAsia="en-US"/>
          </w:rPr>
          <w:t>ע"פ 383/80</w:t>
        </w:r>
      </w:hyperlink>
      <w:r>
        <w:rPr>
          <w:rFonts w:cs="FrankRuehl"/>
          <w:rtl/>
          <w:lang w:eastAsia="en-US"/>
        </w:rPr>
        <w:t xml:space="preserve"> [1], הנ"ל, על פיו החליט בית המשפט האנגלי, שלאור התיקון בחוק</w:t>
      </w:r>
      <w:r>
        <w:rPr>
          <w:rFonts w:cs="FrankRuehl"/>
          <w:lang w:eastAsia="en-US"/>
        </w:rPr>
        <w:t xml:space="preserve"> </w:t>
      </w:r>
      <w:r>
        <w:rPr>
          <w:rFonts w:cs="FrankRuehl"/>
          <w:rtl/>
          <w:lang w:eastAsia="en-US"/>
        </w:rPr>
        <w:t>האנגלי מהווה המעשה המגונה של חשיפת הגוף, גם אם נעשה בחדרו של נאשם, עבירה של חשיפת גוף אדם בזדון, בגלוי ובצורה מגונה בכוונה להעליב אישה.</w:t>
      </w:r>
    </w:p>
    <w:p w14:paraId="21F0B200" w14:textId="77777777" w:rsidR="008C1F45" w:rsidRDefault="008C1F45">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זאת ועוד. כידוע, ההגנה על צנעת הפרט ופרטיותו של אדם בביתו היא זכות הראויה להגנה משפטית, ברם, אין להרחיבה באופן שתנוצל לפגיעה בזכויותיו של הזולת. הביטוי "היזק ראייה" מכוון לכך שפרטיותו של אדם לא תופרע על ידי אחרים המשקיפים עליו, אלא שבמקרה זה הנאשם ביקש וחפץ בכל מאודו שפרטיותו תופרע, הוא חשף עצמו ולמעשה את גופו כביום היוולדו ובכך פגע בפרטיותה ובצנעת הפרט של שכנתו. בלעם בברכתו "מה טובו אוהליך יעקב משכנותיך ישראל" התכוון שפתחי האוהלים לא יהיו מכוונים זה לזה, אלא שבחיים המודרניים עם כל הרצון הטוב של המהנדסים והארכיטקטים הדבר בלתי-אפשרי, ולמרבית הצער הנאשם ניצל עובדה זו לרעה.</w:t>
      </w:r>
    </w:p>
    <w:p w14:paraId="29E96040" w14:textId="77777777" w:rsidR="008C1F45" w:rsidRDefault="008C1F45">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cr/>
      </w:r>
      <w:r>
        <w:rPr>
          <w:rFonts w:cs="FrankRuehl"/>
          <w:rtl/>
          <w:lang w:eastAsia="en-US"/>
        </w:rPr>
        <w:br w:type="page"/>
        <w:t>מעניין הדבר, שכבר בעבר נקבע על ידי חכמינו שכאשר פרטיותו של אדם נפגעה מתוך ששכנו פתח חלון כנגד חצרו, זכאי הנפגע לא רק לקבל צו-מניעה נגד שכנו, שלא יעמוד ליד חלונו ויסתכל לרשותו (עיין:</w:t>
      </w:r>
      <w:r>
        <w:rPr>
          <w:rFonts w:cs="FrankRuehl"/>
          <w:color w:val="FFFFFF"/>
          <w:rtl/>
          <w:lang w:eastAsia="en-US"/>
        </w:rPr>
        <w:t>ו</w:t>
      </w:r>
      <w:r>
        <w:rPr>
          <w:rFonts w:cs="FrankRuehl"/>
          <w:rtl/>
          <w:lang w:eastAsia="en-US"/>
        </w:rPr>
        <w:t xml:space="preserve"> שו"ע, חו"מ, סימן קנד, ז, בהגהת הרמ"א [א]), אלא הנפגע זכאי לדרוש את החזרת המצב לקדמותו, באופן שלא ייפגע עוד. זכאי בעל החצר הנפגע בפרטיותו לדרוש אף סתימת החלון (עיין רמב"ם, הלכות שכנים, פרק ה, ו [ב]), בבחינת "יגעת ופתחת - יגע וסתום". מעניינת עד מאוד דעת הרמב"ם, לפיה אפילו מחל הניזוק (כיוון שוודאי אסור למזיק להזיק בראייה, אין אדם יכול להיזהר בכך ולעמוד כל היום בעצימת עיניים בעל כורחו), נאמר לזה "סתום חלונך ואל תחטא תדיר".</w:t>
      </w:r>
    </w:p>
    <w:p w14:paraId="791E3E34" w14:textId="77777777" w:rsidR="008C1F45" w:rsidRDefault="008C1F45">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אולם כל האמור בפסקאות האחרונות אינו אלא מהרהורי הלב והיגיון השכל הישר באשר למצב הרצוי. מבחינת הדין המצוי ולאור ההגדרות הברורות והחד-משמעיות ב</w:t>
      </w:r>
      <w:hyperlink r:id="rId24" w:history="1">
        <w:r w:rsidR="00730B50" w:rsidRPr="00730B50">
          <w:rPr>
            <w:rStyle w:val="Hyperlink"/>
            <w:rFonts w:cs="FrankRuehl"/>
            <w:rtl/>
            <w:lang w:eastAsia="en-US"/>
          </w:rPr>
          <w:t>חוק העונשין</w:t>
        </w:r>
      </w:hyperlink>
      <w:r>
        <w:rPr>
          <w:rFonts w:cs="FrankRuehl"/>
          <w:rtl/>
          <w:lang w:eastAsia="en-US"/>
        </w:rPr>
        <w:t>, כמפורט לעיל, תוצאת הכרעת-דין זו הכרחית, הגם שקשה הוא אולי על דעת הבריות וההדיוטות שהנאשם ייצא פטור בלא-כלום. כידוע, בפלילים אין</w:t>
      </w:r>
      <w:r>
        <w:rPr>
          <w:rFonts w:cs="FrankRuehl"/>
          <w:lang w:eastAsia="en-US"/>
        </w:rPr>
        <w:t xml:space="preserve"> </w:t>
      </w:r>
      <w:r>
        <w:rPr>
          <w:rFonts w:cs="FrankRuehl"/>
          <w:rtl/>
          <w:lang w:eastAsia="en-US"/>
        </w:rPr>
        <w:t xml:space="preserve">עונשין לא מקל וחומר ולא מגזירה שווה, ובענייננו אף לא מבניינים שכנים. ברור, שמאחר שעלילות החקיקה ניתנו למחוקק בלבד, הרי לו בלבד מסורה ונתונה הסמכות, אם ימצא לנכון, לתקן המצב המצוי לזה הרצוי, בדומה כאמור למצב הנזכר באנגליה, באופן שאף מקרה נושא תיק זה יהיה בר-ענישה מבחינת מבצע המעשה המגונה וההגנה על האינטרס המוגן (ודוק, לאור הסיפא של </w:t>
      </w:r>
      <w:hyperlink r:id="rId25" w:history="1">
        <w:r w:rsidR="004D3697" w:rsidRPr="004D3697">
          <w:rPr>
            <w:rFonts w:cs="FrankRuehl"/>
            <w:color w:val="0000FF"/>
            <w:u w:val="single"/>
            <w:rtl/>
            <w:lang w:eastAsia="en-US"/>
          </w:rPr>
          <w:t>סעיף 349(א)</w:t>
        </w:r>
      </w:hyperlink>
      <w:r>
        <w:rPr>
          <w:rFonts w:cs="FrankRuehl"/>
          <w:rtl/>
          <w:lang w:eastAsia="en-US"/>
        </w:rPr>
        <w:t xml:space="preserve"> ל</w:t>
      </w:r>
      <w:hyperlink r:id="rId26" w:history="1">
        <w:r w:rsidR="00730B50" w:rsidRPr="00730B50">
          <w:rPr>
            <w:rStyle w:val="Hyperlink"/>
            <w:rFonts w:cs="FrankRuehl"/>
            <w:rtl/>
            <w:lang w:eastAsia="en-US"/>
          </w:rPr>
          <w:t>חוק העונשין</w:t>
        </w:r>
      </w:hyperlink>
      <w:r>
        <w:rPr>
          <w:rFonts w:cs="FrankRuehl"/>
          <w:rtl/>
          <w:lang w:eastAsia="en-US"/>
        </w:rPr>
        <w:t xml:space="preserve">, אין דרישת "הפומבי" נדרשת, מקום שהמעשה נעשה "תוך ניצול יחסי תלות, מרות, חינוך, השגחה, עבודה או שרות". גם בהתאם </w:t>
      </w:r>
      <w:hyperlink r:id="rId27" w:history="1">
        <w:r w:rsidR="004D3697" w:rsidRPr="004D3697">
          <w:rPr>
            <w:rFonts w:cs="FrankRuehl"/>
            <w:color w:val="0000FF"/>
            <w:u w:val="single"/>
            <w:rtl/>
            <w:lang w:eastAsia="en-US"/>
          </w:rPr>
          <w:t>לסעיף 349(ב)</w:t>
        </w:r>
      </w:hyperlink>
      <w:r>
        <w:rPr>
          <w:rFonts w:cs="FrankRuehl"/>
          <w:rtl/>
          <w:lang w:eastAsia="en-US"/>
        </w:rPr>
        <w:t xml:space="preserve"> לחוק הנ"ל "העושה, בכל מקום שהוא, מעשה מגונה בפני אדם שטרם מלאו לו שש-עשרה שנים, דינו - מאסר שלוש שנים").</w:t>
      </w:r>
    </w:p>
    <w:p w14:paraId="1845519F" w14:textId="77777777" w:rsidR="008C1F45" w:rsidRDefault="008C1F45">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למרות כל האמור לעיל, עדיין סבור אני כי למתלוננת יכולה היתה לצמוח</w:t>
      </w:r>
      <w:r>
        <w:rPr>
          <w:rFonts w:cs="FrankRuehl"/>
          <w:lang w:eastAsia="en-US"/>
        </w:rPr>
        <w:t xml:space="preserve">, </w:t>
      </w:r>
      <w:r>
        <w:rPr>
          <w:rFonts w:cs="FrankRuehl"/>
          <w:rtl/>
          <w:lang w:eastAsia="en-US"/>
        </w:rPr>
        <w:t>ממקום אחר, ישועה מפני מעשיו המגונים של הנאשם. המתלוננת כנראה פירשה את</w:t>
      </w:r>
      <w:r>
        <w:rPr>
          <w:rFonts w:cs="FrankRuehl"/>
          <w:lang w:eastAsia="en-US"/>
        </w:rPr>
        <w:t xml:space="preserve"> </w:t>
      </w:r>
      <w:r>
        <w:rPr>
          <w:rFonts w:cs="FrankRuehl"/>
          <w:rtl/>
          <w:lang w:eastAsia="en-US"/>
        </w:rPr>
        <w:t>המונח "ממקום אחר" כפשוטו, עזבה את דירתה</w:t>
      </w:r>
      <w:r>
        <w:rPr>
          <w:rFonts w:cs="FrankRuehl"/>
          <w:lang w:eastAsia="en-US"/>
        </w:rPr>
        <w:t xml:space="preserve"> </w:t>
      </w:r>
      <w:r>
        <w:rPr>
          <w:rFonts w:cs="FrankRuehl"/>
          <w:rtl/>
          <w:lang w:eastAsia="en-US"/>
        </w:rPr>
        <w:t>ועברה להתגורר במקום אחר. כוונתי לסעד משפטי מתחום אחר, ואיני שולל האפשרות ליתן לנפגע (דוגמת המתלוננת) סעד על פי דיני הנזיקין בעילת מטרד, בדומה למובאות הנזכרות דלעיל מהמשפט העברי, לאמור שיימנע מאנשים דוגמת הנאשם לבצע מעשים מגונים גם מתוך דל"ת אמות דירתם, אם</w:t>
      </w:r>
      <w:r>
        <w:rPr>
          <w:rFonts w:cs="FrankRuehl"/>
          <w:lang w:eastAsia="en-US"/>
        </w:rPr>
        <w:t xml:space="preserve"> </w:t>
      </w:r>
      <w:r>
        <w:rPr>
          <w:rFonts w:cs="FrankRuehl"/>
          <w:rtl/>
          <w:lang w:eastAsia="en-US"/>
        </w:rPr>
        <w:t>מעשים אלו נשקפים ונעשים במזיד, ביודעין ובכוונה תחילה לעיני זולתם, לרבות שכניהם (אפילו שעה שהאחרונים מצויים בדירותיהם שלהם)</w:t>
      </w:r>
      <w:r>
        <w:rPr>
          <w:rFonts w:cs="FrankRuehl"/>
          <w:lang w:eastAsia="en-US"/>
        </w:rPr>
        <w:t>.</w:t>
      </w:r>
    </w:p>
    <w:p w14:paraId="3658F6A3" w14:textId="77777777" w:rsidR="008C1F45" w:rsidRDefault="008C1F45">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סוף דבר, החלטתי, כפי שכבר נאמר בפתח הכרעת הדין, לזכות את הנאשם במקרה זה מהעבירה שיוחסה לו בכתב האישום, אך ורק משום שלא הוכח רכיב "הפומבי" של העבירה, לאור ההגדרות המצומצמות למונח זה ולמונח "מקום ציבורי", ב</w:t>
      </w:r>
      <w:hyperlink r:id="rId28" w:history="1">
        <w:r w:rsidR="00730B50" w:rsidRPr="00730B50">
          <w:rPr>
            <w:rStyle w:val="Hyperlink"/>
            <w:rFonts w:cs="FrankRuehl"/>
            <w:rtl/>
            <w:lang w:eastAsia="en-US"/>
          </w:rPr>
          <w:t>חוק העונשין</w:t>
        </w:r>
      </w:hyperlink>
      <w:r>
        <w:rPr>
          <w:rFonts w:cs="FrankRuehl"/>
          <w:rtl/>
          <w:lang w:eastAsia="en-US"/>
        </w:rPr>
        <w:t xml:space="preserve"> כמבואר לעיל.</w:t>
      </w:r>
    </w:p>
    <w:p w14:paraId="0DFA95B2" w14:textId="77777777" w:rsidR="008C1F45" w:rsidRDefault="008C1F45">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cr/>
      </w:r>
      <w:r>
        <w:rPr>
          <w:rFonts w:cs="FrankRuehl"/>
          <w:rtl/>
          <w:lang w:eastAsia="en-US"/>
        </w:rPr>
        <w:br w:type="page"/>
        <w:t>אף על פי כן, לאור התנהגותו המגונה של הנאשם במקום ובאיבר שידו היתה מגעת, אני ממליץ בפני הנאשם לפנות לקבלת סיוע נפשי ו/או טיפול רפואי הנחוצים לו על מנת שיימנע מהתנהגות דומה בעתיד. אין דעת הבריות נוחה מהתנהגותו של הנאשם. אם הנאשם יוסיף ויחזור על התנהגותו, בבחינת "מועד לעולם", נראה שלמתלוננים יעמדו סעדים משפטיים, בין היתר, על דרך צווי-מניעה, באופן שיתקיים הביטוי "זה נהנה וזה אינו חסר". הנאשם אף יהיה צפוי לעמוד שוב לדין פלילי ואז עלול להיות מורשע בפלילים, אם יוכחו מלוא הרכיבים של העבירה שתיוחס לו או חלופתה.</w:t>
      </w:r>
    </w:p>
    <w:p w14:paraId="614D9645" w14:textId="77777777" w:rsidR="008C1F45" w:rsidRDefault="008C1F45">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מקרה זה יוכיח עד כמה נכונה האימרה "מה טוב ומה נעים שכן טוב". ניתן</w:t>
      </w:r>
      <w:r>
        <w:rPr>
          <w:rFonts w:cs="FrankRuehl"/>
          <w:lang w:eastAsia="en-US"/>
        </w:rPr>
        <w:t xml:space="preserve"> </w:t>
      </w:r>
      <w:r>
        <w:rPr>
          <w:rFonts w:cs="FrankRuehl"/>
          <w:rtl/>
          <w:lang w:eastAsia="en-US"/>
        </w:rPr>
        <w:t>להוסיף עליה - שכן ראוי ושאינו מגונה, שגם כשיושב הוא בביתו, בחדרי חדרים, לא מכמין</w:t>
      </w:r>
      <w:r>
        <w:rPr>
          <w:rFonts w:cs="FrankRuehl"/>
          <w:lang w:eastAsia="en-US"/>
        </w:rPr>
        <w:t xml:space="preserve"> </w:t>
      </w:r>
      <w:r>
        <w:rPr>
          <w:rFonts w:cs="FrankRuehl"/>
          <w:rtl/>
          <w:lang w:eastAsia="en-US"/>
        </w:rPr>
        <w:t>לשכניו מעשים מגונים מאחורי החלון</w:t>
      </w:r>
      <w:r>
        <w:rPr>
          <w:rFonts w:cs="FrankRuehl"/>
          <w:lang w:eastAsia="en-US"/>
        </w:rPr>
        <w:t>.</w:t>
      </w:r>
    </w:p>
    <w:p w14:paraId="788AAF47" w14:textId="77777777" w:rsidR="008C1F45" w:rsidRDefault="008C1F45">
      <w:pPr>
        <w:tabs>
          <w:tab w:val="left" w:pos="288"/>
          <w:tab w:val="left" w:pos="720"/>
          <w:tab w:val="left" w:pos="1296"/>
        </w:tabs>
        <w:autoSpaceDE w:val="0"/>
        <w:autoSpaceDN w:val="0"/>
        <w:bidi/>
        <w:adjustRightInd w:val="0"/>
        <w:spacing w:after="80" w:line="260" w:lineRule="exact"/>
        <w:ind w:firstLine="283"/>
        <w:jc w:val="both"/>
        <w:rPr>
          <w:rFonts w:cs="FrankRuehl"/>
          <w:lang w:eastAsia="en-US"/>
        </w:rPr>
      </w:pPr>
      <w:r>
        <w:rPr>
          <w:rFonts w:cs="FrankRuehl"/>
          <w:rtl/>
          <w:lang w:eastAsia="en-US"/>
        </w:rPr>
        <w:t>הרי כל ישראל שכנים זה לזה ומצווים לעשות הישר והטוב, גם כשהדבר אינו אסור בפלילים ואינו מחויב על פי הדין</w:t>
      </w:r>
      <w:r>
        <w:rPr>
          <w:rFonts w:cs="FrankRuehl"/>
          <w:lang w:eastAsia="en-US"/>
        </w:rPr>
        <w:t>.</w:t>
      </w:r>
    </w:p>
    <w:p w14:paraId="7B732B4E" w14:textId="77777777" w:rsidR="008C1F45" w:rsidRDefault="008C1F45">
      <w:pPr>
        <w:tabs>
          <w:tab w:val="left" w:pos="288"/>
          <w:tab w:val="left" w:pos="720"/>
          <w:tab w:val="left" w:pos="1296"/>
        </w:tabs>
        <w:autoSpaceDE w:val="0"/>
        <w:autoSpaceDN w:val="0"/>
        <w:bidi/>
        <w:adjustRightInd w:val="0"/>
        <w:spacing w:after="80" w:line="260" w:lineRule="exact"/>
        <w:ind w:firstLine="283"/>
        <w:jc w:val="both"/>
        <w:rPr>
          <w:rFonts w:cs="FrankRuehl"/>
          <w:color w:val="FFFFFF"/>
          <w:rtl/>
          <w:lang w:eastAsia="en-US"/>
        </w:rPr>
      </w:pPr>
    </w:p>
    <w:p w14:paraId="0C513A90" w14:textId="77777777" w:rsidR="008C1F45" w:rsidRDefault="008C1F45">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color w:val="FFFFFF"/>
          <w:lang w:eastAsia="en-US"/>
        </w:rPr>
        <w:t>5129371</w:t>
      </w:r>
      <w:r>
        <w:rPr>
          <w:rFonts w:cs="FrankRuehl"/>
          <w:rtl/>
          <w:lang w:eastAsia="en-US"/>
        </w:rPr>
        <w:t>מי ייתן ועל מושבותינו ייאמר - מה טובו ביתך יעקב, שכניך ישראל; וראויים שתשרה עלינו שכינה (ראה:</w:t>
      </w:r>
      <w:r>
        <w:rPr>
          <w:rFonts w:cs="FrankRuehl"/>
          <w:color w:val="FFFFFF"/>
          <w:rtl/>
          <w:lang w:eastAsia="en-US"/>
        </w:rPr>
        <w:t>נ</w:t>
      </w:r>
      <w:r>
        <w:rPr>
          <w:rFonts w:cs="FrankRuehl"/>
          <w:rtl/>
          <w:lang w:eastAsia="en-US"/>
        </w:rPr>
        <w:t xml:space="preserve"> בבא בתרא, דף ס, א [ג])</w:t>
      </w:r>
      <w:r>
        <w:rPr>
          <w:rFonts w:cs="FrankRuehl"/>
          <w:lang w:eastAsia="en-US"/>
        </w:rPr>
        <w:t>.</w:t>
      </w:r>
    </w:p>
    <w:p w14:paraId="23405718" w14:textId="77777777" w:rsidR="008C1F45" w:rsidRDefault="008C1F45">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p>
    <w:p w14:paraId="7659F0B5" w14:textId="77777777" w:rsidR="008C1F45" w:rsidRDefault="008C1F45">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זכות ערעור כחוק</w:t>
      </w:r>
      <w:r>
        <w:rPr>
          <w:rFonts w:cs="FrankRuehl"/>
          <w:lang w:eastAsia="en-US"/>
        </w:rPr>
        <w:t>.</w:t>
      </w:r>
    </w:p>
    <w:p w14:paraId="73744A69" w14:textId="77777777" w:rsidR="008C1F45" w:rsidRDefault="008C1F45">
      <w:pPr>
        <w:tabs>
          <w:tab w:val="left" w:pos="288"/>
          <w:tab w:val="left" w:pos="720"/>
          <w:tab w:val="left" w:pos="1296"/>
        </w:tabs>
        <w:autoSpaceDE w:val="0"/>
        <w:autoSpaceDN w:val="0"/>
        <w:bidi/>
        <w:adjustRightInd w:val="0"/>
        <w:spacing w:after="80" w:line="260" w:lineRule="exact"/>
        <w:ind w:firstLine="283"/>
        <w:jc w:val="both"/>
        <w:rPr>
          <w:rFonts w:cs="FrankRuehl"/>
          <w:rtl/>
          <w:lang w:eastAsia="en-US"/>
        </w:rPr>
      </w:pPr>
    </w:p>
    <w:p w14:paraId="4F578552" w14:textId="77777777" w:rsidR="008C1F45" w:rsidRDefault="008C1F45">
      <w:pPr>
        <w:tabs>
          <w:tab w:val="left" w:pos="288"/>
          <w:tab w:val="left" w:pos="720"/>
          <w:tab w:val="left" w:pos="1296"/>
        </w:tabs>
        <w:autoSpaceDE w:val="0"/>
        <w:autoSpaceDN w:val="0"/>
        <w:bidi/>
        <w:adjustRightInd w:val="0"/>
        <w:spacing w:after="80" w:line="260" w:lineRule="exact"/>
        <w:ind w:firstLine="283"/>
        <w:jc w:val="both"/>
        <w:rPr>
          <w:rFonts w:cs="FrankRuehl"/>
          <w:lang w:eastAsia="en-US"/>
        </w:rPr>
      </w:pPr>
      <w:r>
        <w:rPr>
          <w:rFonts w:cs="FrankRuehl"/>
          <w:rtl/>
          <w:lang w:eastAsia="en-US"/>
        </w:rPr>
        <w:t xml:space="preserve">ניתנה והודעה היום, </w:t>
      </w:r>
      <w:r>
        <w:rPr>
          <w:rFonts w:cs="FrankRuehl"/>
          <w:lang w:eastAsia="en-US"/>
        </w:rPr>
        <w:t>20.1.94</w:t>
      </w:r>
      <w:r>
        <w:rPr>
          <w:rFonts w:cs="FrankRuehl"/>
          <w:rtl/>
          <w:lang w:eastAsia="en-US"/>
        </w:rPr>
        <w:t>, במעמד הנאשם ובאי-כוח הצדדים</w:t>
      </w:r>
      <w:r>
        <w:rPr>
          <w:rFonts w:cs="FrankRuehl"/>
          <w:lang w:eastAsia="en-US"/>
        </w:rPr>
        <w:t>.</w:t>
      </w:r>
    </w:p>
    <w:sectPr w:rsidR="008C1F45">
      <w:headerReference w:type="even" r:id="rId29"/>
      <w:headerReference w:type="default" r:id="rId30"/>
      <w:footerReference w:type="even" r:id="rId31"/>
      <w:footerReference w:type="default" r:id="rId32"/>
      <w:type w:val="continuous"/>
      <w:pgSz w:w="11906" w:h="16838"/>
      <w:pgMar w:top="1440" w:right="1797" w:bottom="1440" w:left="1797" w:header="709" w:footer="709" w:gutter="0"/>
      <w:pgNumType w:start="503"/>
      <w:cols w:space="720"/>
      <w:bidi/>
      <w:rtlGutter/>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767604" w14:textId="77777777" w:rsidR="00DA143F" w:rsidRDefault="00DA143F">
      <w:r>
        <w:separator/>
      </w:r>
    </w:p>
  </w:endnote>
  <w:endnote w:type="continuationSeparator" w:id="0">
    <w:p w14:paraId="601EC58B" w14:textId="77777777" w:rsidR="00DA143F" w:rsidRDefault="00DA14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750EC6" w14:textId="77777777" w:rsidR="00DA143F" w:rsidRDefault="00DA143F">
    <w:pPr>
      <w:pStyle w:val="Footer"/>
      <w:spacing w:after="240"/>
      <w:rPr>
        <w:rFonts w:cs="FrankRuehl"/>
        <w:sz w:val="22"/>
        <w:szCs w:val="22"/>
      </w:rPr>
    </w:pPr>
    <w:r>
      <w:rPr>
        <w:rFonts w:cs="FrankRuehl"/>
        <w:sz w:val="28"/>
        <w:szCs w:val="22"/>
        <w:rtl/>
      </w:rPr>
      <w:t>פ"מ, כרך תשנ"ג, חלק רביעי , תשנ"ג 1993</w:t>
    </w:r>
    <w:r>
      <w:rPr>
        <w:rFonts w:cs="FrankRuehl"/>
        <w:sz w:val="28"/>
        <w:szCs w:val="22"/>
        <w:rtl/>
      </w:rPr>
      <w:tab/>
    </w:r>
    <w:r>
      <w:rPr>
        <w:rFonts w:cs="FrankRuehl"/>
        <w:sz w:val="28"/>
        <w:szCs w:val="22"/>
        <w:rtl/>
      </w:rPr>
      <w:tab/>
    </w:r>
    <w:r>
      <w:rPr>
        <w:rFonts w:cs="FrankRuehl"/>
        <w:sz w:val="22"/>
        <w:szCs w:val="22"/>
      </w:rPr>
      <w:fldChar w:fldCharType="begin"/>
    </w:r>
    <w:r>
      <w:rPr>
        <w:rFonts w:cs="FrankRuehl"/>
        <w:sz w:val="22"/>
        <w:szCs w:val="22"/>
      </w:rPr>
      <w:instrText xml:space="preserve"> PAGE  \* MERGEFORMAT </w:instrText>
    </w:r>
    <w:r>
      <w:rPr>
        <w:rFonts w:cs="FrankRuehl"/>
        <w:sz w:val="22"/>
        <w:szCs w:val="22"/>
      </w:rPr>
      <w:fldChar w:fldCharType="separate"/>
    </w:r>
    <w:r w:rsidR="00705F55">
      <w:rPr>
        <w:rFonts w:cs="FrankRuehl"/>
        <w:noProof/>
        <w:sz w:val="22"/>
        <w:szCs w:val="22"/>
      </w:rPr>
      <w:t>504</w:t>
    </w:r>
    <w:r>
      <w:rPr>
        <w:rFonts w:cs="FrankRuehl"/>
        <w:sz w:val="22"/>
        <w:szCs w:val="22"/>
      </w:rPr>
      <w:fldChar w:fldCharType="end"/>
    </w:r>
  </w:p>
  <w:p w14:paraId="35C48F7B" w14:textId="77777777" w:rsidR="00DA143F" w:rsidRDefault="00DA143F">
    <w:pPr>
      <w:pStyle w:val="Footer"/>
      <w:pBdr>
        <w:top w:val="single" w:sz="4" w:space="1" w:color="auto"/>
        <w:between w:val="single" w:sz="4" w:space="0" w:color="auto"/>
      </w:pBdr>
      <w:spacing w:after="60"/>
      <w:jc w:val="center"/>
      <w:rPr>
        <w:rFonts w:cs="TopType Jerushalmi"/>
        <w:sz w:val="28"/>
        <w:szCs w:val="22"/>
        <w:rtl/>
      </w:rPr>
    </w:pPr>
    <w:r>
      <w:rPr>
        <w:rFonts w:cs="TopType Jerushalmi"/>
        <w:sz w:val="28"/>
        <w:szCs w:val="22"/>
        <w:rtl/>
      </w:rPr>
      <w:t>נבו הוצאה לאור בע"מ</w:t>
    </w:r>
    <w:r>
      <w:rPr>
        <w:rFonts w:cs="TopType Jerushalmi"/>
        <w:sz w:val="28"/>
        <w:szCs w:val="22"/>
      </w:rPr>
      <w:t xml:space="preserve">  nevo.co.il   </w:t>
    </w:r>
    <w:r>
      <w:rPr>
        <w:rFonts w:cs="TopType Jerushalmi"/>
        <w:sz w:val="28"/>
        <w:szCs w:val="22"/>
        <w:rtl/>
      </w:rPr>
      <w:t>המאגר המשפטי הישראלי</w:t>
    </w:r>
  </w:p>
  <w:p w14:paraId="50C13B72" w14:textId="77777777" w:rsidR="00DA143F" w:rsidRDefault="00DA143F">
    <w:pPr>
      <w:pStyle w:val="Footer"/>
      <w:pBdr>
        <w:top w:val="single" w:sz="4" w:space="1" w:color="auto"/>
        <w:between w:val="single" w:sz="4" w:space="0" w:color="auto"/>
      </w:pBdr>
      <w:jc w:val="right"/>
      <w:rPr>
        <w:rFonts w:cs="TopType Jerushalmi"/>
        <w:sz w:val="14"/>
        <w:szCs w:val="14"/>
      </w:rPr>
    </w:pPr>
    <w:r>
      <w:rPr>
        <w:rFonts w:cs="TopType Jerushalmi"/>
        <w:sz w:val="14"/>
        <w:szCs w:val="14"/>
      </w:rPr>
      <w:fldChar w:fldCharType="begin"/>
    </w:r>
    <w:r>
      <w:rPr>
        <w:rFonts w:cs="TopType Jerushalmi"/>
        <w:sz w:val="14"/>
        <w:szCs w:val="14"/>
      </w:rPr>
      <w:instrText xml:space="preserve"> FILENAME \p  \* MERGEFORMAT </w:instrText>
    </w:r>
    <w:r>
      <w:rPr>
        <w:rFonts w:cs="TopType Jerushalmi"/>
        <w:sz w:val="14"/>
        <w:szCs w:val="14"/>
      </w:rPr>
      <w:fldChar w:fldCharType="separate"/>
    </w:r>
    <w:r>
      <w:rPr>
        <w:rFonts w:cs="TopType Jerushalmi"/>
        <w:sz w:val="14"/>
        <w:szCs w:val="14"/>
      </w:rPr>
      <w:t>G:\Nevo\InAsc\S-PB-4-503-L.doc</w:t>
    </w:r>
    <w:r>
      <w:rPr>
        <w:rFonts w:cs="TopType Jerushalmi"/>
        <w:sz w:val="14"/>
        <w:szCs w:val="1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31CD31" w14:textId="77777777" w:rsidR="00DA143F" w:rsidRDefault="00DA143F">
    <w:pPr>
      <w:pStyle w:val="Footer"/>
      <w:spacing w:after="240"/>
      <w:rPr>
        <w:rFonts w:hAnsi="FrankRuehl" w:cs="FrankRuehl"/>
        <w:sz w:val="22"/>
        <w:szCs w:val="22"/>
        <w:rtl/>
      </w:rPr>
    </w:pPr>
    <w:r>
      <w:rPr>
        <w:rFonts w:hAnsi="FrankRuehl" w:cs="FrankRuehl"/>
        <w:sz w:val="22"/>
        <w:szCs w:val="22"/>
      </w:rPr>
      <w:fldChar w:fldCharType="begin"/>
    </w:r>
    <w:r>
      <w:rPr>
        <w:rFonts w:hAnsi="FrankRuehl" w:cs="FrankRuehl"/>
        <w:sz w:val="22"/>
        <w:szCs w:val="22"/>
      </w:rPr>
      <w:instrText xml:space="preserve"> PAGE  \* MERGEFORMAT </w:instrText>
    </w:r>
    <w:r>
      <w:rPr>
        <w:rFonts w:hAnsi="FrankRuehl" w:cs="FrankRuehl"/>
        <w:sz w:val="22"/>
        <w:szCs w:val="22"/>
      </w:rPr>
      <w:fldChar w:fldCharType="separate"/>
    </w:r>
    <w:r w:rsidR="00705F55">
      <w:rPr>
        <w:rFonts w:hAnsi="FrankRuehl" w:cs="FrankRuehl"/>
        <w:noProof/>
        <w:sz w:val="22"/>
        <w:szCs w:val="22"/>
      </w:rPr>
      <w:t>503</w:t>
    </w:r>
    <w:r>
      <w:rPr>
        <w:rFonts w:hAnsi="FrankRuehl" w:cs="FrankRuehl"/>
        <w:sz w:val="22"/>
        <w:szCs w:val="22"/>
      </w:rPr>
      <w:fldChar w:fldCharType="end"/>
    </w:r>
    <w:r>
      <w:rPr>
        <w:rFonts w:hAnsi="FrankRuehl" w:cs="FrankRuehl"/>
        <w:sz w:val="22"/>
        <w:szCs w:val="22"/>
      </w:rPr>
      <w:tab/>
    </w:r>
    <w:r>
      <w:rPr>
        <w:rFonts w:hAnsi="FrankRuehl" w:cs="FrankRuehl"/>
        <w:sz w:val="22"/>
        <w:szCs w:val="22"/>
      </w:rPr>
      <w:tab/>
    </w:r>
    <w:r>
      <w:rPr>
        <w:rFonts w:hAnsi="FrankRuehl" w:cs="FrankRuehl"/>
        <w:sz w:val="22"/>
        <w:szCs w:val="22"/>
        <w:rtl/>
      </w:rPr>
      <w:t>פ"מ, כרך תשנ"ג, חלק רביעי , תשנ"ג 1993</w:t>
    </w:r>
  </w:p>
  <w:p w14:paraId="3499C504" w14:textId="77777777" w:rsidR="00DA143F" w:rsidRDefault="00DA143F">
    <w:pPr>
      <w:pStyle w:val="Footer"/>
      <w:pBdr>
        <w:top w:val="single" w:sz="4" w:space="1" w:color="auto"/>
        <w:between w:val="single" w:sz="4" w:space="0" w:color="auto"/>
      </w:pBdr>
      <w:spacing w:after="60"/>
      <w:jc w:val="center"/>
      <w:rPr>
        <w:rFonts w:cs="TopType Jerushalmi"/>
        <w:sz w:val="28"/>
        <w:szCs w:val="22"/>
        <w:rtl/>
      </w:rPr>
    </w:pPr>
    <w:r>
      <w:rPr>
        <w:rFonts w:cs="TopType Jerushalmi"/>
        <w:sz w:val="28"/>
        <w:szCs w:val="22"/>
        <w:rtl/>
      </w:rPr>
      <w:t>נבו הוצאה לאור בע"מ</w:t>
    </w:r>
    <w:r>
      <w:rPr>
        <w:rFonts w:cs="TopType Jerushalmi"/>
        <w:sz w:val="28"/>
        <w:szCs w:val="22"/>
      </w:rPr>
      <w:t xml:space="preserve">  nevo.co.il   </w:t>
    </w:r>
    <w:r>
      <w:rPr>
        <w:rFonts w:cs="TopType Jerushalmi"/>
        <w:sz w:val="28"/>
        <w:szCs w:val="22"/>
        <w:rtl/>
      </w:rPr>
      <w:t>המאגר המשפטי הישראלי</w:t>
    </w:r>
  </w:p>
  <w:p w14:paraId="0A27F9CE" w14:textId="77777777" w:rsidR="00DA143F" w:rsidRDefault="00DA143F">
    <w:pPr>
      <w:pStyle w:val="Footer"/>
      <w:pBdr>
        <w:top w:val="single" w:sz="4" w:space="1" w:color="auto"/>
        <w:between w:val="single" w:sz="4" w:space="0" w:color="auto"/>
      </w:pBdr>
      <w:jc w:val="right"/>
      <w:rPr>
        <w:rFonts w:cs="TopType Jerushalmi"/>
        <w:sz w:val="14"/>
        <w:szCs w:val="14"/>
      </w:rPr>
    </w:pPr>
    <w:r>
      <w:rPr>
        <w:rFonts w:cs="TopType Jerushalmi"/>
        <w:sz w:val="14"/>
        <w:szCs w:val="14"/>
      </w:rPr>
      <w:fldChar w:fldCharType="begin"/>
    </w:r>
    <w:r>
      <w:rPr>
        <w:rFonts w:cs="TopType Jerushalmi"/>
        <w:sz w:val="14"/>
        <w:szCs w:val="14"/>
      </w:rPr>
      <w:instrText xml:space="preserve"> FILENAME \p  \* MERGEFORMAT </w:instrText>
    </w:r>
    <w:r>
      <w:rPr>
        <w:rFonts w:cs="TopType Jerushalmi"/>
        <w:sz w:val="14"/>
        <w:szCs w:val="14"/>
      </w:rPr>
      <w:fldChar w:fldCharType="separate"/>
    </w:r>
    <w:r>
      <w:rPr>
        <w:rFonts w:cs="TopType Jerushalmi"/>
        <w:sz w:val="14"/>
        <w:szCs w:val="14"/>
      </w:rPr>
      <w:t>G:\Nevo\InAsc\S-PB-4-503-L.doc</w:t>
    </w:r>
    <w:r>
      <w:rPr>
        <w:rFonts w:cs="TopType Jerushalmi"/>
        <w:sz w:val="14"/>
        <w:szCs w:val="1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A27945" w14:textId="77777777" w:rsidR="00DA143F" w:rsidRDefault="00DA143F">
      <w:r>
        <w:separator/>
      </w:r>
    </w:p>
  </w:footnote>
  <w:footnote w:type="continuationSeparator" w:id="0">
    <w:p w14:paraId="26A9A182" w14:textId="77777777" w:rsidR="00DA143F" w:rsidRDefault="00DA14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197D04" w14:textId="77777777" w:rsidR="00DA143F" w:rsidRDefault="00DA143F">
    <w:pPr>
      <w:pStyle w:val="Header"/>
      <w:tabs>
        <w:tab w:val="clear" w:pos="4153"/>
        <w:tab w:val="clear" w:pos="8306"/>
        <w:tab w:val="right" w:pos="8220"/>
      </w:tabs>
      <w:bidi/>
      <w:rPr>
        <w:rFonts w:hAnsi="FrankRuehl" w:cs="FrankRuehl"/>
        <w:rtl/>
      </w:rPr>
    </w:pPr>
    <w:r>
      <w:rPr>
        <w:rFonts w:hAnsi="FrankRuehl" w:cs="FrankRuehl"/>
        <w:rtl/>
      </w:rPr>
      <w:t>תפ 1454/92</w:t>
    </w:r>
    <w:r>
      <w:rPr>
        <w:rFonts w:hAnsi="FrankRuehl" w:cs="FrankRuehl"/>
      </w:rPr>
      <w:tab/>
      <w:t xml:space="preserve"> </w:t>
    </w:r>
    <w:r>
      <w:rPr>
        <w:rFonts w:hAnsi="FrankRuehl" w:cs="FrankRuehl"/>
        <w:rtl/>
      </w:rPr>
      <w:t>מדינת ישראל</w:t>
    </w:r>
    <w:r>
      <w:rPr>
        <w:rFonts w:hAnsi="FrankRuehl" w:cs="FrankRuehl"/>
      </w:rPr>
      <w:t xml:space="preserve"> </w:t>
    </w:r>
    <w:r>
      <w:rPr>
        <w:rFonts w:hAnsi="FrankRuehl" w:cs="FrankRuehl"/>
        <w:rtl/>
      </w:rPr>
      <w:t>נ' יוסף וירטגיים</w:t>
    </w:r>
  </w:p>
  <w:p w14:paraId="23DDCEA8" w14:textId="77777777" w:rsidR="00DA143F" w:rsidRDefault="00DA143F">
    <w:pPr>
      <w:pStyle w:val="Header"/>
      <w:tabs>
        <w:tab w:val="clear" w:pos="4153"/>
        <w:tab w:val="clear" w:pos="8306"/>
        <w:tab w:val="right" w:pos="8220"/>
      </w:tabs>
      <w:bidi/>
      <w:rPr>
        <w:rFonts w:hAnsi="FrankRuehl" w:cs="FrankRuehl"/>
        <w:rtl/>
      </w:rPr>
    </w:pPr>
  </w:p>
  <w:p w14:paraId="0F4DD275" w14:textId="77777777" w:rsidR="00DA143F" w:rsidRDefault="00DA143F">
    <w:pPr>
      <w:pStyle w:val="Header"/>
      <w:pBdr>
        <w:top w:val="single" w:sz="4" w:space="0" w:color="auto"/>
      </w:pBdr>
      <w:tabs>
        <w:tab w:val="clear" w:pos="4153"/>
        <w:tab w:val="clear" w:pos="8306"/>
        <w:tab w:val="right" w:pos="8220"/>
      </w:tabs>
      <w:bidi/>
      <w:rPr>
        <w:rFonts w:hAnsi="FrankRuehl" w:cs="FrankRuehl"/>
        <w:sz w:val="22"/>
        <w:szCs w:val="22"/>
        <w:rtl/>
      </w:rPr>
    </w:pPr>
    <w:r>
      <w:rPr>
        <w:rFonts w:hAnsi="FrankRuehl" w:cs="FrankRuehl"/>
        <w:sz w:val="22"/>
        <w:szCs w:val="22"/>
        <w:rtl/>
      </w:rPr>
      <w:t>פ"מ תשנ"ג(4) 503</w:t>
    </w:r>
  </w:p>
  <w:p w14:paraId="378F9AA9" w14:textId="77777777" w:rsidR="00DA143F" w:rsidRDefault="00DA143F">
    <w:pPr>
      <w:pStyle w:val="Header"/>
      <w:pBdr>
        <w:top w:val="single" w:sz="4" w:space="0" w:color="auto"/>
      </w:pBdr>
      <w:tabs>
        <w:tab w:val="clear" w:pos="4153"/>
        <w:tab w:val="clear" w:pos="8306"/>
        <w:tab w:val="right" w:pos="8220"/>
      </w:tabs>
      <w:bidi/>
      <w:rPr>
        <w:rFonts w:hAnsi="FrankRuehl" w:cs="FrankRuehl"/>
        <w:sz w:val="22"/>
        <w:szCs w:val="22"/>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E37C6" w14:textId="77777777" w:rsidR="00DA143F" w:rsidRDefault="00DA143F">
    <w:pPr>
      <w:pStyle w:val="Header"/>
      <w:tabs>
        <w:tab w:val="clear" w:pos="4153"/>
        <w:tab w:val="clear" w:pos="8306"/>
        <w:tab w:val="right" w:pos="8220"/>
      </w:tabs>
      <w:bidi/>
      <w:rPr>
        <w:rFonts w:hAnsi="FrankRuehl" w:cs="FrankRuehl"/>
        <w:rtl/>
      </w:rPr>
    </w:pPr>
    <w:r>
      <w:rPr>
        <w:rFonts w:hAnsi="FrankRuehl" w:cs="FrankRuehl"/>
        <w:rtl/>
      </w:rPr>
      <w:t>תפ 1454/92</w:t>
    </w:r>
    <w:r>
      <w:rPr>
        <w:rFonts w:hAnsi="FrankRuehl" w:cs="FrankRuehl"/>
      </w:rPr>
      <w:tab/>
      <w:t xml:space="preserve"> </w:t>
    </w:r>
    <w:r>
      <w:rPr>
        <w:rFonts w:hAnsi="FrankRuehl" w:cs="FrankRuehl"/>
        <w:rtl/>
      </w:rPr>
      <w:t>מדינת ישראל</w:t>
    </w:r>
    <w:r>
      <w:rPr>
        <w:rFonts w:hAnsi="FrankRuehl" w:cs="FrankRuehl"/>
      </w:rPr>
      <w:t xml:space="preserve"> </w:t>
    </w:r>
    <w:r>
      <w:rPr>
        <w:rFonts w:hAnsi="FrankRuehl" w:cs="FrankRuehl"/>
        <w:rtl/>
      </w:rPr>
      <w:t>נ' יוסף וירטגיים</w:t>
    </w:r>
  </w:p>
  <w:p w14:paraId="4CCE6977" w14:textId="77777777" w:rsidR="00DA143F" w:rsidRDefault="00DA143F">
    <w:pPr>
      <w:pStyle w:val="Header"/>
      <w:tabs>
        <w:tab w:val="clear" w:pos="4153"/>
        <w:tab w:val="clear" w:pos="8306"/>
        <w:tab w:val="right" w:pos="8220"/>
      </w:tabs>
      <w:bidi/>
      <w:rPr>
        <w:rFonts w:hAnsi="FrankRuehl" w:cs="FrankRuehl"/>
        <w:rtl/>
      </w:rPr>
    </w:pPr>
  </w:p>
  <w:p w14:paraId="25B0DF76" w14:textId="77777777" w:rsidR="00DA143F" w:rsidRDefault="00DA143F">
    <w:pPr>
      <w:pStyle w:val="Header"/>
      <w:pBdr>
        <w:top w:val="single" w:sz="4" w:space="0" w:color="auto"/>
      </w:pBdr>
      <w:tabs>
        <w:tab w:val="clear" w:pos="4153"/>
        <w:tab w:val="clear" w:pos="8306"/>
        <w:tab w:val="right" w:pos="8220"/>
      </w:tabs>
      <w:bidi/>
      <w:rPr>
        <w:rFonts w:hAnsi="FrankRuehl" w:cs="FrankRuehl"/>
        <w:sz w:val="22"/>
        <w:szCs w:val="22"/>
        <w:rtl/>
      </w:rPr>
    </w:pPr>
    <w:r>
      <w:rPr>
        <w:rFonts w:hAnsi="FrankRuehl" w:cs="FrankRuehl"/>
        <w:sz w:val="22"/>
        <w:szCs w:val="22"/>
        <w:rtl/>
      </w:rPr>
      <w:t>פ"מ תשנ"ג(4) 503</w:t>
    </w:r>
  </w:p>
  <w:p w14:paraId="0D79748F" w14:textId="77777777" w:rsidR="00DA143F" w:rsidRDefault="00DA143F">
    <w:pPr>
      <w:pStyle w:val="Header"/>
      <w:pBdr>
        <w:top w:val="single" w:sz="4" w:space="0" w:color="auto"/>
      </w:pBdr>
      <w:tabs>
        <w:tab w:val="clear" w:pos="4153"/>
        <w:tab w:val="clear" w:pos="8306"/>
        <w:tab w:val="right" w:pos="8220"/>
      </w:tabs>
      <w:bidi/>
      <w:rPr>
        <w:rFonts w:hAnsi="FrankRuehl" w:cs="FrankRuehl"/>
        <w:sz w:val="22"/>
        <w:szCs w:val="22"/>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oNotTrackMoves/>
  <w:defaultTabStop w:val="720"/>
  <w:doNotHyphenateCaps/>
  <w:evenAndOddHeaders/>
  <w:drawingGridHorizontalSpacing w:val="120"/>
  <w:drawingGridVerticalSpacing w:val="163"/>
  <w:displayHorizontalDrawingGridEvery w:val="0"/>
  <w:displayVerticalDrawingGridEvery w:val="2"/>
  <w:doNotShadeFormData/>
  <w:characterSpacingControl w:val="compressPunctuation"/>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929F6"/>
    <w:rsid w:val="000A4F21"/>
    <w:rsid w:val="00124586"/>
    <w:rsid w:val="003929F6"/>
    <w:rsid w:val="004D3697"/>
    <w:rsid w:val="00705F55"/>
    <w:rsid w:val="00730B50"/>
    <w:rsid w:val="008C1F45"/>
    <w:rsid w:val="00904DBD"/>
    <w:rsid w:val="00A04B46"/>
    <w:rsid w:val="00D3080A"/>
    <w:rsid w:val="00D618E5"/>
    <w:rsid w:val="00DA143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BA43545"/>
  <w15:chartTrackingRefBased/>
  <w15:docId w15:val="{6CA676F8-3E86-4317-9B51-5BBFD18C3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eastAsia="he-IL"/>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character" w:styleId="PageNumber">
    <w:name w:val="page number"/>
    <w:basedOn w:val="DefaultParagraphFont"/>
    <w:semiHidden/>
  </w:style>
  <w:style w:type="character" w:styleId="Hyperlink">
    <w:name w:val="Hyperlink"/>
    <w:rsid w:val="00730B5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case/17942767" TargetMode="External"/><Relationship Id="rId18" Type="http://schemas.openxmlformats.org/officeDocument/2006/relationships/hyperlink" Target="http://www.nevo.co.il/law/70301/2" TargetMode="External"/><Relationship Id="rId26" Type="http://schemas.openxmlformats.org/officeDocument/2006/relationships/hyperlink" Target="http://www.nevo.co.il/law/70301" TargetMode="External"/><Relationship Id="rId3" Type="http://schemas.openxmlformats.org/officeDocument/2006/relationships/webSettings" Target="webSettings.xml"/><Relationship Id="rId21" Type="http://schemas.openxmlformats.org/officeDocument/2006/relationships/hyperlink" Target="http://www.nevo.co.il/law/70301" TargetMode="External"/><Relationship Id="rId34" Type="http://schemas.openxmlformats.org/officeDocument/2006/relationships/theme" Target="theme/theme1.xml"/><Relationship Id="rId7" Type="http://schemas.openxmlformats.org/officeDocument/2006/relationships/hyperlink" Target="http://www.nevo.co.il/law/70301" TargetMode="External"/><Relationship Id="rId12" Type="http://schemas.openxmlformats.org/officeDocument/2006/relationships/hyperlink" Target="http://www.nevo.co.il/law/70301" TargetMode="External"/><Relationship Id="rId17" Type="http://schemas.openxmlformats.org/officeDocument/2006/relationships/hyperlink" Target="http://www.nevo.co.il/law/70301" TargetMode="External"/><Relationship Id="rId25" Type="http://schemas.openxmlformats.org/officeDocument/2006/relationships/hyperlink" Target="http://www.nevo.co.il/law/70301/349.a" TargetMode="External"/><Relationship Id="rId33"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www.nevo.co.il/law/70301/349.a" TargetMode="External"/><Relationship Id="rId20" Type="http://schemas.openxmlformats.org/officeDocument/2006/relationships/hyperlink" Target="http://www.nevo.co.il/law/70301" TargetMode="External"/><Relationship Id="rId29" Type="http://schemas.openxmlformats.org/officeDocument/2006/relationships/header" Target="header1.xml"/><Relationship Id="rId1" Type="http://schemas.openxmlformats.org/officeDocument/2006/relationships/styles" Target="styles.xml"/><Relationship Id="rId6" Type="http://schemas.openxmlformats.org/officeDocument/2006/relationships/hyperlink" Target="http://www.nevo.co.il/law/74903/182" TargetMode="External"/><Relationship Id="rId11" Type="http://schemas.openxmlformats.org/officeDocument/2006/relationships/hyperlink" Target="http://www.nevo.co.il/law/70301/2" TargetMode="External"/><Relationship Id="rId24" Type="http://schemas.openxmlformats.org/officeDocument/2006/relationships/hyperlink" Target="http://www.nevo.co.il/law/70301" TargetMode="External"/><Relationship Id="rId32"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hyperlink" Target="http://www.nevo.co.il/law/74903" TargetMode="External"/><Relationship Id="rId23" Type="http://schemas.openxmlformats.org/officeDocument/2006/relationships/hyperlink" Target="http://www.nevo.co.il/case/17942767" TargetMode="External"/><Relationship Id="rId28" Type="http://schemas.openxmlformats.org/officeDocument/2006/relationships/hyperlink" Target="http://www.nevo.co.il/law/70301" TargetMode="External"/><Relationship Id="rId10" Type="http://schemas.openxmlformats.org/officeDocument/2006/relationships/hyperlink" Target="http://www.nevo.co.il/law/70301/349.b" TargetMode="External"/><Relationship Id="rId19" Type="http://schemas.openxmlformats.org/officeDocument/2006/relationships/hyperlink" Target="http://www.nevo.co.il/law/70301" TargetMode="External"/><Relationship Id="rId31"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www.nevo.co.il/law/70301/349.a" TargetMode="External"/><Relationship Id="rId14" Type="http://schemas.openxmlformats.org/officeDocument/2006/relationships/hyperlink" Target="http://www.nevo.co.il/law/74903/182" TargetMode="External"/><Relationship Id="rId22" Type="http://schemas.openxmlformats.org/officeDocument/2006/relationships/hyperlink" Target="http://www.nevo.co.il/case/17942767" TargetMode="External"/><Relationship Id="rId27" Type="http://schemas.openxmlformats.org/officeDocument/2006/relationships/hyperlink" Target="http://www.nevo.co.il/law/70301/349.b" TargetMode="External"/><Relationship Id="rId30" Type="http://schemas.openxmlformats.org/officeDocument/2006/relationships/header" Target="header2.xml"/><Relationship Id="rId8" Type="http://schemas.openxmlformats.org/officeDocument/2006/relationships/hyperlink" Target="http://www.nevo.co.il/law/7030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4069</Words>
  <Characters>23195</Characters>
  <Application>Microsoft Office Word</Application>
  <DocSecurity>0</DocSecurity>
  <Lines>193</Lines>
  <Paragraphs>54</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27210</CharactersWithSpaces>
  <SharedDoc>false</SharedDoc>
  <HLinks>
    <vt:vector size="144" baseType="variant">
      <vt:variant>
        <vt:i4>7995492</vt:i4>
      </vt:variant>
      <vt:variant>
        <vt:i4>69</vt:i4>
      </vt:variant>
      <vt:variant>
        <vt:i4>0</vt:i4>
      </vt:variant>
      <vt:variant>
        <vt:i4>5</vt:i4>
      </vt:variant>
      <vt:variant>
        <vt:lpwstr>http://www.nevo.co.il/law/70301</vt:lpwstr>
      </vt:variant>
      <vt:variant>
        <vt:lpwstr/>
      </vt:variant>
      <vt:variant>
        <vt:i4>5177439</vt:i4>
      </vt:variant>
      <vt:variant>
        <vt:i4>66</vt:i4>
      </vt:variant>
      <vt:variant>
        <vt:i4>0</vt:i4>
      </vt:variant>
      <vt:variant>
        <vt:i4>5</vt:i4>
      </vt:variant>
      <vt:variant>
        <vt:lpwstr>http://www.nevo.co.il/law/70301/349.b</vt:lpwstr>
      </vt:variant>
      <vt:variant>
        <vt:lpwstr/>
      </vt:variant>
      <vt:variant>
        <vt:i4>7995492</vt:i4>
      </vt:variant>
      <vt:variant>
        <vt:i4>63</vt:i4>
      </vt:variant>
      <vt:variant>
        <vt:i4>0</vt:i4>
      </vt:variant>
      <vt:variant>
        <vt:i4>5</vt:i4>
      </vt:variant>
      <vt:variant>
        <vt:lpwstr>http://www.nevo.co.il/law/70301</vt:lpwstr>
      </vt:variant>
      <vt:variant>
        <vt:lpwstr/>
      </vt:variant>
      <vt:variant>
        <vt:i4>5177439</vt:i4>
      </vt:variant>
      <vt:variant>
        <vt:i4>60</vt:i4>
      </vt:variant>
      <vt:variant>
        <vt:i4>0</vt:i4>
      </vt:variant>
      <vt:variant>
        <vt:i4>5</vt:i4>
      </vt:variant>
      <vt:variant>
        <vt:lpwstr>http://www.nevo.co.il/law/70301/349.a</vt:lpwstr>
      </vt:variant>
      <vt:variant>
        <vt:lpwstr/>
      </vt:variant>
      <vt:variant>
        <vt:i4>7995492</vt:i4>
      </vt:variant>
      <vt:variant>
        <vt:i4>57</vt:i4>
      </vt:variant>
      <vt:variant>
        <vt:i4>0</vt:i4>
      </vt:variant>
      <vt:variant>
        <vt:i4>5</vt:i4>
      </vt:variant>
      <vt:variant>
        <vt:lpwstr>http://www.nevo.co.il/law/70301</vt:lpwstr>
      </vt:variant>
      <vt:variant>
        <vt:lpwstr/>
      </vt:variant>
      <vt:variant>
        <vt:i4>3932272</vt:i4>
      </vt:variant>
      <vt:variant>
        <vt:i4>54</vt:i4>
      </vt:variant>
      <vt:variant>
        <vt:i4>0</vt:i4>
      </vt:variant>
      <vt:variant>
        <vt:i4>5</vt:i4>
      </vt:variant>
      <vt:variant>
        <vt:lpwstr>http://www.nevo.co.il/case/17942767</vt:lpwstr>
      </vt:variant>
      <vt:variant>
        <vt:lpwstr/>
      </vt:variant>
      <vt:variant>
        <vt:i4>3932272</vt:i4>
      </vt:variant>
      <vt:variant>
        <vt:i4>51</vt:i4>
      </vt:variant>
      <vt:variant>
        <vt:i4>0</vt:i4>
      </vt:variant>
      <vt:variant>
        <vt:i4>5</vt:i4>
      </vt:variant>
      <vt:variant>
        <vt:lpwstr>http://www.nevo.co.il/case/17942767</vt:lpwstr>
      </vt:variant>
      <vt:variant>
        <vt:lpwstr/>
      </vt:variant>
      <vt:variant>
        <vt:i4>7995492</vt:i4>
      </vt:variant>
      <vt:variant>
        <vt:i4>48</vt:i4>
      </vt:variant>
      <vt:variant>
        <vt:i4>0</vt:i4>
      </vt:variant>
      <vt:variant>
        <vt:i4>5</vt:i4>
      </vt:variant>
      <vt:variant>
        <vt:lpwstr>http://www.nevo.co.il/law/70301</vt:lpwstr>
      </vt:variant>
      <vt:variant>
        <vt:lpwstr/>
      </vt:variant>
      <vt:variant>
        <vt:i4>7995492</vt:i4>
      </vt:variant>
      <vt:variant>
        <vt:i4>45</vt:i4>
      </vt:variant>
      <vt:variant>
        <vt:i4>0</vt:i4>
      </vt:variant>
      <vt:variant>
        <vt:i4>5</vt:i4>
      </vt:variant>
      <vt:variant>
        <vt:lpwstr>http://www.nevo.co.il/law/70301</vt:lpwstr>
      </vt:variant>
      <vt:variant>
        <vt:lpwstr/>
      </vt:variant>
      <vt:variant>
        <vt:i4>7995492</vt:i4>
      </vt:variant>
      <vt:variant>
        <vt:i4>42</vt:i4>
      </vt:variant>
      <vt:variant>
        <vt:i4>0</vt:i4>
      </vt:variant>
      <vt:variant>
        <vt:i4>5</vt:i4>
      </vt:variant>
      <vt:variant>
        <vt:lpwstr>http://www.nevo.co.il/law/70301</vt:lpwstr>
      </vt:variant>
      <vt:variant>
        <vt:lpwstr/>
      </vt:variant>
      <vt:variant>
        <vt:i4>5570645</vt:i4>
      </vt:variant>
      <vt:variant>
        <vt:i4>39</vt:i4>
      </vt:variant>
      <vt:variant>
        <vt:i4>0</vt:i4>
      </vt:variant>
      <vt:variant>
        <vt:i4>5</vt:i4>
      </vt:variant>
      <vt:variant>
        <vt:lpwstr>http://www.nevo.co.il/law/70301/2</vt:lpwstr>
      </vt:variant>
      <vt:variant>
        <vt:lpwstr/>
      </vt:variant>
      <vt:variant>
        <vt:i4>7995492</vt:i4>
      </vt:variant>
      <vt:variant>
        <vt:i4>36</vt:i4>
      </vt:variant>
      <vt:variant>
        <vt:i4>0</vt:i4>
      </vt:variant>
      <vt:variant>
        <vt:i4>5</vt:i4>
      </vt:variant>
      <vt:variant>
        <vt:lpwstr>http://www.nevo.co.il/law/70301</vt:lpwstr>
      </vt:variant>
      <vt:variant>
        <vt:lpwstr/>
      </vt:variant>
      <vt:variant>
        <vt:i4>5177439</vt:i4>
      </vt:variant>
      <vt:variant>
        <vt:i4>33</vt:i4>
      </vt:variant>
      <vt:variant>
        <vt:i4>0</vt:i4>
      </vt:variant>
      <vt:variant>
        <vt:i4>5</vt:i4>
      </vt:variant>
      <vt:variant>
        <vt:lpwstr>http://www.nevo.co.il/law/70301/349.a</vt:lpwstr>
      </vt:variant>
      <vt:variant>
        <vt:lpwstr/>
      </vt:variant>
      <vt:variant>
        <vt:i4>8257646</vt:i4>
      </vt:variant>
      <vt:variant>
        <vt:i4>30</vt:i4>
      </vt:variant>
      <vt:variant>
        <vt:i4>0</vt:i4>
      </vt:variant>
      <vt:variant>
        <vt:i4>5</vt:i4>
      </vt:variant>
      <vt:variant>
        <vt:lpwstr>http://www.nevo.co.il/law/74903</vt:lpwstr>
      </vt:variant>
      <vt:variant>
        <vt:lpwstr/>
      </vt:variant>
      <vt:variant>
        <vt:i4>6881388</vt:i4>
      </vt:variant>
      <vt:variant>
        <vt:i4>27</vt:i4>
      </vt:variant>
      <vt:variant>
        <vt:i4>0</vt:i4>
      </vt:variant>
      <vt:variant>
        <vt:i4>5</vt:i4>
      </vt:variant>
      <vt:variant>
        <vt:lpwstr>http://www.nevo.co.il/law/74903/182</vt:lpwstr>
      </vt:variant>
      <vt:variant>
        <vt:lpwstr/>
      </vt:variant>
      <vt:variant>
        <vt:i4>3932272</vt:i4>
      </vt:variant>
      <vt:variant>
        <vt:i4>24</vt:i4>
      </vt:variant>
      <vt:variant>
        <vt:i4>0</vt:i4>
      </vt:variant>
      <vt:variant>
        <vt:i4>5</vt:i4>
      </vt:variant>
      <vt:variant>
        <vt:lpwstr>http://www.nevo.co.il/case/17942767</vt:lpwstr>
      </vt:variant>
      <vt:variant>
        <vt:lpwstr/>
      </vt:variant>
      <vt:variant>
        <vt:i4>7995492</vt:i4>
      </vt:variant>
      <vt:variant>
        <vt:i4>21</vt:i4>
      </vt:variant>
      <vt:variant>
        <vt:i4>0</vt:i4>
      </vt:variant>
      <vt:variant>
        <vt:i4>5</vt:i4>
      </vt:variant>
      <vt:variant>
        <vt:lpwstr>http://www.nevo.co.il/law/70301</vt:lpwstr>
      </vt:variant>
      <vt:variant>
        <vt:lpwstr/>
      </vt:variant>
      <vt:variant>
        <vt:i4>5570645</vt:i4>
      </vt:variant>
      <vt:variant>
        <vt:i4>18</vt:i4>
      </vt:variant>
      <vt:variant>
        <vt:i4>0</vt:i4>
      </vt:variant>
      <vt:variant>
        <vt:i4>5</vt:i4>
      </vt:variant>
      <vt:variant>
        <vt:lpwstr>http://www.nevo.co.il/law/70301/2</vt:lpwstr>
      </vt:variant>
      <vt:variant>
        <vt:lpwstr/>
      </vt:variant>
      <vt:variant>
        <vt:i4>5177439</vt:i4>
      </vt:variant>
      <vt:variant>
        <vt:i4>15</vt:i4>
      </vt:variant>
      <vt:variant>
        <vt:i4>0</vt:i4>
      </vt:variant>
      <vt:variant>
        <vt:i4>5</vt:i4>
      </vt:variant>
      <vt:variant>
        <vt:lpwstr>http://www.nevo.co.il/law/70301/349.b</vt:lpwstr>
      </vt:variant>
      <vt:variant>
        <vt:lpwstr/>
      </vt:variant>
      <vt:variant>
        <vt:i4>5177439</vt:i4>
      </vt:variant>
      <vt:variant>
        <vt:i4>12</vt:i4>
      </vt:variant>
      <vt:variant>
        <vt:i4>0</vt:i4>
      </vt:variant>
      <vt:variant>
        <vt:i4>5</vt:i4>
      </vt:variant>
      <vt:variant>
        <vt:lpwstr>http://www.nevo.co.il/law/70301/349.a</vt:lpwstr>
      </vt:variant>
      <vt:variant>
        <vt:lpwstr/>
      </vt:variant>
      <vt:variant>
        <vt:i4>5570645</vt:i4>
      </vt:variant>
      <vt:variant>
        <vt:i4>9</vt:i4>
      </vt:variant>
      <vt:variant>
        <vt:i4>0</vt:i4>
      </vt:variant>
      <vt:variant>
        <vt:i4>5</vt:i4>
      </vt:variant>
      <vt:variant>
        <vt:lpwstr>http://www.nevo.co.il/law/70301/2</vt:lpwstr>
      </vt:variant>
      <vt:variant>
        <vt:lpwstr/>
      </vt:variant>
      <vt:variant>
        <vt:i4>7995492</vt:i4>
      </vt:variant>
      <vt:variant>
        <vt:i4>6</vt:i4>
      </vt:variant>
      <vt:variant>
        <vt:i4>0</vt:i4>
      </vt:variant>
      <vt:variant>
        <vt:i4>5</vt:i4>
      </vt:variant>
      <vt:variant>
        <vt:lpwstr>http://www.nevo.co.il/law/70301</vt:lpwstr>
      </vt:variant>
      <vt:variant>
        <vt:lpwstr/>
      </vt:variant>
      <vt:variant>
        <vt:i4>6881388</vt:i4>
      </vt:variant>
      <vt:variant>
        <vt:i4>3</vt:i4>
      </vt:variant>
      <vt:variant>
        <vt:i4>0</vt:i4>
      </vt:variant>
      <vt:variant>
        <vt:i4>5</vt:i4>
      </vt:variant>
      <vt:variant>
        <vt:lpwstr>http://www.nevo.co.il/law/74903/182</vt:lpwstr>
      </vt:variant>
      <vt:variant>
        <vt:lpwstr/>
      </vt:variant>
      <vt:variant>
        <vt:i4>8257646</vt:i4>
      </vt:variant>
      <vt:variant>
        <vt:i4>0</vt:i4>
      </vt:variant>
      <vt:variant>
        <vt:i4>0</vt:i4>
      </vt:variant>
      <vt:variant>
        <vt:i4>5</vt:i4>
      </vt:variant>
      <vt:variant>
        <vt:lpwstr>http://www.nevo.co.il/law/74903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dcterms:created xsi:type="dcterms:W3CDTF">2022-05-24T10:07:00Z</dcterms:created>
  <dcterms:modified xsi:type="dcterms:W3CDTF">2022-05-24T10:07:00Z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ISHKA">
    <vt:lpwstr>Lishka</vt:lpwstr>
  </property>
  <property fmtid="{D5CDD505-2E9C-101B-9397-08002B2CF9AE}" pid="3" name="PROCESS">
    <vt:lpwstr>תפ</vt:lpwstr>
  </property>
  <property fmtid="{D5CDD505-2E9C-101B-9397-08002B2CF9AE}" pid="4" name="PROCNUM">
    <vt:lpwstr>1454</vt:lpwstr>
  </property>
  <property fmtid="{D5CDD505-2E9C-101B-9397-08002B2CF9AE}" pid="5" name="PROCYEAR">
    <vt:lpwstr>92</vt:lpwstr>
  </property>
  <property fmtid="{D5CDD505-2E9C-101B-9397-08002B2CF9AE}" pid="6" name="APPELLANT">
    <vt:lpwstr>מדינת ישראל</vt:lpwstr>
  </property>
  <property fmtid="{D5CDD505-2E9C-101B-9397-08002B2CF9AE}" pid="7" name="APPELLEE">
    <vt:lpwstr>יוסף וירטגיים;א' אלפסי</vt:lpwstr>
  </property>
  <property fmtid="{D5CDD505-2E9C-101B-9397-08002B2CF9AE}" pid="8" name="JUDGE">
    <vt:lpwstr>ח' נחמיאס</vt:lpwstr>
  </property>
  <property fmtid="{D5CDD505-2E9C-101B-9397-08002B2CF9AE}" pid="9" name="DATE">
    <vt:lpwstr>19940120</vt:lpwstr>
  </property>
  <property fmtid="{D5CDD505-2E9C-101B-9397-08002B2CF9AE}" pid="10" name="VOLUME">
    <vt:lpwstr>תשנ"ג</vt:lpwstr>
  </property>
  <property fmtid="{D5CDD505-2E9C-101B-9397-08002B2CF9AE}" pid="11" name="PART">
    <vt:lpwstr>4</vt:lpwstr>
  </property>
  <property fmtid="{D5CDD505-2E9C-101B-9397-08002B2CF9AE}" pid="12" name="PAGE">
    <vt:lpwstr>503</vt:lpwstr>
  </property>
  <property fmtid="{D5CDD505-2E9C-101B-9397-08002B2CF9AE}" pid="13" name="WORDNUMPAGES">
    <vt:lpwstr>13</vt:lpwstr>
  </property>
  <property fmtid="{D5CDD505-2E9C-101B-9397-08002B2CF9AE}" pid="14" name="LAWYER">
    <vt:lpwstr>יפה</vt:lpwstr>
  </property>
  <property fmtid="{D5CDD505-2E9C-101B-9397-08002B2CF9AE}" pid="15" name="ISABSTRACT">
    <vt:lpwstr>Y</vt:lpwstr>
  </property>
  <property fmtid="{D5CDD505-2E9C-101B-9397-08002B2CF9AE}" pid="16" name="TYPE">
    <vt:lpwstr>3</vt:lpwstr>
  </property>
  <property fmtid="{D5CDD505-2E9C-101B-9397-08002B2CF9AE}" pid="17" name="PSAKDIN">
    <vt:lpwstr>הכרעת-דין</vt:lpwstr>
  </property>
  <property fmtid="{D5CDD505-2E9C-101B-9397-08002B2CF9AE}" pid="18" name="CASESLISTTMP1">
    <vt:lpwstr>17942767:3</vt:lpwstr>
  </property>
  <property fmtid="{D5CDD505-2E9C-101B-9397-08002B2CF9AE}" pid="19" name="LAWLISTTMP1">
    <vt:lpwstr>74903/182</vt:lpwstr>
  </property>
  <property fmtid="{D5CDD505-2E9C-101B-9397-08002B2CF9AE}" pid="20" name="LAWLISTTMP2">
    <vt:lpwstr>70301/002;349.a:2;349.b</vt:lpwstr>
  </property>
</Properties>
</file>