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196DB6" w:rsidRPr="0043002B" w14:paraId="33666162" w14:textId="77777777">
        <w:trPr>
          <w:trHeight w:hRule="exact" w:val="418"/>
          <w:jc w:val="center"/>
        </w:trPr>
        <w:tc>
          <w:tcPr>
            <w:tcW w:w="8720" w:type="dxa"/>
            <w:gridSpan w:val="3"/>
          </w:tcPr>
          <w:p w14:paraId="67834E79" w14:textId="77777777" w:rsidR="00196DB6" w:rsidRPr="0043002B" w:rsidRDefault="0043002B">
            <w:pPr>
              <w:pStyle w:val="Header"/>
              <w:tabs>
                <w:tab w:val="clear" w:pos="8306"/>
              </w:tabs>
              <w:jc w:val="center"/>
              <w:rPr>
                <w:rFonts w:ascii="Tahoma" w:hAnsi="Tahoma" w:cs="Tahoma"/>
                <w:b/>
                <w:bCs/>
                <w:color w:val="000080"/>
                <w:sz w:val="20"/>
                <w:szCs w:val="20"/>
                <w:rtl/>
              </w:rPr>
            </w:pPr>
            <w:bookmarkStart w:id="0" w:name="LastJudge"/>
            <w:r w:rsidRPr="0043002B">
              <w:rPr>
                <w:rFonts w:ascii="Tahoma" w:hAnsi="Tahoma" w:cs="Tahoma"/>
                <w:b/>
                <w:bCs/>
                <w:color w:val="000080"/>
                <w:sz w:val="20"/>
                <w:szCs w:val="20"/>
                <w:rtl/>
              </w:rPr>
              <w:t>בית משפט השלום בנצרת</w:t>
            </w:r>
          </w:p>
        </w:tc>
      </w:tr>
      <w:tr w:rsidR="00196DB6" w:rsidRPr="0043002B" w14:paraId="3D2C454B" w14:textId="77777777">
        <w:trPr>
          <w:trHeight w:val="337"/>
          <w:jc w:val="center"/>
        </w:trPr>
        <w:tc>
          <w:tcPr>
            <w:tcW w:w="3973" w:type="dxa"/>
          </w:tcPr>
          <w:p w14:paraId="79B2B5E1" w14:textId="77777777" w:rsidR="00196DB6" w:rsidRPr="0043002B" w:rsidRDefault="0043002B">
            <w:pPr>
              <w:rPr>
                <w:b/>
                <w:bCs/>
                <w:sz w:val="26"/>
                <w:szCs w:val="26"/>
                <w:rtl/>
              </w:rPr>
            </w:pPr>
            <w:r w:rsidRPr="0043002B">
              <w:rPr>
                <w:b/>
                <w:bCs/>
                <w:sz w:val="26"/>
                <w:szCs w:val="26"/>
                <w:rtl/>
              </w:rPr>
              <w:t>ת"פ</w:t>
            </w:r>
            <w:r w:rsidRPr="0043002B">
              <w:rPr>
                <w:rFonts w:hint="cs"/>
                <w:b/>
                <w:bCs/>
                <w:sz w:val="26"/>
                <w:szCs w:val="26"/>
                <w:rtl/>
              </w:rPr>
              <w:t xml:space="preserve"> </w:t>
            </w:r>
            <w:r w:rsidRPr="0043002B">
              <w:rPr>
                <w:b/>
                <w:bCs/>
                <w:sz w:val="26"/>
                <w:szCs w:val="26"/>
                <w:rtl/>
              </w:rPr>
              <w:t>698-11-07</w:t>
            </w:r>
            <w:r w:rsidRPr="0043002B">
              <w:rPr>
                <w:rFonts w:hint="cs"/>
                <w:b/>
                <w:bCs/>
                <w:sz w:val="26"/>
                <w:szCs w:val="26"/>
                <w:rtl/>
              </w:rPr>
              <w:t xml:space="preserve"> </w:t>
            </w:r>
            <w:r w:rsidRPr="0043002B">
              <w:rPr>
                <w:b/>
                <w:bCs/>
                <w:sz w:val="26"/>
                <w:szCs w:val="26"/>
                <w:rtl/>
              </w:rPr>
              <w:t>מדינת ישראל נ' מכלוף</w:t>
            </w:r>
          </w:p>
          <w:p w14:paraId="57F86B4D" w14:textId="77777777" w:rsidR="00196DB6" w:rsidRPr="0043002B" w:rsidRDefault="00196DB6">
            <w:pPr>
              <w:rPr>
                <w:b/>
                <w:bCs/>
                <w:sz w:val="26"/>
                <w:szCs w:val="26"/>
                <w:rtl/>
              </w:rPr>
            </w:pPr>
          </w:p>
        </w:tc>
        <w:tc>
          <w:tcPr>
            <w:tcW w:w="1068" w:type="dxa"/>
          </w:tcPr>
          <w:p w14:paraId="70395ED5" w14:textId="77777777" w:rsidR="00196DB6" w:rsidRPr="0043002B" w:rsidRDefault="00196DB6">
            <w:pPr>
              <w:pStyle w:val="Header"/>
              <w:jc w:val="right"/>
              <w:rPr>
                <w:b/>
                <w:bCs/>
                <w:sz w:val="26"/>
                <w:szCs w:val="26"/>
                <w:rtl/>
              </w:rPr>
            </w:pPr>
          </w:p>
        </w:tc>
        <w:tc>
          <w:tcPr>
            <w:tcW w:w="3679" w:type="dxa"/>
          </w:tcPr>
          <w:p w14:paraId="63F806DD" w14:textId="77777777" w:rsidR="00196DB6" w:rsidRPr="0043002B" w:rsidRDefault="0043002B">
            <w:pPr>
              <w:pStyle w:val="Header"/>
              <w:tabs>
                <w:tab w:val="clear" w:pos="4153"/>
              </w:tabs>
              <w:jc w:val="right"/>
              <w:rPr>
                <w:b/>
                <w:bCs/>
                <w:sz w:val="26"/>
                <w:szCs w:val="26"/>
                <w:rtl/>
              </w:rPr>
            </w:pPr>
            <w:r w:rsidRPr="0043002B">
              <w:rPr>
                <w:b/>
                <w:bCs/>
                <w:sz w:val="26"/>
                <w:szCs w:val="26"/>
                <w:rtl/>
              </w:rPr>
              <w:t>08 ספטמבר 2011</w:t>
            </w:r>
          </w:p>
        </w:tc>
      </w:tr>
    </w:tbl>
    <w:p w14:paraId="666B357F" w14:textId="77777777" w:rsidR="00196DB6" w:rsidRPr="0043002B" w:rsidRDefault="00196DB6">
      <w:pPr>
        <w:pStyle w:val="Header"/>
        <w:jc w:val="center"/>
        <w:rPr>
          <w:rFonts w:ascii="Tahoma" w:hAnsi="Tahoma" w:cs="Tahoma"/>
          <w:b/>
          <w:bCs/>
          <w:color w:val="000080"/>
          <w:sz w:val="20"/>
          <w:szCs w:val="20"/>
          <w:rtl/>
        </w:rPr>
      </w:pPr>
    </w:p>
    <w:p w14:paraId="39F02E84" w14:textId="77777777" w:rsidR="00196DB6" w:rsidRPr="0043002B" w:rsidRDefault="00196DB6">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196DB6" w:rsidRPr="0043002B" w14:paraId="1B2779B6" w14:textId="77777777">
        <w:trPr>
          <w:trHeight w:val="337"/>
          <w:jc w:val="center"/>
        </w:trPr>
        <w:tc>
          <w:tcPr>
            <w:tcW w:w="1592" w:type="dxa"/>
          </w:tcPr>
          <w:p w14:paraId="4E354E93" w14:textId="77777777" w:rsidR="00196DB6" w:rsidRPr="0043002B" w:rsidRDefault="00196DB6">
            <w:pPr>
              <w:pStyle w:val="Header"/>
              <w:bidi w:val="0"/>
              <w:spacing w:line="360" w:lineRule="auto"/>
              <w:jc w:val="both"/>
              <w:rPr>
                <w:rFonts w:ascii="Times New Roman" w:hAnsi="Times New Roman"/>
              </w:rPr>
            </w:pPr>
          </w:p>
        </w:tc>
        <w:tc>
          <w:tcPr>
            <w:tcW w:w="7128" w:type="dxa"/>
          </w:tcPr>
          <w:p w14:paraId="6E144853" w14:textId="77777777" w:rsidR="00196DB6" w:rsidRPr="0043002B" w:rsidRDefault="00196DB6">
            <w:pPr>
              <w:pStyle w:val="Header"/>
              <w:jc w:val="right"/>
              <w:rPr>
                <w:b/>
                <w:bCs/>
                <w:sz w:val="26"/>
                <w:szCs w:val="26"/>
                <w:rtl/>
              </w:rPr>
            </w:pPr>
          </w:p>
        </w:tc>
      </w:tr>
    </w:tbl>
    <w:p w14:paraId="547501C6" w14:textId="77777777" w:rsidR="00196DB6" w:rsidRPr="0043002B" w:rsidRDefault="00196DB6">
      <w:pPr>
        <w:spacing w:line="360" w:lineRule="auto"/>
        <w:jc w:val="both"/>
        <w:rPr>
          <w:rFonts w:ascii="Arial" w:hAnsi="Arial"/>
          <w:rtl/>
        </w:rPr>
      </w:pPr>
    </w:p>
    <w:p w14:paraId="27D1EDC9" w14:textId="77777777" w:rsidR="00196DB6" w:rsidRPr="0043002B" w:rsidRDefault="00196DB6">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196DB6" w:rsidRPr="0043002B" w14:paraId="6A74D87A" w14:textId="77777777">
        <w:trPr>
          <w:gridAfter w:val="1"/>
          <w:wAfter w:w="55" w:type="dxa"/>
        </w:trPr>
        <w:tc>
          <w:tcPr>
            <w:tcW w:w="8719" w:type="dxa"/>
            <w:gridSpan w:val="2"/>
            <w:shd w:val="clear" w:color="auto" w:fill="auto"/>
          </w:tcPr>
          <w:p w14:paraId="3B9BFE3A" w14:textId="77777777" w:rsidR="00196DB6" w:rsidRPr="009D71CF" w:rsidRDefault="0043002B" w:rsidP="009D71CF">
            <w:pPr>
              <w:spacing w:line="360" w:lineRule="auto"/>
              <w:jc w:val="both"/>
              <w:rPr>
                <w:b/>
                <w:bCs/>
                <w:sz w:val="26"/>
                <w:szCs w:val="26"/>
                <w:rtl/>
              </w:rPr>
            </w:pPr>
            <w:r w:rsidRPr="009D71CF">
              <w:rPr>
                <w:rFonts w:hint="cs"/>
                <w:b/>
                <w:bCs/>
                <w:sz w:val="26"/>
                <w:szCs w:val="26"/>
                <w:rtl/>
              </w:rPr>
              <w:t>בפני כב' ה</w:t>
            </w:r>
            <w:r w:rsidRPr="009D71CF">
              <w:rPr>
                <w:b/>
                <w:bCs/>
                <w:sz w:val="26"/>
                <w:szCs w:val="26"/>
                <w:rtl/>
              </w:rPr>
              <w:t>שופט דורון פורת</w:t>
            </w:r>
            <w:r w:rsidRPr="0043002B">
              <w:rPr>
                <w:rStyle w:val="TimesNewRomanTimesNewRoman"/>
                <w:rtl/>
              </w:rPr>
              <w:t xml:space="preserve"> </w:t>
            </w:r>
          </w:p>
        </w:tc>
      </w:tr>
      <w:tr w:rsidR="00196DB6" w:rsidRPr="0043002B" w14:paraId="10D59431" w14:textId="77777777">
        <w:tc>
          <w:tcPr>
            <w:tcW w:w="2880" w:type="dxa"/>
            <w:shd w:val="clear" w:color="auto" w:fill="auto"/>
          </w:tcPr>
          <w:p w14:paraId="1FA19F42" w14:textId="77777777" w:rsidR="00196DB6" w:rsidRPr="009D71CF" w:rsidRDefault="0043002B" w:rsidP="009D71CF">
            <w:pPr>
              <w:ind w:left="26"/>
              <w:rPr>
                <w:b/>
                <w:bCs/>
                <w:sz w:val="26"/>
                <w:szCs w:val="26"/>
                <w:rtl/>
              </w:rPr>
            </w:pPr>
            <w:bookmarkStart w:id="1" w:name="FirstAppellant"/>
            <w:r w:rsidRPr="009D71CF">
              <w:rPr>
                <w:rFonts w:hint="cs"/>
                <w:b/>
                <w:bCs/>
                <w:sz w:val="26"/>
                <w:szCs w:val="26"/>
                <w:rtl/>
              </w:rPr>
              <w:t>ה</w:t>
            </w:r>
            <w:r w:rsidRPr="009D71CF">
              <w:rPr>
                <w:b/>
                <w:bCs/>
                <w:sz w:val="26"/>
                <w:szCs w:val="26"/>
                <w:rtl/>
              </w:rPr>
              <w:t>מאשימה</w:t>
            </w:r>
          </w:p>
        </w:tc>
        <w:tc>
          <w:tcPr>
            <w:tcW w:w="5922" w:type="dxa"/>
            <w:gridSpan w:val="2"/>
            <w:shd w:val="clear" w:color="auto" w:fill="auto"/>
          </w:tcPr>
          <w:p w14:paraId="16675FC6" w14:textId="77777777" w:rsidR="00196DB6" w:rsidRPr="009D71CF" w:rsidRDefault="0043002B">
            <w:pPr>
              <w:rPr>
                <w:b/>
                <w:bCs/>
                <w:sz w:val="26"/>
                <w:szCs w:val="26"/>
                <w:rtl/>
              </w:rPr>
            </w:pPr>
            <w:r w:rsidRPr="009D71CF">
              <w:rPr>
                <w:b/>
                <w:bCs/>
                <w:sz w:val="26"/>
                <w:szCs w:val="26"/>
                <w:rtl/>
              </w:rPr>
              <w:t>מדינת ישראל</w:t>
            </w:r>
          </w:p>
          <w:p w14:paraId="16D1FCA2" w14:textId="77777777" w:rsidR="00196DB6" w:rsidRPr="009D71CF" w:rsidRDefault="00196DB6">
            <w:pPr>
              <w:rPr>
                <w:b/>
                <w:bCs/>
                <w:sz w:val="26"/>
                <w:szCs w:val="26"/>
                <w:rtl/>
              </w:rPr>
            </w:pPr>
          </w:p>
        </w:tc>
      </w:tr>
      <w:bookmarkEnd w:id="1"/>
      <w:tr w:rsidR="00196DB6" w:rsidRPr="0043002B" w14:paraId="66742848" w14:textId="77777777">
        <w:tc>
          <w:tcPr>
            <w:tcW w:w="8802" w:type="dxa"/>
            <w:gridSpan w:val="3"/>
            <w:shd w:val="clear" w:color="auto" w:fill="auto"/>
          </w:tcPr>
          <w:p w14:paraId="6CA2DE43" w14:textId="77777777" w:rsidR="00196DB6" w:rsidRPr="009D71CF" w:rsidRDefault="00196DB6" w:rsidP="009D71CF">
            <w:pPr>
              <w:jc w:val="both"/>
              <w:rPr>
                <w:rFonts w:ascii="Arial" w:hAnsi="Arial"/>
                <w:b/>
                <w:bCs/>
                <w:sz w:val="26"/>
                <w:szCs w:val="26"/>
                <w:rtl/>
              </w:rPr>
            </w:pPr>
          </w:p>
          <w:p w14:paraId="3F358E9A" w14:textId="77777777" w:rsidR="00196DB6" w:rsidRPr="009D71CF" w:rsidRDefault="0043002B" w:rsidP="009D71CF">
            <w:pPr>
              <w:jc w:val="center"/>
              <w:rPr>
                <w:rFonts w:ascii="Arial" w:hAnsi="Arial"/>
                <w:b/>
                <w:bCs/>
                <w:sz w:val="26"/>
                <w:szCs w:val="26"/>
                <w:rtl/>
              </w:rPr>
            </w:pPr>
            <w:r w:rsidRPr="009D71CF">
              <w:rPr>
                <w:rFonts w:ascii="Arial" w:hAnsi="Arial"/>
                <w:b/>
                <w:bCs/>
                <w:sz w:val="26"/>
                <w:szCs w:val="26"/>
                <w:rtl/>
              </w:rPr>
              <w:t>נגד</w:t>
            </w:r>
          </w:p>
          <w:p w14:paraId="04AC70E8" w14:textId="77777777" w:rsidR="00196DB6" w:rsidRPr="009D71CF" w:rsidRDefault="00196DB6" w:rsidP="009D71CF">
            <w:pPr>
              <w:jc w:val="center"/>
              <w:rPr>
                <w:rFonts w:ascii="Arial" w:hAnsi="Arial"/>
                <w:b/>
                <w:bCs/>
                <w:sz w:val="26"/>
                <w:szCs w:val="26"/>
              </w:rPr>
            </w:pPr>
          </w:p>
        </w:tc>
      </w:tr>
      <w:tr w:rsidR="00196DB6" w:rsidRPr="0043002B" w14:paraId="38CDB5AA" w14:textId="77777777">
        <w:tc>
          <w:tcPr>
            <w:tcW w:w="2880" w:type="dxa"/>
            <w:shd w:val="clear" w:color="auto" w:fill="auto"/>
          </w:tcPr>
          <w:p w14:paraId="113A2E3F" w14:textId="77777777" w:rsidR="00196DB6" w:rsidRPr="009D71CF" w:rsidRDefault="0043002B" w:rsidP="009D71CF">
            <w:pPr>
              <w:ind w:left="26"/>
              <w:rPr>
                <w:b/>
                <w:bCs/>
                <w:sz w:val="26"/>
                <w:szCs w:val="26"/>
                <w:rtl/>
              </w:rPr>
            </w:pPr>
            <w:r w:rsidRPr="009D71CF">
              <w:rPr>
                <w:rFonts w:hint="cs"/>
                <w:b/>
                <w:bCs/>
                <w:sz w:val="26"/>
                <w:szCs w:val="26"/>
                <w:rtl/>
              </w:rPr>
              <w:t>ה</w:t>
            </w:r>
            <w:r w:rsidRPr="009D71CF">
              <w:rPr>
                <w:b/>
                <w:bCs/>
                <w:sz w:val="26"/>
                <w:szCs w:val="26"/>
                <w:rtl/>
              </w:rPr>
              <w:t>נאשם</w:t>
            </w:r>
          </w:p>
        </w:tc>
        <w:tc>
          <w:tcPr>
            <w:tcW w:w="5922" w:type="dxa"/>
            <w:gridSpan w:val="2"/>
            <w:shd w:val="clear" w:color="auto" w:fill="auto"/>
          </w:tcPr>
          <w:p w14:paraId="000CE36F" w14:textId="77777777" w:rsidR="00196DB6" w:rsidRPr="009D71CF" w:rsidRDefault="0043002B">
            <w:pPr>
              <w:rPr>
                <w:b/>
                <w:bCs/>
                <w:sz w:val="26"/>
                <w:szCs w:val="26"/>
                <w:rtl/>
              </w:rPr>
            </w:pPr>
            <w:r w:rsidRPr="009D71CF">
              <w:rPr>
                <w:b/>
                <w:bCs/>
                <w:sz w:val="26"/>
                <w:szCs w:val="26"/>
                <w:rtl/>
              </w:rPr>
              <w:t>דורון נתן מכלוף</w:t>
            </w:r>
          </w:p>
          <w:p w14:paraId="097DC3D0" w14:textId="77777777" w:rsidR="00196DB6" w:rsidRPr="009D71CF" w:rsidRDefault="00196DB6">
            <w:pPr>
              <w:rPr>
                <w:b/>
                <w:bCs/>
                <w:sz w:val="26"/>
                <w:szCs w:val="26"/>
                <w:rtl/>
              </w:rPr>
            </w:pPr>
          </w:p>
        </w:tc>
      </w:tr>
    </w:tbl>
    <w:p w14:paraId="46BF1D9B" w14:textId="77777777" w:rsidR="00196DB6" w:rsidRPr="0043002B" w:rsidRDefault="0043002B">
      <w:pPr>
        <w:spacing w:line="360" w:lineRule="auto"/>
        <w:jc w:val="both"/>
        <w:rPr>
          <w:sz w:val="6"/>
          <w:szCs w:val="6"/>
          <w:rtl/>
        </w:rPr>
      </w:pPr>
      <w:r w:rsidRPr="0043002B">
        <w:rPr>
          <w:sz w:val="6"/>
          <w:szCs w:val="6"/>
          <w:rtl/>
        </w:rPr>
        <w:t>&lt;#2#&gt;</w:t>
      </w:r>
    </w:p>
    <w:p w14:paraId="2CDFABAF" w14:textId="77777777" w:rsidR="00196DB6" w:rsidRPr="0043002B" w:rsidRDefault="0043002B">
      <w:pPr>
        <w:pStyle w:val="12"/>
        <w:rPr>
          <w:u w:val="none"/>
          <w:rtl/>
        </w:rPr>
      </w:pPr>
      <w:r w:rsidRPr="0043002B">
        <w:rPr>
          <w:rFonts w:hint="cs"/>
          <w:u w:val="none"/>
          <w:rtl/>
        </w:rPr>
        <w:t>נוכחים:</w:t>
      </w:r>
    </w:p>
    <w:p w14:paraId="1BCA3364" w14:textId="77777777" w:rsidR="00196DB6" w:rsidRPr="0043002B" w:rsidRDefault="0043002B">
      <w:pPr>
        <w:pStyle w:val="12"/>
        <w:rPr>
          <w:b w:val="0"/>
          <w:bCs w:val="0"/>
          <w:u w:val="none"/>
          <w:rtl/>
        </w:rPr>
      </w:pPr>
      <w:bookmarkStart w:id="2" w:name="FirstLawyer"/>
      <w:r w:rsidRPr="0043002B">
        <w:rPr>
          <w:rFonts w:hint="cs"/>
          <w:b w:val="0"/>
          <w:bCs w:val="0"/>
          <w:u w:val="none"/>
          <w:rtl/>
        </w:rPr>
        <w:t>מטעם</w:t>
      </w:r>
      <w:bookmarkEnd w:id="2"/>
      <w:r w:rsidRPr="0043002B">
        <w:rPr>
          <w:rFonts w:hint="cs"/>
          <w:b w:val="0"/>
          <w:bCs w:val="0"/>
          <w:u w:val="none"/>
          <w:rtl/>
        </w:rPr>
        <w:t xml:space="preserve"> המאשימה – עו"ד נשאת פארס</w:t>
      </w:r>
    </w:p>
    <w:p w14:paraId="37223C80" w14:textId="77777777" w:rsidR="00196DB6" w:rsidRPr="0043002B" w:rsidRDefault="0043002B">
      <w:pPr>
        <w:pStyle w:val="12"/>
        <w:rPr>
          <w:b w:val="0"/>
          <w:bCs w:val="0"/>
          <w:u w:val="none"/>
          <w:rtl/>
        </w:rPr>
      </w:pPr>
      <w:r w:rsidRPr="0043002B">
        <w:rPr>
          <w:rFonts w:hint="cs"/>
          <w:b w:val="0"/>
          <w:bCs w:val="0"/>
          <w:u w:val="none"/>
          <w:rtl/>
        </w:rPr>
        <w:t xml:space="preserve">הנאשם </w:t>
      </w:r>
      <w:r w:rsidRPr="0043002B">
        <w:rPr>
          <w:b w:val="0"/>
          <w:bCs w:val="0"/>
          <w:u w:val="none"/>
          <w:rtl/>
        </w:rPr>
        <w:t>–</w:t>
      </w:r>
      <w:r w:rsidRPr="0043002B">
        <w:rPr>
          <w:rFonts w:hint="cs"/>
          <w:b w:val="0"/>
          <w:bCs w:val="0"/>
          <w:u w:val="none"/>
          <w:rtl/>
        </w:rPr>
        <w:t xml:space="preserve"> בעצמו ועו"ד </w:t>
      </w:r>
      <w:r w:rsidRPr="0043002B">
        <w:rPr>
          <w:b w:val="0"/>
          <w:bCs w:val="0"/>
          <w:u w:val="none"/>
          <w:rtl/>
        </w:rPr>
        <w:t>סעיד</w:t>
      </w:r>
      <w:r w:rsidRPr="0043002B">
        <w:rPr>
          <w:rFonts w:hint="cs"/>
          <w:b w:val="0"/>
          <w:bCs w:val="0"/>
          <w:u w:val="none"/>
          <w:rtl/>
        </w:rPr>
        <w:t xml:space="preserve"> </w:t>
      </w:r>
      <w:r w:rsidRPr="0043002B">
        <w:rPr>
          <w:b w:val="0"/>
          <w:bCs w:val="0"/>
          <w:u w:val="none"/>
          <w:rtl/>
        </w:rPr>
        <w:t>חדאד</w:t>
      </w:r>
      <w:r w:rsidRPr="0043002B">
        <w:rPr>
          <w:rFonts w:hint="cs"/>
          <w:b w:val="0"/>
          <w:bCs w:val="0"/>
          <w:u w:val="none"/>
          <w:rtl/>
        </w:rPr>
        <w:t xml:space="preserve">  </w:t>
      </w:r>
    </w:p>
    <w:p w14:paraId="3777C4AE" w14:textId="77777777" w:rsidR="00196DB6" w:rsidRPr="0043002B" w:rsidRDefault="00196DB6">
      <w:pPr>
        <w:pStyle w:val="12"/>
        <w:rPr>
          <w:b w:val="0"/>
          <w:bCs w:val="0"/>
          <w:u w:val="none"/>
          <w:rtl/>
        </w:rPr>
      </w:pPr>
    </w:p>
    <w:p w14:paraId="08C11A4F" w14:textId="77777777" w:rsidR="004C53D2" w:rsidRDefault="0043002B" w:rsidP="004C53D2">
      <w:pPr>
        <w:pStyle w:val="David"/>
        <w:jc w:val="center"/>
        <w:rPr>
          <w:rFonts w:ascii="Arial" w:eastAsia="David" w:hAnsi="Arial"/>
          <w:color w:val="FF0000"/>
          <w:sz w:val="28"/>
          <w:rtl/>
        </w:rPr>
      </w:pPr>
      <w:r w:rsidRPr="0043002B">
        <w:rPr>
          <w:rFonts w:ascii="Arial" w:eastAsia="David" w:hAnsi="Arial"/>
          <w:b/>
          <w:color w:val="FF0000"/>
          <w:sz w:val="28"/>
          <w:rtl/>
        </w:rPr>
        <w:t>במסמך זה הושמטו פרוטוקולי</w:t>
      </w:r>
      <w:bookmarkStart w:id="3" w:name="LawTable"/>
      <w:bookmarkEnd w:id="3"/>
    </w:p>
    <w:p w14:paraId="731B0D08" w14:textId="77777777" w:rsidR="004C53D2" w:rsidRPr="004C53D2" w:rsidRDefault="004C53D2" w:rsidP="004C53D2">
      <w:pPr>
        <w:pStyle w:val="David"/>
        <w:spacing w:after="120" w:line="240" w:lineRule="exact"/>
        <w:ind w:left="283" w:hanging="283"/>
        <w:rPr>
          <w:rFonts w:ascii="FrankRuehl" w:eastAsia="David" w:hAnsi="FrankRuehl" w:cs="FrankRuehl"/>
          <w:color w:val="FF0000"/>
          <w:rtl/>
        </w:rPr>
      </w:pPr>
    </w:p>
    <w:p w14:paraId="6FCFDEEB" w14:textId="77777777" w:rsidR="004C53D2" w:rsidRPr="004C53D2" w:rsidRDefault="004C53D2" w:rsidP="004C53D2">
      <w:pPr>
        <w:pStyle w:val="David"/>
        <w:spacing w:after="120" w:line="240" w:lineRule="exact"/>
        <w:ind w:left="283" w:hanging="283"/>
        <w:rPr>
          <w:rFonts w:ascii="FrankRuehl" w:eastAsia="David" w:hAnsi="FrankRuehl" w:cs="FrankRuehl"/>
          <w:color w:val="FF0000"/>
          <w:rtl/>
        </w:rPr>
      </w:pPr>
      <w:r w:rsidRPr="004C53D2">
        <w:rPr>
          <w:rFonts w:ascii="FrankRuehl" w:eastAsia="David" w:hAnsi="FrankRuehl" w:cs="FrankRuehl"/>
          <w:color w:val="FF0000"/>
          <w:rtl/>
        </w:rPr>
        <w:t xml:space="preserve">חקיקה שאוזכרה: </w:t>
      </w:r>
    </w:p>
    <w:p w14:paraId="14A7D6AF" w14:textId="77777777" w:rsidR="004C53D2" w:rsidRPr="004C53D2" w:rsidRDefault="004C53D2" w:rsidP="004C53D2">
      <w:pPr>
        <w:pStyle w:val="David"/>
        <w:spacing w:after="120" w:line="240" w:lineRule="exact"/>
        <w:ind w:left="283" w:hanging="283"/>
        <w:rPr>
          <w:rFonts w:ascii="FrankRuehl" w:eastAsia="David" w:hAnsi="FrankRuehl" w:cs="FrankRuehl"/>
          <w:rtl/>
        </w:rPr>
      </w:pPr>
      <w:hyperlink r:id="rId6" w:history="1">
        <w:r w:rsidRPr="004C53D2">
          <w:rPr>
            <w:rFonts w:ascii="FrankRuehl" w:eastAsia="David" w:hAnsi="FrankRuehl" w:cs="FrankRuehl"/>
            <w:color w:val="0000FF"/>
            <w:u w:val="single"/>
            <w:rtl/>
          </w:rPr>
          <w:t>חוק העונשין, תשל"ז-1977</w:t>
        </w:r>
      </w:hyperlink>
      <w:r w:rsidRPr="004C53D2">
        <w:rPr>
          <w:rFonts w:ascii="FrankRuehl" w:eastAsia="David" w:hAnsi="FrankRuehl" w:cs="FrankRuehl"/>
          <w:rtl/>
        </w:rPr>
        <w:t xml:space="preserve">: סע'  </w:t>
      </w:r>
      <w:hyperlink r:id="rId7" w:history="1">
        <w:r w:rsidRPr="004C53D2">
          <w:rPr>
            <w:rFonts w:ascii="FrankRuehl" w:eastAsia="David" w:hAnsi="FrankRuehl" w:cs="FrankRuehl"/>
            <w:color w:val="0000FF"/>
            <w:u w:val="single"/>
            <w:rtl/>
          </w:rPr>
          <w:t>34ט(ב)</w:t>
        </w:r>
      </w:hyperlink>
      <w:r w:rsidRPr="004C53D2">
        <w:rPr>
          <w:rFonts w:ascii="FrankRuehl" w:eastAsia="David" w:hAnsi="FrankRuehl" w:cs="FrankRuehl"/>
          <w:rtl/>
        </w:rPr>
        <w:t xml:space="preserve">, </w:t>
      </w:r>
      <w:hyperlink r:id="rId8" w:history="1">
        <w:r w:rsidRPr="004C53D2">
          <w:rPr>
            <w:rFonts w:ascii="FrankRuehl" w:eastAsia="David" w:hAnsi="FrankRuehl" w:cs="FrankRuehl"/>
            <w:color w:val="0000FF"/>
            <w:u w:val="single"/>
            <w:rtl/>
          </w:rPr>
          <w:t>348</w:t>
        </w:r>
      </w:hyperlink>
      <w:r w:rsidRPr="004C53D2">
        <w:rPr>
          <w:rFonts w:ascii="FrankRuehl" w:eastAsia="David" w:hAnsi="FrankRuehl" w:cs="FrankRuehl"/>
          <w:rtl/>
        </w:rPr>
        <w:t xml:space="preserve">, </w:t>
      </w:r>
      <w:hyperlink r:id="rId9" w:history="1">
        <w:r w:rsidRPr="004C53D2">
          <w:rPr>
            <w:rFonts w:ascii="FrankRuehl" w:eastAsia="David" w:hAnsi="FrankRuehl" w:cs="FrankRuehl"/>
            <w:color w:val="0000FF"/>
            <w:u w:val="single"/>
            <w:rtl/>
          </w:rPr>
          <w:t>348(ו)</w:t>
        </w:r>
      </w:hyperlink>
      <w:r w:rsidRPr="004C53D2">
        <w:rPr>
          <w:rFonts w:ascii="FrankRuehl" w:eastAsia="David" w:hAnsi="FrankRuehl" w:cs="FrankRuehl"/>
          <w:rtl/>
        </w:rPr>
        <w:t xml:space="preserve">, </w:t>
      </w:r>
      <w:hyperlink r:id="rId10" w:history="1">
        <w:r w:rsidRPr="004C53D2">
          <w:rPr>
            <w:rFonts w:ascii="FrankRuehl" w:eastAsia="David" w:hAnsi="FrankRuehl" w:cs="FrankRuehl"/>
            <w:color w:val="0000FF"/>
            <w:u w:val="single"/>
            <w:rtl/>
          </w:rPr>
          <w:t>379</w:t>
        </w:r>
      </w:hyperlink>
    </w:p>
    <w:p w14:paraId="05E3AE0D" w14:textId="77777777" w:rsidR="004C53D2" w:rsidRPr="004C53D2" w:rsidRDefault="004C53D2" w:rsidP="004C53D2">
      <w:pPr>
        <w:pStyle w:val="David"/>
        <w:spacing w:after="120" w:line="240" w:lineRule="exact"/>
        <w:ind w:left="283" w:hanging="283"/>
        <w:rPr>
          <w:rFonts w:ascii="FrankRuehl" w:eastAsia="David" w:hAnsi="FrankRuehl" w:cs="FrankRuehl"/>
          <w:rtl/>
        </w:rPr>
      </w:pPr>
    </w:p>
    <w:p w14:paraId="0A98DE3A" w14:textId="77777777" w:rsidR="004C53D2" w:rsidRPr="004C53D2" w:rsidRDefault="004C53D2" w:rsidP="004C53D2">
      <w:pPr>
        <w:pStyle w:val="David"/>
        <w:jc w:val="center"/>
        <w:rPr>
          <w:rFonts w:ascii="Arial" w:eastAsia="David" w:hAnsi="Arial"/>
          <w:sz w:val="28"/>
          <w:rtl/>
        </w:rPr>
      </w:pPr>
      <w:bookmarkStart w:id="4" w:name="LawTable_End"/>
      <w:bookmarkEnd w:id="4"/>
    </w:p>
    <w:p w14:paraId="2591FEB6" w14:textId="77777777" w:rsidR="004C53D2" w:rsidRPr="004C53D2" w:rsidRDefault="004C53D2" w:rsidP="004C53D2">
      <w:pPr>
        <w:pStyle w:val="David"/>
        <w:jc w:val="center"/>
        <w:rPr>
          <w:rFonts w:ascii="Arial" w:eastAsia="David" w:hAnsi="Arial"/>
          <w:b/>
          <w:color w:val="FF0000"/>
          <w:sz w:val="28"/>
          <w:rtl/>
        </w:rPr>
      </w:pPr>
    </w:p>
    <w:p w14:paraId="6CE542F6" w14:textId="77777777" w:rsidR="00DF0D8F" w:rsidRPr="00DF0D8F" w:rsidRDefault="0043002B" w:rsidP="004C53D2">
      <w:pPr>
        <w:pStyle w:val="David"/>
        <w:jc w:val="center"/>
        <w:rPr>
          <w:rFonts w:ascii="FrankRuehl" w:eastAsia="David" w:hAnsi="FrankRuehl" w:cs="FrankRuehl"/>
          <w:rtl/>
        </w:rPr>
      </w:pPr>
      <w:r w:rsidRPr="004C53D2">
        <w:rPr>
          <w:rFonts w:ascii="Arial" w:eastAsia="David" w:hAnsi="Arial"/>
          <w:b/>
          <w:color w:val="FF0000"/>
          <w:sz w:val="28"/>
          <w:rtl/>
        </w:rPr>
        <w:t>ם</w:t>
      </w:r>
    </w:p>
    <w:p w14:paraId="3246D612" w14:textId="77777777" w:rsidR="00DF0D8F" w:rsidRPr="00DF0D8F" w:rsidRDefault="00DF0D8F">
      <w:pPr>
        <w:pStyle w:val="David"/>
        <w:jc w:val="center"/>
        <w:rPr>
          <w:rFonts w:ascii="Arial" w:eastAsia="David" w:hAnsi="Arial"/>
          <w:sz w:val="28"/>
          <w:szCs w:val="28"/>
          <w:rtl/>
        </w:rPr>
      </w:pPr>
    </w:p>
    <w:p w14:paraId="628F505F" w14:textId="77777777" w:rsidR="00DF0D8F" w:rsidRPr="00DF0D8F" w:rsidRDefault="00DF0D8F">
      <w:pPr>
        <w:pStyle w:val="David"/>
        <w:jc w:val="center"/>
        <w:rPr>
          <w:rFonts w:ascii="Arial" w:eastAsia="David" w:hAnsi="Arial"/>
          <w:b/>
          <w:bCs/>
          <w:sz w:val="28"/>
          <w:szCs w:val="28"/>
          <w:rtl/>
        </w:rPr>
      </w:pPr>
    </w:p>
    <w:p w14:paraId="2F0B3291" w14:textId="77777777" w:rsidR="00196DB6" w:rsidRPr="00DF0D8F" w:rsidRDefault="00196DB6">
      <w:pPr>
        <w:pStyle w:val="David"/>
        <w:jc w:val="center"/>
        <w:rPr>
          <w:rFonts w:ascii="Arial" w:eastAsia="David" w:hAnsi="Arial"/>
          <w:b/>
          <w:bCs/>
          <w:sz w:val="28"/>
          <w:szCs w:val="28"/>
          <w:rtl/>
        </w:rPr>
      </w:pPr>
    </w:p>
    <w:p w14:paraId="5B9FA749" w14:textId="77777777" w:rsidR="00CA1F8C" w:rsidRPr="00CA1F8C" w:rsidRDefault="00CA1F8C">
      <w:pPr>
        <w:pStyle w:val="David"/>
        <w:jc w:val="center"/>
        <w:rPr>
          <w:rFonts w:ascii="Arial" w:eastAsia="David" w:hAnsi="Arial"/>
          <w:sz w:val="28"/>
          <w:szCs w:val="28"/>
          <w:rtl/>
        </w:rPr>
      </w:pPr>
    </w:p>
    <w:p w14:paraId="16E187B8" w14:textId="77777777" w:rsidR="00CA1F8C" w:rsidRPr="00CA1F8C" w:rsidRDefault="00CA1F8C">
      <w:pPr>
        <w:pStyle w:val="David"/>
        <w:jc w:val="center"/>
        <w:rPr>
          <w:rFonts w:ascii="Arial" w:eastAsia="David" w:hAnsi="Arial"/>
          <w:b/>
          <w:bCs/>
          <w:sz w:val="28"/>
          <w:szCs w:val="28"/>
          <w:rtl/>
        </w:rPr>
      </w:pPr>
    </w:p>
    <w:p w14:paraId="65205C68" w14:textId="77777777" w:rsidR="0043002B" w:rsidRPr="00CA1F8C" w:rsidRDefault="0043002B">
      <w:pPr>
        <w:pStyle w:val="David"/>
        <w:jc w:val="center"/>
        <w:rPr>
          <w:rFonts w:ascii="Arial" w:eastAsia="David" w:hAnsi="Arial"/>
          <w:b/>
          <w:bCs/>
          <w:sz w:val="28"/>
          <w:szCs w:val="28"/>
          <w:rtl/>
        </w:rPr>
      </w:pPr>
    </w:p>
    <w:p w14:paraId="2585F553" w14:textId="77777777" w:rsidR="0043002B" w:rsidRPr="0043002B" w:rsidRDefault="0043002B" w:rsidP="0043002B">
      <w:pPr>
        <w:pStyle w:val="David"/>
        <w:jc w:val="center"/>
        <w:rPr>
          <w:rFonts w:ascii="Arial" w:eastAsia="David" w:hAnsi="Arial"/>
          <w:b/>
          <w:bCs/>
          <w:sz w:val="28"/>
          <w:szCs w:val="28"/>
          <w:u w:val="single"/>
          <w:rtl/>
        </w:rPr>
      </w:pPr>
      <w:bookmarkStart w:id="5" w:name="PsakDin"/>
      <w:bookmarkEnd w:id="0"/>
      <w:r w:rsidRPr="0043002B">
        <w:rPr>
          <w:rFonts w:ascii="Arial" w:eastAsia="David" w:hAnsi="Arial"/>
          <w:b/>
          <w:bCs/>
          <w:sz w:val="28"/>
          <w:szCs w:val="28"/>
          <w:u w:val="single"/>
          <w:rtl/>
        </w:rPr>
        <w:t>הכרעת דין</w:t>
      </w:r>
    </w:p>
    <w:bookmarkEnd w:id="5"/>
    <w:p w14:paraId="1F212814" w14:textId="77777777" w:rsidR="00196DB6" w:rsidRDefault="00196DB6">
      <w:pPr>
        <w:pStyle w:val="David"/>
        <w:rPr>
          <w:rFonts w:ascii="David" w:hAnsi="David"/>
          <w:rtl/>
        </w:rPr>
      </w:pPr>
    </w:p>
    <w:p w14:paraId="560B4036" w14:textId="77777777" w:rsidR="00196DB6" w:rsidRDefault="0043002B">
      <w:pPr>
        <w:autoSpaceDE w:val="0"/>
        <w:autoSpaceDN w:val="0"/>
        <w:adjustRightInd w:val="0"/>
        <w:spacing w:line="360" w:lineRule="auto"/>
        <w:jc w:val="both"/>
        <w:rPr>
          <w:rFonts w:ascii="Arial" w:hAnsi="Arial"/>
          <w:rtl/>
        </w:rPr>
      </w:pPr>
      <w:r>
        <w:rPr>
          <w:rFonts w:ascii="Arial" w:hAnsi="Arial" w:hint="cs"/>
          <w:rtl/>
        </w:rPr>
        <w:t>בפתח הדברים, אני מודיע על זיכוי הנאשם, מחמת הספק, מעבירה של ביצוע מעשה מגונה בפומבי.</w:t>
      </w:r>
    </w:p>
    <w:p w14:paraId="08AB3342" w14:textId="77777777" w:rsidR="00196DB6" w:rsidRDefault="00196DB6">
      <w:pPr>
        <w:autoSpaceDE w:val="0"/>
        <w:autoSpaceDN w:val="0"/>
        <w:adjustRightInd w:val="0"/>
        <w:spacing w:line="360" w:lineRule="auto"/>
        <w:jc w:val="both"/>
        <w:rPr>
          <w:rFonts w:ascii="Arial" w:hAnsi="Arial"/>
          <w:color w:val="FF0000"/>
          <w:rtl/>
        </w:rPr>
      </w:pPr>
    </w:p>
    <w:p w14:paraId="2ADA2413" w14:textId="77777777" w:rsidR="00196DB6" w:rsidRDefault="0043002B">
      <w:pPr>
        <w:autoSpaceDE w:val="0"/>
        <w:autoSpaceDN w:val="0"/>
        <w:adjustRightInd w:val="0"/>
        <w:spacing w:line="360" w:lineRule="auto"/>
        <w:jc w:val="both"/>
        <w:rPr>
          <w:rFonts w:ascii="Times New Roman-Bold-1255" w:hAnsi="Arial (W1)"/>
          <w:b/>
          <w:bCs/>
          <w:rtl/>
        </w:rPr>
      </w:pPr>
      <w:bookmarkStart w:id="6" w:name="ABSTRACT_START"/>
      <w:bookmarkEnd w:id="6"/>
      <w:r>
        <w:rPr>
          <w:rFonts w:ascii="Times New Roman-Bold-1255" w:hint="cs"/>
          <w:rtl/>
        </w:rPr>
        <w:t xml:space="preserve">נגד הנאשם הוגש כתב אישום בגין עבירות של: </w:t>
      </w:r>
      <w:r>
        <w:rPr>
          <w:rFonts w:ascii="TimesNewRoman" w:hint="cs"/>
          <w:b/>
          <w:bCs/>
          <w:rtl/>
        </w:rPr>
        <w:t>תקיפה</w:t>
      </w:r>
      <w:r>
        <w:rPr>
          <w:rFonts w:ascii="TimesNewRoman" w:hint="cs"/>
          <w:b/>
          <w:bCs/>
        </w:rPr>
        <w:t xml:space="preserve"> </w:t>
      </w:r>
      <w:r>
        <w:rPr>
          <w:rFonts w:ascii="TimesNewRoman" w:hint="cs"/>
          <w:b/>
          <w:bCs/>
          <w:rtl/>
        </w:rPr>
        <w:t>סתם</w:t>
      </w:r>
      <w:r>
        <w:rPr>
          <w:rFonts w:ascii="TimesNewRoman" w:hint="cs"/>
          <w:rtl/>
        </w:rPr>
        <w:t>, עבירה</w:t>
      </w:r>
      <w:r>
        <w:rPr>
          <w:rFonts w:ascii="TimesNewRoman" w:hint="cs"/>
        </w:rPr>
        <w:t xml:space="preserve"> </w:t>
      </w:r>
      <w:r>
        <w:rPr>
          <w:rFonts w:ascii="TimesNewRoman" w:hint="cs"/>
          <w:rtl/>
        </w:rPr>
        <w:t>לפי</w:t>
      </w:r>
      <w:r>
        <w:rPr>
          <w:rFonts w:ascii="TimesNewRoman" w:hint="cs"/>
        </w:rPr>
        <w:t xml:space="preserve"> </w:t>
      </w:r>
      <w:hyperlink r:id="rId11" w:history="1">
        <w:r w:rsidR="00DF0D8F" w:rsidRPr="00DF0D8F">
          <w:rPr>
            <w:rFonts w:ascii="TimesNewRoman"/>
            <w:color w:val="0000FF"/>
            <w:u w:val="single"/>
            <w:rtl/>
          </w:rPr>
          <w:t>סעיף 379</w:t>
        </w:r>
      </w:hyperlink>
      <w:r>
        <w:rPr>
          <w:rFonts w:ascii="TimesNewRoman" w:hint="cs"/>
          <w:rtl/>
        </w:rPr>
        <w:t xml:space="preserve"> ל</w:t>
      </w:r>
      <w:hyperlink r:id="rId12" w:history="1">
        <w:r w:rsidR="00CA1F8C" w:rsidRPr="00CA1F8C">
          <w:rPr>
            <w:rStyle w:val="Hyperlink"/>
            <w:rFonts w:ascii="TimesNewRoman"/>
            <w:rtl/>
          </w:rPr>
          <w:t>חוק העונשין</w:t>
        </w:r>
      </w:hyperlink>
      <w:r>
        <w:rPr>
          <w:rFonts w:ascii="Times New Roman" w:hAnsi="Times New Roman" w:hint="cs"/>
          <w:rtl/>
        </w:rPr>
        <w:t>,</w:t>
      </w:r>
      <w:r>
        <w:rPr>
          <w:rFonts w:ascii="TimesNewRoman" w:hint="cs"/>
        </w:rPr>
        <w:t xml:space="preserve"> </w:t>
      </w:r>
      <w:r>
        <w:rPr>
          <w:rFonts w:ascii="TimesNewRoman" w:hint="cs"/>
          <w:rtl/>
        </w:rPr>
        <w:t>תשל</w:t>
      </w:r>
      <w:r>
        <w:rPr>
          <w:rFonts w:ascii="TimesNewRoman" w:hint="cs"/>
        </w:rPr>
        <w:t>"</w:t>
      </w:r>
      <w:r>
        <w:rPr>
          <w:rFonts w:ascii="TimesNewRoman" w:hint="cs"/>
          <w:rtl/>
        </w:rPr>
        <w:t>ז-1977 (להלן:"</w:t>
      </w:r>
      <w:r>
        <w:rPr>
          <w:rFonts w:ascii="TimesNewRoman" w:hint="cs"/>
          <w:b/>
          <w:bCs/>
          <w:rtl/>
        </w:rPr>
        <w:t>חוק העונשין</w:t>
      </w:r>
      <w:r>
        <w:rPr>
          <w:rFonts w:ascii="TimesNewRoman" w:hint="cs"/>
          <w:rtl/>
        </w:rPr>
        <w:t xml:space="preserve">"); </w:t>
      </w:r>
      <w:r>
        <w:rPr>
          <w:rFonts w:ascii="TimesNewRoman" w:hint="cs"/>
          <w:b/>
          <w:bCs/>
          <w:rtl/>
        </w:rPr>
        <w:t>מעשה</w:t>
      </w:r>
      <w:r>
        <w:rPr>
          <w:rFonts w:ascii="TimesNewRoman" w:hint="cs"/>
          <w:b/>
          <w:bCs/>
        </w:rPr>
        <w:t xml:space="preserve"> </w:t>
      </w:r>
      <w:r>
        <w:rPr>
          <w:rFonts w:ascii="TimesNewRoman" w:hint="cs"/>
          <w:b/>
          <w:bCs/>
          <w:rtl/>
        </w:rPr>
        <w:t>מגונה</w:t>
      </w:r>
      <w:r>
        <w:rPr>
          <w:rFonts w:ascii="TimesNewRoman" w:hint="cs"/>
          <w:b/>
          <w:bCs/>
        </w:rPr>
        <w:t xml:space="preserve"> </w:t>
      </w:r>
      <w:r>
        <w:rPr>
          <w:rFonts w:ascii="TimesNewRoman" w:hint="cs"/>
          <w:b/>
          <w:bCs/>
          <w:rtl/>
        </w:rPr>
        <w:t>בפומבי</w:t>
      </w:r>
      <w:r>
        <w:rPr>
          <w:rFonts w:ascii="TimesNewRoman" w:hint="cs"/>
          <w:rtl/>
        </w:rPr>
        <w:t>,</w:t>
      </w:r>
      <w:r>
        <w:rPr>
          <w:rFonts w:ascii="TimesNewRoman" w:hint="cs"/>
        </w:rPr>
        <w:t xml:space="preserve"> </w:t>
      </w:r>
      <w:r>
        <w:rPr>
          <w:rFonts w:ascii="TimesNewRoman" w:hint="cs"/>
          <w:rtl/>
        </w:rPr>
        <w:t>עבירה</w:t>
      </w:r>
      <w:r>
        <w:rPr>
          <w:rFonts w:ascii="TimesNewRoman" w:hint="cs"/>
        </w:rPr>
        <w:t xml:space="preserve"> </w:t>
      </w:r>
      <w:r>
        <w:rPr>
          <w:rFonts w:ascii="TimesNewRoman" w:hint="cs"/>
          <w:rtl/>
        </w:rPr>
        <w:t>לפי</w:t>
      </w:r>
      <w:r>
        <w:rPr>
          <w:rFonts w:ascii="TimesNewRoman" w:hint="cs"/>
        </w:rPr>
        <w:t xml:space="preserve"> </w:t>
      </w:r>
      <w:hyperlink r:id="rId13" w:history="1">
        <w:r w:rsidR="00DF0D8F" w:rsidRPr="00DF0D8F">
          <w:rPr>
            <w:rFonts w:ascii="TimesNewRoman"/>
            <w:color w:val="0000FF"/>
            <w:u w:val="single"/>
            <w:rtl/>
          </w:rPr>
          <w:t>סעיף 348</w:t>
        </w:r>
      </w:hyperlink>
      <w:r>
        <w:rPr>
          <w:rFonts w:ascii="TimesNewRoman" w:hint="cs"/>
        </w:rPr>
        <w:t xml:space="preserve"> </w:t>
      </w:r>
      <w:r>
        <w:rPr>
          <w:rFonts w:ascii="TimesNewRoman" w:hint="cs"/>
          <w:rtl/>
        </w:rPr>
        <w:t>לחוק</w:t>
      </w:r>
      <w:r>
        <w:rPr>
          <w:rFonts w:ascii="TimesNewRoman" w:hint="cs"/>
        </w:rPr>
        <w:t xml:space="preserve"> </w:t>
      </w:r>
      <w:r>
        <w:rPr>
          <w:rFonts w:ascii="TimesNewRoman" w:hint="cs"/>
          <w:rtl/>
        </w:rPr>
        <w:t>העונשין</w:t>
      </w:r>
      <w:r>
        <w:rPr>
          <w:rFonts w:ascii="Times New Roman-Bold-1255" w:hint="cs"/>
          <w:b/>
          <w:bCs/>
          <w:rtl/>
        </w:rPr>
        <w:t xml:space="preserve">. </w:t>
      </w:r>
    </w:p>
    <w:p w14:paraId="0DA6B01E" w14:textId="77777777" w:rsidR="00196DB6" w:rsidRDefault="00196DB6">
      <w:pPr>
        <w:autoSpaceDE w:val="0"/>
        <w:autoSpaceDN w:val="0"/>
        <w:adjustRightInd w:val="0"/>
        <w:spacing w:line="360" w:lineRule="auto"/>
        <w:jc w:val="both"/>
        <w:rPr>
          <w:rFonts w:ascii="Times New Roman-Bold-1255"/>
          <w:rtl/>
        </w:rPr>
      </w:pPr>
      <w:bookmarkStart w:id="7" w:name="ABSTRACT_END"/>
      <w:bookmarkEnd w:id="7"/>
    </w:p>
    <w:p w14:paraId="4EBF1FC0" w14:textId="77777777" w:rsidR="00196DB6" w:rsidRDefault="0043002B">
      <w:pPr>
        <w:autoSpaceDE w:val="0"/>
        <w:autoSpaceDN w:val="0"/>
        <w:adjustRightInd w:val="0"/>
        <w:spacing w:line="360" w:lineRule="auto"/>
        <w:jc w:val="both"/>
        <w:rPr>
          <w:rFonts w:ascii="TimesNewRoman"/>
          <w:rtl/>
        </w:rPr>
      </w:pPr>
      <w:r>
        <w:rPr>
          <w:rFonts w:ascii="Times New Roman-Bold-1255" w:hint="cs"/>
          <w:rtl/>
        </w:rPr>
        <w:t xml:space="preserve">עובדות המקרה פורטו בהרחבה בכתב האישום. בקליפת האגוז יאמר, כי ביום 1.8.07 </w:t>
      </w:r>
      <w:r>
        <w:rPr>
          <w:rFonts w:ascii="TimesNewRoman" w:hint="cs"/>
        </w:rPr>
        <w:t xml:space="preserve"> </w:t>
      </w:r>
      <w:r>
        <w:rPr>
          <w:rFonts w:ascii="TimesNewRoman" w:hint="cs"/>
          <w:rtl/>
        </w:rPr>
        <w:t>בשעה 01:00 לאחר חצות, או</w:t>
      </w:r>
      <w:r>
        <w:rPr>
          <w:rFonts w:ascii="TimesNewRoman" w:hint="cs"/>
        </w:rPr>
        <w:t xml:space="preserve"> </w:t>
      </w:r>
      <w:r>
        <w:rPr>
          <w:rFonts w:ascii="TimesNewRoman" w:hint="cs"/>
          <w:rtl/>
        </w:rPr>
        <w:t>בסמוך</w:t>
      </w:r>
      <w:r>
        <w:rPr>
          <w:rFonts w:ascii="TimesNewRoman" w:hint="cs"/>
        </w:rPr>
        <w:t xml:space="preserve"> </w:t>
      </w:r>
      <w:r>
        <w:rPr>
          <w:rFonts w:ascii="TimesNewRoman" w:hint="cs"/>
          <w:rtl/>
        </w:rPr>
        <w:t>לכך, בשער</w:t>
      </w:r>
      <w:r>
        <w:rPr>
          <w:rFonts w:ascii="TimesNewRoman" w:hint="cs"/>
        </w:rPr>
        <w:t xml:space="preserve"> </w:t>
      </w:r>
      <w:r>
        <w:rPr>
          <w:rFonts w:ascii="TimesNewRoman" w:hint="cs"/>
          <w:rtl/>
        </w:rPr>
        <w:t>המושב</w:t>
      </w:r>
      <w:r>
        <w:rPr>
          <w:rFonts w:ascii="TimesNewRoman" w:hint="cs"/>
        </w:rPr>
        <w:t xml:space="preserve"> </w:t>
      </w:r>
      <w:r>
        <w:rPr>
          <w:rFonts w:ascii="TimesNewRoman" w:hint="cs"/>
          <w:rtl/>
        </w:rPr>
        <w:t xml:space="preserve">שפר (להלן: </w:t>
      </w:r>
      <w:r>
        <w:rPr>
          <w:rFonts w:ascii="TimesNewRoman" w:hint="cs"/>
          <w:b/>
          <w:bCs/>
          <w:rtl/>
        </w:rPr>
        <w:t>"המושב"</w:t>
      </w:r>
      <w:r>
        <w:rPr>
          <w:rFonts w:ascii="TimesNewRoman" w:hint="cs"/>
          <w:rtl/>
        </w:rPr>
        <w:t>),</w:t>
      </w:r>
      <w:r>
        <w:rPr>
          <w:rFonts w:ascii="TimesNewRoman" w:hint="cs"/>
        </w:rPr>
        <w:t xml:space="preserve"> </w:t>
      </w:r>
      <w:r>
        <w:rPr>
          <w:rFonts w:ascii="TimesNewRoman" w:hint="cs"/>
          <w:rtl/>
        </w:rPr>
        <w:t>תקף</w:t>
      </w:r>
      <w:r>
        <w:rPr>
          <w:rFonts w:ascii="TimesNewRoman" w:hint="cs"/>
        </w:rPr>
        <w:t xml:space="preserve"> </w:t>
      </w:r>
      <w:r>
        <w:rPr>
          <w:rFonts w:ascii="TimesNewRoman" w:hint="cs"/>
          <w:rtl/>
        </w:rPr>
        <w:t>הנאשם</w:t>
      </w:r>
      <w:r>
        <w:rPr>
          <w:rFonts w:ascii="TimesNewRoman" w:hint="cs"/>
        </w:rPr>
        <w:t xml:space="preserve"> </w:t>
      </w:r>
      <w:r>
        <w:rPr>
          <w:rFonts w:ascii="TimesNewRoman" w:hint="cs"/>
          <w:rtl/>
        </w:rPr>
        <w:t>שלא</w:t>
      </w:r>
      <w:r>
        <w:rPr>
          <w:rFonts w:ascii="Times New Roman-Bold-1255" w:hint="cs"/>
          <w:b/>
          <w:bCs/>
          <w:rtl/>
        </w:rPr>
        <w:t xml:space="preserve"> </w:t>
      </w:r>
      <w:r>
        <w:rPr>
          <w:rFonts w:ascii="TimesNewRoman" w:hint="cs"/>
          <w:rtl/>
        </w:rPr>
        <w:t>כדין,</w:t>
      </w:r>
      <w:r>
        <w:rPr>
          <w:rFonts w:ascii="TimesNewRoman" w:hint="cs"/>
        </w:rPr>
        <w:t xml:space="preserve"> </w:t>
      </w:r>
      <w:r>
        <w:rPr>
          <w:rFonts w:ascii="TimesNewRoman" w:hint="cs"/>
          <w:rtl/>
        </w:rPr>
        <w:t>את</w:t>
      </w:r>
      <w:r>
        <w:rPr>
          <w:rFonts w:ascii="TimesNewRoman" w:hint="cs"/>
        </w:rPr>
        <w:t xml:space="preserve"> </w:t>
      </w:r>
      <w:r>
        <w:rPr>
          <w:rFonts w:ascii="TimesNewRoman" w:hint="cs"/>
          <w:rtl/>
        </w:rPr>
        <w:t>פאני</w:t>
      </w:r>
      <w:r>
        <w:rPr>
          <w:rFonts w:ascii="TimesNewRoman" w:hint="cs"/>
        </w:rPr>
        <w:t xml:space="preserve"> </w:t>
      </w:r>
      <w:r>
        <w:rPr>
          <w:rFonts w:ascii="TimesNewRoman" w:hint="cs"/>
          <w:rtl/>
        </w:rPr>
        <w:t>מרר (להלן: "</w:t>
      </w:r>
      <w:r>
        <w:rPr>
          <w:rFonts w:ascii="TimesNewRoman" w:hint="cs"/>
          <w:b/>
          <w:bCs/>
          <w:rtl/>
        </w:rPr>
        <w:t>המתלוננת</w:t>
      </w:r>
      <w:r>
        <w:rPr>
          <w:rFonts w:ascii="TimesNewRoman" w:hint="cs"/>
          <w:rtl/>
        </w:rPr>
        <w:t xml:space="preserve"> </w:t>
      </w:r>
      <w:r>
        <w:rPr>
          <w:rFonts w:ascii="TimesNewRoman" w:hint="cs"/>
          <w:b/>
          <w:bCs/>
          <w:rtl/>
        </w:rPr>
        <w:t>או פאני</w:t>
      </w:r>
      <w:r>
        <w:rPr>
          <w:rFonts w:ascii="TimesNewRoman" w:hint="cs"/>
          <w:rtl/>
        </w:rPr>
        <w:t>")</w:t>
      </w:r>
      <w:r>
        <w:rPr>
          <w:rFonts w:ascii="TimesNewRoman" w:hint="cs"/>
        </w:rPr>
        <w:t xml:space="preserve"> </w:t>
      </w:r>
      <w:r>
        <w:rPr>
          <w:rFonts w:ascii="TimesNewRoman" w:hint="cs"/>
          <w:rtl/>
        </w:rPr>
        <w:t>בכך</w:t>
      </w:r>
      <w:r>
        <w:rPr>
          <w:rFonts w:ascii="TimesNewRoman" w:hint="cs"/>
        </w:rPr>
        <w:t xml:space="preserve"> </w:t>
      </w:r>
      <w:r>
        <w:rPr>
          <w:rFonts w:ascii="TimesNewRoman" w:hint="cs"/>
          <w:rtl/>
        </w:rPr>
        <w:t>שהכה</w:t>
      </w:r>
      <w:r>
        <w:rPr>
          <w:rFonts w:ascii="TimesNewRoman" w:hint="cs"/>
        </w:rPr>
        <w:t xml:space="preserve"> </w:t>
      </w:r>
      <w:r>
        <w:rPr>
          <w:rFonts w:ascii="TimesNewRoman" w:hint="cs"/>
          <w:rtl/>
        </w:rPr>
        <w:t>אותה</w:t>
      </w:r>
      <w:r>
        <w:rPr>
          <w:rFonts w:ascii="TimesNewRoman" w:hint="cs"/>
        </w:rPr>
        <w:t xml:space="preserve"> </w:t>
      </w:r>
      <w:r>
        <w:rPr>
          <w:rFonts w:ascii="TimesNewRoman" w:hint="cs"/>
          <w:rtl/>
        </w:rPr>
        <w:t>בפניה</w:t>
      </w:r>
      <w:r>
        <w:rPr>
          <w:rFonts w:ascii="TimesNewRoman" w:hint="cs"/>
        </w:rPr>
        <w:t xml:space="preserve"> </w:t>
      </w:r>
      <w:r>
        <w:rPr>
          <w:rFonts w:ascii="TimesNewRoman" w:hint="cs"/>
          <w:rtl/>
        </w:rPr>
        <w:t>באמצעות</w:t>
      </w:r>
      <w:r>
        <w:rPr>
          <w:rFonts w:ascii="TimesNewRoman" w:hint="cs"/>
        </w:rPr>
        <w:t xml:space="preserve"> </w:t>
      </w:r>
      <w:r>
        <w:rPr>
          <w:rFonts w:ascii="TimesNewRoman" w:hint="cs"/>
          <w:rtl/>
        </w:rPr>
        <w:t>ידו,</w:t>
      </w:r>
      <w:r>
        <w:rPr>
          <w:rFonts w:ascii="TimesNewRoman" w:hint="cs"/>
        </w:rPr>
        <w:t xml:space="preserve"> </w:t>
      </w:r>
      <w:r>
        <w:rPr>
          <w:rFonts w:ascii="TimesNewRoman" w:hint="cs"/>
          <w:rtl/>
        </w:rPr>
        <w:t>שעה שישבה</w:t>
      </w:r>
      <w:r>
        <w:rPr>
          <w:rFonts w:ascii="TimesNewRoman" w:hint="cs"/>
        </w:rPr>
        <w:t xml:space="preserve"> </w:t>
      </w:r>
      <w:r>
        <w:rPr>
          <w:rFonts w:ascii="TimesNewRoman" w:hint="cs"/>
          <w:rtl/>
        </w:rPr>
        <w:t xml:space="preserve">ברכבה. </w:t>
      </w:r>
    </w:p>
    <w:p w14:paraId="1531F314" w14:textId="77777777" w:rsidR="00196DB6" w:rsidRDefault="0043002B">
      <w:pPr>
        <w:autoSpaceDE w:val="0"/>
        <w:autoSpaceDN w:val="0"/>
        <w:adjustRightInd w:val="0"/>
        <w:spacing w:line="360" w:lineRule="auto"/>
        <w:jc w:val="both"/>
        <w:rPr>
          <w:rFonts w:ascii="Times New Roman"/>
          <w:rtl/>
        </w:rPr>
      </w:pPr>
      <w:r>
        <w:rPr>
          <w:rFonts w:ascii="TimesNewRoman" w:hint="cs"/>
          <w:rtl/>
        </w:rPr>
        <w:t>בהמשך,</w:t>
      </w:r>
      <w:r>
        <w:rPr>
          <w:rFonts w:ascii="TimesNewRoman" w:hint="cs"/>
        </w:rPr>
        <w:t xml:space="preserve"> </w:t>
      </w:r>
      <w:r>
        <w:rPr>
          <w:rFonts w:ascii="TimesNewRoman" w:hint="cs"/>
          <w:rtl/>
        </w:rPr>
        <w:t>ביצע</w:t>
      </w:r>
      <w:r>
        <w:rPr>
          <w:rFonts w:ascii="TimesNewRoman" w:hint="cs"/>
        </w:rPr>
        <w:t xml:space="preserve"> </w:t>
      </w:r>
      <w:r>
        <w:rPr>
          <w:rFonts w:ascii="TimesNewRoman" w:hint="cs"/>
          <w:rtl/>
        </w:rPr>
        <w:t>הנאשם</w:t>
      </w:r>
      <w:r>
        <w:rPr>
          <w:rFonts w:ascii="TimesNewRoman" w:hint="cs"/>
        </w:rPr>
        <w:t xml:space="preserve"> </w:t>
      </w:r>
      <w:r>
        <w:rPr>
          <w:rFonts w:ascii="TimesNewRoman" w:hint="cs"/>
          <w:rtl/>
        </w:rPr>
        <w:t>מעשה</w:t>
      </w:r>
      <w:r>
        <w:rPr>
          <w:rFonts w:ascii="TimesNewRoman" w:hint="cs"/>
        </w:rPr>
        <w:t xml:space="preserve"> </w:t>
      </w:r>
      <w:r>
        <w:rPr>
          <w:rFonts w:ascii="TimesNewRoman" w:hint="cs"/>
          <w:rtl/>
        </w:rPr>
        <w:t>מגונה</w:t>
      </w:r>
      <w:r>
        <w:rPr>
          <w:rFonts w:ascii="TimesNewRoman" w:hint="cs"/>
        </w:rPr>
        <w:t xml:space="preserve"> </w:t>
      </w:r>
      <w:r>
        <w:rPr>
          <w:rFonts w:ascii="TimesNewRoman" w:hint="cs"/>
          <w:rtl/>
        </w:rPr>
        <w:t>בפומבי,</w:t>
      </w:r>
      <w:r>
        <w:rPr>
          <w:rFonts w:ascii="TimesNewRoman" w:hint="cs"/>
        </w:rPr>
        <w:t xml:space="preserve"> </w:t>
      </w:r>
      <w:r>
        <w:rPr>
          <w:rFonts w:ascii="TimesNewRoman" w:hint="cs"/>
          <w:rtl/>
        </w:rPr>
        <w:t>בכך</w:t>
      </w:r>
      <w:r>
        <w:rPr>
          <w:rFonts w:ascii="TimesNewRoman" w:hint="cs"/>
        </w:rPr>
        <w:t xml:space="preserve"> </w:t>
      </w:r>
      <w:r>
        <w:rPr>
          <w:rFonts w:ascii="TimesNewRoman" w:hint="cs"/>
          <w:rtl/>
        </w:rPr>
        <w:t>שחשף</w:t>
      </w:r>
      <w:r>
        <w:rPr>
          <w:rFonts w:ascii="TimesNewRoman" w:hint="cs"/>
        </w:rPr>
        <w:t xml:space="preserve"> </w:t>
      </w:r>
      <w:r>
        <w:rPr>
          <w:rFonts w:ascii="TimesNewRoman" w:hint="cs"/>
          <w:rtl/>
        </w:rPr>
        <w:t>את</w:t>
      </w:r>
      <w:r>
        <w:rPr>
          <w:rFonts w:ascii="TimesNewRoman" w:hint="cs"/>
        </w:rPr>
        <w:t xml:space="preserve"> </w:t>
      </w:r>
      <w:r>
        <w:rPr>
          <w:rFonts w:ascii="TimesNewRoman" w:hint="cs"/>
          <w:rtl/>
        </w:rPr>
        <w:t>איבר</w:t>
      </w:r>
      <w:r>
        <w:rPr>
          <w:rFonts w:ascii="TimesNewRoman" w:hint="cs"/>
        </w:rPr>
        <w:t xml:space="preserve"> </w:t>
      </w:r>
      <w:r>
        <w:rPr>
          <w:rFonts w:ascii="TimesNewRoman" w:hint="cs"/>
          <w:rtl/>
        </w:rPr>
        <w:t>מינו</w:t>
      </w:r>
      <w:r>
        <w:rPr>
          <w:rFonts w:ascii="TimesNewRoman" w:hint="cs"/>
        </w:rPr>
        <w:t xml:space="preserve"> </w:t>
      </w:r>
      <w:r>
        <w:rPr>
          <w:rFonts w:ascii="TimesNewRoman" w:hint="cs"/>
          <w:rtl/>
        </w:rPr>
        <w:t>בפני</w:t>
      </w:r>
      <w:r>
        <w:rPr>
          <w:rFonts w:ascii="TimesNewRoman" w:hint="cs"/>
        </w:rPr>
        <w:t xml:space="preserve"> </w:t>
      </w:r>
      <w:r>
        <w:rPr>
          <w:rFonts w:ascii="TimesNewRoman" w:hint="cs"/>
          <w:rtl/>
        </w:rPr>
        <w:t>המתלוננת</w:t>
      </w:r>
      <w:r>
        <w:rPr>
          <w:rFonts w:ascii="TimesNewRoman" w:hint="cs"/>
        </w:rPr>
        <w:t xml:space="preserve"> </w:t>
      </w:r>
      <w:r>
        <w:rPr>
          <w:rFonts w:ascii="TimesNewRoman" w:hint="cs"/>
          <w:rtl/>
        </w:rPr>
        <w:t>ואמר</w:t>
      </w:r>
      <w:r>
        <w:rPr>
          <w:rFonts w:ascii="TimesNewRoman" w:hint="cs"/>
        </w:rPr>
        <w:t xml:space="preserve"> </w:t>
      </w:r>
      <w:r>
        <w:rPr>
          <w:rFonts w:ascii="TimesNewRoman" w:hint="cs"/>
          <w:rtl/>
        </w:rPr>
        <w:t>לה:</w:t>
      </w:r>
      <w:r>
        <w:rPr>
          <w:rFonts w:ascii="TimesNewRoman" w:hint="cs"/>
        </w:rPr>
        <w:t xml:space="preserve"> </w:t>
      </w:r>
      <w:r>
        <w:rPr>
          <w:rFonts w:ascii="TimesNewRoman" w:hint="cs"/>
          <w:rtl/>
        </w:rPr>
        <w:t>שיזיין</w:t>
      </w:r>
      <w:r>
        <w:rPr>
          <w:rFonts w:ascii="TimesNewRoman" w:hint="cs"/>
        </w:rPr>
        <w:t xml:space="preserve"> </w:t>
      </w:r>
      <w:r>
        <w:rPr>
          <w:rFonts w:ascii="TimesNewRoman" w:hint="cs"/>
          <w:rtl/>
        </w:rPr>
        <w:t>אותה</w:t>
      </w:r>
      <w:r>
        <w:rPr>
          <w:rFonts w:ascii="TimesNewRoman" w:hint="cs"/>
        </w:rPr>
        <w:t xml:space="preserve"> </w:t>
      </w:r>
      <w:r>
        <w:rPr>
          <w:rFonts w:ascii="TimesNewRoman" w:hint="cs"/>
          <w:rtl/>
        </w:rPr>
        <w:t>ויביא</w:t>
      </w:r>
      <w:r>
        <w:rPr>
          <w:rFonts w:ascii="TimesNewRoman" w:hint="cs"/>
        </w:rPr>
        <w:t xml:space="preserve"> </w:t>
      </w:r>
      <w:r>
        <w:rPr>
          <w:rFonts w:ascii="TimesNewRoman" w:hint="cs"/>
          <w:rtl/>
        </w:rPr>
        <w:t>אנשים</w:t>
      </w:r>
      <w:r>
        <w:rPr>
          <w:rFonts w:ascii="TimesNewRoman" w:hint="cs"/>
        </w:rPr>
        <w:t xml:space="preserve"> </w:t>
      </w:r>
      <w:r>
        <w:rPr>
          <w:rFonts w:ascii="TimesNewRoman" w:hint="cs"/>
          <w:rtl/>
        </w:rPr>
        <w:t>מגבעת</w:t>
      </w:r>
      <w:r>
        <w:rPr>
          <w:rFonts w:ascii="TimesNewRoman" w:hint="cs"/>
        </w:rPr>
        <w:t xml:space="preserve"> </w:t>
      </w:r>
      <w:r>
        <w:rPr>
          <w:rFonts w:ascii="TimesNewRoman" w:hint="cs"/>
          <w:rtl/>
        </w:rPr>
        <w:t>אולגה</w:t>
      </w:r>
      <w:r>
        <w:rPr>
          <w:rFonts w:ascii="TimesNewRoman" w:hint="cs"/>
        </w:rPr>
        <w:t xml:space="preserve"> </w:t>
      </w:r>
      <w:r>
        <w:rPr>
          <w:rFonts w:ascii="TimesNewRoman" w:hint="cs"/>
          <w:rtl/>
        </w:rPr>
        <w:t>שיזיינו</w:t>
      </w:r>
      <w:r>
        <w:rPr>
          <w:rFonts w:ascii="TimesNewRoman" w:hint="cs"/>
        </w:rPr>
        <w:t xml:space="preserve"> </w:t>
      </w:r>
      <w:r>
        <w:rPr>
          <w:rFonts w:ascii="TimesNewRoman" w:hint="cs"/>
          <w:rtl/>
        </w:rPr>
        <w:t>אותה</w:t>
      </w:r>
      <w:r>
        <w:rPr>
          <w:rFonts w:hint="cs"/>
          <w:rtl/>
        </w:rPr>
        <w:t xml:space="preserve">. </w:t>
      </w:r>
    </w:p>
    <w:p w14:paraId="3846F014" w14:textId="77777777" w:rsidR="00196DB6" w:rsidRDefault="00196DB6">
      <w:pPr>
        <w:autoSpaceDE w:val="0"/>
        <w:autoSpaceDN w:val="0"/>
        <w:adjustRightInd w:val="0"/>
        <w:spacing w:line="360" w:lineRule="auto"/>
        <w:jc w:val="both"/>
        <w:rPr>
          <w:rFonts w:ascii="Arial (W1)"/>
          <w:b/>
          <w:bCs/>
          <w:u w:val="single"/>
          <w:rtl/>
        </w:rPr>
      </w:pPr>
    </w:p>
    <w:p w14:paraId="1474F062" w14:textId="77777777" w:rsidR="00196DB6" w:rsidRDefault="0043002B">
      <w:pPr>
        <w:autoSpaceDE w:val="0"/>
        <w:autoSpaceDN w:val="0"/>
        <w:adjustRightInd w:val="0"/>
        <w:spacing w:line="360" w:lineRule="auto"/>
        <w:jc w:val="both"/>
        <w:rPr>
          <w:b/>
          <w:bCs/>
          <w:u w:val="single"/>
          <w:rtl/>
        </w:rPr>
      </w:pPr>
      <w:r>
        <w:rPr>
          <w:rFonts w:hint="cs"/>
          <w:b/>
          <w:bCs/>
          <w:u w:val="single"/>
          <w:rtl/>
        </w:rPr>
        <w:t>תשובת הנאשם לכתב האישום:</w:t>
      </w:r>
    </w:p>
    <w:p w14:paraId="65368D28" w14:textId="77777777" w:rsidR="00196DB6" w:rsidRDefault="0043002B">
      <w:pPr>
        <w:pStyle w:val="normal-p"/>
        <w:bidi/>
        <w:spacing w:line="360" w:lineRule="auto"/>
        <w:jc w:val="both"/>
        <w:rPr>
          <w:rFonts w:cs="David"/>
          <w:rtl/>
        </w:rPr>
      </w:pPr>
      <w:r>
        <w:rPr>
          <w:rStyle w:val="normal-h"/>
          <w:rFonts w:cs="David" w:hint="cs"/>
          <w:rtl/>
        </w:rPr>
        <w:t xml:space="preserve">הנאשם הודה כי היה במקום ובזמן האירוע. הנאשם טען שהיה ויכוח מילולי עם המתלוננות, כאשר הוא היה תחת השפעת אלכוהול. הנאשם טוען שלא הוציא את איבר מינו ולא עשה מעשה מגונה. </w:t>
      </w:r>
    </w:p>
    <w:p w14:paraId="78D22227" w14:textId="77777777" w:rsidR="00196DB6" w:rsidRDefault="00196DB6">
      <w:pPr>
        <w:pStyle w:val="normal-p"/>
        <w:bidi/>
        <w:spacing w:line="360" w:lineRule="auto"/>
        <w:jc w:val="both"/>
        <w:rPr>
          <w:rFonts w:cs="David"/>
          <w:rtl/>
        </w:rPr>
      </w:pPr>
    </w:p>
    <w:p w14:paraId="30751E37" w14:textId="77777777" w:rsidR="00196DB6" w:rsidRDefault="0043002B">
      <w:pPr>
        <w:spacing w:before="100" w:beforeAutospacing="1" w:after="100" w:afterAutospacing="1" w:line="360" w:lineRule="auto"/>
        <w:jc w:val="both"/>
        <w:rPr>
          <w:b/>
          <w:bCs/>
          <w:rtl/>
        </w:rPr>
      </w:pPr>
      <w:r>
        <w:rPr>
          <w:rFonts w:hint="cs"/>
          <w:b/>
          <w:bCs/>
          <w:u w:val="single"/>
          <w:rtl/>
        </w:rPr>
        <w:t xml:space="preserve">דיון </w:t>
      </w:r>
      <w:r>
        <w:rPr>
          <w:rFonts w:hint="cs"/>
          <w:b/>
          <w:bCs/>
          <w:rtl/>
        </w:rPr>
        <w:t>:</w:t>
      </w:r>
    </w:p>
    <w:p w14:paraId="1814FB20" w14:textId="77777777" w:rsidR="00196DB6" w:rsidRDefault="0043002B">
      <w:pPr>
        <w:spacing w:before="100" w:beforeAutospacing="1" w:after="100" w:afterAutospacing="1" w:line="360" w:lineRule="auto"/>
        <w:jc w:val="both"/>
        <w:rPr>
          <w:rtl/>
        </w:rPr>
      </w:pPr>
      <w:r>
        <w:rPr>
          <w:rFonts w:hint="cs"/>
          <w:rtl/>
        </w:rPr>
        <w:t>לאחר שבחנתי את חומר הראיות, החלטתי לדחות את גרסת ההגנה ולקבל את גרסת עדי התביעה. עדויות שפרה (בת זוגה של פאני שהייתה נוכחת במקום) ופאני תומכות זו בזו, ביחס לקרות האירוע.  גרסת השתיים נתמכת בגרסת עד התביעה אלי סבג. נתתי דעתי לסתירות קלות בעניין רצף האירועים כפי שיפורט בהמשך אולם, חרף אותן פריכות מצאתי להעדיף את גרסת עדי התביעה על פני עדות הנאשם.</w:t>
      </w:r>
    </w:p>
    <w:p w14:paraId="77F2B79D" w14:textId="77777777" w:rsidR="00196DB6" w:rsidRDefault="0043002B">
      <w:pPr>
        <w:spacing w:before="100" w:beforeAutospacing="1" w:after="100" w:afterAutospacing="1" w:line="360" w:lineRule="auto"/>
        <w:ind w:left="720" w:hanging="720"/>
        <w:jc w:val="both"/>
        <w:rPr>
          <w:rtl/>
        </w:rPr>
      </w:pPr>
      <w:r>
        <w:rPr>
          <w:rFonts w:hint="cs"/>
          <w:rtl/>
        </w:rPr>
        <w:t>א.</w:t>
      </w:r>
      <w:r>
        <w:rPr>
          <w:rFonts w:hint="cs"/>
          <w:rtl/>
        </w:rPr>
        <w:tab/>
        <w:t>פאני, בת זוגה של שפרה, העידה, כי היא נהגה ברכב בו נסעה עם שפרה והגיעו לשער המושב. הנאשם היה בבוטקה של השומר, הוא היה "מסטול" ושיכור לגמרי (פרו' עמ' 13 ש' 5). הנאשם החל לצעוק לנערים שישבו ליד השער "</w:t>
      </w:r>
      <w:r>
        <w:rPr>
          <w:rFonts w:hint="cs"/>
          <w:b/>
          <w:bCs/>
          <w:rtl/>
        </w:rPr>
        <w:t>לפתוח את השער לשתי הזונות האלו</w:t>
      </w:r>
      <w:r>
        <w:rPr>
          <w:rFonts w:hint="cs"/>
          <w:rtl/>
        </w:rPr>
        <w:t>". השער לא נפתח והנאשם הגיע אליהן לרכב. הנאשם דחף אותה בידו בכתפה, מבעד לחלון שהיה פתוח (פרו' עמ' 13 ש' 7-9). שפרה יצאה מהרכב, פאני נשארה והמתינה כשהיא צופה לכיוון השער. הנאשם חזר לרכב, נתן לפאני אגרוף בפניה, בלסת התחתונה, הוציא את איבר מינו  מהמכנסים, ואמר לה "</w:t>
      </w:r>
      <w:r>
        <w:rPr>
          <w:rFonts w:hint="cs"/>
          <w:b/>
          <w:bCs/>
          <w:rtl/>
        </w:rPr>
        <w:t>תמצצי לי יה זונה</w:t>
      </w:r>
      <w:r>
        <w:rPr>
          <w:rFonts w:hint="cs"/>
          <w:rtl/>
        </w:rPr>
        <w:t xml:space="preserve">"(פרו' עמ' 13 ש' 21-22). </w:t>
      </w:r>
    </w:p>
    <w:p w14:paraId="357AFCB2" w14:textId="77777777" w:rsidR="00196DB6" w:rsidRDefault="0043002B">
      <w:pPr>
        <w:spacing w:before="100" w:beforeAutospacing="1" w:after="100" w:afterAutospacing="1" w:line="360" w:lineRule="auto"/>
        <w:ind w:firstLine="360"/>
        <w:jc w:val="both"/>
        <w:rPr>
          <w:rtl/>
        </w:rPr>
      </w:pPr>
      <w:r>
        <w:rPr>
          <w:rFonts w:hint="cs"/>
          <w:rtl/>
        </w:rPr>
        <w:tab/>
        <w:t xml:space="preserve">פאני העידה, כי שפרה ואנשים אחרים ראו את מעשי הנאשם, בזמן שהיא עמדה ליד </w:t>
      </w:r>
      <w:r>
        <w:rPr>
          <w:rFonts w:hint="cs"/>
          <w:rtl/>
        </w:rPr>
        <w:tab/>
        <w:t xml:space="preserve">הרכב. </w:t>
      </w:r>
    </w:p>
    <w:p w14:paraId="4A3CF97A" w14:textId="77777777" w:rsidR="00196DB6" w:rsidRDefault="0043002B">
      <w:pPr>
        <w:spacing w:before="100" w:beforeAutospacing="1" w:after="100" w:afterAutospacing="1" w:line="360" w:lineRule="auto"/>
        <w:jc w:val="both"/>
        <w:rPr>
          <w:rtl/>
        </w:rPr>
      </w:pPr>
      <w:r>
        <w:rPr>
          <w:rFonts w:hint="cs"/>
          <w:rtl/>
        </w:rPr>
        <w:tab/>
        <w:t xml:space="preserve">פאני העידה, כי היא התרשמה שהנאשם שיכור, אחרת לא היה אומר את הדברים שהוא </w:t>
      </w:r>
      <w:r>
        <w:rPr>
          <w:rFonts w:hint="cs"/>
          <w:rtl/>
        </w:rPr>
        <w:tab/>
        <w:t xml:space="preserve">אמר (פרו' עמ' 16 ש' 24-25). </w:t>
      </w:r>
    </w:p>
    <w:p w14:paraId="203B9BBB" w14:textId="77777777" w:rsidR="00196DB6" w:rsidRDefault="0043002B">
      <w:pPr>
        <w:spacing w:before="100" w:beforeAutospacing="1" w:after="100" w:afterAutospacing="1" w:line="360" w:lineRule="auto"/>
        <w:ind w:left="720"/>
        <w:jc w:val="both"/>
        <w:rPr>
          <w:rtl/>
        </w:rPr>
      </w:pPr>
      <w:r>
        <w:rPr>
          <w:rFonts w:hint="cs"/>
          <w:rtl/>
        </w:rPr>
        <w:t xml:space="preserve">פאני אישרה בחקירתה הנגדית, כי היא הזמינה את המשטרה לאחר שקיבלה את מכת האגרוף. מיד לאחר מיכן, הפסיק הנאשם את מעשה התקיפה. פאני התקשרה למספר טלפון 101 והם ביקשו ממנה שתישאר על הקו עד שתגיע ניידת משטרה. פאני ציינה כי הן נסעו </w:t>
      </w:r>
      <w:r>
        <w:rPr>
          <w:rFonts w:hint="cs"/>
          <w:rtl/>
        </w:rPr>
        <w:lastRenderedPageBreak/>
        <w:t xml:space="preserve">לביתו של אלי סבג, שהוא חבר ועד  המושב, </w:t>
      </w:r>
      <w:r>
        <w:rPr>
          <w:rFonts w:hint="cs"/>
          <w:b/>
          <w:bCs/>
          <w:rtl/>
        </w:rPr>
        <w:t>"כדי שיבוא ויראה מי שומר אצלו בשער</w:t>
      </w:r>
      <w:r>
        <w:rPr>
          <w:rFonts w:hint="cs"/>
          <w:rtl/>
        </w:rPr>
        <w:t xml:space="preserve">" (פרו' עמ' 15 ש' 14-20). </w:t>
      </w:r>
    </w:p>
    <w:p w14:paraId="29D229AE" w14:textId="77777777" w:rsidR="00196DB6" w:rsidRDefault="0043002B">
      <w:pPr>
        <w:spacing w:before="100" w:beforeAutospacing="1" w:after="100" w:afterAutospacing="1" w:line="360" w:lineRule="auto"/>
        <w:ind w:left="720"/>
        <w:jc w:val="both"/>
        <w:rPr>
          <w:rtl/>
        </w:rPr>
      </w:pPr>
      <w:r>
        <w:rPr>
          <w:rFonts w:hint="cs"/>
          <w:rtl/>
        </w:rPr>
        <w:t xml:space="preserve">בחקירתה הנגדית פאני לא הייתה בטוחה ביחס לסדר האירועים וכן ציינה, כי היא לא יודעת מה החוקר רשם. (פרו' עמ' 17 ש' 7). </w:t>
      </w:r>
    </w:p>
    <w:p w14:paraId="7E95BC64" w14:textId="77777777" w:rsidR="00196DB6" w:rsidRDefault="0043002B">
      <w:pPr>
        <w:spacing w:before="100" w:beforeAutospacing="1" w:after="100" w:afterAutospacing="1" w:line="360" w:lineRule="auto"/>
        <w:ind w:left="720" w:hanging="720"/>
        <w:jc w:val="both"/>
        <w:rPr>
          <w:rtl/>
        </w:rPr>
      </w:pPr>
      <w:r>
        <w:rPr>
          <w:rFonts w:hint="cs"/>
          <w:rtl/>
        </w:rPr>
        <w:tab/>
        <w:t xml:space="preserve"> בהודעתה במשטרה (</w:t>
      </w:r>
      <w:r>
        <w:rPr>
          <w:rFonts w:hint="cs"/>
          <w:b/>
          <w:bCs/>
          <w:rtl/>
        </w:rPr>
        <w:t>נ/1</w:t>
      </w:r>
      <w:r>
        <w:rPr>
          <w:rFonts w:hint="cs"/>
          <w:rtl/>
        </w:rPr>
        <w:t>), פאני העידה כי הנאשם ניגש אליה לרכב, נתן לה אגרוף בפנים, ירק עליה ודחף אותה. בהמשך, הנאשם הוציא את איבר מינו, כשהוא עומד מולה, החזיק בו ואמר: "</w:t>
      </w:r>
      <w:r>
        <w:rPr>
          <w:rFonts w:hint="cs"/>
          <w:b/>
          <w:bCs/>
          <w:rtl/>
        </w:rPr>
        <w:t>תמצצי לי יא זונה</w:t>
      </w:r>
      <w:r>
        <w:rPr>
          <w:rFonts w:hint="cs"/>
          <w:rtl/>
        </w:rPr>
        <w:t>" רק אז פאני חייגה למשטרה. הנאשם חזר לבוטקה והחל לקלל אותה "</w:t>
      </w:r>
      <w:r>
        <w:rPr>
          <w:rFonts w:hint="cs"/>
          <w:b/>
          <w:bCs/>
          <w:rtl/>
        </w:rPr>
        <w:t>זונה מאור עקיבא אני אשלם לך אנשים מאולגה יזיינו אותך</w:t>
      </w:r>
      <w:r>
        <w:rPr>
          <w:rFonts w:hint="cs"/>
          <w:rtl/>
        </w:rPr>
        <w:t xml:space="preserve">". </w:t>
      </w:r>
    </w:p>
    <w:p w14:paraId="516953C5" w14:textId="77777777" w:rsidR="00196DB6" w:rsidRDefault="0043002B">
      <w:pPr>
        <w:spacing w:before="100" w:beforeAutospacing="1" w:after="100" w:afterAutospacing="1" w:line="360" w:lineRule="auto"/>
        <w:ind w:left="720"/>
        <w:jc w:val="both"/>
        <w:rPr>
          <w:rtl/>
        </w:rPr>
      </w:pPr>
      <w:r>
        <w:rPr>
          <w:rFonts w:hint="cs"/>
          <w:rtl/>
        </w:rPr>
        <w:t xml:space="preserve">פאני ציינה במשטרה, כי היא לא חשה  בטוב, נפגעה בלסת ושהיא צריכה טיפול רפואי. </w:t>
      </w:r>
    </w:p>
    <w:p w14:paraId="50BF87C1" w14:textId="77777777" w:rsidR="00196DB6" w:rsidRDefault="0043002B">
      <w:pPr>
        <w:spacing w:before="100" w:beforeAutospacing="1" w:after="100" w:afterAutospacing="1" w:line="360" w:lineRule="auto"/>
        <w:ind w:left="720"/>
        <w:jc w:val="both"/>
        <w:rPr>
          <w:rtl/>
        </w:rPr>
      </w:pPr>
      <w:r>
        <w:rPr>
          <w:rFonts w:hint="cs"/>
          <w:rtl/>
        </w:rPr>
        <w:t xml:space="preserve">בחנתי את גרסתה של פאני ומצאתי שהיא גרסה אמינה, תואמת את גרסתה במשטרה ומשתלבת היטב עם הגרסה שמסרו אלי סבג ושפרה. נתתי דעתי לפריכות שבעדות ביחס לסדר האירועים, אולם נחה דעתי כי מדובר באירוע טראומטי. כל מקטע ברצף האירועים מתואר באופן דומה ע"י העדים, חוסר התאמה הוא בסדר המקטעים. לא מצאתי בפריכות כדי לפגום במשקל העדות.   בבית המשפט הסבירה פאני כי בעת גביית הודעתה במשטרה הייתה מטושטשת ולאחר מכן נסעה לחדר מיון.  התרשמתי כי פאני דוברת אמת ולא ניסתה להעליל על הנאשם. </w:t>
      </w:r>
    </w:p>
    <w:p w14:paraId="5EC7D320" w14:textId="77777777" w:rsidR="00196DB6" w:rsidRDefault="0043002B">
      <w:pPr>
        <w:spacing w:before="100" w:beforeAutospacing="1" w:after="100" w:afterAutospacing="1" w:line="360" w:lineRule="auto"/>
        <w:ind w:left="720" w:hanging="720"/>
        <w:jc w:val="both"/>
        <w:rPr>
          <w:rtl/>
        </w:rPr>
      </w:pPr>
      <w:r>
        <w:rPr>
          <w:rFonts w:hint="cs"/>
          <w:rtl/>
        </w:rPr>
        <w:t>ב.</w:t>
      </w:r>
      <w:r>
        <w:rPr>
          <w:rFonts w:hint="cs"/>
          <w:rtl/>
        </w:rPr>
        <w:tab/>
        <w:t>שפרה נסעה ברכב עם פאני. שפרה העידה, כי האירוע החל בעת שהיו ביציאה מהישוב, הגיעו לשער אשר היה סגור, הנאשם צעק לעברן: "</w:t>
      </w:r>
      <w:r>
        <w:rPr>
          <w:rFonts w:hint="cs"/>
          <w:b/>
          <w:bCs/>
          <w:rtl/>
        </w:rPr>
        <w:t>תפתחו את השער לזונות האלה. הוא ניגש אלי לסובארו ואמרתי לו למי אתה אומר זונות, ועם היד שלי נתן לי כפה בסנטר</w:t>
      </w:r>
      <w:r>
        <w:rPr>
          <w:rFonts w:hint="cs"/>
          <w:rtl/>
        </w:rPr>
        <w:t>". בבית המשפט הדגימה העדה אתה מכה בסנטר. לאחר מכן אמרה לנאשם למי אתה אומר זונות והוא אמר לה "</w:t>
      </w:r>
      <w:r>
        <w:rPr>
          <w:rFonts w:hint="cs"/>
          <w:b/>
          <w:bCs/>
          <w:rtl/>
        </w:rPr>
        <w:t>לך ועוד פעם נתן לי מכה בסנטר</w:t>
      </w:r>
      <w:r>
        <w:rPr>
          <w:rFonts w:hint="cs"/>
          <w:rtl/>
        </w:rPr>
        <w:t>"(פרו' עמ' 20 ש' 1-5).</w:t>
      </w:r>
    </w:p>
    <w:p w14:paraId="32FB4E90" w14:textId="77777777" w:rsidR="00196DB6" w:rsidRDefault="0043002B">
      <w:pPr>
        <w:spacing w:before="100" w:beforeAutospacing="1" w:after="100" w:afterAutospacing="1" w:line="360" w:lineRule="auto"/>
        <w:ind w:left="720" w:firstLine="60"/>
        <w:jc w:val="both"/>
        <w:rPr>
          <w:rtl/>
        </w:rPr>
      </w:pPr>
      <w:r>
        <w:rPr>
          <w:rFonts w:hint="cs"/>
          <w:rtl/>
        </w:rPr>
        <w:t xml:space="preserve">שפרה אמרה לנאשם שהיא מזמינה משטרה ונסעה לאלי  סבג. שפרה ביקשה  מסבג  שיבוא לראות כיצד מתנהג הנאשם - השומר של הישוב. השלושה חזרו לשער, הנאשם סירב לפתוח את השער והתחיל לקלל אותן. </w:t>
      </w:r>
    </w:p>
    <w:p w14:paraId="6E01BF47" w14:textId="77777777" w:rsidR="00196DB6" w:rsidRDefault="0043002B">
      <w:pPr>
        <w:spacing w:before="100" w:beforeAutospacing="1" w:after="100" w:afterAutospacing="1" w:line="360" w:lineRule="auto"/>
        <w:ind w:left="720"/>
        <w:jc w:val="both"/>
        <w:rPr>
          <w:rtl/>
        </w:rPr>
      </w:pPr>
      <w:r>
        <w:rPr>
          <w:rFonts w:hint="cs"/>
          <w:rtl/>
        </w:rPr>
        <w:t>שפרה העידה : "</w:t>
      </w:r>
      <w:r>
        <w:rPr>
          <w:rFonts w:hint="cs"/>
          <w:b/>
          <w:bCs/>
          <w:rtl/>
        </w:rPr>
        <w:t xml:space="preserve">התחיל לקלל לעברנו והתחיל להוציא את איבר המין ובא לפני </w:t>
      </w:r>
      <w:r>
        <w:rPr>
          <w:rFonts w:hint="cs"/>
          <w:rtl/>
        </w:rPr>
        <w:t>(צריך להיות לפאני ד.פ)</w:t>
      </w:r>
      <w:r>
        <w:rPr>
          <w:rFonts w:hint="cs"/>
          <w:b/>
          <w:bCs/>
          <w:rtl/>
        </w:rPr>
        <w:t xml:space="preserve"> לחלון ואמר לה - תמצצי לי תמצצי לי והיא נטתה עם הראש ככה הצידה, ואז הוא נתן לה אגרוף בשינים ויריקה</w:t>
      </w:r>
      <w:r>
        <w:rPr>
          <w:rFonts w:hint="cs"/>
          <w:rtl/>
        </w:rPr>
        <w:t>" (פרו' עמ' 20 ש' 7-9).</w:t>
      </w:r>
    </w:p>
    <w:p w14:paraId="5414063F" w14:textId="77777777" w:rsidR="00196DB6" w:rsidRDefault="0043002B">
      <w:pPr>
        <w:spacing w:before="100" w:beforeAutospacing="1" w:after="100" w:afterAutospacing="1" w:line="360" w:lineRule="auto"/>
        <w:ind w:left="720"/>
        <w:jc w:val="both"/>
        <w:rPr>
          <w:rtl/>
        </w:rPr>
      </w:pPr>
      <w:r>
        <w:rPr>
          <w:rFonts w:hint="cs"/>
          <w:rtl/>
        </w:rPr>
        <w:t>שפרה אישרה כי הנאשם אמר להם "</w:t>
      </w:r>
      <w:r>
        <w:rPr>
          <w:rFonts w:hint="cs"/>
          <w:b/>
          <w:bCs/>
          <w:rtl/>
        </w:rPr>
        <w:t xml:space="preserve">אני אביא לכם אנשים מאולגה שיזיינו </w:t>
      </w:r>
      <w:r>
        <w:rPr>
          <w:rFonts w:hint="cs"/>
          <w:b/>
          <w:bCs/>
          <w:rtl/>
        </w:rPr>
        <w:tab/>
        <w:t>אתכם</w:t>
      </w:r>
      <w:r>
        <w:rPr>
          <w:rFonts w:hint="cs"/>
          <w:rtl/>
        </w:rPr>
        <w:t>" (פרו' עמ' 20 ש' 11).</w:t>
      </w:r>
    </w:p>
    <w:p w14:paraId="1F4077AE" w14:textId="77777777" w:rsidR="00196DB6" w:rsidRDefault="0043002B">
      <w:pPr>
        <w:spacing w:before="100" w:beforeAutospacing="1" w:after="100" w:afterAutospacing="1" w:line="360" w:lineRule="auto"/>
        <w:ind w:left="720"/>
        <w:jc w:val="both"/>
        <w:rPr>
          <w:rtl/>
        </w:rPr>
      </w:pPr>
      <w:r>
        <w:rPr>
          <w:rFonts w:hint="cs"/>
          <w:rtl/>
        </w:rPr>
        <w:lastRenderedPageBreak/>
        <w:t>שפרה  העידה, כי לפני שהם נסעו לאלי סבג, הנאשם נתן אגרוף לפאני ואילו לאחר שחזרו מאלי סבג:  "</w:t>
      </w:r>
      <w:r>
        <w:rPr>
          <w:rFonts w:hint="cs"/>
          <w:b/>
          <w:bCs/>
          <w:rtl/>
        </w:rPr>
        <w:t>השער היה סגור ועם הגוף שלו עצר אותנו ובא לכיוון של פאני והוציא את האיבר מין ובא לה לחלון של הרכב ואמר לה קחי תמצצי ונתן לה אגרוף בפנים ויריקה</w:t>
      </w:r>
      <w:r>
        <w:rPr>
          <w:rFonts w:hint="cs"/>
          <w:rtl/>
        </w:rPr>
        <w:t xml:space="preserve">". שפרה העידה כי גרסת פאני לפיה הנאשם אמר תפתחו את השער לזונות ולאחר מכן בא אליה ונתן לה אגרוף, לא נכונה כי האגרוף ניתן לה אחרי שהן חזרו מאלי סבג (פרו' עמ' 22 ש'  6-17).  </w:t>
      </w:r>
    </w:p>
    <w:p w14:paraId="073C0B0E" w14:textId="77777777" w:rsidR="00196DB6" w:rsidRDefault="0043002B">
      <w:pPr>
        <w:spacing w:before="100" w:beforeAutospacing="1" w:after="100" w:afterAutospacing="1" w:line="360" w:lineRule="auto"/>
        <w:ind w:left="720"/>
        <w:jc w:val="both"/>
        <w:rPr>
          <w:rtl/>
        </w:rPr>
      </w:pPr>
      <w:r>
        <w:rPr>
          <w:rFonts w:ascii="Arial" w:hAnsi="Arial" w:hint="cs"/>
          <w:rtl/>
        </w:rPr>
        <w:t>נתתי דעתי לפריכה בעדויות ביחס למי הזמין את המשטרה תוך שאני מאמץ את האפשרות כי פאני התקשרה למד"א 101 בעוד שיפרה התקשה למשטרה. לא נעלמה מעיניי כי קיימת פריכה באשר חשיפת איבר המין היתה לפני שנסעו לביתו של אלי סבג (לפי גרסת פאני) או אחרי שחזרו מביתו של אלי (גרסת שפרה).</w:t>
      </w:r>
    </w:p>
    <w:p w14:paraId="2580DE72" w14:textId="77777777" w:rsidR="00196DB6" w:rsidRDefault="0043002B">
      <w:pPr>
        <w:spacing w:before="100" w:beforeAutospacing="1" w:after="100" w:afterAutospacing="1" w:line="360" w:lineRule="auto"/>
        <w:ind w:left="720" w:hanging="720"/>
        <w:jc w:val="both"/>
        <w:rPr>
          <w:rtl/>
        </w:rPr>
      </w:pPr>
      <w:r>
        <w:rPr>
          <w:rFonts w:hint="cs"/>
          <w:rtl/>
        </w:rPr>
        <w:tab/>
        <w:t xml:space="preserve">שפרה העידה כי הנאשם התארח בביתן מספר פעמים והוא גילה עניין בפאני. התרשמתי כי שפרה אינה מעלילה על הנאשם ואין היא מבקשת  להרע לו. הנאשם פגע במתלוננת ובשפרה והיא מבקשות שיעשה דין עמו. מצאתי לתת משקל מלא לעדותה של שפרה. </w:t>
      </w:r>
    </w:p>
    <w:p w14:paraId="5BE28465" w14:textId="77777777" w:rsidR="00196DB6" w:rsidRDefault="0043002B">
      <w:pPr>
        <w:spacing w:before="100" w:beforeAutospacing="1" w:after="100" w:afterAutospacing="1" w:line="360" w:lineRule="auto"/>
        <w:ind w:left="720" w:hanging="720"/>
        <w:jc w:val="both"/>
        <w:rPr>
          <w:rtl/>
        </w:rPr>
      </w:pPr>
      <w:r>
        <w:rPr>
          <w:rFonts w:hint="cs"/>
          <w:rtl/>
        </w:rPr>
        <w:t>ג.</w:t>
      </w:r>
      <w:r>
        <w:rPr>
          <w:rFonts w:hint="cs"/>
          <w:rtl/>
        </w:rPr>
        <w:tab/>
        <w:t xml:space="preserve">אלי סבג העיד, כי בסביבות חצות, הגיעה לביתו שפרה וביקשה ממנו שיתלווה אליה לשער המושב, מאחר והנאשם מקלל ולא נותן לה לצאת מהשער. אלי נסע לשער. כאשר הגיע למקום האוטו של שפרה היה בשער והוא היה במרחק של  10  מטרים מהנאשם. </w:t>
      </w:r>
    </w:p>
    <w:p w14:paraId="1BFDED63" w14:textId="77777777" w:rsidR="00196DB6" w:rsidRDefault="0043002B">
      <w:pPr>
        <w:spacing w:before="100" w:beforeAutospacing="1" w:after="100" w:afterAutospacing="1" w:line="360" w:lineRule="auto"/>
        <w:ind w:left="720"/>
        <w:jc w:val="both"/>
        <w:rPr>
          <w:rtl/>
        </w:rPr>
      </w:pPr>
      <w:r>
        <w:rPr>
          <w:rFonts w:hint="cs"/>
          <w:rtl/>
        </w:rPr>
        <w:t>אלי העיד:"</w:t>
      </w:r>
      <w:r>
        <w:rPr>
          <w:rFonts w:hint="cs"/>
          <w:b/>
          <w:bCs/>
          <w:rtl/>
        </w:rPr>
        <w:t>חניתי את האוטו ותוך כדי שאני בא אני רואה את דורון אוחז במפשעה שלו ומקלל במלים כמו שרמוטה וכל מיני מלים</w:t>
      </w:r>
      <w:r>
        <w:rPr>
          <w:rFonts w:hint="cs"/>
          <w:rtl/>
        </w:rPr>
        <w:t xml:space="preserve">" (פרו' עמ'  25 עמ' 25-26). </w:t>
      </w:r>
    </w:p>
    <w:p w14:paraId="7788A882" w14:textId="77777777" w:rsidR="00196DB6" w:rsidRDefault="0043002B">
      <w:pPr>
        <w:spacing w:before="100" w:beforeAutospacing="1" w:after="100" w:afterAutospacing="1" w:line="360" w:lineRule="auto"/>
        <w:ind w:left="720"/>
        <w:jc w:val="both"/>
        <w:rPr>
          <w:rtl/>
        </w:rPr>
      </w:pPr>
      <w:r>
        <w:rPr>
          <w:rFonts w:hint="cs"/>
          <w:rtl/>
        </w:rPr>
        <w:t xml:space="preserve">"ת: </w:t>
      </w:r>
      <w:r>
        <w:rPr>
          <w:rFonts w:hint="cs"/>
          <w:b/>
          <w:bCs/>
          <w:rtl/>
        </w:rPr>
        <w:t xml:space="preserve">שפרה כבר היתה שם כשבאתי לשער ככל הנראה. אני ראיתי את דורון מקלל ומשחק במפשעה, ראיתי את הרכב, לא ראיתי מי ברכב, כי היה לילה, הכנסתי את דורון בפנים לתוך הבודקה לראות איך אפשר לפתוח את השער, ואז המשטרה </w:t>
      </w:r>
      <w:r>
        <w:rPr>
          <w:rFonts w:hint="cs"/>
          <w:b/>
          <w:bCs/>
          <w:rtl/>
        </w:rPr>
        <w:tab/>
        <w:t>הגיעה. דורון היה שתוי"</w:t>
      </w:r>
      <w:r>
        <w:rPr>
          <w:rFonts w:hint="cs"/>
          <w:rtl/>
        </w:rPr>
        <w:t xml:space="preserve"> (פרו' עמ' 26 עמ' 2-4).  </w:t>
      </w:r>
    </w:p>
    <w:p w14:paraId="50B5703F" w14:textId="77777777" w:rsidR="00196DB6" w:rsidRDefault="0043002B">
      <w:pPr>
        <w:spacing w:before="100" w:beforeAutospacing="1" w:after="100" w:afterAutospacing="1" w:line="360" w:lineRule="auto"/>
        <w:ind w:left="720"/>
        <w:jc w:val="both"/>
        <w:rPr>
          <w:rtl/>
        </w:rPr>
      </w:pPr>
      <w:r>
        <w:rPr>
          <w:rFonts w:hint="cs"/>
          <w:rtl/>
        </w:rPr>
        <w:t>אלי אישר, כי הוא בוודאות לא ראה שהנאשם הוציא את איבר מינו והעיד כי כאשר הגיעו אליו הן דיברו על קללות (פרו' עמ' 26 ש' 21-25).</w:t>
      </w:r>
    </w:p>
    <w:p w14:paraId="5BA005D0" w14:textId="77777777" w:rsidR="00196DB6" w:rsidRDefault="0043002B">
      <w:pPr>
        <w:spacing w:before="100" w:beforeAutospacing="1" w:after="100" w:afterAutospacing="1" w:line="360" w:lineRule="auto"/>
        <w:ind w:left="720"/>
        <w:jc w:val="both"/>
        <w:rPr>
          <w:rtl/>
        </w:rPr>
      </w:pPr>
      <w:r>
        <w:rPr>
          <w:rFonts w:hint="cs"/>
          <w:rtl/>
        </w:rPr>
        <w:t xml:space="preserve">אלי נשאל, אם הוא ראה את הנאשם מוריד את המכנסים והעיד כי הוא לא ראה בוודאות שהנאשם מוריד את המכנסיים או מכניס את היד </w:t>
      </w:r>
      <w:r>
        <w:rPr>
          <w:rFonts w:hint="cs"/>
          <w:rtl/>
        </w:rPr>
        <w:tab/>
        <w:t xml:space="preserve">לתוך המכנסים אלא ראה אותו אוחז במלוא כף ידו את המפשעה (פרו' עמ' 26 ש' 21-26). </w:t>
      </w:r>
    </w:p>
    <w:p w14:paraId="250BF01B" w14:textId="77777777" w:rsidR="00196DB6" w:rsidRDefault="0043002B">
      <w:pPr>
        <w:spacing w:before="100" w:beforeAutospacing="1" w:after="100" w:afterAutospacing="1" w:line="360" w:lineRule="auto"/>
        <w:ind w:left="720"/>
        <w:jc w:val="both"/>
        <w:rPr>
          <w:rtl/>
        </w:rPr>
      </w:pPr>
      <w:r>
        <w:rPr>
          <w:rFonts w:hint="cs"/>
          <w:rtl/>
        </w:rPr>
        <w:t xml:space="preserve">אלי העיד, כי הנאשם דיבר לא לעניין והתרשם שלא הבין מה קורה והיה שיכור ולא </w:t>
      </w:r>
      <w:r>
        <w:rPr>
          <w:rFonts w:hint="cs"/>
          <w:rtl/>
        </w:rPr>
        <w:tab/>
        <w:t>ניתן היה לנהל עמו שיחה. אלי העיד כי הנאשם לא דיבר והיו רק קללות (פרו' עמ' 26  ש' 27-33 ).</w:t>
      </w:r>
    </w:p>
    <w:p w14:paraId="5606F2BB" w14:textId="77777777" w:rsidR="00196DB6" w:rsidRDefault="00196DB6">
      <w:pPr>
        <w:spacing w:before="100" w:beforeAutospacing="1" w:after="100" w:afterAutospacing="1" w:line="360" w:lineRule="auto"/>
        <w:ind w:left="360" w:firstLine="360"/>
        <w:jc w:val="both"/>
        <w:rPr>
          <w:rtl/>
        </w:rPr>
      </w:pPr>
    </w:p>
    <w:p w14:paraId="639ACF3E" w14:textId="77777777" w:rsidR="00196DB6" w:rsidRDefault="0043002B">
      <w:pPr>
        <w:spacing w:before="100" w:beforeAutospacing="1" w:after="100" w:afterAutospacing="1" w:line="360" w:lineRule="auto"/>
        <w:ind w:left="360" w:firstLine="360"/>
        <w:jc w:val="both"/>
        <w:rPr>
          <w:rtl/>
        </w:rPr>
      </w:pPr>
      <w:r>
        <w:rPr>
          <w:rFonts w:hint="cs"/>
          <w:rtl/>
        </w:rPr>
        <w:t xml:space="preserve">  </w:t>
      </w:r>
    </w:p>
    <w:p w14:paraId="450D5929" w14:textId="77777777" w:rsidR="00196DB6" w:rsidRDefault="0043002B">
      <w:pPr>
        <w:spacing w:before="100" w:beforeAutospacing="1" w:after="100" w:afterAutospacing="1"/>
        <w:jc w:val="both"/>
        <w:rPr>
          <w:b/>
          <w:bCs/>
          <w:u w:val="single"/>
          <w:rtl/>
        </w:rPr>
      </w:pPr>
      <w:r>
        <w:rPr>
          <w:rFonts w:hint="cs"/>
          <w:b/>
          <w:bCs/>
          <w:u w:val="single"/>
          <w:rtl/>
        </w:rPr>
        <w:t>עדות הנאשם:</w:t>
      </w:r>
    </w:p>
    <w:p w14:paraId="2C22595B" w14:textId="77777777" w:rsidR="00196DB6" w:rsidRDefault="0043002B">
      <w:pPr>
        <w:spacing w:before="100" w:beforeAutospacing="1" w:after="100" w:afterAutospacing="1" w:line="360" w:lineRule="auto"/>
        <w:ind w:left="45" w:hanging="45"/>
        <w:jc w:val="both"/>
        <w:rPr>
          <w:rtl/>
        </w:rPr>
      </w:pPr>
      <w:r>
        <w:rPr>
          <w:rFonts w:hint="cs"/>
          <w:rtl/>
        </w:rPr>
        <w:t xml:space="preserve">הנאשם העיד, כי הוא הגיע לעבודתו כשומר, לאחר ששהה באירוע שבו שתה. כשהגיע לשער היו שם שתי המתלוננות. </w:t>
      </w:r>
    </w:p>
    <w:p w14:paraId="3CCABB45" w14:textId="77777777" w:rsidR="00196DB6" w:rsidRDefault="0043002B">
      <w:pPr>
        <w:spacing w:before="100" w:beforeAutospacing="1" w:after="100" w:afterAutospacing="1" w:line="360" w:lineRule="auto"/>
        <w:jc w:val="both"/>
        <w:rPr>
          <w:rtl/>
        </w:rPr>
      </w:pPr>
      <w:r>
        <w:rPr>
          <w:rFonts w:hint="cs"/>
          <w:rtl/>
        </w:rPr>
        <w:t xml:space="preserve">הנאשם העיד, כי אינו זוכר את שארע, אולם, הוא זוכר שהיו חילופי דברים. בעדותו הוא חזר פעם אחר פעם שהוא היה שיכור: </w:t>
      </w:r>
    </w:p>
    <w:p w14:paraId="487F1D48" w14:textId="77777777" w:rsidR="00196DB6" w:rsidRDefault="0043002B">
      <w:pPr>
        <w:spacing w:before="100" w:beforeAutospacing="1" w:after="100" w:afterAutospacing="1" w:line="360" w:lineRule="auto"/>
        <w:jc w:val="both"/>
        <w:rPr>
          <w:rtl/>
        </w:rPr>
      </w:pPr>
      <w:r>
        <w:rPr>
          <w:rFonts w:hint="cs"/>
          <w:rtl/>
        </w:rPr>
        <w:t>"</w:t>
      </w:r>
      <w:r>
        <w:rPr>
          <w:rFonts w:hint="cs"/>
          <w:b/>
          <w:bCs/>
          <w:rtl/>
        </w:rPr>
        <w:t>לא זוכר על מה בדיוק היה הויכוח כי הייתי שיכור, ושתיתי, בין זה לבין מה שהן טוענות שאחת מהן טענה שהורדתי את המכנסים וחשפתי את איבר המין לא היה ולא נברא. אני כן מודה שהיה ויכוח צודק או לא, אבל להכניס יד לאיבר מין שלי לא היה ולא נברא</w:t>
      </w:r>
      <w:r>
        <w:rPr>
          <w:rFonts w:hint="cs"/>
          <w:rtl/>
        </w:rPr>
        <w:t xml:space="preserve">"(פרו' עמ' 28 ש' 9-11 ).  </w:t>
      </w:r>
    </w:p>
    <w:p w14:paraId="4F933D7B" w14:textId="77777777" w:rsidR="00196DB6" w:rsidRDefault="0043002B">
      <w:pPr>
        <w:spacing w:before="100" w:beforeAutospacing="1" w:after="100" w:afterAutospacing="1" w:line="360" w:lineRule="auto"/>
        <w:ind w:left="45" w:hanging="45"/>
        <w:jc w:val="both"/>
        <w:rPr>
          <w:rtl/>
        </w:rPr>
      </w:pPr>
      <w:r>
        <w:rPr>
          <w:rFonts w:hint="cs"/>
          <w:rtl/>
        </w:rPr>
        <w:t>"</w:t>
      </w:r>
      <w:r>
        <w:rPr>
          <w:rFonts w:hint="cs"/>
          <w:b/>
          <w:bCs/>
          <w:rtl/>
        </w:rPr>
        <w:t>ת:לא יודע אם קוראים לזה שיכור. אני שתיתי. כל העניין הזה לא יודע למה גולשים ימינה שמאלה. היה ויכוח בינינו</w:t>
      </w:r>
      <w:r>
        <w:rPr>
          <w:rFonts w:hint="cs"/>
          <w:rtl/>
        </w:rPr>
        <w:t xml:space="preserve">" (פרו' עמ' 30 ש' 31-32).  </w:t>
      </w:r>
    </w:p>
    <w:p w14:paraId="5EAA67DB" w14:textId="77777777" w:rsidR="00196DB6" w:rsidRDefault="0043002B">
      <w:pPr>
        <w:spacing w:before="100" w:beforeAutospacing="1" w:after="100" w:afterAutospacing="1" w:line="360" w:lineRule="auto"/>
        <w:jc w:val="both"/>
        <w:rPr>
          <w:rtl/>
        </w:rPr>
      </w:pPr>
      <w:r>
        <w:rPr>
          <w:rFonts w:hint="cs"/>
          <w:rtl/>
        </w:rPr>
        <w:t xml:space="preserve">  ואילו כאשר נשאל הנאשם מדוע הוא שומר כשהוא שותה אלכוהול הוא השיב : </w:t>
      </w:r>
    </w:p>
    <w:p w14:paraId="4A5F2409" w14:textId="77777777" w:rsidR="00196DB6" w:rsidRDefault="0043002B">
      <w:pPr>
        <w:spacing w:before="100" w:beforeAutospacing="1" w:after="100" w:afterAutospacing="1" w:line="360" w:lineRule="auto"/>
        <w:jc w:val="both"/>
        <w:rPr>
          <w:b/>
          <w:bCs/>
          <w:rtl/>
        </w:rPr>
      </w:pPr>
      <w:r>
        <w:rPr>
          <w:rFonts w:hint="cs"/>
          <w:rtl/>
        </w:rPr>
        <w:t>"</w:t>
      </w:r>
      <w:r>
        <w:rPr>
          <w:rFonts w:hint="cs"/>
          <w:b/>
          <w:bCs/>
          <w:rtl/>
        </w:rPr>
        <w:t xml:space="preserve">ת:לאו דווקא. אני שיכור? אני שתיתי? שיכור לגמרי ? </w:t>
      </w:r>
    </w:p>
    <w:p w14:paraId="3EF64131" w14:textId="77777777" w:rsidR="00196DB6" w:rsidRDefault="0043002B">
      <w:pPr>
        <w:spacing w:before="100" w:beforeAutospacing="1" w:after="100" w:afterAutospacing="1" w:line="360" w:lineRule="auto"/>
        <w:jc w:val="both"/>
        <w:rPr>
          <w:b/>
          <w:bCs/>
          <w:rtl/>
        </w:rPr>
      </w:pPr>
      <w:r>
        <w:rPr>
          <w:rFonts w:hint="cs"/>
          <w:b/>
          <w:bCs/>
          <w:rtl/>
        </w:rPr>
        <w:t>ש: היית מספיק ערני כדי להיות שומר?</w:t>
      </w:r>
    </w:p>
    <w:p w14:paraId="082FB910" w14:textId="77777777" w:rsidR="00196DB6" w:rsidRDefault="0043002B">
      <w:pPr>
        <w:spacing w:before="100" w:beforeAutospacing="1" w:after="100" w:afterAutospacing="1" w:line="360" w:lineRule="auto"/>
        <w:jc w:val="both"/>
        <w:rPr>
          <w:rtl/>
        </w:rPr>
      </w:pPr>
      <w:r>
        <w:rPr>
          <w:rFonts w:hint="cs"/>
          <w:b/>
          <w:bCs/>
          <w:rtl/>
        </w:rPr>
        <w:t>ת:כן הייתי מספיק ערני כדי להיות שומר, לא הייתי שיכור לגמרי</w:t>
      </w:r>
      <w:r>
        <w:rPr>
          <w:rFonts w:hint="cs"/>
          <w:rtl/>
        </w:rPr>
        <w:t xml:space="preserve">". (פרו' עמ' 31 ש' 9-10). </w:t>
      </w:r>
    </w:p>
    <w:p w14:paraId="29DB607F" w14:textId="77777777" w:rsidR="00196DB6" w:rsidRDefault="0043002B">
      <w:pPr>
        <w:spacing w:before="100" w:beforeAutospacing="1" w:after="100" w:afterAutospacing="1" w:line="360" w:lineRule="auto"/>
        <w:jc w:val="both"/>
        <w:rPr>
          <w:rtl/>
        </w:rPr>
      </w:pPr>
      <w:r>
        <w:rPr>
          <w:rFonts w:hint="cs"/>
          <w:rtl/>
        </w:rPr>
        <w:t>הנאשם עומת עם גרסאות שפרה ופאני ביחס לדברים שאמר (פרו' עמ' 31 ש' 26-31):</w:t>
      </w:r>
    </w:p>
    <w:p w14:paraId="6011BF20" w14:textId="77777777" w:rsidR="00196DB6" w:rsidRDefault="0043002B">
      <w:pPr>
        <w:spacing w:before="100" w:beforeAutospacing="1" w:after="100" w:afterAutospacing="1" w:line="360" w:lineRule="auto"/>
        <w:jc w:val="both"/>
        <w:rPr>
          <w:b/>
          <w:bCs/>
          <w:u w:val="single"/>
          <w:rtl/>
        </w:rPr>
      </w:pPr>
      <w:r>
        <w:rPr>
          <w:rFonts w:hint="cs"/>
          <w:rtl/>
        </w:rPr>
        <w:t>"</w:t>
      </w:r>
      <w:r>
        <w:rPr>
          <w:rFonts w:hint="cs"/>
          <w:b/>
          <w:bCs/>
          <w:rtl/>
        </w:rPr>
        <w:t>אולי תוך כדי זה גם נאמר. אך שוב פעם היו חילופיע דברים בינינו, מה בדיוק נאמר מילה אחרי מילה, לא יכול לומר. יכול להיות שנאמר, כן היו קללות משני הצדדים וכן ניבולי מלים. אבל בקטע שמאשימים אותי לא היה ולא נברא. מודה שהיה ויכוח בשער ביני לבין שפרה ולבין פאני.</w:t>
      </w:r>
      <w:r>
        <w:rPr>
          <w:rFonts w:hint="cs"/>
          <w:rtl/>
        </w:rPr>
        <w:t xml:space="preserve"> </w:t>
      </w:r>
      <w:r>
        <w:rPr>
          <w:rFonts w:hint="cs"/>
          <w:b/>
          <w:bCs/>
          <w:rtl/>
        </w:rPr>
        <w:t>כמו שאני קללתי כך גם היה מהצד השני וזה נמשך עד היום כי זה משטרת צפת. אתה יודע שבמשטרת צפת לא מתים עלי. גם שהיו התפרצויות שהיה לי אליבי אני הייתי חשוד ושהוכיחו שלא היה לי יד ורגל, אז עזבו אותי. אתה היית נוכח".</w:t>
      </w:r>
      <w:r>
        <w:rPr>
          <w:rFonts w:hint="cs"/>
          <w:b/>
          <w:bCs/>
          <w:u w:val="single"/>
          <w:rtl/>
        </w:rPr>
        <w:t xml:space="preserve"> </w:t>
      </w:r>
    </w:p>
    <w:p w14:paraId="23DE2A69" w14:textId="77777777" w:rsidR="00196DB6" w:rsidRDefault="0043002B">
      <w:pPr>
        <w:spacing w:before="100" w:beforeAutospacing="1" w:after="100" w:afterAutospacing="1" w:line="360" w:lineRule="auto"/>
        <w:jc w:val="both"/>
        <w:rPr>
          <w:rtl/>
        </w:rPr>
      </w:pPr>
      <w:r>
        <w:rPr>
          <w:rFonts w:hint="cs"/>
          <w:rtl/>
        </w:rPr>
        <w:t xml:space="preserve">לשאלת בית המשפט, כיצד הגיע הנאשם לשמירה והאם היה כשיר לשמירה? השיב הנאשם כי הוא לא היה לבד, הוא הגיע ביחד עם אחרים מבר מצווה בצפת. (פרו' עמ' 32 ש' 10-15). הנאשם העיד, כי הוא פתח או סגר את השער לפי מה שנאמר לו מהאנשים שהיו בחברתו, אולם, הוא היה מספיק עירני כדי לשמור. </w:t>
      </w:r>
    </w:p>
    <w:p w14:paraId="1D0DB452" w14:textId="77777777" w:rsidR="00196DB6" w:rsidRDefault="0043002B">
      <w:pPr>
        <w:spacing w:before="100" w:beforeAutospacing="1" w:after="100" w:afterAutospacing="1" w:line="360" w:lineRule="auto"/>
        <w:jc w:val="both"/>
        <w:rPr>
          <w:rtl/>
        </w:rPr>
      </w:pPr>
      <w:r>
        <w:rPr>
          <w:rFonts w:hint="cs"/>
          <w:rtl/>
        </w:rPr>
        <w:t xml:space="preserve">בהודעתו במשטרה, מסר הנאשם כי הוא שתה באירוע 4 כוסות ויסקי (עמ' 2 ש' 33-34). </w:t>
      </w:r>
    </w:p>
    <w:p w14:paraId="31CB6DC7" w14:textId="77777777" w:rsidR="00196DB6" w:rsidRDefault="0043002B">
      <w:pPr>
        <w:spacing w:before="100" w:beforeAutospacing="1" w:after="100" w:afterAutospacing="1" w:line="360" w:lineRule="auto"/>
        <w:jc w:val="both"/>
        <w:rPr>
          <w:rtl/>
        </w:rPr>
      </w:pPr>
      <w:r>
        <w:rPr>
          <w:rFonts w:hint="cs"/>
          <w:rtl/>
        </w:rPr>
        <w:t>לאחר שבחנתי את גרסת הנאשם, מצאתי כי אין להאמין לו. הנאשם ניסה בבית המשפט תחילה לטעון שהוא לא זוכר את שארע והוא זוכר רק שהיו חילופי דברים. דא עקא שהנאשם זוכר יותר, הנאשם זוכר כיצד תפעל את השער לאור הנחיות של אחרים. בין כך ובין כך, גם אם אקבל את גרסתו של הנאשם שאינו זוכר, הרי שאין בכך כדי להוות משקל נגד לעדות פאני שיפרה ואלי הזוכרים את שארע במקום.  מצאתי להפחית עד מאוד במשקל עדותו  של הנאשם.</w:t>
      </w:r>
    </w:p>
    <w:p w14:paraId="643F49C7" w14:textId="77777777" w:rsidR="00196DB6" w:rsidRDefault="0043002B">
      <w:pPr>
        <w:spacing w:before="100" w:beforeAutospacing="1" w:after="100" w:afterAutospacing="1" w:line="360" w:lineRule="auto"/>
        <w:jc w:val="both"/>
        <w:rPr>
          <w:b/>
          <w:bCs/>
          <w:u w:val="single"/>
          <w:rtl/>
        </w:rPr>
      </w:pPr>
      <w:r>
        <w:rPr>
          <w:rFonts w:hint="cs"/>
          <w:b/>
          <w:bCs/>
          <w:u w:val="single"/>
          <w:rtl/>
        </w:rPr>
        <w:t xml:space="preserve">הגנת שכרות </w:t>
      </w:r>
    </w:p>
    <w:p w14:paraId="6AFE3301" w14:textId="77777777" w:rsidR="00196DB6" w:rsidRDefault="0043002B">
      <w:pPr>
        <w:spacing w:line="360" w:lineRule="auto"/>
        <w:jc w:val="both"/>
        <w:rPr>
          <w:rFonts w:ascii="Arial" w:hAnsi="Arial"/>
          <w:rtl/>
        </w:rPr>
      </w:pPr>
      <w:r>
        <w:rPr>
          <w:rFonts w:ascii="Arial" w:hAnsi="Arial" w:hint="cs"/>
          <w:rtl/>
        </w:rPr>
        <w:t xml:space="preserve">הנאשם טען שהוא ביצע את העבירות כשהוא היה שיכור. הסנגור טען, כי הנאשם עמד בנטל ההוכחה שהוא היה שיכור ומכאן נשמט הבסיס מתחת עבירת מעשה מגונה, אשר מחייבת הוכחת כוונה מיוחדת . </w:t>
      </w:r>
    </w:p>
    <w:p w14:paraId="34F793CB" w14:textId="77777777" w:rsidR="00196DB6" w:rsidRDefault="00196DB6">
      <w:pPr>
        <w:spacing w:line="360" w:lineRule="auto"/>
        <w:jc w:val="both"/>
        <w:rPr>
          <w:rFonts w:ascii="Arial (W1)" w:hAnsi="Arial (W1)"/>
          <w:rtl/>
        </w:rPr>
      </w:pPr>
    </w:p>
    <w:p w14:paraId="18ED91EA" w14:textId="77777777" w:rsidR="00196DB6" w:rsidRDefault="00DF0D8F">
      <w:pPr>
        <w:spacing w:line="360" w:lineRule="auto"/>
        <w:jc w:val="both"/>
        <w:rPr>
          <w:b/>
          <w:bCs/>
          <w:rtl/>
        </w:rPr>
      </w:pPr>
      <w:hyperlink r:id="rId14" w:history="1">
        <w:r w:rsidRPr="00DF0D8F">
          <w:rPr>
            <w:color w:val="0000FF"/>
            <w:u w:val="single"/>
            <w:rtl/>
          </w:rPr>
          <w:t>סעיף 34ט(ב)</w:t>
        </w:r>
      </w:hyperlink>
      <w:r w:rsidR="0043002B">
        <w:rPr>
          <w:rFonts w:hint="cs"/>
          <w:b/>
          <w:bCs/>
          <w:color w:val="000000"/>
          <w:rtl/>
        </w:rPr>
        <w:t xml:space="preserve"> ל</w:t>
      </w:r>
      <w:hyperlink r:id="rId15" w:history="1">
        <w:r w:rsidR="00CA1F8C" w:rsidRPr="00CA1F8C">
          <w:rPr>
            <w:rStyle w:val="Hyperlink"/>
            <w:b/>
            <w:bCs/>
            <w:rtl/>
          </w:rPr>
          <w:t>חוק העונשין</w:t>
        </w:r>
      </w:hyperlink>
      <w:r w:rsidR="0043002B">
        <w:rPr>
          <w:rFonts w:hint="cs"/>
          <w:b/>
          <w:bCs/>
          <w:color w:val="000000"/>
          <w:rtl/>
        </w:rPr>
        <w:t xml:space="preserve"> קובע לאמור</w:t>
      </w:r>
      <w:r w:rsidR="0043002B">
        <w:rPr>
          <w:rFonts w:hint="cs"/>
          <w:b/>
          <w:bCs/>
          <w:rtl/>
        </w:rPr>
        <w:t>:</w:t>
      </w:r>
    </w:p>
    <w:p w14:paraId="6D037634" w14:textId="77777777" w:rsidR="00196DB6" w:rsidRDefault="0043002B">
      <w:pPr>
        <w:spacing w:line="360" w:lineRule="auto"/>
        <w:ind w:left="1440" w:right="1260" w:hanging="1440"/>
        <w:jc w:val="both"/>
        <w:rPr>
          <w:b/>
          <w:bCs/>
        </w:rPr>
      </w:pPr>
      <w:r>
        <w:rPr>
          <w:rFonts w:hint="cs"/>
          <w:b/>
          <w:bCs/>
          <w:rtl/>
        </w:rPr>
        <w:tab/>
        <w:t>"עשה אדם מעשה במצב של שכרות והוא גרם למצב זה בהתנהגותו הנשלטת ומדעת, רואים אותו כמי שעשה את המעשה במחשבה פלילית, אם העבירה היא של התנהגות, או באדישות אם העבירה מותנית גם בתוצאה".</w:t>
      </w:r>
    </w:p>
    <w:p w14:paraId="38DA8B92" w14:textId="77777777" w:rsidR="00196DB6" w:rsidRDefault="00196DB6">
      <w:pPr>
        <w:spacing w:line="360" w:lineRule="auto"/>
        <w:rPr>
          <w:rFonts w:ascii="Arial" w:hAnsi="Arial"/>
          <w:rtl/>
        </w:rPr>
      </w:pPr>
    </w:p>
    <w:p w14:paraId="3329426C" w14:textId="77777777" w:rsidR="00196DB6" w:rsidRDefault="0043002B">
      <w:pPr>
        <w:spacing w:line="360" w:lineRule="auto"/>
        <w:jc w:val="both"/>
        <w:rPr>
          <w:rFonts w:ascii="Arial (W1)" w:hAnsi="Arial (W1)"/>
          <w:rtl/>
        </w:rPr>
      </w:pPr>
      <w:r>
        <w:rPr>
          <w:rFonts w:hint="cs"/>
          <w:b/>
          <w:bCs/>
          <w:rtl/>
        </w:rPr>
        <w:t xml:space="preserve">כב' השופט יעקב קדמי </w:t>
      </w:r>
      <w:r>
        <w:rPr>
          <w:rFonts w:hint="cs"/>
          <w:rtl/>
        </w:rPr>
        <w:t xml:space="preserve">בספרו </w:t>
      </w:r>
      <w:r>
        <w:rPr>
          <w:rFonts w:hint="cs"/>
          <w:b/>
          <w:bCs/>
          <w:rtl/>
        </w:rPr>
        <w:t>"על הדין בפלילים", חלק ראשון, מהדורה מעודכנת, תשס"ה – 2004, בעמ' 430,</w:t>
      </w:r>
      <w:r>
        <w:rPr>
          <w:rFonts w:hint="cs"/>
          <w:rtl/>
        </w:rPr>
        <w:t xml:space="preserve"> שם נאמר כדלקמן:</w:t>
      </w:r>
    </w:p>
    <w:p w14:paraId="50E5EFAB" w14:textId="77777777" w:rsidR="00196DB6" w:rsidRDefault="0043002B">
      <w:pPr>
        <w:spacing w:line="360" w:lineRule="auto"/>
        <w:ind w:left="2160" w:right="1077"/>
        <w:jc w:val="both"/>
        <w:rPr>
          <w:b/>
          <w:bCs/>
          <w:rtl/>
        </w:rPr>
      </w:pPr>
      <w:r>
        <w:rPr>
          <w:rFonts w:hint="cs"/>
          <w:b/>
          <w:bCs/>
          <w:rtl/>
        </w:rPr>
        <w:t>"הגישה המקובלת היא, כי הוראה זו מכוונת אך לעבירות הדורשות "כוונה מיוחדת", וכוחה מצומצם להשמטת הבסיס מתחת לקיומה של הכוונה המיוחדת בלבד. התוצאה היא, כי במקום שנדרשת כוונה "סתם" – אין בכוחה של שכרות, שאינה מגעת לדרגה המבססת הגנה מלאה, כדי לבסס הגנת חלקית".</w:t>
      </w:r>
    </w:p>
    <w:p w14:paraId="20284312" w14:textId="77777777" w:rsidR="00196DB6" w:rsidRDefault="0043002B">
      <w:pPr>
        <w:pStyle w:val="normal-p-p"/>
        <w:bidi/>
        <w:spacing w:line="360" w:lineRule="auto"/>
        <w:jc w:val="both"/>
        <w:rPr>
          <w:rtl/>
        </w:rPr>
      </w:pPr>
      <w:r>
        <w:rPr>
          <w:rStyle w:val="normal-h-h"/>
          <w:rFonts w:ascii="Arial Unicode MS" w:eastAsia="Arial Unicode MS" w:hAnsi="Arial Unicode MS" w:cs="David" w:hint="cs"/>
          <w:sz w:val="24"/>
          <w:szCs w:val="24"/>
          <w:rtl/>
        </w:rPr>
        <w:t>ב</w:t>
      </w:r>
      <w:hyperlink r:id="rId16" w:history="1">
        <w:r w:rsidR="00CA1F8C" w:rsidRPr="00CA1F8C">
          <w:rPr>
            <w:rStyle w:val="Hyperlink"/>
            <w:rFonts w:ascii="Arial Unicode MS" w:eastAsia="Arial Unicode MS" w:hAnsi="Arial Unicode MS" w:cs="David"/>
            <w:sz w:val="24"/>
            <w:szCs w:val="24"/>
            <w:rtl/>
          </w:rPr>
          <w:t>ע"פ 5266/05</w:t>
        </w:r>
      </w:hyperlink>
      <w:r>
        <w:rPr>
          <w:rStyle w:val="normal-h-h"/>
          <w:rFonts w:ascii="Arial Unicode MS" w:eastAsia="Arial Unicode MS" w:hAnsi="Arial Unicode MS" w:cs="David" w:hint="cs"/>
          <w:sz w:val="24"/>
          <w:szCs w:val="24"/>
          <w:rtl/>
        </w:rPr>
        <w:t xml:space="preserve">  </w:t>
      </w:r>
      <w:r>
        <w:rPr>
          <w:rStyle w:val="normal-h-h"/>
          <w:rFonts w:ascii="Arial Unicode MS" w:eastAsia="Arial Unicode MS" w:hAnsi="Arial Unicode MS" w:cs="David" w:hint="cs"/>
          <w:b/>
          <w:bCs/>
          <w:sz w:val="24"/>
          <w:szCs w:val="24"/>
          <w:rtl/>
        </w:rPr>
        <w:t>בוריס זלנצקי נ' מדינת ישראל</w:t>
      </w:r>
      <w:r>
        <w:rPr>
          <w:rStyle w:val="normal-h-h"/>
          <w:rFonts w:ascii="Arial Unicode MS" w:eastAsia="Arial Unicode MS" w:hAnsi="Arial Unicode MS" w:cs="David" w:hint="cs"/>
          <w:sz w:val="24"/>
          <w:szCs w:val="24"/>
          <w:rtl/>
        </w:rPr>
        <w:t xml:space="preserve"> , תק-על 2007(1), 2489 ,עמ' 2506, קבעה כב' השופטת ארבל כדלקמן: </w:t>
      </w:r>
    </w:p>
    <w:p w14:paraId="43A1DC1C" w14:textId="77777777" w:rsidR="00196DB6" w:rsidRDefault="0043002B">
      <w:pPr>
        <w:pStyle w:val="normal-p-p"/>
        <w:bidi/>
        <w:spacing w:beforeAutospacing="0" w:afterAutospacing="0" w:line="360" w:lineRule="auto"/>
        <w:ind w:left="1440" w:right="540"/>
        <w:jc w:val="both"/>
        <w:rPr>
          <w:rtl/>
        </w:rPr>
      </w:pPr>
      <w:r>
        <w:rPr>
          <w:rStyle w:val="normal-h-h"/>
          <w:rFonts w:ascii="Arial Unicode MS" w:eastAsia="Arial Unicode MS" w:hAnsi="Arial Unicode MS" w:cs="David" w:hint="cs"/>
          <w:sz w:val="24"/>
          <w:szCs w:val="24"/>
          <w:rtl/>
        </w:rPr>
        <w:t>"</w:t>
      </w:r>
      <w:r>
        <w:rPr>
          <w:rStyle w:val="normal-h-h"/>
          <w:rFonts w:ascii="Arial Unicode MS" w:eastAsia="Arial Unicode MS" w:hAnsi="Arial Unicode MS" w:cs="David" w:hint="cs"/>
          <w:b/>
          <w:bCs/>
          <w:sz w:val="24"/>
          <w:szCs w:val="24"/>
          <w:rtl/>
        </w:rPr>
        <w:t>בסייג השכרות, על-פי סעיף 34ט ל</w:t>
      </w:r>
      <w:hyperlink r:id="rId17" w:history="1">
        <w:r w:rsidR="00CA1F8C" w:rsidRPr="00CA1F8C">
          <w:rPr>
            <w:rStyle w:val="Hyperlink"/>
            <w:rFonts w:ascii="Arial Unicode MS" w:eastAsia="Arial Unicode MS" w:hAnsi="Arial Unicode MS" w:cs="David"/>
            <w:b/>
            <w:bCs/>
            <w:sz w:val="24"/>
            <w:szCs w:val="24"/>
            <w:rtl/>
          </w:rPr>
          <w:t>חוק העונשין</w:t>
        </w:r>
      </w:hyperlink>
      <w:r>
        <w:rPr>
          <w:rStyle w:val="normal-h-h"/>
          <w:rFonts w:ascii="Arial Unicode MS" w:eastAsia="Arial Unicode MS" w:hAnsi="Arial Unicode MS" w:cs="David" w:hint="cs"/>
          <w:b/>
          <w:bCs/>
          <w:sz w:val="24"/>
          <w:szCs w:val="24"/>
          <w:rtl/>
        </w:rPr>
        <w:t>, כדי להרחיב דווקא את אחריותו הפלילית של אדם, חשוב עדיין לציין כי מצב של שכרות בעת ביצוע עבירה מהווה שיקול משמעותי בבחינת השאלה האם נתגבשה אצל אותו אדם כוונה לגרום לתוצאה (</w:t>
      </w:r>
      <w:r w:rsidRPr="0048065F">
        <w:rPr>
          <w:rStyle w:val="normal-h-h"/>
          <w:rFonts w:ascii="Arial Unicode MS" w:eastAsia="Arial Unicode MS" w:hAnsi="Arial Unicode MS" w:cs="David"/>
          <w:b/>
          <w:bCs/>
          <w:color w:val="000000"/>
          <w:sz w:val="24"/>
          <w:szCs w:val="24"/>
          <w:rtl/>
        </w:rPr>
        <w:t>ע"פ 6679/06</w:t>
      </w:r>
      <w:r>
        <w:rPr>
          <w:rStyle w:val="normal-h-h"/>
          <w:rFonts w:ascii="Arial Unicode MS" w:eastAsia="Arial Unicode MS" w:hAnsi="Arial Unicode MS" w:cs="David" w:hint="cs"/>
          <w:b/>
          <w:bCs/>
          <w:sz w:val="24"/>
          <w:szCs w:val="24"/>
          <w:rtl/>
        </w:rPr>
        <w:t xml:space="preserve"> סטקלר נ' מדינת ישראל, תק-על 2006(2) 1655, 1674 (להלן: עניין סטקלר)). במצב שבו מוכח כי אדם היה במצב של שכרות בעת ביצוע עבירה, עשוי להתעורר ספק סביר באשר לשאלה האם אותו אדם צפה את התוצאות הטבעיות של מעשהו וכפועל יוצא עשוי להתעורר ספק סביר לגבי השאלה האם אותו אדם חפץ בתוצאות אלו. בהתעורר ספק מעין זה, אין להרשיע את אותו אדם בעבירה הדורשת כוונה (שם).</w:t>
      </w:r>
      <w:r>
        <w:rPr>
          <w:rStyle w:val="normal-h-h"/>
          <w:rFonts w:ascii="Arial Unicode MS" w:eastAsia="Arial Unicode MS" w:hAnsi="Arial Unicode MS" w:cs="David" w:hint="cs"/>
          <w:sz w:val="24"/>
          <w:szCs w:val="24"/>
          <w:rtl/>
        </w:rPr>
        <w:t xml:space="preserve"> "</w:t>
      </w:r>
    </w:p>
    <w:p w14:paraId="3385FE75" w14:textId="77777777" w:rsidR="00196DB6" w:rsidRDefault="0043002B">
      <w:pPr>
        <w:pStyle w:val="normal-p-p"/>
        <w:bidi/>
        <w:spacing w:line="360" w:lineRule="auto"/>
        <w:jc w:val="both"/>
        <w:rPr>
          <w:rtl/>
        </w:rPr>
      </w:pPr>
      <w:r>
        <w:rPr>
          <w:rStyle w:val="normal-h-h"/>
          <w:rFonts w:ascii="Arial Unicode MS" w:eastAsia="Arial Unicode MS" w:hAnsi="Arial Unicode MS" w:cs="David" w:hint="cs"/>
          <w:sz w:val="24"/>
          <w:szCs w:val="24"/>
          <w:rtl/>
        </w:rPr>
        <w:t>בהמשך כב' השופטת ארבל קובעת</w:t>
      </w:r>
      <w:r>
        <w:rPr>
          <w:rStyle w:val="normal-h-h"/>
          <w:rFonts w:ascii="Arial Unicode MS" w:eastAsia="Arial Unicode MS" w:hAnsi="Arial Unicode MS" w:cs="David" w:hint="eastAsia"/>
          <w:sz w:val="24"/>
          <w:szCs w:val="24"/>
        </w:rPr>
        <w:t xml:space="preserve"> </w:t>
      </w:r>
      <w:r>
        <w:rPr>
          <w:rStyle w:val="normal-h-h"/>
          <w:rFonts w:ascii="Arial Unicode MS" w:eastAsia="Arial Unicode MS" w:hAnsi="Arial Unicode MS" w:cs="David" w:hint="cs"/>
          <w:sz w:val="24"/>
          <w:szCs w:val="24"/>
          <w:rtl/>
        </w:rPr>
        <w:t>מה הן שלוש השאלות הרלוונטיות לסייג השכרות החלקית:</w:t>
      </w:r>
    </w:p>
    <w:p w14:paraId="367F91A4" w14:textId="77777777" w:rsidR="00196DB6" w:rsidRDefault="0043002B">
      <w:pPr>
        <w:pStyle w:val="normal-p-p"/>
        <w:bidi/>
        <w:spacing w:beforeAutospacing="0" w:afterAutospacing="0" w:line="360" w:lineRule="auto"/>
        <w:ind w:left="1622" w:right="540"/>
        <w:jc w:val="both"/>
        <w:rPr>
          <w:rtl/>
        </w:rPr>
      </w:pPr>
      <w:r>
        <w:rPr>
          <w:rStyle w:val="normal-h-h"/>
          <w:rFonts w:ascii="Arial Unicode MS" w:eastAsia="Arial Unicode MS" w:hAnsi="Arial Unicode MS" w:cs="David" w:hint="cs"/>
          <w:b/>
          <w:bCs/>
          <w:sz w:val="24"/>
          <w:szCs w:val="24"/>
          <w:rtl/>
        </w:rPr>
        <w:t>"על יסודותיה של השכרות החלקית עמדתי זה מכבר בענין סטקלר. בקצירת האומר, אחזור ואציין כי בבואו להכריע בשאלה האם נשללה כוונתו של מבצע עבירה בשל השפעת אלכוהול, ישקול בית המשפט את השיקולים הבאים:</w:t>
      </w:r>
    </w:p>
    <w:p w14:paraId="570310D3" w14:textId="77777777" w:rsidR="00196DB6" w:rsidRDefault="0043002B">
      <w:pPr>
        <w:pStyle w:val="normal-p-p"/>
        <w:bidi/>
        <w:spacing w:beforeAutospacing="0" w:afterAutospacing="0" w:line="360" w:lineRule="auto"/>
        <w:ind w:left="1622" w:right="540"/>
        <w:jc w:val="both"/>
        <w:rPr>
          <w:rtl/>
        </w:rPr>
      </w:pPr>
      <w:r>
        <w:rPr>
          <w:rStyle w:val="normal-h-h"/>
          <w:rFonts w:ascii="Arial Unicode MS" w:eastAsia="Arial Unicode MS" w:hAnsi="Arial Unicode MS" w:cs="David" w:hint="cs"/>
          <w:b/>
          <w:bCs/>
          <w:sz w:val="24"/>
          <w:szCs w:val="24"/>
          <w:rtl/>
        </w:rPr>
        <w:t>א. עדויות של אנשים או שוטרים שראו את הנאשם בסמוך למעשה, לגבי כמויות האלכוהול ששתה או לגבי סימנים המעידים על שכרות.</w:t>
      </w:r>
    </w:p>
    <w:p w14:paraId="2BA95D19" w14:textId="77777777" w:rsidR="00196DB6" w:rsidRDefault="0043002B">
      <w:pPr>
        <w:pStyle w:val="normal-p-p"/>
        <w:bidi/>
        <w:spacing w:beforeAutospacing="0" w:afterAutospacing="0" w:line="360" w:lineRule="auto"/>
        <w:ind w:left="1622" w:right="540"/>
        <w:jc w:val="both"/>
        <w:rPr>
          <w:rtl/>
        </w:rPr>
      </w:pPr>
      <w:r>
        <w:rPr>
          <w:rStyle w:val="normal-h-h"/>
          <w:rFonts w:ascii="Arial Unicode MS" w:eastAsia="Arial Unicode MS" w:hAnsi="Arial Unicode MS" w:cs="David" w:hint="cs"/>
          <w:b/>
          <w:bCs/>
          <w:sz w:val="24"/>
          <w:szCs w:val="24"/>
          <w:rtl/>
        </w:rPr>
        <w:t>ב. עדויות מומחים באשר למצב שכרותו של הנאשם על פי בדיקת דמו, ועל בסיס חישוב מדעי של קצב ירידת רמת האלכוהול בגוף, תוך בחינת מצבו הקוגניטיבי של הנאשם בהתייחס למאפייניו האישיים.</w:t>
      </w:r>
    </w:p>
    <w:p w14:paraId="1B6557E2" w14:textId="77777777" w:rsidR="00196DB6" w:rsidRDefault="0043002B">
      <w:pPr>
        <w:pStyle w:val="normal-p-p"/>
        <w:bidi/>
        <w:spacing w:beforeAutospacing="0" w:afterAutospacing="0" w:line="360" w:lineRule="auto"/>
        <w:ind w:left="1622" w:right="540"/>
        <w:jc w:val="both"/>
        <w:rPr>
          <w:rtl/>
        </w:rPr>
      </w:pPr>
      <w:r>
        <w:rPr>
          <w:rStyle w:val="normal-h-h"/>
          <w:rFonts w:ascii="Arial Unicode MS" w:eastAsia="Arial Unicode MS" w:hAnsi="Arial Unicode MS" w:cs="David" w:hint="cs"/>
          <w:b/>
          <w:bCs/>
          <w:sz w:val="24"/>
          <w:szCs w:val="24"/>
          <w:rtl/>
        </w:rPr>
        <w:t>ג. פעולות מורכבות שביצע הנאשם לפני, במהלך ולאחר ביצוע המעשה, שמצביעות על מודעות ורצון בתוצאת מעשהו, או על כך שלא היה שיכור בעת האירוע.</w:t>
      </w:r>
    </w:p>
    <w:p w14:paraId="19E93DBD" w14:textId="77777777" w:rsidR="00196DB6" w:rsidRDefault="0043002B">
      <w:pPr>
        <w:pStyle w:val="normal-p-p"/>
        <w:bidi/>
        <w:spacing w:beforeAutospacing="0" w:afterAutospacing="0" w:line="360" w:lineRule="auto"/>
        <w:ind w:left="1622" w:right="540"/>
        <w:jc w:val="both"/>
        <w:rPr>
          <w:rtl/>
        </w:rPr>
      </w:pPr>
      <w:r>
        <w:rPr>
          <w:rStyle w:val="normal-h-h"/>
          <w:rFonts w:ascii="Arial Unicode MS" w:eastAsia="Arial Unicode MS" w:hAnsi="Arial Unicode MS" w:cs="David" w:hint="cs"/>
          <w:b/>
          <w:bCs/>
          <w:sz w:val="24"/>
          <w:szCs w:val="24"/>
          <w:rtl/>
        </w:rPr>
        <w:t>ד. עד כמה מסתברת תוצאת העבירה מן המעשה, ועד כמה היא בלתי נפרדת ממנו.</w:t>
      </w:r>
    </w:p>
    <w:p w14:paraId="23F23DD3" w14:textId="77777777" w:rsidR="00196DB6" w:rsidRDefault="0043002B">
      <w:pPr>
        <w:pStyle w:val="normal-p-p"/>
        <w:bidi/>
        <w:spacing w:beforeAutospacing="0" w:afterAutospacing="0" w:line="360" w:lineRule="auto"/>
        <w:ind w:left="1622" w:right="540"/>
        <w:jc w:val="both"/>
        <w:rPr>
          <w:rtl/>
        </w:rPr>
      </w:pPr>
      <w:r>
        <w:rPr>
          <w:rStyle w:val="normal-h-h"/>
          <w:rFonts w:ascii="Arial Unicode MS" w:eastAsia="Arial Unicode MS" w:hAnsi="Arial Unicode MS" w:cs="David" w:hint="cs"/>
          <w:b/>
          <w:bCs/>
          <w:sz w:val="24"/>
          <w:szCs w:val="24"/>
          <w:rtl/>
        </w:rPr>
        <w:t>ה. הצהרות שהשמיע הנאשם בעת או בסמוך לביצוע המעשה, המעידות על כוונתו.</w:t>
      </w:r>
    </w:p>
    <w:p w14:paraId="1F3A8A0B" w14:textId="77777777" w:rsidR="00196DB6" w:rsidRDefault="0043002B">
      <w:pPr>
        <w:pStyle w:val="normal-p-p"/>
        <w:bidi/>
        <w:spacing w:beforeAutospacing="0" w:afterAutospacing="0" w:line="360" w:lineRule="auto"/>
        <w:ind w:left="1622" w:right="540"/>
        <w:jc w:val="both"/>
        <w:rPr>
          <w:rtl/>
        </w:rPr>
      </w:pPr>
      <w:r>
        <w:rPr>
          <w:rStyle w:val="normal-h-h"/>
          <w:rFonts w:ascii="Arial Unicode MS" w:eastAsia="Arial Unicode MS" w:hAnsi="Arial Unicode MS" w:cs="David" w:hint="cs"/>
          <w:b/>
          <w:bCs/>
          <w:sz w:val="24"/>
          <w:szCs w:val="24"/>
          <w:rtl/>
        </w:rPr>
        <w:t>ו. עד כמה זוכר הנאשם את הפרטים הנוגעים לביצוע העבירה לאחר ביצועה.</w:t>
      </w:r>
    </w:p>
    <w:p w14:paraId="23CE78ED" w14:textId="77777777" w:rsidR="00196DB6" w:rsidRDefault="0043002B">
      <w:pPr>
        <w:pStyle w:val="normal-p-p"/>
        <w:bidi/>
        <w:spacing w:beforeAutospacing="0" w:afterAutospacing="0" w:line="360" w:lineRule="auto"/>
        <w:ind w:left="1622" w:right="540"/>
        <w:jc w:val="both"/>
        <w:rPr>
          <w:rtl/>
        </w:rPr>
      </w:pPr>
      <w:r>
        <w:rPr>
          <w:rStyle w:val="normal-h-h"/>
          <w:rFonts w:ascii="Arial Unicode MS" w:eastAsia="Arial Unicode MS" w:hAnsi="Arial Unicode MS" w:cs="David" w:hint="cs"/>
          <w:b/>
          <w:bCs/>
          <w:sz w:val="24"/>
          <w:szCs w:val="24"/>
          <w:rtl/>
        </w:rPr>
        <w:t xml:space="preserve">שיקולים אלו נועדו להכריע בשלוש השאלות הרלוונטיות לסייג השכרות החלקית: האם הטוען לסייג היה שיכור; האם לא היה ביכולתו לגבש כוונה לביצוע העבירה שבה הואשם; והאם קיים קשר סיבתי בין שכרותו לבין אי יכולתו לגבש את הכוונה." </w:t>
      </w:r>
    </w:p>
    <w:p w14:paraId="4301E707" w14:textId="77777777" w:rsidR="00196DB6" w:rsidRDefault="00196DB6">
      <w:pPr>
        <w:spacing w:line="360" w:lineRule="auto"/>
        <w:jc w:val="both"/>
        <w:rPr>
          <w:rtl/>
        </w:rPr>
      </w:pPr>
    </w:p>
    <w:p w14:paraId="3B08C399" w14:textId="77777777" w:rsidR="00196DB6" w:rsidRDefault="0043002B">
      <w:pPr>
        <w:spacing w:line="360" w:lineRule="auto"/>
        <w:jc w:val="both"/>
        <w:rPr>
          <w:rtl/>
        </w:rPr>
      </w:pPr>
      <w:r>
        <w:rPr>
          <w:rFonts w:hint="cs"/>
          <w:rtl/>
        </w:rPr>
        <w:t xml:space="preserve">הנאשם טען בהודעתו במשטרה שהוא שתה 4 כוסות ויסקי באירוע, בכך הוא הכניס את עצמו, </w:t>
      </w:r>
      <w:r>
        <w:rPr>
          <w:rFonts w:hint="cs"/>
          <w:b/>
          <w:bCs/>
          <w:rtl/>
        </w:rPr>
        <w:t>בהתנהגות נשלטת ומדעת,</w:t>
      </w:r>
      <w:r>
        <w:rPr>
          <w:rFonts w:hint="cs"/>
          <w:rtl/>
        </w:rPr>
        <w:t xml:space="preserve"> למצב של שכרות. על שום כך, היותו במצב </w:t>
      </w:r>
      <w:r>
        <w:rPr>
          <w:rFonts w:hint="cs"/>
          <w:b/>
          <w:bCs/>
          <w:rtl/>
        </w:rPr>
        <w:t>"שכרות"</w:t>
      </w:r>
      <w:r>
        <w:rPr>
          <w:rFonts w:hint="cs"/>
          <w:rtl/>
        </w:rPr>
        <w:t xml:space="preserve">, אינה  תוצאה של מעשה בניגוד לרצונו או שלא בידיעתו. יחד עם זאת הפסיקה מגלה קו של הקלה עם נאשמים תוך הכנסתם להגנה החלקית. </w:t>
      </w:r>
    </w:p>
    <w:p w14:paraId="5A448611" w14:textId="77777777" w:rsidR="00196DB6" w:rsidRDefault="0043002B">
      <w:pPr>
        <w:spacing w:before="100" w:beforeAutospacing="1" w:after="100" w:afterAutospacing="1" w:line="360" w:lineRule="auto"/>
        <w:jc w:val="both"/>
        <w:rPr>
          <w:rtl/>
        </w:rPr>
      </w:pPr>
      <w:r>
        <w:rPr>
          <w:rFonts w:hint="cs"/>
          <w:rtl/>
        </w:rPr>
        <w:t>ב</w:t>
      </w:r>
      <w:hyperlink r:id="rId18" w:history="1">
        <w:r w:rsidR="00CA1F8C" w:rsidRPr="00CA1F8C">
          <w:rPr>
            <w:rStyle w:val="Hyperlink"/>
            <w:rtl/>
          </w:rPr>
          <w:t>ע"פ 18028-12-10</w:t>
        </w:r>
      </w:hyperlink>
      <w:r>
        <w:rPr>
          <w:rFonts w:hint="cs"/>
          <w:rtl/>
        </w:rPr>
        <w:t xml:space="preserve">  </w:t>
      </w:r>
      <w:r>
        <w:rPr>
          <w:rFonts w:hint="cs"/>
          <w:b/>
          <w:bCs/>
          <w:rtl/>
        </w:rPr>
        <w:t>נאיף קאדריה נגד מדינת ישראל</w:t>
      </w:r>
      <w:r>
        <w:rPr>
          <w:rFonts w:hint="cs"/>
          <w:rtl/>
        </w:rPr>
        <w:t>, בית המשפט דן בשאלה של מה דינו של נאשם אשר:</w:t>
      </w:r>
    </w:p>
    <w:p w14:paraId="11D830F1" w14:textId="77777777" w:rsidR="00196DB6" w:rsidRDefault="0043002B">
      <w:pPr>
        <w:spacing w:line="360" w:lineRule="auto"/>
        <w:ind w:left="720"/>
        <w:jc w:val="both"/>
        <w:rPr>
          <w:b/>
          <w:bCs/>
          <w:color w:val="000000"/>
          <w:rtl/>
        </w:rPr>
      </w:pPr>
      <w:r>
        <w:rPr>
          <w:rFonts w:hint="cs"/>
          <w:rtl/>
        </w:rPr>
        <w:t>"</w:t>
      </w:r>
      <w:r>
        <w:rPr>
          <w:rFonts w:hint="cs"/>
          <w:b/>
          <w:bCs/>
          <w:rtl/>
        </w:rPr>
        <w:t xml:space="preserve">לאור האמור לעיל ולאור הקולות הנשמעים בפסיקה ובספרות, בחרה המאשימה, ובצדק עשתה כן, שלא לעמוד על הרשעה בעבירת האיומים כנגד </w:t>
      </w:r>
      <w:r>
        <w:rPr>
          <w:rFonts w:hint="cs"/>
          <w:b/>
          <w:bCs/>
          <w:color w:val="000000"/>
          <w:rtl/>
        </w:rPr>
        <w:t>הנאשם [ברוח זו ראו גם את הודעת פרקליטות המדינה וההסדר אליו הגיעו הצדדים ב</w:t>
      </w:r>
      <w:hyperlink r:id="rId19" w:history="1">
        <w:r w:rsidR="00CA1F8C" w:rsidRPr="00CA1F8C">
          <w:rPr>
            <w:rStyle w:val="Hyperlink"/>
            <w:b/>
            <w:bCs/>
            <w:rtl/>
          </w:rPr>
          <w:t>רע"פ 3480/09</w:t>
        </w:r>
      </w:hyperlink>
      <w:r>
        <w:rPr>
          <w:rFonts w:hint="cs"/>
          <w:b/>
          <w:bCs/>
          <w:color w:val="000000"/>
          <w:rtl/>
        </w:rPr>
        <w:t xml:space="preserve"> מאור מלכה נ' מדינת ישראל (פורסם בנבו, ניתן ביום 14.3.10). בסעיף 9 לפסק הדין שניתן שם נדונה גם הרשעת "שיכור" בעבירת איומים."</w:t>
      </w:r>
    </w:p>
    <w:p w14:paraId="2DDA3D35" w14:textId="77777777" w:rsidR="00196DB6" w:rsidRDefault="0043002B">
      <w:pPr>
        <w:spacing w:line="360" w:lineRule="auto"/>
        <w:jc w:val="both"/>
        <w:rPr>
          <w:b/>
          <w:bCs/>
          <w:color w:val="000000"/>
          <w:rtl/>
        </w:rPr>
      </w:pPr>
      <w:r>
        <w:rPr>
          <w:rFonts w:hint="cs"/>
          <w:b/>
          <w:bCs/>
          <w:color w:val="000000"/>
          <w:rtl/>
        </w:rPr>
        <w:tab/>
        <w:t>"למרות שסעיף 34ט(ב) סיפא ל</w:t>
      </w:r>
      <w:hyperlink r:id="rId20" w:history="1">
        <w:r w:rsidR="00CA1F8C" w:rsidRPr="00CA1F8C">
          <w:rPr>
            <w:rStyle w:val="Hyperlink"/>
            <w:b/>
            <w:bCs/>
            <w:rtl/>
          </w:rPr>
          <w:t>חוק העונשין</w:t>
        </w:r>
      </w:hyperlink>
      <w:r>
        <w:rPr>
          <w:rFonts w:hint="cs"/>
          <w:b/>
          <w:bCs/>
          <w:color w:val="000000"/>
          <w:rtl/>
        </w:rPr>
        <w:t xml:space="preserve"> יוצר, כאמור, אבחנה בין עבירות התנהגות </w:t>
      </w:r>
      <w:r>
        <w:rPr>
          <w:rFonts w:hint="cs"/>
          <w:b/>
          <w:bCs/>
          <w:color w:val="000000"/>
          <w:rtl/>
        </w:rPr>
        <w:tab/>
        <w:t xml:space="preserve">הדורשות מחשבה פלילית לבין עבירות תוצאה בלבד, סבורני כי על מנת לגבש תשובה </w:t>
      </w:r>
      <w:r>
        <w:rPr>
          <w:rFonts w:hint="cs"/>
          <w:b/>
          <w:bCs/>
          <w:color w:val="000000"/>
          <w:rtl/>
        </w:rPr>
        <w:tab/>
        <w:t xml:space="preserve">לשאלה שהוצגה בפתח הדיון הרי שיש לקרוא את סעיף 34ט(ב) לחוק בנשימה אחת עם </w:t>
      </w:r>
      <w:r>
        <w:rPr>
          <w:rFonts w:hint="cs"/>
          <w:b/>
          <w:bCs/>
          <w:color w:val="000000"/>
          <w:rtl/>
        </w:rPr>
        <w:tab/>
        <w:t xml:space="preserve">סעיף 90א(2) לחוק. </w:t>
      </w:r>
    </w:p>
    <w:p w14:paraId="286AE1D0" w14:textId="77777777" w:rsidR="00196DB6" w:rsidRDefault="0043002B">
      <w:pPr>
        <w:spacing w:line="360" w:lineRule="auto"/>
        <w:ind w:left="1440" w:hanging="720"/>
        <w:jc w:val="both"/>
        <w:rPr>
          <w:b/>
          <w:bCs/>
          <w:color w:val="000000"/>
          <w:rtl/>
        </w:rPr>
      </w:pPr>
      <w:r>
        <w:rPr>
          <w:rFonts w:hint="cs"/>
          <w:b/>
          <w:bCs/>
          <w:color w:val="000000"/>
          <w:rtl/>
        </w:rPr>
        <w:tab/>
        <w:t>סעיף 90א(2) לחוק קובע לאמור:</w:t>
      </w:r>
    </w:p>
    <w:p w14:paraId="2765ADF3" w14:textId="77777777" w:rsidR="00196DB6" w:rsidRDefault="0043002B">
      <w:pPr>
        <w:pStyle w:val="P00"/>
        <w:spacing w:before="0" w:line="360" w:lineRule="auto"/>
        <w:ind w:right="1134" w:hanging="2835"/>
        <w:rPr>
          <w:rStyle w:val="default"/>
          <w:rFonts w:cs="David"/>
          <w:sz w:val="24"/>
          <w:szCs w:val="24"/>
          <w:rtl/>
        </w:rPr>
      </w:pPr>
      <w:r>
        <w:rPr>
          <w:rFonts w:cs="David" w:hint="cs"/>
          <w:b/>
          <w:bCs/>
          <w:color w:val="000000"/>
          <w:sz w:val="24"/>
          <w:szCs w:val="24"/>
          <w:rtl/>
        </w:rPr>
        <w:tab/>
      </w:r>
      <w:r>
        <w:rPr>
          <w:rFonts w:cs="David" w:hint="cs"/>
          <w:b/>
          <w:bCs/>
          <w:color w:val="000000"/>
          <w:sz w:val="24"/>
          <w:szCs w:val="24"/>
          <w:rtl/>
        </w:rPr>
        <w:tab/>
      </w:r>
      <w:r>
        <w:rPr>
          <w:rFonts w:cs="David" w:hint="cs"/>
          <w:b/>
          <w:bCs/>
          <w:color w:val="000000"/>
          <w:sz w:val="24"/>
          <w:szCs w:val="24"/>
          <w:rtl/>
        </w:rPr>
        <w:tab/>
      </w:r>
      <w:r>
        <w:rPr>
          <w:rFonts w:cs="David" w:hint="cs"/>
          <w:b/>
          <w:bCs/>
          <w:color w:val="000000"/>
          <w:sz w:val="24"/>
          <w:szCs w:val="24"/>
          <w:rtl/>
        </w:rPr>
        <w:tab/>
      </w:r>
      <w:r>
        <w:rPr>
          <w:rStyle w:val="big-number"/>
          <w:rFonts w:hint="cs"/>
          <w:b/>
          <w:bCs/>
          <w:color w:val="000000"/>
          <w:sz w:val="24"/>
          <w:szCs w:val="24"/>
          <w:rtl/>
        </w:rPr>
        <w:t>90</w:t>
      </w:r>
      <w:r>
        <w:rPr>
          <w:rStyle w:val="default"/>
          <w:rFonts w:cs="David" w:hint="cs"/>
          <w:b/>
          <w:bCs/>
          <w:color w:val="000000"/>
          <w:sz w:val="24"/>
          <w:szCs w:val="24"/>
          <w:rtl/>
        </w:rPr>
        <w:t>א.</w:t>
      </w:r>
      <w:r>
        <w:rPr>
          <w:rStyle w:val="default"/>
          <w:rFonts w:cs="David" w:hint="cs"/>
          <w:b/>
          <w:bCs/>
          <w:color w:val="000000"/>
          <w:sz w:val="24"/>
          <w:szCs w:val="24"/>
          <w:rtl/>
        </w:rPr>
        <w:tab/>
      </w:r>
      <w:r>
        <w:rPr>
          <w:rStyle w:val="default"/>
          <w:rFonts w:cs="David" w:hint="cs"/>
          <w:b/>
          <w:bCs/>
          <w:color w:val="000000"/>
          <w:sz w:val="24"/>
          <w:szCs w:val="24"/>
          <w:rtl/>
        </w:rPr>
        <w:tab/>
        <w:t xml:space="preserve">בכל מקום בחיקוק שנחקק לפני תחילתו של </w:t>
      </w:r>
      <w:hyperlink r:id="rId21" w:history="1">
        <w:r w:rsidR="00CA1F8C" w:rsidRPr="00CA1F8C">
          <w:rPr>
            <w:rStyle w:val="Hyperlink"/>
            <w:rFonts w:cs="David"/>
            <w:b/>
            <w:bCs/>
            <w:sz w:val="24"/>
            <w:szCs w:val="24"/>
            <w:rtl/>
          </w:rPr>
          <w:t>חוק העונשין</w:t>
        </w:r>
      </w:hyperlink>
      <w:r>
        <w:rPr>
          <w:rStyle w:val="default"/>
          <w:rFonts w:cs="David" w:hint="cs"/>
          <w:b/>
          <w:bCs/>
          <w:color w:val="000000"/>
          <w:sz w:val="24"/>
          <w:szCs w:val="24"/>
          <w:rtl/>
        </w:rPr>
        <w:t xml:space="preserve"> (תיקון מס' 39) (חלק מקדמי וחלק כללי), תשנ"ד–1994 (בפרק זה - חוק העונשין תיקון</w:t>
      </w:r>
      <w:r>
        <w:rPr>
          <w:rStyle w:val="default"/>
          <w:rFonts w:cs="David" w:hint="cs"/>
          <w:b/>
          <w:bCs/>
          <w:sz w:val="24"/>
          <w:szCs w:val="24"/>
          <w:rtl/>
        </w:rPr>
        <w:t xml:space="preserve"> מס' 39), ושבו היסוד הנפשי שבעבירה בא לידי ביטוי במונח –</w:t>
      </w:r>
    </w:p>
    <w:p w14:paraId="02CEFE66" w14:textId="77777777" w:rsidR="00196DB6" w:rsidRDefault="0043002B">
      <w:pPr>
        <w:pStyle w:val="P11"/>
        <w:spacing w:before="72" w:line="360" w:lineRule="auto"/>
        <w:ind w:right="1134" w:hanging="2211"/>
        <w:rPr>
          <w:rStyle w:val="default"/>
          <w:rFonts w:cs="David"/>
          <w:b/>
          <w:bCs/>
          <w:sz w:val="24"/>
          <w:szCs w:val="24"/>
          <w:rtl/>
        </w:rPr>
      </w:pPr>
      <w:r>
        <w:rPr>
          <w:rStyle w:val="default"/>
          <w:rFonts w:cs="David" w:hint="cs"/>
          <w:b/>
          <w:bCs/>
          <w:sz w:val="24"/>
          <w:szCs w:val="24"/>
          <w:rtl/>
        </w:rPr>
        <w:tab/>
      </w:r>
      <w:r>
        <w:rPr>
          <w:rStyle w:val="default"/>
          <w:rFonts w:cs="David" w:hint="cs"/>
          <w:b/>
          <w:bCs/>
          <w:sz w:val="24"/>
          <w:szCs w:val="24"/>
          <w:rtl/>
        </w:rPr>
        <w:tab/>
      </w:r>
      <w:r>
        <w:rPr>
          <w:rStyle w:val="default"/>
          <w:rFonts w:cs="David" w:hint="cs"/>
          <w:b/>
          <w:bCs/>
          <w:sz w:val="24"/>
          <w:szCs w:val="24"/>
          <w:rtl/>
        </w:rPr>
        <w:tab/>
      </w:r>
      <w:r>
        <w:rPr>
          <w:rStyle w:val="default"/>
          <w:rFonts w:cs="David" w:hint="cs"/>
          <w:b/>
          <w:bCs/>
          <w:sz w:val="24"/>
          <w:szCs w:val="24"/>
          <w:rtl/>
        </w:rPr>
        <w:tab/>
      </w:r>
      <w:r>
        <w:rPr>
          <w:rStyle w:val="default"/>
          <w:rFonts w:cs="David" w:hint="cs"/>
          <w:b/>
          <w:bCs/>
          <w:sz w:val="24"/>
          <w:szCs w:val="24"/>
          <w:rtl/>
        </w:rPr>
        <w:tab/>
        <w:t>(1) (...).</w:t>
      </w:r>
    </w:p>
    <w:p w14:paraId="5A024E98" w14:textId="77777777" w:rsidR="00196DB6" w:rsidRDefault="0043002B">
      <w:pPr>
        <w:pStyle w:val="P11"/>
        <w:spacing w:before="72" w:line="360" w:lineRule="auto"/>
        <w:ind w:right="1134" w:hanging="2211"/>
        <w:rPr>
          <w:rStyle w:val="default"/>
          <w:rFonts w:cs="David"/>
          <w:b/>
          <w:bCs/>
          <w:sz w:val="24"/>
          <w:szCs w:val="24"/>
          <w:rtl/>
        </w:rPr>
      </w:pPr>
      <w:r>
        <w:rPr>
          <w:rStyle w:val="default"/>
          <w:rFonts w:cs="David" w:hint="cs"/>
          <w:b/>
          <w:bCs/>
          <w:sz w:val="24"/>
          <w:szCs w:val="24"/>
          <w:rtl/>
        </w:rPr>
        <w:tab/>
      </w:r>
      <w:r>
        <w:rPr>
          <w:rStyle w:val="default"/>
          <w:rFonts w:cs="David" w:hint="cs"/>
          <w:b/>
          <w:bCs/>
          <w:sz w:val="24"/>
          <w:szCs w:val="24"/>
          <w:rtl/>
        </w:rPr>
        <w:tab/>
      </w:r>
      <w:r>
        <w:rPr>
          <w:rStyle w:val="default"/>
          <w:rFonts w:cs="David" w:hint="cs"/>
          <w:b/>
          <w:bCs/>
          <w:sz w:val="24"/>
          <w:szCs w:val="24"/>
          <w:rtl/>
        </w:rPr>
        <w:tab/>
      </w:r>
      <w:r>
        <w:rPr>
          <w:rStyle w:val="default"/>
          <w:rFonts w:cs="David" w:hint="cs"/>
          <w:b/>
          <w:bCs/>
          <w:sz w:val="24"/>
          <w:szCs w:val="24"/>
          <w:rtl/>
        </w:rPr>
        <w:tab/>
      </w:r>
      <w:r>
        <w:rPr>
          <w:rStyle w:val="default"/>
          <w:rFonts w:cs="David" w:hint="cs"/>
          <w:b/>
          <w:bCs/>
          <w:sz w:val="24"/>
          <w:szCs w:val="24"/>
          <w:rtl/>
        </w:rPr>
        <w:tab/>
        <w:t>(2)</w:t>
      </w:r>
      <w:r>
        <w:rPr>
          <w:rStyle w:val="default"/>
          <w:rFonts w:cs="David" w:hint="cs"/>
          <w:b/>
          <w:bCs/>
          <w:sz w:val="24"/>
          <w:szCs w:val="24"/>
          <w:rtl/>
        </w:rPr>
        <w:tab/>
        <w:t>"בכוונה" - מקום שהמונח אינו מתייחס לתוצאת המעשה הנמנית עם פרטי העבירה, יתפרש המונח כמניע שמתוכו נעשה המעשה או כמטרה להשיג יעד כפי שנקבע בעבירה, לפי ההקשר;"</w:t>
      </w:r>
    </w:p>
    <w:p w14:paraId="258DF843" w14:textId="77777777" w:rsidR="00196DB6" w:rsidRDefault="0043002B">
      <w:pPr>
        <w:spacing w:line="360" w:lineRule="auto"/>
        <w:ind w:left="1440" w:hanging="720"/>
        <w:jc w:val="both"/>
        <w:rPr>
          <w:rFonts w:ascii="Arial (W1)" w:hAnsi="Arial (W1)"/>
          <w:rtl/>
        </w:rPr>
      </w:pPr>
      <w:r>
        <w:rPr>
          <w:rFonts w:hint="cs"/>
          <w:b/>
          <w:bCs/>
          <w:rtl/>
        </w:rPr>
        <w:tab/>
      </w:r>
    </w:p>
    <w:p w14:paraId="5279E10E" w14:textId="77777777" w:rsidR="00196DB6" w:rsidRDefault="0043002B">
      <w:pPr>
        <w:spacing w:line="360" w:lineRule="auto"/>
        <w:jc w:val="both"/>
        <w:rPr>
          <w:b/>
          <w:bCs/>
          <w:rtl/>
        </w:rPr>
      </w:pPr>
      <w:r>
        <w:rPr>
          <w:rFonts w:hint="cs"/>
          <w:b/>
          <w:bCs/>
          <w:rtl/>
        </w:rPr>
        <w:t xml:space="preserve">הנה כי כן, עיון בסעיף האמור מלמד כי היסוד הנפשי המוגבר של "בכוונה" הנדרש לצורך הרשעה בעבירת האיומים כאמור, יתפרש "(...) כמניע שמתוכו נעשה המעשה או כמטרה להשיג יעד כפי שנקבע בעבירה, לפי ההקשר;", וזאת "מקום שהמונח ("בכוונה" – ע.ג.) אינו מתייחס לתוצאת המעשה הנמנית עם פרטי העבירה". והוא הדין בעניינו של הנאשם  שלפנינו.  </w:t>
      </w:r>
    </w:p>
    <w:p w14:paraId="28BBB133" w14:textId="77777777" w:rsidR="00196DB6" w:rsidRDefault="0043002B">
      <w:pPr>
        <w:spacing w:line="360" w:lineRule="auto"/>
        <w:jc w:val="both"/>
        <w:rPr>
          <w:b/>
          <w:bCs/>
          <w:rtl/>
        </w:rPr>
      </w:pPr>
      <w:r>
        <w:rPr>
          <w:rFonts w:hint="cs"/>
          <w:b/>
          <w:bCs/>
          <w:rtl/>
        </w:rPr>
        <w:t>עיון בסעיפים 34ט(ב) לחוק ו- 90א(2) לחוק מלמד כי היסוד הנפשי "בכוונה" יתפרש כמניע או כמטרה להשיג יעד, היינו, עסקינן ביסוד נפשי מוגבר או מיוחד מעבר למודעות בלבד.</w:t>
      </w:r>
    </w:p>
    <w:p w14:paraId="4389C692" w14:textId="77777777" w:rsidR="00196DB6" w:rsidRDefault="0043002B">
      <w:pPr>
        <w:spacing w:line="360" w:lineRule="auto"/>
        <w:jc w:val="both"/>
        <w:rPr>
          <w:b/>
          <w:bCs/>
          <w:rtl/>
        </w:rPr>
      </w:pPr>
      <w:r>
        <w:rPr>
          <w:rFonts w:hint="cs"/>
          <w:b/>
          <w:bCs/>
          <w:rtl/>
        </w:rPr>
        <w:t>יתרה מכך, גם בפסיקתו של בית המשפט העליון ניתן למצוא קביעות על כך שלאור הוראותיו של סעיף 34ט(ב) לחוק, הרי שלא ניתן להרשיע שיכור בעבירות הדורשות "כוונה מיוחדת" (ראו, למשל</w:t>
      </w:r>
      <w:r>
        <w:rPr>
          <w:rFonts w:hint="cs"/>
          <w:b/>
          <w:bCs/>
          <w:color w:val="000000"/>
          <w:rtl/>
        </w:rPr>
        <w:t xml:space="preserve">, </w:t>
      </w:r>
      <w:hyperlink r:id="rId22" w:history="1">
        <w:r w:rsidR="00CA1F8C" w:rsidRPr="00CA1F8C">
          <w:rPr>
            <w:rStyle w:val="Hyperlink"/>
            <w:b/>
            <w:bCs/>
            <w:rtl/>
          </w:rPr>
          <w:t>ע"פ 6586/98</w:t>
        </w:r>
      </w:hyperlink>
      <w:r>
        <w:rPr>
          <w:rFonts w:hint="cs"/>
          <w:b/>
          <w:bCs/>
          <w:rtl/>
        </w:rPr>
        <w:t xml:space="preserve"> ארקדי אלסיבצקי נ' מדינת ישראל (לא פורסם, [פורסם בנבו], ניתן ביום 18.5.99)). לעניין זה, יש להעיר ש"כוונה מיוחדת" היה המינוח שקדם לתיקון מס' 39, כאשר לאחר התיקון השימוש הוא במונחים "כוונה" או "מטרה" [ראו: יעקב קדמי, על הדין בפלילים (מהדורה מעודכנת, תשס"ה – 2004), חלק ראשון, בעמ' 171- 172, 174 ובעמ'  300 בה"ש 16; להלן – "קדמי"]." </w:t>
      </w:r>
    </w:p>
    <w:p w14:paraId="1793AF1A" w14:textId="77777777" w:rsidR="00196DB6" w:rsidRDefault="0043002B">
      <w:pPr>
        <w:spacing w:before="100" w:beforeAutospacing="1" w:after="100" w:afterAutospacing="1" w:line="360" w:lineRule="auto"/>
        <w:jc w:val="both"/>
        <w:rPr>
          <w:b/>
          <w:bCs/>
          <w:u w:val="single"/>
          <w:rtl/>
        </w:rPr>
      </w:pPr>
      <w:r>
        <w:rPr>
          <w:rFonts w:hint="cs"/>
          <w:b/>
          <w:bCs/>
          <w:u w:val="single"/>
          <w:rtl/>
        </w:rPr>
        <w:t xml:space="preserve">עבירת מעשה מגונה בפומבי </w:t>
      </w:r>
    </w:p>
    <w:p w14:paraId="17B126AE" w14:textId="77777777" w:rsidR="00196DB6" w:rsidRDefault="0043002B">
      <w:pPr>
        <w:pStyle w:val="P00"/>
        <w:spacing w:before="72" w:line="360" w:lineRule="auto"/>
        <w:ind w:left="1474" w:hanging="1474"/>
        <w:rPr>
          <w:rStyle w:val="default"/>
          <w:rFonts w:cs="David"/>
          <w:sz w:val="24"/>
          <w:szCs w:val="24"/>
          <w:rtl/>
        </w:rPr>
      </w:pPr>
      <w:r>
        <w:rPr>
          <w:rStyle w:val="big-number"/>
          <w:rFonts w:hint="cs"/>
          <w:b/>
          <w:bCs/>
          <w:sz w:val="24"/>
          <w:szCs w:val="24"/>
          <w:rtl/>
        </w:rPr>
        <w:t>349</w:t>
      </w:r>
      <w:r>
        <w:rPr>
          <w:rStyle w:val="default"/>
          <w:rFonts w:cs="David" w:hint="cs"/>
          <w:b/>
          <w:bCs/>
          <w:sz w:val="24"/>
          <w:szCs w:val="24"/>
          <w:rtl/>
        </w:rPr>
        <w:t>(א)</w:t>
      </w:r>
      <w:r>
        <w:rPr>
          <w:rStyle w:val="default"/>
          <w:rFonts w:cs="David" w:hint="cs"/>
          <w:b/>
          <w:bCs/>
          <w:sz w:val="24"/>
          <w:szCs w:val="24"/>
          <w:rtl/>
        </w:rPr>
        <w:tab/>
      </w:r>
      <w:r>
        <w:rPr>
          <w:rStyle w:val="default"/>
          <w:rFonts w:cs="David" w:hint="cs"/>
          <w:b/>
          <w:bCs/>
          <w:sz w:val="24"/>
          <w:szCs w:val="24"/>
          <w:rtl/>
        </w:rPr>
        <w:tab/>
        <w:t xml:space="preserve">העושה מעשה מגונה בפומבי בפני אדם אחר, ללא הסכמתו, או העושה מעשה כאמור בכל מקום שהוא תוך ניצול יחסי תלות, מרות, חינוך, השגחה, עבודה או שירות, דינו - </w:t>
      </w:r>
      <w:r>
        <w:rPr>
          <w:rStyle w:val="default"/>
          <w:rFonts w:cs="David" w:hint="cs"/>
          <w:b/>
          <w:bCs/>
          <w:sz w:val="24"/>
          <w:szCs w:val="24"/>
          <w:rtl/>
        </w:rPr>
        <w:tab/>
        <w:t xml:space="preserve">מאסר שנה. </w:t>
      </w:r>
    </w:p>
    <w:p w14:paraId="02259777" w14:textId="77777777" w:rsidR="00196DB6" w:rsidRDefault="0043002B">
      <w:pPr>
        <w:spacing w:before="100" w:beforeAutospacing="1" w:after="100" w:afterAutospacing="1" w:line="360" w:lineRule="auto"/>
        <w:jc w:val="both"/>
        <w:rPr>
          <w:rFonts w:ascii="Arial (W1)" w:hAnsi="Arial (W1)"/>
        </w:rPr>
      </w:pPr>
      <w:r>
        <w:rPr>
          <w:rFonts w:hint="cs"/>
          <w:rtl/>
        </w:rPr>
        <w:t>עבירה זו, ככל העבירות של מעשה מגונה, היא עבירה התנהגותית מטרתית על כל הכרוך בכך. הדרישה "לשם" שבהגדרתו של "</w:t>
      </w:r>
      <w:r>
        <w:rPr>
          <w:rFonts w:hint="cs"/>
          <w:b/>
          <w:bCs/>
          <w:rtl/>
        </w:rPr>
        <w:t>מעשה מגונה</w:t>
      </w:r>
      <w:r>
        <w:rPr>
          <w:rFonts w:hint="cs"/>
          <w:rtl/>
        </w:rPr>
        <w:t xml:space="preserve">" </w:t>
      </w:r>
      <w:hyperlink r:id="rId23" w:history="1">
        <w:r w:rsidR="00DF0D8F" w:rsidRPr="00DF0D8F">
          <w:rPr>
            <w:color w:val="0000FF"/>
            <w:u w:val="single"/>
            <w:rtl/>
          </w:rPr>
          <w:t>שבסעיף 348(ו)</w:t>
        </w:r>
      </w:hyperlink>
      <w:r>
        <w:rPr>
          <w:rFonts w:hint="cs"/>
          <w:rtl/>
        </w:rPr>
        <w:t xml:space="preserve"> ל</w:t>
      </w:r>
      <w:hyperlink r:id="rId24" w:history="1">
        <w:r w:rsidR="00CA1F8C" w:rsidRPr="00CA1F8C">
          <w:rPr>
            <w:rStyle w:val="Hyperlink"/>
            <w:rtl/>
          </w:rPr>
          <w:t>חוק העונשין</w:t>
        </w:r>
      </w:hyperlink>
      <w:r>
        <w:rPr>
          <w:rFonts w:hint="cs"/>
          <w:rtl/>
        </w:rPr>
        <w:t>, מציגה דרישה של כוונה לעניין תכליתו של המעשה. הדרישה כי המעשה ייעשה ללא הסכמתו של האחר מקימה על פניה, דרישה של ידיעה בהקשר זה.</w:t>
      </w:r>
    </w:p>
    <w:p w14:paraId="773050D2" w14:textId="77777777" w:rsidR="00196DB6" w:rsidRDefault="0043002B">
      <w:pPr>
        <w:spacing w:before="100" w:beforeAutospacing="1" w:after="100" w:afterAutospacing="1" w:line="360" w:lineRule="auto"/>
        <w:jc w:val="both"/>
        <w:rPr>
          <w:rtl/>
        </w:rPr>
      </w:pPr>
      <w:r>
        <w:rPr>
          <w:rFonts w:hint="cs"/>
          <w:rtl/>
        </w:rPr>
        <w:t>לשם הזהירות, מצאתי לקבוע כי הנאשם היה תחת השפעת אלכוהול, במידה כזו שלא אפשרה לו לגבש את הכוונה הנדרשת בעבירת  של מעשה מגונה. אשר על כן, אני מזכה את הנאשם מעבירה זו.</w:t>
      </w:r>
    </w:p>
    <w:p w14:paraId="13998905" w14:textId="77777777" w:rsidR="00196DB6" w:rsidRDefault="00196DB6">
      <w:pPr>
        <w:spacing w:before="100" w:beforeAutospacing="1" w:after="100" w:afterAutospacing="1" w:line="360" w:lineRule="auto"/>
        <w:jc w:val="both"/>
        <w:rPr>
          <w:rtl/>
        </w:rPr>
      </w:pPr>
    </w:p>
    <w:p w14:paraId="042A519F" w14:textId="77777777" w:rsidR="00196DB6" w:rsidRDefault="00196DB6">
      <w:pPr>
        <w:spacing w:before="100" w:beforeAutospacing="1" w:after="100" w:afterAutospacing="1" w:line="360" w:lineRule="auto"/>
        <w:jc w:val="both"/>
        <w:rPr>
          <w:rtl/>
        </w:rPr>
      </w:pPr>
    </w:p>
    <w:p w14:paraId="6689FB34" w14:textId="77777777" w:rsidR="00196DB6" w:rsidRDefault="0043002B">
      <w:pPr>
        <w:spacing w:before="100" w:beforeAutospacing="1" w:after="100" w:afterAutospacing="1" w:line="360" w:lineRule="auto"/>
        <w:jc w:val="both"/>
        <w:rPr>
          <w:b/>
          <w:bCs/>
          <w:u w:val="single"/>
          <w:rtl/>
        </w:rPr>
      </w:pPr>
      <w:r>
        <w:rPr>
          <w:rFonts w:hint="cs"/>
          <w:rtl/>
        </w:rPr>
        <w:t xml:space="preserve"> </w:t>
      </w:r>
      <w:r>
        <w:rPr>
          <w:rFonts w:hint="cs"/>
          <w:b/>
          <w:bCs/>
          <w:u w:val="single"/>
          <w:rtl/>
        </w:rPr>
        <w:t xml:space="preserve">עבירת תקיפה סתם </w:t>
      </w:r>
    </w:p>
    <w:p w14:paraId="5676EDCE" w14:textId="77777777" w:rsidR="00196DB6" w:rsidRDefault="0043002B">
      <w:pPr>
        <w:spacing w:before="100" w:beforeAutospacing="1" w:after="100" w:afterAutospacing="1" w:line="360" w:lineRule="auto"/>
        <w:jc w:val="both"/>
        <w:rPr>
          <w:rtl/>
        </w:rPr>
      </w:pPr>
      <w:r>
        <w:rPr>
          <w:rFonts w:hint="cs"/>
          <w:rtl/>
        </w:rPr>
        <w:t xml:space="preserve">העבירה לפי </w:t>
      </w:r>
      <w:hyperlink r:id="rId25" w:history="1">
        <w:r w:rsidR="00DF0D8F" w:rsidRPr="00DF0D8F">
          <w:rPr>
            <w:color w:val="0000FF"/>
            <w:u w:val="single"/>
            <w:rtl/>
          </w:rPr>
          <w:t>סעיף 379</w:t>
        </w:r>
      </w:hyperlink>
      <w:r>
        <w:rPr>
          <w:rFonts w:hint="cs"/>
          <w:rtl/>
        </w:rPr>
        <w:t xml:space="preserve"> היא עבירת מחשבה פלילית, התנהגותית ובתור שכזו, בהעדר דרישה של כוונה מיוחדת, בא היסוד הנפשי הדרוש להרשעה לפיה על סיפוקו , ב"מודעות": כלפי טיב המעשה וכלפי התקיימות הנסיבות (</w:t>
      </w:r>
      <w:r>
        <w:rPr>
          <w:rFonts w:hint="cs"/>
          <w:b/>
          <w:bCs/>
          <w:rtl/>
        </w:rPr>
        <w:t>ראו: יעקב קדמי, על הדין בפלילים (מהדורה מעודכנת, תשס"ו – 2006), חלק שלישי, בעמ' 1434)</w:t>
      </w:r>
      <w:r>
        <w:rPr>
          <w:rFonts w:hint="cs"/>
          <w:rtl/>
        </w:rPr>
        <w:t>.</w:t>
      </w:r>
    </w:p>
    <w:p w14:paraId="2B8DD19A" w14:textId="77777777" w:rsidR="00196DB6" w:rsidRDefault="0043002B">
      <w:pPr>
        <w:spacing w:before="100" w:beforeAutospacing="1" w:after="100" w:afterAutospacing="1" w:line="360" w:lineRule="auto"/>
        <w:jc w:val="both"/>
        <w:rPr>
          <w:rtl/>
        </w:rPr>
      </w:pPr>
      <w:r>
        <w:rPr>
          <w:rFonts w:hint="cs"/>
          <w:rtl/>
        </w:rPr>
        <w:t>הנאשם תקף את המתלוננת במכת אגרוף. הנאשם הכניס עצמו למצב בו היה נתון להשפעת אלכוהול, אולם הוא היה מודע לטיב מעשיו. הנאשם זיהה את שיפרה ופאני,  כעולה מהעובדה כי הוא ידע לעלוב בהן תוך התייחסות ספציפית למצבן המיוחד. הנאשם שהה בשער המושב והפעיל את שער הכניסה, דבר המלמד כי לא היה הוא בבחינת שיכור כלוט. הנאשם היה מודע למעשיו במידה המאפשרת לו לקיים את המודעות כלפי המעשה וכלפי הנסיבות בהן הכה את פאני בפניה.</w:t>
      </w:r>
    </w:p>
    <w:p w14:paraId="7AAECBA5" w14:textId="77777777" w:rsidR="00196DB6" w:rsidRDefault="0043002B">
      <w:pPr>
        <w:spacing w:line="360" w:lineRule="auto"/>
        <w:rPr>
          <w:b/>
          <w:bCs/>
          <w:rtl/>
        </w:rPr>
      </w:pPr>
      <w:r>
        <w:rPr>
          <w:rFonts w:hint="cs"/>
          <w:rtl/>
        </w:rPr>
        <w:t xml:space="preserve">אשר על כן, </w:t>
      </w:r>
      <w:r>
        <w:rPr>
          <w:rFonts w:hint="cs"/>
          <w:b/>
          <w:bCs/>
          <w:rtl/>
        </w:rPr>
        <w:t xml:space="preserve">אני מרשיע את הנאשם בעבירה של </w:t>
      </w:r>
      <w:r>
        <w:rPr>
          <w:rFonts w:ascii="TimesNewRoman" w:hint="cs"/>
          <w:b/>
          <w:bCs/>
          <w:rtl/>
        </w:rPr>
        <w:t>תקיפה</w:t>
      </w:r>
      <w:r>
        <w:rPr>
          <w:rFonts w:ascii="TimesNewRoman" w:hint="cs"/>
          <w:b/>
          <w:bCs/>
        </w:rPr>
        <w:t xml:space="preserve"> </w:t>
      </w:r>
      <w:r>
        <w:rPr>
          <w:rFonts w:ascii="TimesNewRoman" w:hint="cs"/>
          <w:b/>
          <w:bCs/>
          <w:rtl/>
        </w:rPr>
        <w:t>סתם, עבירה</w:t>
      </w:r>
      <w:r>
        <w:rPr>
          <w:rFonts w:ascii="TimesNewRoman" w:hint="cs"/>
          <w:b/>
          <w:bCs/>
        </w:rPr>
        <w:t xml:space="preserve"> </w:t>
      </w:r>
      <w:r>
        <w:rPr>
          <w:rFonts w:ascii="TimesNewRoman" w:hint="cs"/>
          <w:b/>
          <w:bCs/>
          <w:rtl/>
        </w:rPr>
        <w:t>לפי</w:t>
      </w:r>
      <w:r>
        <w:rPr>
          <w:rFonts w:ascii="TimesNewRoman" w:hint="cs"/>
          <w:b/>
          <w:bCs/>
        </w:rPr>
        <w:t xml:space="preserve"> </w:t>
      </w:r>
      <w:hyperlink r:id="rId26" w:history="1">
        <w:r w:rsidR="00DF0D8F" w:rsidRPr="00DF0D8F">
          <w:rPr>
            <w:rFonts w:ascii="TimesNewRoman"/>
            <w:b/>
            <w:bCs/>
            <w:color w:val="0000FF"/>
            <w:u w:val="single"/>
            <w:rtl/>
          </w:rPr>
          <w:t>סעיף 379</w:t>
        </w:r>
      </w:hyperlink>
      <w:r>
        <w:rPr>
          <w:rFonts w:ascii="TimesNewRoman" w:hint="cs"/>
          <w:b/>
          <w:bCs/>
          <w:rtl/>
        </w:rPr>
        <w:t xml:space="preserve"> ל</w:t>
      </w:r>
      <w:hyperlink r:id="rId27" w:history="1">
        <w:r w:rsidR="00CA1F8C" w:rsidRPr="00CA1F8C">
          <w:rPr>
            <w:rStyle w:val="Hyperlink"/>
            <w:rFonts w:ascii="TimesNewRoman"/>
            <w:b/>
            <w:bCs/>
            <w:rtl/>
          </w:rPr>
          <w:t>חוק העונשין</w:t>
        </w:r>
      </w:hyperlink>
      <w:r>
        <w:rPr>
          <w:rFonts w:ascii="Times New Roman" w:hAnsi="Times New Roman" w:hint="cs"/>
          <w:b/>
          <w:bCs/>
          <w:rtl/>
        </w:rPr>
        <w:t>,</w:t>
      </w:r>
      <w:r>
        <w:rPr>
          <w:rFonts w:ascii="TimesNewRoman" w:hint="cs"/>
          <w:b/>
          <w:bCs/>
        </w:rPr>
        <w:t xml:space="preserve"> </w:t>
      </w:r>
      <w:r>
        <w:rPr>
          <w:rFonts w:ascii="TimesNewRoman" w:hint="cs"/>
          <w:b/>
          <w:bCs/>
          <w:rtl/>
        </w:rPr>
        <w:t>תשל</w:t>
      </w:r>
      <w:r>
        <w:rPr>
          <w:rFonts w:ascii="TimesNewRoman" w:hint="cs"/>
          <w:b/>
          <w:bCs/>
        </w:rPr>
        <w:t>"</w:t>
      </w:r>
      <w:r>
        <w:rPr>
          <w:rFonts w:ascii="TimesNewRoman" w:hint="cs"/>
          <w:b/>
          <w:bCs/>
          <w:rtl/>
        </w:rPr>
        <w:t>ז-1977</w:t>
      </w:r>
      <w:r>
        <w:rPr>
          <w:rFonts w:hint="cs"/>
          <w:b/>
          <w:bCs/>
          <w:rtl/>
        </w:rPr>
        <w:t>.</w:t>
      </w:r>
    </w:p>
    <w:p w14:paraId="1EC77CD1" w14:textId="77777777" w:rsidR="00196DB6" w:rsidRDefault="0043002B">
      <w:pPr>
        <w:spacing w:line="360" w:lineRule="auto"/>
        <w:rPr>
          <w:rtl/>
        </w:rPr>
      </w:pPr>
      <w:r>
        <w:rPr>
          <w:rFonts w:hint="cs"/>
          <w:rtl/>
        </w:rPr>
        <w:tab/>
      </w:r>
      <w:r>
        <w:rPr>
          <w:rFonts w:hint="cs"/>
          <w:rtl/>
        </w:rPr>
        <w:tab/>
      </w:r>
      <w:r>
        <w:rPr>
          <w:rFonts w:hint="cs"/>
          <w:rtl/>
        </w:rPr>
        <w:tab/>
      </w:r>
    </w:p>
    <w:p w14:paraId="660C2BC6" w14:textId="77777777" w:rsidR="00196DB6" w:rsidRDefault="0043002B">
      <w:pPr>
        <w:spacing w:line="360" w:lineRule="auto"/>
        <w:rPr>
          <w:sz w:val="6"/>
          <w:szCs w:val="6"/>
          <w:rtl/>
        </w:rPr>
      </w:pPr>
      <w:r>
        <w:rPr>
          <w:sz w:val="6"/>
          <w:szCs w:val="6"/>
          <w:rtl/>
        </w:rPr>
        <w:t>&lt;#4#&gt;</w:t>
      </w:r>
    </w:p>
    <w:p w14:paraId="7BF84090" w14:textId="77777777" w:rsidR="00196DB6" w:rsidRDefault="0043002B">
      <w:pPr>
        <w:spacing w:line="360" w:lineRule="auto"/>
        <w:rPr>
          <w:b/>
          <w:bCs/>
          <w:rtl/>
        </w:rPr>
      </w:pPr>
      <w:r>
        <w:rPr>
          <w:rFonts w:hint="cs"/>
          <w:b/>
          <w:bCs/>
          <w:rtl/>
        </w:rPr>
        <w:t xml:space="preserve">ניתנה והודעה היום </w:t>
      </w:r>
      <w:r>
        <w:rPr>
          <w:b/>
          <w:bCs/>
          <w:rtl/>
        </w:rPr>
        <w:t>ט' אלול תשע"א</w:t>
      </w:r>
      <w:r>
        <w:rPr>
          <w:rFonts w:hint="cs"/>
          <w:b/>
          <w:bCs/>
          <w:rtl/>
        </w:rPr>
        <w:t xml:space="preserve">, </w:t>
      </w:r>
      <w:r>
        <w:rPr>
          <w:b/>
          <w:bCs/>
          <w:rtl/>
        </w:rPr>
        <w:t>08/09/2011</w:t>
      </w:r>
      <w:r>
        <w:rPr>
          <w:rFonts w:hint="cs"/>
          <w:b/>
          <w:bCs/>
          <w:rtl/>
        </w:rPr>
        <w:t xml:space="preserve"> במעמד הנוכחים. </w:t>
      </w:r>
    </w:p>
    <w:p w14:paraId="7DD1DB41" w14:textId="77777777" w:rsidR="00196DB6" w:rsidRDefault="0043002B">
      <w:pPr>
        <w:spacing w:line="360" w:lineRule="auto"/>
        <w:jc w:val="both"/>
        <w:rPr>
          <w:rtl/>
        </w:rPr>
      </w:pPr>
      <w:r>
        <w:rPr>
          <w:rtl/>
        </w:rPr>
        <w:t xml:space="preserve"> </w:t>
      </w:r>
    </w:p>
    <w:p w14:paraId="76D5520F" w14:textId="77777777" w:rsidR="00196DB6" w:rsidRDefault="0043002B">
      <w:pPr>
        <w:jc w:val="both"/>
        <w:rPr>
          <w:rtl/>
        </w:rPr>
      </w:pPr>
      <w:r>
        <w:rPr>
          <w:rtl/>
        </w:rPr>
        <w:t xml:space="preserve"> </w:t>
      </w:r>
    </w:p>
    <w:tbl>
      <w:tblPr>
        <w:bidiVisual/>
        <w:tblW w:w="3420" w:type="dxa"/>
        <w:tblInd w:w="5354" w:type="dxa"/>
        <w:tblLook w:val="01E0" w:firstRow="1" w:lastRow="1" w:firstColumn="1" w:lastColumn="1" w:noHBand="0" w:noVBand="0"/>
      </w:tblPr>
      <w:tblGrid>
        <w:gridCol w:w="3420"/>
      </w:tblGrid>
      <w:tr w:rsidR="00196DB6" w14:paraId="3DC53BB6" w14:textId="77777777">
        <w:trPr>
          <w:cantSplit/>
        </w:trPr>
        <w:tc>
          <w:tcPr>
            <w:tcW w:w="3420" w:type="dxa"/>
            <w:tcBorders>
              <w:bottom w:val="single" w:sz="4" w:space="0" w:color="auto"/>
            </w:tcBorders>
            <w:shd w:val="clear" w:color="auto" w:fill="auto"/>
          </w:tcPr>
          <w:p w14:paraId="70B9F69E" w14:textId="77777777" w:rsidR="00196DB6" w:rsidRPr="009D71CF" w:rsidRDefault="00196DB6" w:rsidP="009D71CF">
            <w:pPr>
              <w:spacing w:line="360" w:lineRule="auto"/>
              <w:jc w:val="center"/>
              <w:rPr>
                <w:rFonts w:cs="FrankRuehl"/>
                <w:rtl/>
              </w:rPr>
            </w:pPr>
          </w:p>
          <w:p w14:paraId="2936FE44" w14:textId="77777777" w:rsidR="00196DB6" w:rsidRPr="009D71CF" w:rsidRDefault="00196DB6" w:rsidP="009D71CF">
            <w:pPr>
              <w:spacing w:line="360" w:lineRule="auto"/>
              <w:jc w:val="center"/>
              <w:rPr>
                <w:rFonts w:cs="FrankRuehl"/>
                <w:rtl/>
              </w:rPr>
            </w:pPr>
          </w:p>
        </w:tc>
      </w:tr>
      <w:tr w:rsidR="00196DB6" w14:paraId="10756B69" w14:textId="77777777">
        <w:tc>
          <w:tcPr>
            <w:tcW w:w="3420" w:type="dxa"/>
            <w:tcBorders>
              <w:top w:val="single" w:sz="4" w:space="0" w:color="auto"/>
            </w:tcBorders>
            <w:shd w:val="clear" w:color="auto" w:fill="auto"/>
          </w:tcPr>
          <w:p w14:paraId="52909A1F" w14:textId="77777777" w:rsidR="00196DB6" w:rsidRPr="009D71CF" w:rsidRDefault="0043002B" w:rsidP="009D71CF">
            <w:pPr>
              <w:spacing w:line="360" w:lineRule="auto"/>
              <w:jc w:val="center"/>
              <w:rPr>
                <w:b/>
                <w:bCs/>
                <w:rtl/>
              </w:rPr>
            </w:pPr>
            <w:r w:rsidRPr="009D71CF">
              <w:rPr>
                <w:b/>
                <w:bCs/>
                <w:rtl/>
              </w:rPr>
              <w:t>דורון</w:t>
            </w:r>
            <w:r w:rsidRPr="009D71CF">
              <w:rPr>
                <w:rFonts w:hint="cs"/>
                <w:b/>
                <w:bCs/>
                <w:rtl/>
              </w:rPr>
              <w:t xml:space="preserve"> </w:t>
            </w:r>
            <w:r w:rsidRPr="009D71CF">
              <w:rPr>
                <w:b/>
                <w:bCs/>
                <w:rtl/>
              </w:rPr>
              <w:t>פורת</w:t>
            </w:r>
            <w:r w:rsidRPr="009D71CF">
              <w:rPr>
                <w:rFonts w:hint="cs"/>
                <w:b/>
                <w:bCs/>
                <w:rtl/>
              </w:rPr>
              <w:t xml:space="preserve">, </w:t>
            </w:r>
            <w:r w:rsidRPr="009D71CF">
              <w:rPr>
                <w:b/>
                <w:bCs/>
                <w:rtl/>
              </w:rPr>
              <w:t>שופט</w:t>
            </w:r>
          </w:p>
        </w:tc>
      </w:tr>
    </w:tbl>
    <w:p w14:paraId="03A64DF3" w14:textId="77777777" w:rsidR="00196DB6" w:rsidRDefault="00196DB6">
      <w:pPr>
        <w:jc w:val="right"/>
        <w:rPr>
          <w:rtl/>
        </w:rPr>
      </w:pPr>
    </w:p>
    <w:p w14:paraId="1E091C9A" w14:textId="77777777" w:rsidR="00196DB6" w:rsidRDefault="00196DB6">
      <w:pPr>
        <w:rPr>
          <w:rtl/>
        </w:rPr>
      </w:pPr>
    </w:p>
    <w:p w14:paraId="5E9AF1B2" w14:textId="77777777" w:rsidR="00196DB6" w:rsidRDefault="0043002B">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9372AE1" w14:textId="77777777" w:rsidR="00196DB6" w:rsidRDefault="00196DB6">
      <w:pPr>
        <w:spacing w:line="360" w:lineRule="auto"/>
        <w:jc w:val="both"/>
        <w:rPr>
          <w:rtl/>
        </w:rPr>
      </w:pPr>
    </w:p>
    <w:p w14:paraId="5474E52F" w14:textId="77777777" w:rsidR="00196DB6" w:rsidRDefault="0043002B">
      <w:pPr>
        <w:spacing w:line="360" w:lineRule="auto"/>
        <w:jc w:val="both"/>
        <w:rPr>
          <w:rtl/>
        </w:rPr>
      </w:pPr>
      <w:r>
        <w:rPr>
          <w:rFonts w:hint="cs"/>
          <w:rtl/>
        </w:rPr>
        <w:t>לאחר ששמעתי את טיעוני הצדדים, אני מחליט כי יש להפנות את הנאשם לקבלת חוות דעת של הממונה על עבודות שירות בטרם אגזור את דינו.</w:t>
      </w:r>
    </w:p>
    <w:p w14:paraId="23892833" w14:textId="77777777" w:rsidR="00196DB6" w:rsidRDefault="00196DB6">
      <w:pPr>
        <w:spacing w:line="360" w:lineRule="auto"/>
        <w:jc w:val="both"/>
        <w:rPr>
          <w:rtl/>
        </w:rPr>
      </w:pPr>
    </w:p>
    <w:p w14:paraId="5FD7E41F" w14:textId="77777777" w:rsidR="00196DB6" w:rsidRDefault="0043002B">
      <w:pPr>
        <w:spacing w:before="100" w:after="100" w:line="360" w:lineRule="auto"/>
        <w:rPr>
          <w:b/>
          <w:bCs/>
          <w:u w:val="single"/>
          <w:rtl/>
        </w:rPr>
      </w:pPr>
      <w:r>
        <w:rPr>
          <w:rFonts w:hint="cs"/>
          <w:rtl/>
        </w:rPr>
        <w:t xml:space="preserve"> מובהר בזאת כי אין באמור משום הבטחה או יצירת צפייה כלשהי. </w:t>
      </w:r>
    </w:p>
    <w:p w14:paraId="785770EB" w14:textId="77777777" w:rsidR="00196DB6" w:rsidRDefault="00196DB6">
      <w:pPr>
        <w:spacing w:line="360" w:lineRule="auto"/>
        <w:rPr>
          <w:rtl/>
        </w:rPr>
      </w:pPr>
    </w:p>
    <w:p w14:paraId="4D93EAA5" w14:textId="77777777" w:rsidR="00196DB6" w:rsidRDefault="0043002B">
      <w:pPr>
        <w:spacing w:line="360" w:lineRule="auto"/>
        <w:rPr>
          <w:rtl/>
        </w:rPr>
      </w:pPr>
      <w:r>
        <w:rPr>
          <w:rtl/>
        </w:rPr>
        <w:t>אני מתיר לממונה על עבודות שירות לערוך כל בדיקה דרושה ובכלל זה בדיקות שתן ככל שיידרש</w:t>
      </w:r>
      <w:r>
        <w:rPr>
          <w:rFonts w:hint="cs"/>
          <w:rtl/>
        </w:rPr>
        <w:t>.</w:t>
      </w:r>
    </w:p>
    <w:p w14:paraId="3E9D9EC6" w14:textId="77777777" w:rsidR="00196DB6" w:rsidRDefault="00196DB6"/>
    <w:p w14:paraId="3FE0DBCF" w14:textId="77777777" w:rsidR="00196DB6" w:rsidRDefault="0043002B">
      <w:pPr>
        <w:snapToGrid w:val="0"/>
        <w:spacing w:line="360" w:lineRule="auto"/>
        <w:ind w:left="567" w:hanging="567"/>
      </w:pPr>
      <w:r>
        <w:rPr>
          <w:rFonts w:hint="cs"/>
          <w:b/>
          <w:bCs/>
          <w:rtl/>
        </w:rPr>
        <w:t>נדחה לקבלת חוות דעת הממונה וכן לטיעונים לעונש ליום 2.11.11  שעה  08.30.</w:t>
      </w:r>
    </w:p>
    <w:p w14:paraId="305D71C9" w14:textId="77777777" w:rsidR="00196DB6" w:rsidRDefault="00196DB6">
      <w:pPr>
        <w:snapToGrid w:val="0"/>
        <w:spacing w:line="360" w:lineRule="auto"/>
        <w:ind w:left="720" w:hanging="720"/>
        <w:rPr>
          <w:rtl/>
        </w:rPr>
      </w:pPr>
    </w:p>
    <w:p w14:paraId="0BE300D8" w14:textId="77777777" w:rsidR="00196DB6" w:rsidRDefault="0043002B">
      <w:pPr>
        <w:pStyle w:val="BodyText2"/>
        <w:ind w:left="720" w:hanging="720"/>
        <w:jc w:val="left"/>
      </w:pPr>
      <w:r>
        <w:rPr>
          <w:rFonts w:cs="David" w:hint="cs"/>
          <w:rtl/>
        </w:rPr>
        <w:t xml:space="preserve">טלפון הממונה על עבודות שירות: </w:t>
      </w:r>
      <w:r>
        <w:rPr>
          <w:rFonts w:cs="David"/>
        </w:rPr>
        <w:t>08-9776370</w:t>
      </w:r>
      <w:r>
        <w:rPr>
          <w:rFonts w:cs="David" w:hint="cs"/>
          <w:rtl/>
        </w:rPr>
        <w:t xml:space="preserve">, </w:t>
      </w:r>
      <w:r>
        <w:rPr>
          <w:rFonts w:cs="David"/>
        </w:rPr>
        <w:t>08-9776362</w:t>
      </w:r>
      <w:r>
        <w:rPr>
          <w:rFonts w:cs="David" w:hint="cs"/>
          <w:rtl/>
        </w:rPr>
        <w:t>,</w:t>
      </w:r>
      <w:r>
        <w:rPr>
          <w:rFonts w:hint="cs"/>
          <w:rtl/>
        </w:rPr>
        <w:t xml:space="preserve"> 046788048. פקס – 089193606.</w:t>
      </w:r>
    </w:p>
    <w:p w14:paraId="1EA40343" w14:textId="77777777" w:rsidR="00196DB6" w:rsidRDefault="00196DB6">
      <w:pPr>
        <w:snapToGrid w:val="0"/>
        <w:spacing w:line="360" w:lineRule="auto"/>
        <w:ind w:left="720" w:hanging="720"/>
        <w:rPr>
          <w:rtl/>
        </w:rPr>
      </w:pPr>
    </w:p>
    <w:p w14:paraId="151DDBF0" w14:textId="77777777" w:rsidR="00196DB6" w:rsidRDefault="0043002B">
      <w:pPr>
        <w:snapToGrid w:val="0"/>
        <w:spacing w:line="360" w:lineRule="auto"/>
        <w:ind w:left="720" w:hanging="720"/>
        <w:rPr>
          <w:rtl/>
        </w:rPr>
      </w:pPr>
      <w:r>
        <w:rPr>
          <w:rFonts w:hint="cs"/>
          <w:rtl/>
        </w:rPr>
        <w:t xml:space="preserve">הנאשם:  046989579.   הסנגור: פקס </w:t>
      </w:r>
      <w:r>
        <w:rPr>
          <w:rtl/>
        </w:rPr>
        <w:t>–</w:t>
      </w:r>
      <w:r>
        <w:rPr>
          <w:rFonts w:hint="cs"/>
          <w:rtl/>
        </w:rPr>
        <w:t xml:space="preserve"> 046460538. </w:t>
      </w:r>
    </w:p>
    <w:p w14:paraId="358B3B50" w14:textId="77777777" w:rsidR="00196DB6" w:rsidRDefault="00196DB6">
      <w:pPr>
        <w:snapToGrid w:val="0"/>
        <w:spacing w:line="360" w:lineRule="auto"/>
        <w:ind w:left="720" w:hanging="720"/>
        <w:rPr>
          <w:rtl/>
        </w:rPr>
      </w:pPr>
    </w:p>
    <w:p w14:paraId="396F3D96" w14:textId="77777777" w:rsidR="00196DB6" w:rsidRDefault="0043002B">
      <w:pPr>
        <w:snapToGrid w:val="0"/>
        <w:spacing w:line="360" w:lineRule="auto"/>
        <w:ind w:left="720" w:hanging="720"/>
      </w:pPr>
      <w:r>
        <w:rPr>
          <w:rFonts w:hint="cs"/>
          <w:rtl/>
        </w:rPr>
        <w:t xml:space="preserve">האחריות על יצירת הקשר עם הממונה, היא על הנאשם והסנגור. </w:t>
      </w:r>
    </w:p>
    <w:p w14:paraId="7B9A6EF1" w14:textId="77777777" w:rsidR="00196DB6" w:rsidRDefault="0043002B">
      <w:pPr>
        <w:spacing w:before="100" w:beforeAutospacing="1" w:after="100" w:afterAutospacing="1"/>
        <w:rPr>
          <w:b/>
          <w:bCs/>
          <w:u w:val="single"/>
          <w:rtl/>
        </w:rPr>
      </w:pPr>
      <w:r>
        <w:rPr>
          <w:rFonts w:hint="cs"/>
          <w:b/>
          <w:bCs/>
          <w:u w:val="single"/>
          <w:rtl/>
        </w:rPr>
        <w:t>המזכירות תעביר העתק הפרוטוקול לממונה על עבודות שירות.</w:t>
      </w:r>
    </w:p>
    <w:p w14:paraId="6E9F1061" w14:textId="77777777" w:rsidR="00196DB6" w:rsidRDefault="00196DB6">
      <w:pPr>
        <w:spacing w:line="360" w:lineRule="auto"/>
        <w:jc w:val="both"/>
        <w:rPr>
          <w:rtl/>
        </w:rPr>
      </w:pPr>
    </w:p>
    <w:p w14:paraId="67444AC1" w14:textId="77777777" w:rsidR="00196DB6" w:rsidRDefault="0043002B">
      <w:pPr>
        <w:spacing w:line="360" w:lineRule="auto"/>
        <w:jc w:val="both"/>
        <w:rPr>
          <w:sz w:val="6"/>
          <w:szCs w:val="6"/>
          <w:rtl/>
        </w:rPr>
      </w:pPr>
      <w:r>
        <w:rPr>
          <w:sz w:val="6"/>
          <w:szCs w:val="6"/>
          <w:rtl/>
        </w:rPr>
        <w:t>&lt;#6#&gt;</w:t>
      </w:r>
    </w:p>
    <w:p w14:paraId="41F4AF25" w14:textId="77777777" w:rsidR="00196DB6" w:rsidRDefault="0043002B">
      <w:pPr>
        <w:spacing w:line="360" w:lineRule="auto"/>
        <w:jc w:val="both"/>
        <w:rPr>
          <w:rtl/>
        </w:rPr>
      </w:pPr>
      <w:r>
        <w:rPr>
          <w:b/>
          <w:bCs/>
          <w:rtl/>
        </w:rPr>
        <w:t xml:space="preserve">ניתנה והודעה היום ט' אלול תשע"א, 08/09/2011 במעמד הנוכחים.  </w:t>
      </w:r>
      <w:r>
        <w:rPr>
          <w:rtl/>
        </w:rPr>
        <w:t xml:space="preserve"> </w:t>
      </w:r>
    </w:p>
    <w:p w14:paraId="62F000E5" w14:textId="77777777" w:rsidR="0043002B" w:rsidRPr="0043002B" w:rsidRDefault="0043002B">
      <w:pPr>
        <w:jc w:val="both"/>
        <w:rPr>
          <w:color w:val="FFFFFF"/>
          <w:sz w:val="2"/>
          <w:szCs w:val="2"/>
          <w:rtl/>
        </w:rPr>
      </w:pPr>
    </w:p>
    <w:p w14:paraId="2C5F44F5" w14:textId="77777777" w:rsidR="0043002B" w:rsidRPr="0043002B" w:rsidRDefault="0043002B">
      <w:pPr>
        <w:jc w:val="both"/>
        <w:rPr>
          <w:color w:val="FFFFFF"/>
          <w:sz w:val="2"/>
          <w:szCs w:val="2"/>
          <w:rtl/>
        </w:rPr>
      </w:pPr>
      <w:r w:rsidRPr="0043002B">
        <w:rPr>
          <w:color w:val="FFFFFF"/>
          <w:sz w:val="2"/>
          <w:szCs w:val="2"/>
          <w:rtl/>
        </w:rPr>
        <w:t>5129371</w:t>
      </w:r>
    </w:p>
    <w:p w14:paraId="5DE536D4" w14:textId="77777777" w:rsidR="0043002B" w:rsidRPr="0043002B" w:rsidRDefault="0043002B" w:rsidP="0043002B">
      <w:pPr>
        <w:keepNext/>
        <w:rPr>
          <w:color w:val="000000"/>
          <w:sz w:val="22"/>
          <w:szCs w:val="22"/>
          <w:rtl/>
        </w:rPr>
      </w:pPr>
    </w:p>
    <w:p w14:paraId="3D755C53" w14:textId="77777777" w:rsidR="0043002B" w:rsidRPr="0043002B" w:rsidRDefault="0043002B" w:rsidP="0043002B">
      <w:pPr>
        <w:keepNext/>
        <w:rPr>
          <w:color w:val="000000"/>
          <w:sz w:val="22"/>
          <w:szCs w:val="22"/>
          <w:rtl/>
        </w:rPr>
      </w:pPr>
      <w:r w:rsidRPr="0043002B">
        <w:rPr>
          <w:color w:val="000000"/>
          <w:sz w:val="22"/>
          <w:szCs w:val="22"/>
          <w:rtl/>
        </w:rPr>
        <w:t>דורון פורת 54678313</w:t>
      </w:r>
    </w:p>
    <w:p w14:paraId="5A63B8EA" w14:textId="77777777" w:rsidR="00196DB6" w:rsidRDefault="0043002B">
      <w:pPr>
        <w:jc w:val="both"/>
        <w:rPr>
          <w:rtl/>
        </w:rPr>
      </w:pPr>
      <w:r w:rsidRPr="0043002B">
        <w:rPr>
          <w:color w:val="FFFFFF"/>
          <w:sz w:val="2"/>
          <w:szCs w:val="2"/>
          <w:rtl/>
        </w:rPr>
        <w:t>54678313</w:t>
      </w:r>
      <w:r>
        <w:rPr>
          <w:rtl/>
        </w:rPr>
        <w:t xml:space="preserve"> </w:t>
      </w:r>
    </w:p>
    <w:tbl>
      <w:tblPr>
        <w:bidiVisual/>
        <w:tblW w:w="3420" w:type="dxa"/>
        <w:tblInd w:w="5354" w:type="dxa"/>
        <w:tblLook w:val="01E0" w:firstRow="1" w:lastRow="1" w:firstColumn="1" w:lastColumn="1" w:noHBand="0" w:noVBand="0"/>
      </w:tblPr>
      <w:tblGrid>
        <w:gridCol w:w="3420"/>
      </w:tblGrid>
      <w:tr w:rsidR="00196DB6" w14:paraId="69487177" w14:textId="77777777">
        <w:trPr>
          <w:cantSplit/>
        </w:trPr>
        <w:tc>
          <w:tcPr>
            <w:tcW w:w="3420" w:type="dxa"/>
            <w:tcBorders>
              <w:bottom w:val="single" w:sz="4" w:space="0" w:color="auto"/>
            </w:tcBorders>
            <w:shd w:val="clear" w:color="auto" w:fill="auto"/>
          </w:tcPr>
          <w:p w14:paraId="3EB9BDE7" w14:textId="77777777" w:rsidR="00196DB6" w:rsidRPr="009D71CF" w:rsidRDefault="00196DB6" w:rsidP="009D71CF">
            <w:pPr>
              <w:spacing w:line="360" w:lineRule="auto"/>
              <w:jc w:val="center"/>
              <w:rPr>
                <w:rFonts w:cs="FrankRuehl"/>
                <w:rtl/>
              </w:rPr>
            </w:pPr>
          </w:p>
          <w:p w14:paraId="76B71909" w14:textId="77777777" w:rsidR="00196DB6" w:rsidRPr="009D71CF" w:rsidRDefault="00196DB6" w:rsidP="009D71CF">
            <w:pPr>
              <w:spacing w:line="360" w:lineRule="auto"/>
              <w:jc w:val="center"/>
              <w:rPr>
                <w:rFonts w:cs="FrankRuehl"/>
                <w:rtl/>
              </w:rPr>
            </w:pPr>
          </w:p>
        </w:tc>
      </w:tr>
      <w:tr w:rsidR="00196DB6" w14:paraId="7D8D0A5F" w14:textId="77777777">
        <w:tc>
          <w:tcPr>
            <w:tcW w:w="3420" w:type="dxa"/>
            <w:tcBorders>
              <w:top w:val="single" w:sz="4" w:space="0" w:color="auto"/>
            </w:tcBorders>
            <w:shd w:val="clear" w:color="auto" w:fill="auto"/>
          </w:tcPr>
          <w:p w14:paraId="1B35E489" w14:textId="77777777" w:rsidR="00196DB6" w:rsidRPr="009D71CF" w:rsidRDefault="0043002B" w:rsidP="009D71CF">
            <w:pPr>
              <w:spacing w:line="360" w:lineRule="auto"/>
              <w:jc w:val="center"/>
              <w:rPr>
                <w:b/>
                <w:bCs/>
                <w:rtl/>
              </w:rPr>
            </w:pPr>
            <w:r w:rsidRPr="009D71CF">
              <w:rPr>
                <w:b/>
                <w:bCs/>
                <w:rtl/>
              </w:rPr>
              <w:t>דורון</w:t>
            </w:r>
            <w:r w:rsidRPr="009D71CF">
              <w:rPr>
                <w:rFonts w:hint="cs"/>
                <w:b/>
                <w:bCs/>
                <w:rtl/>
              </w:rPr>
              <w:t xml:space="preserve"> </w:t>
            </w:r>
            <w:r w:rsidRPr="009D71CF">
              <w:rPr>
                <w:b/>
                <w:bCs/>
                <w:rtl/>
              </w:rPr>
              <w:t>פורת</w:t>
            </w:r>
            <w:r w:rsidRPr="009D71CF">
              <w:rPr>
                <w:rFonts w:hint="cs"/>
                <w:b/>
                <w:bCs/>
                <w:rtl/>
              </w:rPr>
              <w:t xml:space="preserve">, </w:t>
            </w:r>
            <w:r w:rsidRPr="009D71CF">
              <w:rPr>
                <w:b/>
                <w:bCs/>
                <w:rtl/>
              </w:rPr>
              <w:t>שופט</w:t>
            </w:r>
          </w:p>
        </w:tc>
      </w:tr>
    </w:tbl>
    <w:p w14:paraId="26D3DDF7" w14:textId="77777777" w:rsidR="00196DB6" w:rsidRDefault="00196DB6">
      <w:pPr>
        <w:jc w:val="right"/>
        <w:rPr>
          <w:rtl/>
        </w:rPr>
      </w:pPr>
    </w:p>
    <w:p w14:paraId="28F72586" w14:textId="77777777" w:rsidR="00196DB6" w:rsidRDefault="00196DB6">
      <w:pPr>
        <w:rPr>
          <w:rtl/>
        </w:rPr>
      </w:pPr>
    </w:p>
    <w:p w14:paraId="2C674286" w14:textId="77777777" w:rsidR="00196DB6" w:rsidRDefault="00196DB6">
      <w:pPr>
        <w:rPr>
          <w:rtl/>
        </w:rPr>
      </w:pPr>
    </w:p>
    <w:p w14:paraId="106FD50A" w14:textId="77777777" w:rsidR="00196DB6" w:rsidRDefault="00196DB6">
      <w:pPr>
        <w:spacing w:line="360" w:lineRule="auto"/>
        <w:jc w:val="center"/>
        <w:rPr>
          <w:rtl/>
        </w:rPr>
      </w:pPr>
    </w:p>
    <w:p w14:paraId="2D4CA99D" w14:textId="77777777" w:rsidR="00196DB6" w:rsidRDefault="0043002B">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אורית מור</w:t>
      </w:r>
    </w:p>
    <w:p w14:paraId="7113C2B9" w14:textId="77777777" w:rsidR="0043002B" w:rsidRDefault="0043002B" w:rsidP="0043002B">
      <w:r w:rsidRPr="0043002B">
        <w:rPr>
          <w:color w:val="000000"/>
          <w:rtl/>
        </w:rPr>
        <w:t>נוסח מסמך זה כפוף לשינויי ניסוח ועריכה</w:t>
      </w:r>
    </w:p>
    <w:p w14:paraId="1E22397B" w14:textId="77777777" w:rsidR="0043002B" w:rsidRDefault="0043002B" w:rsidP="0043002B">
      <w:pPr>
        <w:rPr>
          <w:rtl/>
        </w:rPr>
      </w:pPr>
    </w:p>
    <w:p w14:paraId="2203EA58" w14:textId="77777777" w:rsidR="0043002B" w:rsidRDefault="0043002B" w:rsidP="0043002B">
      <w:pPr>
        <w:jc w:val="center"/>
        <w:rPr>
          <w:color w:val="0000FF"/>
          <w:u w:val="single"/>
        </w:rPr>
      </w:pPr>
      <w:r w:rsidRPr="0048065F">
        <w:rPr>
          <w:color w:val="000000"/>
          <w:rtl/>
        </w:rPr>
        <w:t>בעניין עריכה ושינויים במסמכי פסיקה, חקיקה ועוד באתר נבו – הקש כאן</w:t>
      </w:r>
    </w:p>
    <w:p w14:paraId="0B41F076" w14:textId="77777777" w:rsidR="00196DB6" w:rsidRPr="0043002B" w:rsidRDefault="00196DB6" w:rsidP="0043002B">
      <w:pPr>
        <w:jc w:val="center"/>
        <w:rPr>
          <w:color w:val="0000FF"/>
          <w:u w:val="single"/>
        </w:rPr>
      </w:pPr>
    </w:p>
    <w:sectPr w:rsidR="00196DB6" w:rsidRPr="0043002B" w:rsidSect="0043002B">
      <w:headerReference w:type="even" r:id="rId28"/>
      <w:headerReference w:type="default" r:id="rId29"/>
      <w:footerReference w:type="even" r:id="rId30"/>
      <w:footerReference w:type="default" r:id="rId3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182CB" w14:textId="77777777" w:rsidR="009D71CF" w:rsidRPr="0012192C" w:rsidRDefault="009D71CF">
      <w:pPr>
        <w:rPr>
          <w:rFonts w:cs="Arial"/>
          <w:szCs w:val="20"/>
        </w:rPr>
      </w:pPr>
      <w:r>
        <w:separator/>
      </w:r>
    </w:p>
  </w:endnote>
  <w:endnote w:type="continuationSeparator" w:id="0">
    <w:p w14:paraId="31267974" w14:textId="77777777" w:rsidR="009D71CF" w:rsidRPr="0012192C" w:rsidRDefault="009D71C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imes New Roman-Bold-1255">
    <w:panose1 w:val="00000000000000000000"/>
    <w:charset w:val="B1"/>
    <w:family w:val="roman"/>
    <w:notTrueType/>
    <w:pitch w:val="default"/>
    <w:sig w:usb0="00000801" w:usb1="00000000" w:usb2="00000000" w:usb3="00000000" w:csb0="00000020" w:csb1="00000000"/>
  </w:font>
  <w:font w:name="Arial (W1)">
    <w:altName w:val="Arial"/>
    <w:panose1 w:val="00000000000000000000"/>
    <w:charset w:val="00"/>
    <w:family w:val="swiss"/>
    <w:notTrueType/>
    <w:pitch w:val="variable"/>
    <w:sig w:usb0="00000003" w:usb1="00000000" w:usb2="00000000" w:usb3="00000000" w:csb0="00000001" w:csb1="00000000"/>
  </w:font>
  <w:font w:name="TimesNewRoman">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CDB" w14:textId="77777777" w:rsidR="006923AE" w:rsidRDefault="006923AE" w:rsidP="0043002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42</w:t>
    </w:r>
    <w:r>
      <w:rPr>
        <w:rFonts w:ascii="FrankRuehl" w:hAnsi="FrankRuehl" w:cs="FrankRuehl"/>
        <w:rtl/>
      </w:rPr>
      <w:fldChar w:fldCharType="end"/>
    </w:r>
  </w:p>
  <w:p w14:paraId="553109F2" w14:textId="77777777" w:rsidR="006923AE" w:rsidRPr="0043002B" w:rsidRDefault="006923AE" w:rsidP="0043002B">
    <w:pPr>
      <w:pStyle w:val="Footer"/>
      <w:pBdr>
        <w:top w:val="single" w:sz="4" w:space="1" w:color="auto"/>
        <w:between w:val="single" w:sz="4" w:space="0" w:color="auto"/>
      </w:pBdr>
      <w:spacing w:after="60"/>
      <w:jc w:val="center"/>
      <w:rPr>
        <w:rFonts w:ascii="FrankRuehl" w:hAnsi="FrankRuehl" w:cs="FrankRuehl"/>
        <w:color w:val="000000"/>
      </w:rPr>
    </w:pPr>
    <w:r w:rsidRPr="0043002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DBA3F" w14:textId="77777777" w:rsidR="006923AE" w:rsidRDefault="006923AE" w:rsidP="0043002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45FEA">
      <w:rPr>
        <w:rFonts w:ascii="FrankRuehl" w:hAnsi="FrankRuehl" w:cs="FrankRuehl"/>
        <w:noProof/>
        <w:rtl/>
      </w:rPr>
      <w:t>1</w:t>
    </w:r>
    <w:r>
      <w:rPr>
        <w:rFonts w:ascii="FrankRuehl" w:hAnsi="FrankRuehl" w:cs="FrankRuehl"/>
        <w:rtl/>
      </w:rPr>
      <w:fldChar w:fldCharType="end"/>
    </w:r>
  </w:p>
  <w:p w14:paraId="1F1EB77D" w14:textId="77777777" w:rsidR="006923AE" w:rsidRPr="0043002B" w:rsidRDefault="006923AE" w:rsidP="0043002B">
    <w:pPr>
      <w:pStyle w:val="Footer"/>
      <w:pBdr>
        <w:top w:val="single" w:sz="4" w:space="1" w:color="auto"/>
        <w:between w:val="single" w:sz="4" w:space="0" w:color="auto"/>
      </w:pBdr>
      <w:spacing w:after="60"/>
      <w:jc w:val="center"/>
      <w:rPr>
        <w:rFonts w:ascii="FrankRuehl" w:hAnsi="FrankRuehl" w:cs="FrankRuehl"/>
        <w:color w:val="000000"/>
      </w:rPr>
    </w:pPr>
    <w:r w:rsidRPr="0043002B">
      <w:rPr>
        <w:rFonts w:ascii="FrankRuehl" w:hAnsi="FrankRuehl" w:cs="FrankRuehl"/>
        <w:color w:val="000000"/>
      </w:rPr>
      <w:pict w14:anchorId="4C5F2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2A512" w14:textId="77777777" w:rsidR="009D71CF" w:rsidRPr="0012192C" w:rsidRDefault="009D71CF">
      <w:pPr>
        <w:rPr>
          <w:rFonts w:cs="Arial"/>
          <w:szCs w:val="20"/>
        </w:rPr>
      </w:pPr>
      <w:r>
        <w:separator/>
      </w:r>
    </w:p>
  </w:footnote>
  <w:footnote w:type="continuationSeparator" w:id="0">
    <w:p w14:paraId="637FD4A2" w14:textId="77777777" w:rsidR="009D71CF" w:rsidRPr="0012192C" w:rsidRDefault="009D71C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3773A" w14:textId="77777777" w:rsidR="006923AE" w:rsidRPr="0043002B" w:rsidRDefault="006923AE" w:rsidP="0043002B">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698-11-07</w:t>
    </w:r>
    <w:r>
      <w:rPr>
        <w:color w:val="000000"/>
        <w:sz w:val="22"/>
        <w:szCs w:val="22"/>
        <w:rtl/>
      </w:rPr>
      <w:tab/>
      <w:t xml:space="preserve"> מדינת ישראל נ' דורון נתן מכלוף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C478" w14:textId="77777777" w:rsidR="006923AE" w:rsidRPr="0043002B" w:rsidRDefault="006923AE" w:rsidP="0043002B">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698-11-07</w:t>
    </w:r>
    <w:r>
      <w:rPr>
        <w:color w:val="000000"/>
        <w:sz w:val="22"/>
        <w:szCs w:val="22"/>
        <w:rtl/>
      </w:rPr>
      <w:tab/>
      <w:t xml:space="preserve"> מדינת ישראל נ' דורון נתן מכלוף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96DB6"/>
    <w:rsid w:val="00196DB6"/>
    <w:rsid w:val="0043002B"/>
    <w:rsid w:val="004538B8"/>
    <w:rsid w:val="0048065F"/>
    <w:rsid w:val="004C53D2"/>
    <w:rsid w:val="005923C5"/>
    <w:rsid w:val="005E1098"/>
    <w:rsid w:val="006923AE"/>
    <w:rsid w:val="00763206"/>
    <w:rsid w:val="00945FEA"/>
    <w:rsid w:val="009D71CF"/>
    <w:rsid w:val="00B4490D"/>
    <w:rsid w:val="00C77048"/>
    <w:rsid w:val="00CA1F8C"/>
    <w:rsid w:val="00CA55ED"/>
    <w:rsid w:val="00DF0D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EB00B4"/>
  <w15:chartTrackingRefBased/>
  <w15:docId w15:val="{75C80420-C339-4C86-B7AC-F7A60608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6DB6"/>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96DB6"/>
    <w:pPr>
      <w:tabs>
        <w:tab w:val="center" w:pos="4153"/>
        <w:tab w:val="right" w:pos="8306"/>
      </w:tabs>
    </w:pPr>
  </w:style>
  <w:style w:type="paragraph" w:styleId="Footer">
    <w:name w:val="footer"/>
    <w:basedOn w:val="Normal"/>
    <w:rsid w:val="00196DB6"/>
    <w:pPr>
      <w:tabs>
        <w:tab w:val="center" w:pos="4153"/>
        <w:tab w:val="right" w:pos="8306"/>
      </w:tabs>
    </w:pPr>
  </w:style>
  <w:style w:type="table" w:styleId="TableGrid">
    <w:name w:val="Table Grid"/>
    <w:basedOn w:val="TableNormal"/>
    <w:rsid w:val="00196DB6"/>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96DB6"/>
  </w:style>
  <w:style w:type="character" w:customStyle="1" w:styleId="TimesNewRomanTimesNewRoman">
    <w:name w:val="סגנון (לטיני) Times New Roman (עברית ושפות אחרות) Times New Roman..."/>
    <w:rsid w:val="00196DB6"/>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Normal"/>
    <w:rsid w:val="00196DB6"/>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Normal"/>
    <w:rsid w:val="00196DB6"/>
    <w:pPr>
      <w:spacing w:line="360" w:lineRule="auto"/>
      <w:jc w:val="both"/>
    </w:pPr>
    <w:rPr>
      <w:rFonts w:ascii="Times New Roman" w:eastAsia="Times New Roman" w:hAnsi="Times New Roman"/>
    </w:rPr>
  </w:style>
  <w:style w:type="paragraph" w:customStyle="1" w:styleId="normal-p">
    <w:name w:val="normal-p"/>
    <w:basedOn w:val="Normal"/>
    <w:rsid w:val="00196DB6"/>
    <w:pPr>
      <w:bidi w:val="0"/>
      <w:spacing w:before="100" w:beforeAutospacing="1" w:after="100" w:afterAutospacing="1"/>
    </w:pPr>
    <w:rPr>
      <w:rFonts w:ascii="Times New Roman" w:eastAsia="Times New Roman" w:hAnsi="Times New Roman" w:cs="Times New Roman"/>
    </w:rPr>
  </w:style>
  <w:style w:type="paragraph" w:customStyle="1" w:styleId="P00">
    <w:name w:val="P00"/>
    <w:rsid w:val="00196DB6"/>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szCs w:val="26"/>
      <w:lang w:eastAsia="he-IL"/>
    </w:rPr>
  </w:style>
  <w:style w:type="paragraph" w:customStyle="1" w:styleId="P11">
    <w:name w:val="P11"/>
    <w:basedOn w:val="P00"/>
    <w:rsid w:val="00196DB6"/>
    <w:pPr>
      <w:tabs>
        <w:tab w:val="clear" w:pos="624"/>
      </w:tabs>
      <w:ind w:right="624"/>
    </w:pPr>
  </w:style>
  <w:style w:type="paragraph" w:customStyle="1" w:styleId="normal-p-p">
    <w:name w:val="normal-p-p"/>
    <w:basedOn w:val="Normal"/>
    <w:rsid w:val="00196DB6"/>
    <w:pPr>
      <w:bidi w:val="0"/>
      <w:spacing w:before="100" w:beforeAutospacing="1" w:after="100" w:afterAutospacing="1"/>
    </w:pPr>
    <w:rPr>
      <w:rFonts w:ascii="Times New Roman" w:eastAsia="Times New Roman" w:hAnsi="Times New Roman" w:cs="Times New Roman"/>
      <w:sz w:val="20"/>
      <w:szCs w:val="20"/>
    </w:rPr>
  </w:style>
  <w:style w:type="character" w:customStyle="1" w:styleId="normal-h">
    <w:name w:val="normal-h"/>
    <w:basedOn w:val="DefaultParagraphFont"/>
    <w:rsid w:val="00196DB6"/>
  </w:style>
  <w:style w:type="character" w:customStyle="1" w:styleId="default">
    <w:name w:val="default"/>
    <w:rsid w:val="00196DB6"/>
    <w:rPr>
      <w:rFonts w:ascii="Times New Roman" w:hAnsi="Times New Roman" w:cs="Times New Roman" w:hint="default"/>
      <w:sz w:val="26"/>
      <w:szCs w:val="26"/>
    </w:rPr>
  </w:style>
  <w:style w:type="character" w:customStyle="1" w:styleId="big-number">
    <w:name w:val="big-number"/>
    <w:rsid w:val="00196DB6"/>
    <w:rPr>
      <w:rFonts w:ascii="Times New Roman" w:hAnsi="Times New Roman" w:cs="Times New Roman" w:hint="default"/>
      <w:sz w:val="32"/>
      <w:szCs w:val="32"/>
    </w:rPr>
  </w:style>
  <w:style w:type="character" w:customStyle="1" w:styleId="normal-h-h">
    <w:name w:val="normal-h-h"/>
    <w:basedOn w:val="DefaultParagraphFont"/>
    <w:rsid w:val="00196DB6"/>
  </w:style>
  <w:style w:type="paragraph" w:styleId="BodyText2">
    <w:name w:val="Body Text 2"/>
    <w:basedOn w:val="Normal"/>
    <w:rsid w:val="00196DB6"/>
    <w:pPr>
      <w:snapToGrid w:val="0"/>
      <w:spacing w:line="360" w:lineRule="auto"/>
      <w:jc w:val="both"/>
    </w:pPr>
    <w:rPr>
      <w:rFonts w:ascii="Times New Roman" w:eastAsia="Times New Roman" w:hAnsi="Times New Roman" w:cs="Times New Roman"/>
    </w:rPr>
  </w:style>
  <w:style w:type="character" w:styleId="LineNumber">
    <w:name w:val="line number"/>
    <w:basedOn w:val="DefaultParagraphFont"/>
    <w:rsid w:val="00196DB6"/>
  </w:style>
  <w:style w:type="character" w:styleId="Hyperlink">
    <w:name w:val="Hyperlink"/>
    <w:rsid w:val="004300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 TargetMode="External"/><Relationship Id="rId18" Type="http://schemas.openxmlformats.org/officeDocument/2006/relationships/hyperlink" Target="http://www.nevo.co.il/case/4334589" TargetMode="External"/><Relationship Id="rId26" Type="http://schemas.openxmlformats.org/officeDocument/2006/relationships/hyperlink" Target="http://www.nevo.co.il/law/70301/379" TargetMode="Externa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70301/34i.b"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379"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5714534" TargetMode="External"/><Relationship Id="rId20" Type="http://schemas.openxmlformats.org/officeDocument/2006/relationships/hyperlink" Target="http://www.nevo.co.il/law/70301"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79" TargetMode="External"/><Relationship Id="rId24" Type="http://schemas.openxmlformats.org/officeDocument/2006/relationships/hyperlink" Target="http://www.nevo.co.il/law/70301"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348.f" TargetMode="External"/><Relationship Id="rId28" Type="http://schemas.openxmlformats.org/officeDocument/2006/relationships/header" Target="header1.xml"/><Relationship Id="rId10" Type="http://schemas.openxmlformats.org/officeDocument/2006/relationships/hyperlink" Target="http://www.nevo.co.il/law/70301/379" TargetMode="External"/><Relationship Id="rId19" Type="http://schemas.openxmlformats.org/officeDocument/2006/relationships/hyperlink" Target="http://www.nevo.co.il/case/5898550"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48.f" TargetMode="External"/><Relationship Id="rId14" Type="http://schemas.openxmlformats.org/officeDocument/2006/relationships/hyperlink" Target="http://www.nevo.co.il/law/70301/34i.b" TargetMode="External"/><Relationship Id="rId22" Type="http://schemas.openxmlformats.org/officeDocument/2006/relationships/hyperlink" Target="http://www.nevo.co.il/case/6072984" TargetMode="External"/><Relationship Id="rId27" Type="http://schemas.openxmlformats.org/officeDocument/2006/relationships/hyperlink" Target="http://www.nevo.co.il/law/70301" TargetMode="External"/><Relationship Id="rId30" Type="http://schemas.openxmlformats.org/officeDocument/2006/relationships/footer" Target="footer1.xml"/><Relationship Id="rId8" Type="http://schemas.openxmlformats.org/officeDocument/2006/relationships/hyperlink" Target="http://www.nevo.co.il/law/70301/34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2526</Words>
  <Characters>14400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16893</CharactersWithSpaces>
  <SharedDoc>false</SharedDoc>
  <HLinks>
    <vt:vector size="132" baseType="variant">
      <vt:variant>
        <vt:i4>7995492</vt:i4>
      </vt:variant>
      <vt:variant>
        <vt:i4>63</vt:i4>
      </vt:variant>
      <vt:variant>
        <vt:i4>0</vt:i4>
      </vt:variant>
      <vt:variant>
        <vt:i4>5</vt:i4>
      </vt:variant>
      <vt:variant>
        <vt:lpwstr>http://www.nevo.co.il/law/70301</vt:lpwstr>
      </vt:variant>
      <vt:variant>
        <vt:lpwstr/>
      </vt:variant>
      <vt:variant>
        <vt:i4>6422630</vt:i4>
      </vt:variant>
      <vt:variant>
        <vt:i4>60</vt:i4>
      </vt:variant>
      <vt:variant>
        <vt:i4>0</vt:i4>
      </vt:variant>
      <vt:variant>
        <vt:i4>5</vt:i4>
      </vt:variant>
      <vt:variant>
        <vt:lpwstr>http://www.nevo.co.il/law/70301/379</vt:lpwstr>
      </vt:variant>
      <vt:variant>
        <vt:lpwstr/>
      </vt:variant>
      <vt:variant>
        <vt:i4>6422630</vt:i4>
      </vt:variant>
      <vt:variant>
        <vt:i4>57</vt:i4>
      </vt:variant>
      <vt:variant>
        <vt:i4>0</vt:i4>
      </vt:variant>
      <vt:variant>
        <vt:i4>5</vt:i4>
      </vt:variant>
      <vt:variant>
        <vt:lpwstr>http://www.nevo.co.il/law/70301/379</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5177438</vt:i4>
      </vt:variant>
      <vt:variant>
        <vt:i4>51</vt:i4>
      </vt:variant>
      <vt:variant>
        <vt:i4>0</vt:i4>
      </vt:variant>
      <vt:variant>
        <vt:i4>5</vt:i4>
      </vt:variant>
      <vt:variant>
        <vt:lpwstr>http://www.nevo.co.il/law/70301/348.f</vt:lpwstr>
      </vt:variant>
      <vt:variant>
        <vt:lpwstr/>
      </vt:variant>
      <vt:variant>
        <vt:i4>3932286</vt:i4>
      </vt:variant>
      <vt:variant>
        <vt:i4>48</vt:i4>
      </vt:variant>
      <vt:variant>
        <vt:i4>0</vt:i4>
      </vt:variant>
      <vt:variant>
        <vt:i4>5</vt:i4>
      </vt:variant>
      <vt:variant>
        <vt:lpwstr>http://www.nevo.co.il/case/6072984</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3735665</vt:i4>
      </vt:variant>
      <vt:variant>
        <vt:i4>39</vt:i4>
      </vt:variant>
      <vt:variant>
        <vt:i4>0</vt:i4>
      </vt:variant>
      <vt:variant>
        <vt:i4>5</vt:i4>
      </vt:variant>
      <vt:variant>
        <vt:lpwstr>http://www.nevo.co.il/case/5898550</vt:lpwstr>
      </vt:variant>
      <vt:variant>
        <vt:lpwstr/>
      </vt:variant>
      <vt:variant>
        <vt:i4>3866747</vt:i4>
      </vt:variant>
      <vt:variant>
        <vt:i4>36</vt:i4>
      </vt:variant>
      <vt:variant>
        <vt:i4>0</vt:i4>
      </vt:variant>
      <vt:variant>
        <vt:i4>5</vt:i4>
      </vt:variant>
      <vt:variant>
        <vt:lpwstr>http://www.nevo.co.il/case/4334589</vt:lpwstr>
      </vt:variant>
      <vt:variant>
        <vt:lpwstr/>
      </vt:variant>
      <vt:variant>
        <vt:i4>7995492</vt:i4>
      </vt:variant>
      <vt:variant>
        <vt:i4>33</vt:i4>
      </vt:variant>
      <vt:variant>
        <vt:i4>0</vt:i4>
      </vt:variant>
      <vt:variant>
        <vt:i4>5</vt:i4>
      </vt:variant>
      <vt:variant>
        <vt:lpwstr>http://www.nevo.co.il/law/70301</vt:lpwstr>
      </vt:variant>
      <vt:variant>
        <vt:lpwstr/>
      </vt:variant>
      <vt:variant>
        <vt:i4>3473524</vt:i4>
      </vt:variant>
      <vt:variant>
        <vt:i4>30</vt:i4>
      </vt:variant>
      <vt:variant>
        <vt:i4>0</vt:i4>
      </vt:variant>
      <vt:variant>
        <vt:i4>5</vt:i4>
      </vt:variant>
      <vt:variant>
        <vt:lpwstr>http://www.nevo.co.il/case/5714534</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5177359</vt:i4>
      </vt:variant>
      <vt:variant>
        <vt:i4>24</vt:i4>
      </vt:variant>
      <vt:variant>
        <vt:i4>0</vt:i4>
      </vt:variant>
      <vt:variant>
        <vt:i4>5</vt:i4>
      </vt:variant>
      <vt:variant>
        <vt:lpwstr>http://www.nevo.co.il/law/70301/34i.b</vt:lpwstr>
      </vt:variant>
      <vt:variant>
        <vt:lpwstr/>
      </vt:variant>
      <vt:variant>
        <vt:i4>6357094</vt:i4>
      </vt:variant>
      <vt:variant>
        <vt:i4>21</vt:i4>
      </vt:variant>
      <vt:variant>
        <vt:i4>0</vt:i4>
      </vt:variant>
      <vt:variant>
        <vt:i4>5</vt:i4>
      </vt:variant>
      <vt:variant>
        <vt:lpwstr>http://www.nevo.co.il/law/70301/348</vt:lpwstr>
      </vt:variant>
      <vt:variant>
        <vt:lpwstr/>
      </vt:variant>
      <vt:variant>
        <vt:i4>7995492</vt:i4>
      </vt:variant>
      <vt:variant>
        <vt:i4>18</vt:i4>
      </vt:variant>
      <vt:variant>
        <vt:i4>0</vt:i4>
      </vt:variant>
      <vt:variant>
        <vt:i4>5</vt:i4>
      </vt:variant>
      <vt:variant>
        <vt:lpwstr>http://www.nevo.co.il/law/70301</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6357094</vt:i4>
      </vt:variant>
      <vt:variant>
        <vt:i4>6</vt:i4>
      </vt:variant>
      <vt:variant>
        <vt:i4>0</vt:i4>
      </vt:variant>
      <vt:variant>
        <vt:i4>5</vt:i4>
      </vt:variant>
      <vt:variant>
        <vt:lpwstr>http://www.nevo.co.il/law/70301/348</vt:lpwstr>
      </vt:variant>
      <vt:variant>
        <vt:lpwstr/>
      </vt:variant>
      <vt:variant>
        <vt:i4>5177359</vt:i4>
      </vt:variant>
      <vt:variant>
        <vt:i4>3</vt:i4>
      </vt:variant>
      <vt:variant>
        <vt:i4>0</vt:i4>
      </vt:variant>
      <vt:variant>
        <vt:i4>5</vt:i4>
      </vt:variant>
      <vt:variant>
        <vt:lpwstr>http://www.nevo.co.il/law/70301/34i.b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2022-05-24T10:31:00Z</dcterms:created>
  <dcterms:modified xsi:type="dcterms:W3CDTF">2022-05-24T10:31:00Z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698</vt:lpwstr>
  </property>
  <property fmtid="{D5CDD505-2E9C-101B-9397-08002B2CF9AE}" pid="6" name="NEWPARTB">
    <vt:lpwstr>11</vt:lpwstr>
  </property>
  <property fmtid="{D5CDD505-2E9C-101B-9397-08002B2CF9AE}" pid="7" name="NEWPARTC">
    <vt:lpwstr>07</vt:lpwstr>
  </property>
  <property fmtid="{D5CDD505-2E9C-101B-9397-08002B2CF9AE}" pid="8" name="APPELLANT">
    <vt:lpwstr>מדינת ישראל</vt:lpwstr>
  </property>
  <property fmtid="{D5CDD505-2E9C-101B-9397-08002B2CF9AE}" pid="9" name="APPELLEE">
    <vt:lpwstr>דורון נתן מכלוף</vt:lpwstr>
  </property>
  <property fmtid="{D5CDD505-2E9C-101B-9397-08002B2CF9AE}" pid="10" name="LAWYER">
    <vt:lpwstr>נשאת פארס</vt:lpwstr>
  </property>
  <property fmtid="{D5CDD505-2E9C-101B-9397-08002B2CF9AE}" pid="11" name="JUDGE">
    <vt:lpwstr>דורון פורת</vt:lpwstr>
  </property>
  <property fmtid="{D5CDD505-2E9C-101B-9397-08002B2CF9AE}" pid="12" name="CITY">
    <vt:lpwstr>נצ'</vt:lpwstr>
  </property>
  <property fmtid="{D5CDD505-2E9C-101B-9397-08002B2CF9AE}" pid="13" name="DATE">
    <vt:lpwstr>20110908</vt:lpwstr>
  </property>
  <property fmtid="{D5CDD505-2E9C-101B-9397-08002B2CF9AE}" pid="14" name="TYPE_N_DATE">
    <vt:lpwstr>38020110908</vt:lpwstr>
  </property>
  <property fmtid="{D5CDD505-2E9C-101B-9397-08002B2CF9AE}" pid="15" name="WORDNUMPAGES">
    <vt:lpwstr>10</vt:lpwstr>
  </property>
  <property fmtid="{D5CDD505-2E9C-101B-9397-08002B2CF9AE}" pid="16" name="TYPE_ABS_DATE">
    <vt:lpwstr>380020110908</vt:lpwstr>
  </property>
  <property fmtid="{D5CDD505-2E9C-101B-9397-08002B2CF9AE}" pid="17" name="ISABSTRACT">
    <vt:lpwstr>Y</vt:lpwstr>
  </property>
  <property fmtid="{D5CDD505-2E9C-101B-9397-08002B2CF9AE}" pid="18" name="CASESLISTTMP1">
    <vt:lpwstr>5714534;4334589;5898550;6072984</vt:lpwstr>
  </property>
  <property fmtid="{D5CDD505-2E9C-101B-9397-08002B2CF9AE}" pid="19" name="LAWLISTTMP1">
    <vt:lpwstr>70301/379:3;348;034i.b;348.f</vt:lpwstr>
  </property>
</Properties>
</file>