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2167"/>
        <w:gridCol w:w="266"/>
        <w:gridCol w:w="1324"/>
      </w:tblGrid>
      <w:tr w:rsidR="005625DD" w:rsidRPr="005625DD" w14:paraId="5C773183" w14:textId="77777777">
        <w:trPr>
          <w:trHeight w:hRule="exact" w:val="418"/>
          <w:jc w:val="center"/>
        </w:trPr>
        <w:tc>
          <w:tcPr>
            <w:tcW w:w="3757" w:type="dxa"/>
            <w:gridSpan w:val="3"/>
          </w:tcPr>
          <w:p w14:paraId="54D7236F" w14:textId="77777777" w:rsidR="005625DD" w:rsidRPr="005625DD" w:rsidRDefault="005625DD" w:rsidP="005625DD">
            <w:pPr>
              <w:pStyle w:val="Header"/>
              <w:tabs>
                <w:tab w:val="clear" w:pos="8306"/>
              </w:tabs>
              <w:jc w:val="center"/>
              <w:rPr>
                <w:rFonts w:ascii="Tahoma" w:hAnsi="Tahoma" w:cs="Tahoma"/>
                <w:b/>
                <w:bCs/>
                <w:color w:val="000080"/>
                <w:sz w:val="20"/>
                <w:szCs w:val="20"/>
                <w:rtl/>
              </w:rPr>
            </w:pPr>
            <w:bookmarkStart w:id="0" w:name="LastJudge"/>
            <w:r w:rsidRPr="005625DD">
              <w:rPr>
                <w:rFonts w:ascii="Tahoma" w:hAnsi="Tahoma" w:cs="Tahoma"/>
                <w:b/>
                <w:bCs/>
                <w:color w:val="000080"/>
                <w:sz w:val="20"/>
                <w:szCs w:val="20"/>
                <w:rtl/>
              </w:rPr>
              <w:t>בית משפט השלום בנצרת</w:t>
            </w:r>
          </w:p>
        </w:tc>
      </w:tr>
      <w:tr w:rsidR="005625DD" w:rsidRPr="005625DD" w14:paraId="6BA87804" w14:textId="77777777">
        <w:trPr>
          <w:trHeight w:val="337"/>
          <w:jc w:val="center"/>
        </w:trPr>
        <w:tc>
          <w:tcPr>
            <w:tcW w:w="2167" w:type="dxa"/>
          </w:tcPr>
          <w:p w14:paraId="63B366C6" w14:textId="77777777" w:rsidR="005625DD" w:rsidRPr="005625DD" w:rsidRDefault="005625DD" w:rsidP="005625DD">
            <w:pPr>
              <w:rPr>
                <w:b/>
                <w:bCs/>
                <w:sz w:val="26"/>
                <w:szCs w:val="26"/>
                <w:rtl/>
              </w:rPr>
            </w:pPr>
            <w:r w:rsidRPr="005625DD">
              <w:rPr>
                <w:b/>
                <w:bCs/>
                <w:rtl/>
              </w:rPr>
              <w:t>ת"פ</w:t>
            </w:r>
            <w:r w:rsidRPr="005625DD">
              <w:rPr>
                <w:rFonts w:hint="cs"/>
                <w:b/>
                <w:bCs/>
                <w:rtl/>
              </w:rPr>
              <w:t xml:space="preserve"> </w:t>
            </w:r>
            <w:r w:rsidRPr="005625DD">
              <w:rPr>
                <w:b/>
                <w:bCs/>
                <w:rtl/>
              </w:rPr>
              <w:t>2386-07</w:t>
            </w:r>
            <w:r w:rsidRPr="005625DD">
              <w:rPr>
                <w:rFonts w:hint="cs"/>
                <w:b/>
                <w:bCs/>
                <w:rtl/>
              </w:rPr>
              <w:t xml:space="preserve"> </w:t>
            </w:r>
            <w:r w:rsidRPr="005625DD">
              <w:rPr>
                <w:b/>
                <w:bCs/>
                <w:rtl/>
              </w:rPr>
              <w:t>מ.י. פרקליטות מחוז הצפון-פלילי נ' זהר</w:t>
            </w:r>
          </w:p>
        </w:tc>
        <w:tc>
          <w:tcPr>
            <w:tcW w:w="266" w:type="dxa"/>
          </w:tcPr>
          <w:p w14:paraId="747AA141" w14:textId="77777777" w:rsidR="005625DD" w:rsidRPr="005625DD" w:rsidRDefault="005625DD" w:rsidP="005625DD">
            <w:pPr>
              <w:pStyle w:val="Header"/>
              <w:jc w:val="right"/>
              <w:rPr>
                <w:b/>
                <w:bCs/>
                <w:sz w:val="26"/>
                <w:szCs w:val="26"/>
                <w:rtl/>
              </w:rPr>
            </w:pPr>
          </w:p>
        </w:tc>
        <w:tc>
          <w:tcPr>
            <w:tcW w:w="1324" w:type="dxa"/>
          </w:tcPr>
          <w:p w14:paraId="1F8926F6" w14:textId="77777777" w:rsidR="005625DD" w:rsidRPr="005625DD" w:rsidRDefault="005625DD" w:rsidP="005625DD">
            <w:pPr>
              <w:pStyle w:val="Header"/>
              <w:tabs>
                <w:tab w:val="clear" w:pos="4153"/>
              </w:tabs>
              <w:jc w:val="right"/>
              <w:rPr>
                <w:b/>
                <w:bCs/>
                <w:sz w:val="26"/>
                <w:szCs w:val="26"/>
                <w:rtl/>
              </w:rPr>
            </w:pPr>
            <w:r w:rsidRPr="005625DD">
              <w:rPr>
                <w:b/>
                <w:bCs/>
                <w:rtl/>
              </w:rPr>
              <w:t>27 נובמבר 2008</w:t>
            </w:r>
          </w:p>
        </w:tc>
      </w:tr>
    </w:tbl>
    <w:p w14:paraId="39112AB0" w14:textId="77777777" w:rsidR="00F56252" w:rsidRPr="00F56252" w:rsidRDefault="00F56252" w:rsidP="00F56252">
      <w:pPr>
        <w:rPr>
          <w:vanish/>
        </w:rPr>
      </w:pPr>
      <w:bookmarkStart w:id="1" w:name="FirstAppellant"/>
    </w:p>
    <w:tbl>
      <w:tblPr>
        <w:bidiVisual/>
        <w:tblW w:w="8802" w:type="dxa"/>
        <w:tblInd w:w="-28" w:type="dxa"/>
        <w:tblLayout w:type="fixed"/>
        <w:tblLook w:val="01E0" w:firstRow="1" w:lastRow="1" w:firstColumn="1" w:lastColumn="1" w:noHBand="0" w:noVBand="0"/>
      </w:tblPr>
      <w:tblGrid>
        <w:gridCol w:w="3240"/>
        <w:gridCol w:w="5562"/>
      </w:tblGrid>
      <w:tr w:rsidR="00913CBE" w:rsidRPr="005625DD" w14:paraId="7B09ADF9" w14:textId="77777777">
        <w:tc>
          <w:tcPr>
            <w:tcW w:w="3240" w:type="dxa"/>
            <w:shd w:val="clear" w:color="auto" w:fill="auto"/>
          </w:tcPr>
          <w:p w14:paraId="629F77E1" w14:textId="77777777" w:rsidR="005625DD" w:rsidRPr="00F56252" w:rsidRDefault="005625DD" w:rsidP="00F56252">
            <w:pPr>
              <w:ind w:left="26"/>
              <w:jc w:val="right"/>
              <w:rPr>
                <w:rFonts w:ascii="Times New Roman" w:eastAsia="Times New Roman" w:hAnsi="Times New Roman"/>
                <w:b/>
                <w:bCs/>
                <w:sz w:val="26"/>
                <w:szCs w:val="26"/>
                <w:rtl/>
              </w:rPr>
            </w:pPr>
          </w:p>
          <w:p w14:paraId="1AC6D9B1" w14:textId="77777777" w:rsidR="00913CBE" w:rsidRPr="00F56252" w:rsidRDefault="00913CBE" w:rsidP="00F56252">
            <w:pPr>
              <w:ind w:left="26"/>
              <w:jc w:val="right"/>
              <w:rPr>
                <w:rFonts w:ascii="Times New Roman" w:eastAsia="Times New Roman" w:hAnsi="Times New Roman"/>
                <w:b/>
                <w:bCs/>
                <w:sz w:val="26"/>
                <w:szCs w:val="26"/>
                <w:rtl/>
              </w:rPr>
            </w:pPr>
          </w:p>
          <w:p w14:paraId="599A24CE" w14:textId="77777777" w:rsidR="00913CBE" w:rsidRPr="00F56252" w:rsidRDefault="005625DD" w:rsidP="00F56252">
            <w:pPr>
              <w:ind w:left="26"/>
              <w:rPr>
                <w:rFonts w:ascii="Times New Roman" w:eastAsia="Times New Roman" w:hAnsi="Times New Roman"/>
                <w:b/>
                <w:bCs/>
                <w:sz w:val="26"/>
                <w:szCs w:val="26"/>
                <w:rtl/>
              </w:rPr>
            </w:pPr>
            <w:r w:rsidRPr="00F56252">
              <w:rPr>
                <w:rFonts w:ascii="Times New Roman" w:eastAsia="Times New Roman" w:hAnsi="Times New Roman" w:hint="cs"/>
                <w:b/>
                <w:bCs/>
                <w:sz w:val="26"/>
                <w:szCs w:val="26"/>
                <w:rtl/>
              </w:rPr>
              <w:t>ה</w:t>
            </w:r>
            <w:r w:rsidRPr="00F56252">
              <w:rPr>
                <w:rFonts w:ascii="Times New Roman" w:eastAsia="Times New Roman" w:hAnsi="Times New Roman"/>
                <w:b/>
                <w:bCs/>
                <w:sz w:val="26"/>
                <w:szCs w:val="26"/>
                <w:rtl/>
              </w:rPr>
              <w:t>מאשימה</w:t>
            </w:r>
          </w:p>
        </w:tc>
        <w:tc>
          <w:tcPr>
            <w:tcW w:w="5562" w:type="dxa"/>
            <w:shd w:val="clear" w:color="auto" w:fill="auto"/>
          </w:tcPr>
          <w:p w14:paraId="0982D3F2" w14:textId="77777777" w:rsidR="00913CBE" w:rsidRPr="00F56252" w:rsidRDefault="005625DD">
            <w:pPr>
              <w:rPr>
                <w:rFonts w:ascii="Times New Roman" w:eastAsia="Times New Roman" w:hAnsi="Times New Roman"/>
                <w:b/>
                <w:bCs/>
                <w:sz w:val="26"/>
                <w:szCs w:val="26"/>
                <w:rtl/>
              </w:rPr>
            </w:pPr>
            <w:r w:rsidRPr="00F56252">
              <w:rPr>
                <w:rFonts w:ascii="Times New Roman" w:eastAsia="Times New Roman" w:hAnsi="Times New Roman"/>
                <w:b/>
                <w:bCs/>
                <w:sz w:val="26"/>
                <w:szCs w:val="26"/>
                <w:rtl/>
              </w:rPr>
              <w:t xml:space="preserve">                     </w:t>
            </w:r>
            <w:r w:rsidRPr="00F56252">
              <w:rPr>
                <w:rFonts w:ascii="Times New Roman" w:eastAsia="Times New Roman" w:hAnsi="Times New Roman" w:hint="cs"/>
                <w:b/>
                <w:bCs/>
                <w:sz w:val="26"/>
                <w:szCs w:val="26"/>
                <w:rtl/>
              </w:rPr>
              <w:t xml:space="preserve"> </w:t>
            </w:r>
            <w:r w:rsidRPr="00F56252">
              <w:rPr>
                <w:rFonts w:ascii="Times New Roman" w:eastAsia="Times New Roman" w:hAnsi="Times New Roman"/>
                <w:b/>
                <w:bCs/>
                <w:sz w:val="26"/>
                <w:szCs w:val="26"/>
                <w:rtl/>
              </w:rPr>
              <w:t>מ.י. פרקליטות מחוז הצפון-פלילי</w:t>
            </w:r>
          </w:p>
        </w:tc>
      </w:tr>
      <w:bookmarkEnd w:id="1"/>
      <w:tr w:rsidR="00913CBE" w:rsidRPr="005625DD" w14:paraId="0FA4AAE0" w14:textId="77777777">
        <w:tc>
          <w:tcPr>
            <w:tcW w:w="8802" w:type="dxa"/>
            <w:gridSpan w:val="2"/>
            <w:shd w:val="clear" w:color="auto" w:fill="auto"/>
          </w:tcPr>
          <w:p w14:paraId="3D64191A" w14:textId="77777777" w:rsidR="00913CBE" w:rsidRPr="00F56252" w:rsidRDefault="00913CBE" w:rsidP="00F56252">
            <w:pPr>
              <w:jc w:val="both"/>
              <w:rPr>
                <w:rFonts w:ascii="Arial" w:eastAsia="Times New Roman" w:hAnsi="Arial"/>
                <w:b/>
                <w:bCs/>
                <w:sz w:val="26"/>
                <w:szCs w:val="26"/>
                <w:rtl/>
              </w:rPr>
            </w:pPr>
          </w:p>
          <w:p w14:paraId="4423C6CC" w14:textId="77777777" w:rsidR="00913CBE" w:rsidRPr="00F56252" w:rsidRDefault="005625DD" w:rsidP="00F56252">
            <w:pPr>
              <w:jc w:val="center"/>
              <w:rPr>
                <w:rFonts w:ascii="Arial" w:eastAsia="Times New Roman" w:hAnsi="Arial"/>
                <w:b/>
                <w:bCs/>
                <w:sz w:val="26"/>
                <w:szCs w:val="26"/>
                <w:rtl/>
              </w:rPr>
            </w:pPr>
            <w:r w:rsidRPr="00F56252">
              <w:rPr>
                <w:rFonts w:ascii="Arial" w:eastAsia="Times New Roman" w:hAnsi="Arial"/>
                <w:b/>
                <w:bCs/>
                <w:sz w:val="26"/>
                <w:szCs w:val="26"/>
                <w:rtl/>
              </w:rPr>
              <w:t>נגד</w:t>
            </w:r>
          </w:p>
          <w:p w14:paraId="2B8E5D79" w14:textId="77777777" w:rsidR="00913CBE" w:rsidRPr="00F56252" w:rsidRDefault="00913CBE" w:rsidP="00F56252">
            <w:pPr>
              <w:jc w:val="center"/>
              <w:rPr>
                <w:rFonts w:ascii="Arial" w:eastAsia="Times New Roman" w:hAnsi="Arial"/>
                <w:b/>
                <w:bCs/>
                <w:sz w:val="26"/>
                <w:szCs w:val="26"/>
              </w:rPr>
            </w:pPr>
          </w:p>
        </w:tc>
      </w:tr>
      <w:tr w:rsidR="00913CBE" w:rsidRPr="005625DD" w14:paraId="2D240D6E" w14:textId="77777777">
        <w:tc>
          <w:tcPr>
            <w:tcW w:w="3240" w:type="dxa"/>
            <w:shd w:val="clear" w:color="auto" w:fill="auto"/>
          </w:tcPr>
          <w:p w14:paraId="3B3C0487" w14:textId="77777777" w:rsidR="00913CBE" w:rsidRPr="00F56252" w:rsidRDefault="005625DD" w:rsidP="00F56252">
            <w:pPr>
              <w:ind w:left="26"/>
              <w:rPr>
                <w:rFonts w:ascii="Times New Roman" w:eastAsia="Times New Roman" w:hAnsi="Times New Roman"/>
                <w:b/>
                <w:bCs/>
                <w:sz w:val="26"/>
                <w:szCs w:val="26"/>
                <w:rtl/>
              </w:rPr>
            </w:pPr>
            <w:r w:rsidRPr="00F56252">
              <w:rPr>
                <w:rFonts w:ascii="Times New Roman" w:eastAsia="Times New Roman" w:hAnsi="Times New Roman" w:hint="cs"/>
                <w:b/>
                <w:bCs/>
                <w:sz w:val="26"/>
                <w:szCs w:val="26"/>
                <w:rtl/>
              </w:rPr>
              <w:t>ה</w:t>
            </w:r>
            <w:r w:rsidRPr="00F56252">
              <w:rPr>
                <w:rFonts w:ascii="Times New Roman" w:eastAsia="Times New Roman" w:hAnsi="Times New Roman"/>
                <w:b/>
                <w:bCs/>
                <w:sz w:val="26"/>
                <w:szCs w:val="26"/>
                <w:rtl/>
              </w:rPr>
              <w:t>נאשמים</w:t>
            </w:r>
          </w:p>
        </w:tc>
        <w:tc>
          <w:tcPr>
            <w:tcW w:w="5562" w:type="dxa"/>
            <w:shd w:val="clear" w:color="auto" w:fill="auto"/>
          </w:tcPr>
          <w:p w14:paraId="08868EE1" w14:textId="77777777" w:rsidR="00913CBE" w:rsidRPr="00F56252" w:rsidRDefault="005625DD">
            <w:pPr>
              <w:rPr>
                <w:rFonts w:ascii="Times New Roman" w:eastAsia="Times New Roman" w:hAnsi="Times New Roman"/>
                <w:b/>
                <w:bCs/>
                <w:sz w:val="26"/>
                <w:szCs w:val="26"/>
                <w:rtl/>
              </w:rPr>
            </w:pPr>
            <w:r w:rsidRPr="00F56252">
              <w:rPr>
                <w:rFonts w:ascii="Times New Roman" w:eastAsia="Times New Roman" w:hAnsi="Times New Roman"/>
                <w:b/>
                <w:bCs/>
                <w:sz w:val="26"/>
                <w:szCs w:val="26"/>
                <w:rtl/>
              </w:rPr>
              <w:t xml:space="preserve">                     </w:t>
            </w:r>
            <w:r w:rsidRPr="00F56252">
              <w:rPr>
                <w:rFonts w:ascii="Times New Roman" w:eastAsia="Times New Roman" w:hAnsi="Times New Roman" w:hint="cs"/>
                <w:b/>
                <w:bCs/>
                <w:sz w:val="26"/>
                <w:szCs w:val="26"/>
                <w:rtl/>
              </w:rPr>
              <w:t xml:space="preserve"> </w:t>
            </w:r>
            <w:r w:rsidRPr="00F56252">
              <w:rPr>
                <w:rFonts w:ascii="Times New Roman" w:eastAsia="Times New Roman" w:hAnsi="Times New Roman"/>
                <w:b/>
                <w:bCs/>
                <w:sz w:val="26"/>
                <w:szCs w:val="26"/>
                <w:rtl/>
              </w:rPr>
              <w:t>ראמי זהר</w:t>
            </w:r>
          </w:p>
        </w:tc>
      </w:tr>
    </w:tbl>
    <w:p w14:paraId="5B23F792" w14:textId="77777777" w:rsidR="00913CBE" w:rsidRPr="005625DD" w:rsidRDefault="005625DD">
      <w:pPr>
        <w:spacing w:line="360" w:lineRule="auto"/>
        <w:jc w:val="both"/>
        <w:rPr>
          <w:sz w:val="6"/>
          <w:szCs w:val="6"/>
          <w:rtl/>
        </w:rPr>
      </w:pPr>
      <w:r w:rsidRPr="005625DD">
        <w:rPr>
          <w:sz w:val="6"/>
          <w:szCs w:val="6"/>
          <w:rtl/>
        </w:rPr>
        <w:t>&lt;#2#&gt;</w:t>
      </w:r>
    </w:p>
    <w:p w14:paraId="0DDD883D" w14:textId="77777777" w:rsidR="00913CBE" w:rsidRPr="005625DD" w:rsidRDefault="005625DD">
      <w:pPr>
        <w:pStyle w:val="12"/>
        <w:rPr>
          <w:u w:val="none"/>
          <w:rtl/>
        </w:rPr>
      </w:pPr>
      <w:r w:rsidRPr="005625DD">
        <w:rPr>
          <w:rFonts w:hint="cs"/>
          <w:u w:val="none"/>
          <w:rtl/>
        </w:rPr>
        <w:t>נוכחים:</w:t>
      </w:r>
    </w:p>
    <w:p w14:paraId="06C04ABB" w14:textId="77777777" w:rsidR="00913CBE" w:rsidRPr="005625DD" w:rsidRDefault="005625DD">
      <w:pPr>
        <w:pStyle w:val="a"/>
        <w:spacing w:line="240" w:lineRule="auto"/>
        <w:rPr>
          <w:sz w:val="24"/>
        </w:rPr>
      </w:pPr>
      <w:bookmarkStart w:id="2" w:name="FirstLawyer"/>
      <w:r w:rsidRPr="005625DD">
        <w:rPr>
          <w:rFonts w:hint="cs"/>
          <w:sz w:val="24"/>
          <w:rtl/>
        </w:rPr>
        <w:t>מטעם</w:t>
      </w:r>
      <w:bookmarkEnd w:id="2"/>
      <w:r w:rsidRPr="005625DD">
        <w:rPr>
          <w:rFonts w:hint="cs"/>
          <w:sz w:val="24"/>
          <w:rtl/>
        </w:rPr>
        <w:t xml:space="preserve"> המאשימה: מתמחה נעמה אביאב </w:t>
      </w:r>
    </w:p>
    <w:p w14:paraId="19FF8EC0" w14:textId="77777777" w:rsidR="00913CBE" w:rsidRPr="005625DD" w:rsidRDefault="005625DD">
      <w:pPr>
        <w:pStyle w:val="12"/>
        <w:rPr>
          <w:b w:val="0"/>
          <w:bCs w:val="0"/>
          <w:u w:val="none"/>
          <w:rtl/>
        </w:rPr>
      </w:pPr>
      <w:r w:rsidRPr="005625DD">
        <w:rPr>
          <w:u w:val="none"/>
          <w:rtl/>
        </w:rPr>
        <w:t>מטעם הנאשם: בעצמו ועו"ד סארי חורי</w:t>
      </w:r>
    </w:p>
    <w:p w14:paraId="7C1412AB" w14:textId="77777777" w:rsidR="00913CBE" w:rsidRPr="005625DD" w:rsidRDefault="00913CBE">
      <w:pPr>
        <w:tabs>
          <w:tab w:val="left" w:pos="26"/>
        </w:tabs>
        <w:spacing w:line="360" w:lineRule="auto"/>
        <w:jc w:val="center"/>
        <w:rPr>
          <w:b/>
          <w:bCs/>
          <w:rtl/>
        </w:rPr>
      </w:pPr>
    </w:p>
    <w:p w14:paraId="291D2FCB" w14:textId="77777777" w:rsidR="00F56252" w:rsidRDefault="005625DD" w:rsidP="00F56252">
      <w:pPr>
        <w:tabs>
          <w:tab w:val="left" w:pos="26"/>
        </w:tabs>
        <w:spacing w:line="360" w:lineRule="auto"/>
        <w:jc w:val="both"/>
        <w:rPr>
          <w:sz w:val="6"/>
          <w:szCs w:val="6"/>
          <w:rtl/>
        </w:rPr>
      </w:pPr>
      <w:r w:rsidRPr="005625DD">
        <w:rPr>
          <w:b/>
          <w:bCs/>
          <w:sz w:val="6"/>
          <w:szCs w:val="6"/>
          <w:rtl/>
        </w:rPr>
        <w:t>&lt;#3#</w:t>
      </w:r>
      <w:bookmarkStart w:id="3" w:name="LawTable"/>
      <w:bookmarkEnd w:id="3"/>
    </w:p>
    <w:p w14:paraId="5FBF5A62" w14:textId="77777777" w:rsidR="00F56252" w:rsidRPr="00F56252" w:rsidRDefault="00F56252" w:rsidP="00F56252">
      <w:pPr>
        <w:tabs>
          <w:tab w:val="left" w:pos="26"/>
        </w:tabs>
        <w:spacing w:after="120" w:line="240" w:lineRule="exact"/>
        <w:ind w:left="283" w:hanging="283"/>
        <w:jc w:val="both"/>
        <w:rPr>
          <w:rFonts w:ascii="FrankRuehl" w:hAnsi="FrankRuehl" w:cs="FrankRuehl"/>
          <w:rtl/>
        </w:rPr>
      </w:pPr>
    </w:p>
    <w:p w14:paraId="4AFB410F" w14:textId="77777777" w:rsidR="00F56252" w:rsidRPr="00F56252" w:rsidRDefault="00F56252" w:rsidP="00F56252">
      <w:pPr>
        <w:tabs>
          <w:tab w:val="left" w:pos="26"/>
        </w:tabs>
        <w:spacing w:after="120" w:line="240" w:lineRule="exact"/>
        <w:ind w:left="283" w:hanging="283"/>
        <w:jc w:val="both"/>
        <w:rPr>
          <w:rFonts w:ascii="FrankRuehl" w:hAnsi="FrankRuehl" w:cs="FrankRuehl"/>
          <w:rtl/>
        </w:rPr>
      </w:pPr>
      <w:r w:rsidRPr="00F56252">
        <w:rPr>
          <w:rFonts w:ascii="FrankRuehl" w:hAnsi="FrankRuehl" w:cs="FrankRuehl"/>
          <w:rtl/>
        </w:rPr>
        <w:t xml:space="preserve">חקיקה שאוזכרה: </w:t>
      </w:r>
    </w:p>
    <w:p w14:paraId="23FBC606" w14:textId="77777777" w:rsidR="00F56252" w:rsidRPr="00F56252" w:rsidRDefault="00F56252" w:rsidP="00F56252">
      <w:pPr>
        <w:tabs>
          <w:tab w:val="left" w:pos="26"/>
        </w:tabs>
        <w:spacing w:after="120" w:line="240" w:lineRule="exact"/>
        <w:ind w:left="283" w:hanging="283"/>
        <w:jc w:val="both"/>
        <w:rPr>
          <w:rFonts w:ascii="FrankRuehl" w:hAnsi="FrankRuehl" w:cs="FrankRuehl"/>
          <w:rtl/>
        </w:rPr>
      </w:pPr>
      <w:hyperlink r:id="rId8" w:history="1">
        <w:r w:rsidRPr="00F56252">
          <w:rPr>
            <w:rFonts w:ascii="FrankRuehl" w:hAnsi="FrankRuehl" w:cs="FrankRuehl"/>
            <w:color w:val="0000FF"/>
            <w:u w:val="single"/>
            <w:rtl/>
          </w:rPr>
          <w:t>חוק העונשין, תשל"ז-1977</w:t>
        </w:r>
      </w:hyperlink>
      <w:r w:rsidRPr="00F56252">
        <w:rPr>
          <w:rFonts w:ascii="FrankRuehl" w:hAnsi="FrankRuehl" w:cs="FrankRuehl"/>
          <w:rtl/>
        </w:rPr>
        <w:t xml:space="preserve">: סע'  </w:t>
      </w:r>
      <w:hyperlink r:id="rId9" w:history="1">
        <w:r w:rsidRPr="00F56252">
          <w:rPr>
            <w:rFonts w:ascii="FrankRuehl" w:hAnsi="FrankRuehl" w:cs="FrankRuehl"/>
            <w:color w:val="0000FF"/>
            <w:u w:val="single"/>
            <w:rtl/>
          </w:rPr>
          <w:t>348 (ג)</w:t>
        </w:r>
      </w:hyperlink>
    </w:p>
    <w:p w14:paraId="0CE8AB66" w14:textId="77777777" w:rsidR="00F56252" w:rsidRPr="00F56252" w:rsidRDefault="00F56252" w:rsidP="00F56252">
      <w:pPr>
        <w:tabs>
          <w:tab w:val="left" w:pos="26"/>
        </w:tabs>
        <w:spacing w:after="120" w:line="240" w:lineRule="exact"/>
        <w:ind w:left="283" w:hanging="283"/>
        <w:jc w:val="both"/>
        <w:rPr>
          <w:rFonts w:ascii="FrankRuehl" w:hAnsi="FrankRuehl" w:cs="FrankRuehl"/>
          <w:rtl/>
        </w:rPr>
      </w:pPr>
    </w:p>
    <w:p w14:paraId="55042C04" w14:textId="77777777" w:rsidR="00F56252" w:rsidRPr="00F56252" w:rsidRDefault="00F56252" w:rsidP="00F56252">
      <w:pPr>
        <w:tabs>
          <w:tab w:val="left" w:pos="26"/>
        </w:tabs>
        <w:spacing w:line="360" w:lineRule="auto"/>
        <w:jc w:val="both"/>
        <w:rPr>
          <w:sz w:val="6"/>
          <w:szCs w:val="6"/>
          <w:rtl/>
        </w:rPr>
      </w:pPr>
      <w:bookmarkStart w:id="4" w:name="LawTable_End"/>
      <w:bookmarkEnd w:id="4"/>
    </w:p>
    <w:p w14:paraId="1C1965A1" w14:textId="77777777" w:rsidR="00F56252" w:rsidRPr="00F56252" w:rsidRDefault="00F56252" w:rsidP="00F56252">
      <w:pPr>
        <w:tabs>
          <w:tab w:val="left" w:pos="26"/>
        </w:tabs>
        <w:spacing w:line="360" w:lineRule="auto"/>
        <w:jc w:val="both"/>
        <w:rPr>
          <w:b/>
          <w:bCs/>
          <w:sz w:val="6"/>
          <w:szCs w:val="6"/>
          <w:rtl/>
        </w:rPr>
      </w:pPr>
    </w:p>
    <w:p w14:paraId="155C929B" w14:textId="77777777" w:rsidR="00F56252" w:rsidRPr="00F56252" w:rsidRDefault="005625DD" w:rsidP="00F56252">
      <w:pPr>
        <w:tabs>
          <w:tab w:val="left" w:pos="26"/>
        </w:tabs>
        <w:spacing w:line="360" w:lineRule="auto"/>
        <w:jc w:val="both"/>
        <w:rPr>
          <w:rFonts w:ascii="FrankRuehl" w:hAnsi="FrankRuehl" w:cs="FrankRuehl"/>
          <w:rtl/>
        </w:rPr>
      </w:pPr>
      <w:r w:rsidRPr="00F56252">
        <w:rPr>
          <w:b/>
          <w:bCs/>
          <w:sz w:val="6"/>
          <w:szCs w:val="6"/>
          <w:rtl/>
        </w:rPr>
        <w:t>&gt;</w:t>
      </w:r>
    </w:p>
    <w:p w14:paraId="1B70F1DE" w14:textId="77777777" w:rsidR="00F56252" w:rsidRPr="00F56252" w:rsidRDefault="00F56252">
      <w:pPr>
        <w:tabs>
          <w:tab w:val="left" w:pos="26"/>
        </w:tabs>
        <w:spacing w:line="360" w:lineRule="auto"/>
        <w:jc w:val="both"/>
        <w:rPr>
          <w:sz w:val="6"/>
          <w:szCs w:val="6"/>
          <w:rtl/>
        </w:rPr>
      </w:pPr>
    </w:p>
    <w:p w14:paraId="56FB95E8" w14:textId="77777777" w:rsidR="00F56252" w:rsidRPr="00F56252" w:rsidRDefault="00F56252">
      <w:pPr>
        <w:tabs>
          <w:tab w:val="left" w:pos="26"/>
        </w:tabs>
        <w:spacing w:line="360" w:lineRule="auto"/>
        <w:jc w:val="both"/>
        <w:rPr>
          <w:b/>
          <w:bCs/>
          <w:sz w:val="6"/>
          <w:szCs w:val="6"/>
          <w:rtl/>
        </w:rPr>
      </w:pPr>
    </w:p>
    <w:p w14:paraId="0CB2D155" w14:textId="77777777" w:rsidR="00913CBE" w:rsidRPr="00F56252" w:rsidRDefault="00913CBE">
      <w:pPr>
        <w:tabs>
          <w:tab w:val="left" w:pos="26"/>
        </w:tabs>
        <w:spacing w:line="360" w:lineRule="auto"/>
        <w:jc w:val="both"/>
        <w:rPr>
          <w:b/>
          <w:bCs/>
          <w:sz w:val="6"/>
          <w:szCs w:val="6"/>
          <w:rtl/>
        </w:rPr>
      </w:pPr>
    </w:p>
    <w:p w14:paraId="43155A82" w14:textId="77777777" w:rsidR="00383223" w:rsidRPr="00383223" w:rsidRDefault="00383223">
      <w:pPr>
        <w:spacing w:line="360" w:lineRule="auto"/>
        <w:jc w:val="center"/>
        <w:rPr>
          <w:rFonts w:ascii="Arial" w:hAnsi="Arial"/>
          <w:sz w:val="28"/>
          <w:szCs w:val="28"/>
          <w:rtl/>
        </w:rPr>
      </w:pPr>
    </w:p>
    <w:p w14:paraId="253E02A6" w14:textId="77777777" w:rsidR="00383223" w:rsidRPr="00383223" w:rsidRDefault="00383223">
      <w:pPr>
        <w:spacing w:line="360" w:lineRule="auto"/>
        <w:jc w:val="center"/>
        <w:rPr>
          <w:rFonts w:ascii="Arial" w:hAnsi="Arial"/>
          <w:b/>
          <w:bCs/>
          <w:sz w:val="28"/>
          <w:szCs w:val="28"/>
          <w:rtl/>
        </w:rPr>
      </w:pPr>
    </w:p>
    <w:p w14:paraId="56F8507A" w14:textId="77777777" w:rsidR="005625DD" w:rsidRPr="00383223" w:rsidRDefault="005625DD">
      <w:pPr>
        <w:spacing w:line="360" w:lineRule="auto"/>
        <w:jc w:val="center"/>
        <w:rPr>
          <w:rFonts w:ascii="Arial" w:hAnsi="Arial"/>
          <w:b/>
          <w:bCs/>
          <w:sz w:val="28"/>
          <w:szCs w:val="28"/>
          <w:rtl/>
        </w:rPr>
      </w:pPr>
    </w:p>
    <w:p w14:paraId="0F343EAD" w14:textId="77777777" w:rsidR="005625DD" w:rsidRPr="005625DD" w:rsidRDefault="005625DD" w:rsidP="005625DD">
      <w:pPr>
        <w:tabs>
          <w:tab w:val="left" w:pos="26"/>
        </w:tabs>
        <w:spacing w:line="360" w:lineRule="auto"/>
        <w:jc w:val="center"/>
        <w:rPr>
          <w:rFonts w:ascii="Arial" w:hAnsi="Arial"/>
          <w:b/>
          <w:bCs/>
          <w:sz w:val="28"/>
          <w:szCs w:val="28"/>
          <w:u w:val="single"/>
          <w:rtl/>
        </w:rPr>
      </w:pPr>
      <w:bookmarkStart w:id="5" w:name="PsakDin"/>
      <w:bookmarkEnd w:id="0"/>
      <w:r w:rsidRPr="005625DD">
        <w:rPr>
          <w:rFonts w:ascii="Arial" w:hAnsi="Arial"/>
          <w:b/>
          <w:bCs/>
          <w:sz w:val="28"/>
          <w:szCs w:val="28"/>
          <w:u w:val="single"/>
          <w:rtl/>
        </w:rPr>
        <w:t>הכרעת דין</w:t>
      </w:r>
    </w:p>
    <w:bookmarkEnd w:id="5"/>
    <w:p w14:paraId="62552AF8" w14:textId="77777777" w:rsidR="00913CBE" w:rsidRDefault="00913CBE">
      <w:pPr>
        <w:tabs>
          <w:tab w:val="left" w:pos="26"/>
        </w:tabs>
        <w:spacing w:line="360" w:lineRule="auto"/>
        <w:jc w:val="both"/>
        <w:rPr>
          <w:b/>
          <w:bCs/>
          <w:rtl/>
        </w:rPr>
      </w:pPr>
    </w:p>
    <w:p w14:paraId="785E47CE" w14:textId="77777777" w:rsidR="00913CBE" w:rsidRDefault="005625DD">
      <w:pPr>
        <w:numPr>
          <w:ilvl w:val="0"/>
          <w:numId w:val="18"/>
        </w:numPr>
        <w:spacing w:line="360" w:lineRule="auto"/>
        <w:ind w:right="0"/>
        <w:jc w:val="both"/>
        <w:rPr>
          <w:rtl/>
        </w:rPr>
      </w:pPr>
      <w:bookmarkStart w:id="6" w:name="ABSTRACT_START"/>
      <w:bookmarkEnd w:id="6"/>
      <w:r>
        <w:rPr>
          <w:rFonts w:hint="cs"/>
          <w:rtl/>
        </w:rPr>
        <w:t>כנגד הנאשם הוגש כתב אישום אשר מייחס לו ביצוע עבירה של מעשים מגונים</w:t>
      </w:r>
      <w:bookmarkStart w:id="7" w:name="ABSTRACT_END"/>
      <w:bookmarkEnd w:id="7"/>
      <w:r>
        <w:rPr>
          <w:rFonts w:hint="cs"/>
          <w:rtl/>
        </w:rPr>
        <w:t xml:space="preserve">- עבירה לפי </w:t>
      </w:r>
      <w:hyperlink r:id="rId10" w:history="1">
        <w:r w:rsidR="00F56252" w:rsidRPr="00F56252">
          <w:rPr>
            <w:color w:val="0000FF"/>
            <w:u w:val="single"/>
            <w:rtl/>
          </w:rPr>
          <w:t>סעיף 348 (ג)</w:t>
        </w:r>
      </w:hyperlink>
      <w:r>
        <w:rPr>
          <w:rFonts w:hint="cs"/>
          <w:rtl/>
        </w:rPr>
        <w:t xml:space="preserve"> ל</w:t>
      </w:r>
      <w:hyperlink r:id="rId11" w:history="1">
        <w:r w:rsidR="00383223" w:rsidRPr="00383223">
          <w:rPr>
            <w:rStyle w:val="Hyperlink"/>
            <w:rtl/>
          </w:rPr>
          <w:t>חוק העונשין</w:t>
        </w:r>
      </w:hyperlink>
      <w:r>
        <w:rPr>
          <w:rFonts w:hint="cs"/>
          <w:rtl/>
        </w:rPr>
        <w:t xml:space="preserve"> התשל"ז- 1977.  </w:t>
      </w:r>
    </w:p>
    <w:p w14:paraId="53F59043" w14:textId="77777777" w:rsidR="00913CBE" w:rsidRDefault="00913CBE">
      <w:pPr>
        <w:spacing w:line="360" w:lineRule="auto"/>
        <w:ind w:left="206" w:right="566"/>
        <w:jc w:val="both"/>
      </w:pPr>
    </w:p>
    <w:p w14:paraId="0EAC3FDF" w14:textId="77777777" w:rsidR="00913CBE" w:rsidRDefault="005625DD">
      <w:pPr>
        <w:numPr>
          <w:ilvl w:val="0"/>
          <w:numId w:val="18"/>
        </w:numPr>
        <w:spacing w:line="360" w:lineRule="auto"/>
        <w:ind w:right="0"/>
        <w:jc w:val="both"/>
      </w:pPr>
      <w:r>
        <w:rPr>
          <w:rFonts w:hint="cs"/>
          <w:rtl/>
        </w:rPr>
        <w:t xml:space="preserve">הצדדים הגיעו להסדר טיעון במסגרתו תוקן כתב האישום. על פי הנטען בכתב האישום המתוקן, מ.ג. (להלן: "המתלוננת"), הינה תלמידה במכללת נצרת עלית (להלן: "המכללה") הנאשם למד במכללה החל משנת 2005 (להלן: "התקופה"). בתאריך 14.05.06 בשעה 13:00 או בסמוך לכך, נכנסה המתלוננת לשירותי הבנות במכללה. הנאשם הבחין במתלוננת והחליט לצלמה לכשתתערטל בתא השירותים. לשם ביצוע זממו נכנס הנאשם בעקבות המתלוננת לשירותי הבנות. בהיותו בתא הסמוך לתא בו שהתה המתלוננת, נטל הנאשם את מכשיר הפלאפון שלו וצילם באמצעותו את המתלוננת כשמכנסיה ותחתוניה מופשלים לצורך עשיית צרכיה, זאת עשה הנאשם על מנת לחזות בפלג גופה התחתון של המתלוננת שעה שהוא חשוף, לצורך גירויו וסיפוק המיניים. במעשיו אלה, ביצע הנאשם מעשים מגונים בלא הסכמתה של המתלוננת, לשם גירוי או סיפוק מיני. </w:t>
      </w:r>
    </w:p>
    <w:p w14:paraId="011B0636" w14:textId="77777777" w:rsidR="00913CBE" w:rsidRDefault="00913CBE">
      <w:pPr>
        <w:pStyle w:val="BodyTextIndent2"/>
        <w:ind w:left="206"/>
        <w:rPr>
          <w:rtl/>
        </w:rPr>
      </w:pPr>
    </w:p>
    <w:p w14:paraId="04CA01F0" w14:textId="77777777" w:rsidR="00913CBE" w:rsidRDefault="005625DD">
      <w:pPr>
        <w:numPr>
          <w:ilvl w:val="0"/>
          <w:numId w:val="18"/>
        </w:numPr>
        <w:spacing w:line="360" w:lineRule="auto"/>
        <w:ind w:right="0"/>
        <w:jc w:val="both"/>
        <w:rPr>
          <w:rtl/>
        </w:rPr>
      </w:pPr>
      <w:r>
        <w:rPr>
          <w:rFonts w:hint="cs"/>
          <w:rtl/>
        </w:rPr>
        <w:lastRenderedPageBreak/>
        <w:t>הנאשם הודה בעובדות כתב האישום המתוקן אך ביקש לקבל את הודאתו ללא הרשעה ולפיכך, נשלח לקבלת תסקיר שירות המבחן בטרם הרשעה.</w:t>
      </w:r>
    </w:p>
    <w:p w14:paraId="54B91021" w14:textId="77777777" w:rsidR="00913CBE" w:rsidRDefault="00913CBE">
      <w:pPr>
        <w:spacing w:line="360" w:lineRule="auto"/>
        <w:ind w:left="206"/>
        <w:jc w:val="both"/>
      </w:pPr>
    </w:p>
    <w:p w14:paraId="5AACB350" w14:textId="77777777" w:rsidR="00913CBE" w:rsidRDefault="005625DD">
      <w:pPr>
        <w:numPr>
          <w:ilvl w:val="0"/>
          <w:numId w:val="18"/>
        </w:numPr>
        <w:spacing w:line="360" w:lineRule="auto"/>
        <w:ind w:right="0"/>
        <w:jc w:val="both"/>
      </w:pPr>
      <w:r>
        <w:rPr>
          <w:rFonts w:hint="cs"/>
          <w:rtl/>
        </w:rPr>
        <w:t xml:space="preserve">שירות המבחן עמד בתסקירו על נסיבותיו האישות של הנאשם, בן 26, רווק ועובד כמנהל משמרת באחת מרשתות הפארם בנצרת. שירות המבחן עמד על הדינאמיקה במשפחת הנאשם והתרשם שמדובר המשפחה נורמטיבית, ובאשר לנאשם, שירות המבחן התרשם כי הנו העל מערכת ערכים נורמטיבית ביסודה ומערך התנהגותו מקובל. </w:t>
      </w:r>
    </w:p>
    <w:p w14:paraId="2E67DF2D" w14:textId="77777777" w:rsidR="00913CBE" w:rsidRDefault="00913CBE">
      <w:pPr>
        <w:spacing w:line="360" w:lineRule="auto"/>
        <w:ind w:right="566"/>
        <w:jc w:val="both"/>
      </w:pPr>
    </w:p>
    <w:p w14:paraId="61E99664" w14:textId="77777777" w:rsidR="00913CBE" w:rsidRDefault="005625DD">
      <w:pPr>
        <w:numPr>
          <w:ilvl w:val="0"/>
          <w:numId w:val="18"/>
        </w:numPr>
        <w:spacing w:line="360" w:lineRule="auto"/>
        <w:ind w:right="0"/>
        <w:jc w:val="both"/>
        <w:rPr>
          <w:rtl/>
        </w:rPr>
      </w:pPr>
      <w:r>
        <w:rPr>
          <w:rFonts w:hint="cs"/>
          <w:rtl/>
        </w:rPr>
        <w:t xml:space="preserve">שירות המבחן ציין כי לאחר סיום לימודי תיכון, השתלב הנאשם בשוק העבודה ועבד במלצרות וספרות ובעבודות מזדמנות. הנאשם גם למד קורס חריטה ממוחשבת במכללה -בה ביצע את העבירה - אך לא קיבל תעודת סיום. הנאשם הציג בפני שירות המבחן המלצות ממעסיקיו ומסר כי הוא מעוניין להירשם ללימודי חינוך גופני במכללת "אוהלו". </w:t>
      </w:r>
    </w:p>
    <w:p w14:paraId="593B5A63" w14:textId="77777777" w:rsidR="00913CBE" w:rsidRDefault="00913CBE">
      <w:pPr>
        <w:spacing w:line="360" w:lineRule="auto"/>
        <w:ind w:right="566"/>
        <w:jc w:val="both"/>
      </w:pPr>
    </w:p>
    <w:p w14:paraId="55075C8F" w14:textId="77777777" w:rsidR="00913CBE" w:rsidRDefault="005625DD">
      <w:pPr>
        <w:numPr>
          <w:ilvl w:val="0"/>
          <w:numId w:val="18"/>
        </w:numPr>
        <w:spacing w:line="360" w:lineRule="auto"/>
        <w:ind w:right="0"/>
        <w:jc w:val="both"/>
        <w:rPr>
          <w:rtl/>
        </w:rPr>
      </w:pPr>
      <w:r>
        <w:rPr>
          <w:rFonts w:hint="cs"/>
          <w:rtl/>
        </w:rPr>
        <w:t xml:space="preserve">הנאשם קיבל אחריות מלאה על מעשיו בפני שירות המבחן תוך ביטוי תחושות של חרטה ואכזבה עצמית. הנאשם ציין כי הוא חש פחד בעת ביצוע המעשה אך לא יכל לעמוד בפני דחפו. שירות המבחן אבחן אצל הנאשם חזרתיות, קושי בשליטה בדחף המיני וטעויות חשיבה. יחד עם זאת ציין שירות המבחן כי הנאשם מודע לכישלונו והוא עתה משתתף בקבוצה טיפולית לעברייני מין. לפיכך, המליץ שירות המבחן שהנאשם ימשיך להשתתף בקבוצה במסגרת צו מבחן למשך 18 חודשים. </w:t>
      </w:r>
    </w:p>
    <w:p w14:paraId="1676B690" w14:textId="77777777" w:rsidR="00913CBE" w:rsidRDefault="00913CBE">
      <w:pPr>
        <w:spacing w:line="360" w:lineRule="auto"/>
        <w:ind w:right="566"/>
        <w:jc w:val="both"/>
      </w:pPr>
    </w:p>
    <w:p w14:paraId="63467945" w14:textId="77777777" w:rsidR="00913CBE" w:rsidRDefault="005625DD">
      <w:pPr>
        <w:numPr>
          <w:ilvl w:val="0"/>
          <w:numId w:val="18"/>
        </w:numPr>
        <w:spacing w:line="360" w:lineRule="auto"/>
        <w:ind w:right="0"/>
        <w:jc w:val="both"/>
        <w:rPr>
          <w:rtl/>
        </w:rPr>
      </w:pPr>
      <w:r>
        <w:rPr>
          <w:rFonts w:hint="cs"/>
          <w:rtl/>
        </w:rPr>
        <w:t xml:space="preserve">הנאשם ביקש להימנע מהרשעת הנאשם כיוון שההרשעה עלולה לפגוע באפשרויות עיסוקו וקידומו, בהקשר זה מסר הנאשם, בין התיר, שהוא מעוניין ללמוד חינוך גופני במכללת אוהלו. </w:t>
      </w:r>
    </w:p>
    <w:p w14:paraId="21A7266F" w14:textId="77777777" w:rsidR="00913CBE" w:rsidRDefault="00913CBE">
      <w:pPr>
        <w:spacing w:line="360" w:lineRule="auto"/>
        <w:ind w:right="566"/>
        <w:jc w:val="both"/>
      </w:pPr>
    </w:p>
    <w:p w14:paraId="247A260D" w14:textId="77777777" w:rsidR="00913CBE" w:rsidRDefault="005625DD">
      <w:pPr>
        <w:numPr>
          <w:ilvl w:val="0"/>
          <w:numId w:val="18"/>
        </w:numPr>
        <w:spacing w:line="360" w:lineRule="auto"/>
        <w:ind w:right="0"/>
        <w:jc w:val="both"/>
        <w:rPr>
          <w:rtl/>
        </w:rPr>
      </w:pPr>
      <w:r>
        <w:rPr>
          <w:rFonts w:hint="cs"/>
          <w:rtl/>
        </w:rPr>
        <w:t xml:space="preserve">לאור חומרת העבירה ואופייה, התקשה שירות המבחן להמליץ על אי ההרשעה והשאיר עניין זה לשיקול דעת בית המשפט. </w:t>
      </w:r>
    </w:p>
    <w:p w14:paraId="7D127D43" w14:textId="77777777" w:rsidR="00913CBE" w:rsidRDefault="00913CBE">
      <w:pPr>
        <w:spacing w:line="360" w:lineRule="auto"/>
        <w:ind w:right="566"/>
        <w:jc w:val="both"/>
      </w:pPr>
    </w:p>
    <w:p w14:paraId="495C6A8D" w14:textId="77777777" w:rsidR="00913CBE" w:rsidRDefault="005625DD">
      <w:pPr>
        <w:numPr>
          <w:ilvl w:val="0"/>
          <w:numId w:val="18"/>
        </w:numPr>
        <w:spacing w:line="360" w:lineRule="auto"/>
        <w:ind w:right="0"/>
        <w:jc w:val="both"/>
        <w:rPr>
          <w:rtl/>
        </w:rPr>
      </w:pPr>
      <w:r>
        <w:rPr>
          <w:rFonts w:hint="cs"/>
          <w:rtl/>
        </w:rPr>
        <w:t xml:space="preserve">במסגרת הסדר הטיעון, עתרה המאשימה להרשעת הנאשם ולהטלת צו  מבחן, מאסר על תנאי, קנס ופיצוי. לעומתה, עתר הסניגור לאי הרשעת הנאשם ולהטלת צו מבחן למשך 18 חודשים ופיצויים בסך 3,000 ₪. </w:t>
      </w:r>
    </w:p>
    <w:p w14:paraId="79707CC2" w14:textId="77777777" w:rsidR="00913CBE" w:rsidRDefault="00913CBE">
      <w:pPr>
        <w:spacing w:line="360" w:lineRule="auto"/>
        <w:ind w:right="566"/>
        <w:jc w:val="both"/>
      </w:pPr>
    </w:p>
    <w:p w14:paraId="6B6F2100" w14:textId="77777777" w:rsidR="00913CBE" w:rsidRDefault="005625DD">
      <w:pPr>
        <w:numPr>
          <w:ilvl w:val="0"/>
          <w:numId w:val="18"/>
        </w:numPr>
        <w:spacing w:line="360" w:lineRule="auto"/>
        <w:ind w:right="0"/>
        <w:jc w:val="both"/>
        <w:rPr>
          <w:rtl/>
        </w:rPr>
      </w:pPr>
      <w:r>
        <w:rPr>
          <w:rFonts w:hint="cs"/>
          <w:rtl/>
        </w:rPr>
        <w:t>כאשר עסקינן בנאשמים בוגרים, הכלל הוא הרשעה והיוצא מן הכלל הוא אי הרשעה וזאת כאשר קיימות נסיבות חריגות ויוצאות דופן אשר מצדיקות סטייה מן הכלל.  בבואו לדון בשאלת הרשעת נאשם נדרש בית המשפט לבחון את עינינו האינדיווידואלי של כל נאשם, האפשרות לשיקום הנאשם, נסיבותיו האישיות, מהות העבירה, הצורך בהרתעה ואף שיקולי קורבן העבירה.</w:t>
      </w:r>
    </w:p>
    <w:p w14:paraId="2151E707" w14:textId="77777777" w:rsidR="00913CBE" w:rsidRDefault="005625DD">
      <w:pPr>
        <w:spacing w:line="360" w:lineRule="auto"/>
        <w:ind w:left="566"/>
        <w:jc w:val="both"/>
        <w:rPr>
          <w:rtl/>
        </w:rPr>
      </w:pPr>
      <w:r>
        <w:rPr>
          <w:rFonts w:hint="cs"/>
          <w:rtl/>
        </w:rPr>
        <w:lastRenderedPageBreak/>
        <w:t>לאור האמור קבעה הפסיקה מבחן בן שני תנאים להימנעות מהרשעה, אשר נדון ב</w:t>
      </w:r>
      <w:hyperlink r:id="rId12" w:history="1">
        <w:r w:rsidR="00383223" w:rsidRPr="00383223">
          <w:rPr>
            <w:rStyle w:val="Hyperlink"/>
            <w:rtl/>
          </w:rPr>
          <w:t>ע"פ 2083/96 תמר כתב נ' מדינת ישראל, פ"ד נב</w:t>
        </w:r>
      </w:hyperlink>
      <w:r>
        <w:rPr>
          <w:rFonts w:hint="cs"/>
          <w:rtl/>
        </w:rPr>
        <w:t>(3), 337 מפי כב' השופטת דורנר:</w:t>
      </w:r>
    </w:p>
    <w:p w14:paraId="5E18ABEB" w14:textId="77777777" w:rsidR="00913CBE" w:rsidRDefault="00913CBE">
      <w:pPr>
        <w:spacing w:line="360" w:lineRule="auto"/>
        <w:ind w:left="566"/>
        <w:jc w:val="both"/>
        <w:rPr>
          <w:rtl/>
        </w:rPr>
      </w:pPr>
    </w:p>
    <w:p w14:paraId="73882EEF" w14:textId="77777777" w:rsidR="00913CBE" w:rsidRDefault="005625DD">
      <w:pPr>
        <w:spacing w:line="360" w:lineRule="auto"/>
        <w:ind w:left="1418" w:right="1418"/>
        <w:jc w:val="both"/>
        <w:rPr>
          <w:rtl/>
        </w:rPr>
      </w:pPr>
      <w:r>
        <w:rPr>
          <w:rFonts w:hint="cs"/>
          <w:rtl/>
        </w:rPr>
        <w:t>"הימנעות מהרשעה אפשרית איפוא בהצטבר שני גורמים:</w:t>
      </w:r>
    </w:p>
    <w:p w14:paraId="4A7D7B7D" w14:textId="77777777" w:rsidR="00913CBE" w:rsidRDefault="005625DD">
      <w:pPr>
        <w:spacing w:line="360" w:lineRule="auto"/>
        <w:ind w:left="1418" w:right="1418"/>
        <w:jc w:val="both"/>
        <w:rPr>
          <w:rtl/>
        </w:rPr>
      </w:pPr>
      <w:r>
        <w:rPr>
          <w:rFonts w:hint="cs"/>
          <w:rtl/>
        </w:rPr>
        <w:t xml:space="preserve"> ראשית, על ההרשעה לפגוע פגיעה חמורה בשיקום הנאשם; ושנית, סוג העבירה מאפשר לוותר בנסיבות המקרה המסוים על ההרשעה מבלי לפגוע באופן מהותי בשיקולי הענישה האחרים המפורטים לעיל".</w:t>
      </w:r>
    </w:p>
    <w:p w14:paraId="4AF73D35" w14:textId="77777777" w:rsidR="00913CBE" w:rsidRDefault="00913CBE">
      <w:pPr>
        <w:spacing w:line="360" w:lineRule="auto"/>
        <w:jc w:val="both"/>
        <w:rPr>
          <w:rtl/>
        </w:rPr>
      </w:pPr>
    </w:p>
    <w:p w14:paraId="09F3E915" w14:textId="77777777" w:rsidR="00913CBE" w:rsidRDefault="005625DD">
      <w:pPr>
        <w:numPr>
          <w:ilvl w:val="0"/>
          <w:numId w:val="18"/>
        </w:numPr>
        <w:spacing w:line="360" w:lineRule="auto"/>
        <w:ind w:right="0"/>
        <w:jc w:val="both"/>
        <w:rPr>
          <w:rtl/>
        </w:rPr>
      </w:pPr>
      <w:r>
        <w:rPr>
          <w:rFonts w:hint="cs"/>
          <w:rtl/>
        </w:rPr>
        <w:t xml:space="preserve">במקרה דנן, לא שוכנעתי כי מתקיימות נסיבות מיוחדות אשר מצדיקות סטייה מכלל ההרשעה. בנוסף, התנאים המצטברים שנקבעו בהלכת כתב לעיל, לא מתקיימים בעניינה של הנאשמת. </w:t>
      </w:r>
    </w:p>
    <w:p w14:paraId="6D418166" w14:textId="77777777" w:rsidR="00913CBE" w:rsidRDefault="00913CBE">
      <w:pPr>
        <w:spacing w:line="360" w:lineRule="auto"/>
        <w:ind w:left="206"/>
        <w:jc w:val="both"/>
      </w:pPr>
    </w:p>
    <w:p w14:paraId="050E1DCB" w14:textId="77777777" w:rsidR="00913CBE" w:rsidRDefault="005625DD">
      <w:pPr>
        <w:numPr>
          <w:ilvl w:val="0"/>
          <w:numId w:val="18"/>
        </w:numPr>
        <w:spacing w:line="360" w:lineRule="auto"/>
        <w:ind w:right="0"/>
        <w:jc w:val="both"/>
      </w:pPr>
      <w:r>
        <w:rPr>
          <w:rFonts w:hint="cs"/>
          <w:rtl/>
        </w:rPr>
        <w:t xml:space="preserve">לא שוכנעתי כי ההרשעה תביא לפגיעה חמורה בשיקום הנאשם. הנאשם עובד כמנהל משמרת בחנות אחת מרשתות הפארם, ובעבר היה חסר מסגרת תעסוקתית קבועה והוא חסר  השכלה אקדמית. הנאשם טען בפני שירות המבחן כי ברצונו ללמוד חנוך גופני אך טענה זו נטענה בעלמא והוא אף לא המציא אישור בדבר רישומו ללימודים הנטענים. הנאשם לא הציג בפני תוכניות עתידיות אקטואליות וקונקריטיות משכך, לא שוכנעתי שקיימת  פגיעה פוטנציאלית בעיסוקו  או בשיקומו. </w:t>
      </w:r>
    </w:p>
    <w:p w14:paraId="0999B26A" w14:textId="77777777" w:rsidR="00913CBE" w:rsidRDefault="00913CBE">
      <w:pPr>
        <w:spacing w:line="360" w:lineRule="auto"/>
        <w:ind w:left="206"/>
        <w:jc w:val="both"/>
      </w:pPr>
    </w:p>
    <w:p w14:paraId="685E52CA" w14:textId="77777777" w:rsidR="00913CBE" w:rsidRDefault="005625DD">
      <w:pPr>
        <w:numPr>
          <w:ilvl w:val="0"/>
          <w:numId w:val="18"/>
        </w:numPr>
        <w:spacing w:line="360" w:lineRule="auto"/>
        <w:ind w:right="0"/>
        <w:jc w:val="both"/>
      </w:pPr>
      <w:r>
        <w:rPr>
          <w:rFonts w:hint="cs"/>
          <w:rtl/>
        </w:rPr>
        <w:t xml:space="preserve">קצין המבחן המלומד לאחר שבחן את נסיבות המקרה לעומק לא יכל להמליץ על אי הרשעה ולא בכדי. סוג העבירה בה מואשם הנאשם אינו מאפשר לוותר בנסיבות המקרה על הרשעה מבלי לפגוע בשיקולי הענישה האחרים. לנאשם מיוחסת עבירה חמורה של משעים מגונים, הנאשם עקב אחרי אישה אל תוך שירותי הנשים במכללה על מנת לראות את פלג גופה התחתון המעורטל וצילמה באמצעות המכשיר הסלולארי.  מדובר בעבירה חמורה ועל בית המשפט לבטא את סלידת החברה המאורגנת ממעשים בזויים כגון דא ומעבריות מין שפוגעות בכבוד הנשים וזכותן לאוטונומיה על  גופן. </w:t>
      </w:r>
    </w:p>
    <w:p w14:paraId="059AF7C3" w14:textId="77777777" w:rsidR="00913CBE" w:rsidRDefault="00913CBE">
      <w:pPr>
        <w:spacing w:line="360" w:lineRule="auto"/>
        <w:ind w:left="206" w:right="566"/>
        <w:jc w:val="both"/>
      </w:pPr>
    </w:p>
    <w:p w14:paraId="251FA84B" w14:textId="77777777" w:rsidR="00913CBE" w:rsidRDefault="005625DD">
      <w:pPr>
        <w:numPr>
          <w:ilvl w:val="0"/>
          <w:numId w:val="18"/>
        </w:numPr>
        <w:spacing w:line="360" w:lineRule="auto"/>
        <w:ind w:right="0"/>
        <w:jc w:val="both"/>
      </w:pPr>
      <w:r>
        <w:rPr>
          <w:rFonts w:hint="cs"/>
          <w:rtl/>
        </w:rPr>
        <w:t>אשר על כן הגעתי לכלל מסקנה, כי במקרה דנן, לא מתקיימות נסיבות חריגות ויוצאת דופן אשר מצדיקות את אי הרשעת הנאשמת. לפיכך, הנני מרשיע את הנאשם בעבירות אשר יוחסו לה בכתב האישום המתוקן.</w:t>
      </w:r>
    </w:p>
    <w:p w14:paraId="4A87FE6B" w14:textId="77777777" w:rsidR="00913CBE" w:rsidRDefault="005625DD">
      <w:pPr>
        <w:spacing w:line="360" w:lineRule="auto"/>
        <w:ind w:right="566"/>
        <w:jc w:val="both"/>
        <w:rPr>
          <w:sz w:val="6"/>
          <w:szCs w:val="6"/>
        </w:rPr>
      </w:pPr>
      <w:r>
        <w:rPr>
          <w:sz w:val="6"/>
          <w:szCs w:val="6"/>
          <w:rtl/>
        </w:rPr>
        <w:t>&lt;#4#&gt;</w:t>
      </w:r>
    </w:p>
    <w:p w14:paraId="5E38190C" w14:textId="77777777" w:rsidR="00913CBE" w:rsidRDefault="00913CBE">
      <w:pPr>
        <w:jc w:val="right"/>
        <w:rPr>
          <w:rtl/>
        </w:rPr>
      </w:pPr>
    </w:p>
    <w:p w14:paraId="2925DAD2" w14:textId="77777777" w:rsidR="00913CBE" w:rsidRDefault="005625DD">
      <w:pPr>
        <w:spacing w:line="360" w:lineRule="auto"/>
        <w:jc w:val="both"/>
        <w:rPr>
          <w:rtl/>
        </w:rPr>
      </w:pPr>
      <w:r>
        <w:rPr>
          <w:rFonts w:hint="cs"/>
          <w:b/>
          <w:bCs/>
          <w:rtl/>
        </w:rPr>
        <w:t xml:space="preserve">ניתנה והודעה היום </w:t>
      </w:r>
      <w:r>
        <w:rPr>
          <w:b/>
          <w:bCs/>
          <w:rtl/>
        </w:rPr>
        <w:t>כ"ט חשון תשס"ט</w:t>
      </w:r>
      <w:r>
        <w:rPr>
          <w:rFonts w:hint="cs"/>
          <w:b/>
          <w:bCs/>
          <w:rtl/>
        </w:rPr>
        <w:t xml:space="preserve">, </w:t>
      </w:r>
      <w:r>
        <w:rPr>
          <w:b/>
          <w:bCs/>
          <w:rtl/>
        </w:rPr>
        <w:t>27/11/2008</w:t>
      </w:r>
      <w:r>
        <w:rPr>
          <w:rFonts w:hint="cs"/>
          <w:b/>
          <w:bCs/>
          <w:rtl/>
        </w:rPr>
        <w:t xml:space="preserve"> במעמד הנוכחים.</w:t>
      </w:r>
      <w:r>
        <w:rPr>
          <w:rtl/>
        </w:rPr>
        <w:t xml:space="preserve"> </w:t>
      </w:r>
    </w:p>
    <w:tbl>
      <w:tblPr>
        <w:bidiVisual/>
        <w:tblW w:w="0" w:type="auto"/>
        <w:tblInd w:w="3914" w:type="dxa"/>
        <w:tblLook w:val="01E0" w:firstRow="1" w:lastRow="1" w:firstColumn="1" w:lastColumn="1" w:noHBand="0" w:noVBand="0"/>
      </w:tblPr>
      <w:tblGrid>
        <w:gridCol w:w="4608"/>
      </w:tblGrid>
      <w:tr w:rsidR="00913CBE" w14:paraId="71C8BCC6" w14:textId="77777777">
        <w:tc>
          <w:tcPr>
            <w:tcW w:w="4608" w:type="dxa"/>
            <w:tcBorders>
              <w:bottom w:val="single" w:sz="4" w:space="0" w:color="auto"/>
            </w:tcBorders>
            <w:shd w:val="clear" w:color="auto" w:fill="auto"/>
          </w:tcPr>
          <w:p w14:paraId="2C486EA0" w14:textId="77777777" w:rsidR="00913CBE" w:rsidRPr="00F56252" w:rsidRDefault="005625DD" w:rsidP="00F56252">
            <w:pPr>
              <w:spacing w:line="360" w:lineRule="auto"/>
              <w:jc w:val="center"/>
              <w:rPr>
                <w:rFonts w:ascii="Times New Roman" w:eastAsia="Times New Roman" w:hAnsi="Times New Roman" w:cs="FrankRuehl"/>
                <w:rtl/>
              </w:rPr>
            </w:pPr>
            <w:r w:rsidRPr="00F56252">
              <w:rPr>
                <w:rFonts w:ascii="Times New Roman" w:eastAsia="Times New Roman" w:hAnsi="Times New Roman" w:cs="Times New Roman"/>
              </w:rPr>
              <w:t xml:space="preserve"> </w:t>
            </w:r>
          </w:p>
        </w:tc>
      </w:tr>
      <w:tr w:rsidR="00913CBE" w14:paraId="1B76AE34" w14:textId="77777777">
        <w:trPr>
          <w:cantSplit/>
        </w:trPr>
        <w:tc>
          <w:tcPr>
            <w:tcW w:w="4608" w:type="dxa"/>
            <w:tcBorders>
              <w:top w:val="single" w:sz="4" w:space="0" w:color="auto"/>
            </w:tcBorders>
            <w:shd w:val="clear" w:color="auto" w:fill="auto"/>
            <w:vAlign w:val="center"/>
          </w:tcPr>
          <w:p w14:paraId="3CFEF12A" w14:textId="77777777" w:rsidR="00913CBE" w:rsidRPr="00F56252" w:rsidRDefault="005625DD" w:rsidP="00F56252">
            <w:pPr>
              <w:spacing w:line="360" w:lineRule="auto"/>
              <w:jc w:val="center"/>
              <w:rPr>
                <w:rFonts w:ascii="Times New Roman" w:eastAsia="Times New Roman" w:hAnsi="Times New Roman"/>
                <w:b/>
                <w:bCs/>
                <w:rtl/>
              </w:rPr>
            </w:pPr>
            <w:r w:rsidRPr="00F56252">
              <w:rPr>
                <w:rFonts w:ascii="Times New Roman" w:eastAsia="Times New Roman" w:hAnsi="Times New Roman"/>
                <w:b/>
                <w:bCs/>
                <w:rtl/>
              </w:rPr>
              <w:t>תאופיק</w:t>
            </w:r>
            <w:r w:rsidRPr="00F56252">
              <w:rPr>
                <w:rFonts w:ascii="Times New Roman" w:eastAsia="Times New Roman" w:hAnsi="Times New Roman" w:hint="cs"/>
                <w:b/>
                <w:bCs/>
                <w:rtl/>
              </w:rPr>
              <w:t xml:space="preserve"> </w:t>
            </w:r>
            <w:r w:rsidRPr="00F56252">
              <w:rPr>
                <w:rFonts w:ascii="Times New Roman" w:eastAsia="Times New Roman" w:hAnsi="Times New Roman"/>
                <w:b/>
                <w:bCs/>
                <w:rtl/>
              </w:rPr>
              <w:t>כתילי</w:t>
            </w:r>
            <w:r w:rsidRPr="00F56252">
              <w:rPr>
                <w:rFonts w:ascii="Times New Roman" w:eastAsia="Times New Roman" w:hAnsi="Times New Roman" w:hint="cs"/>
                <w:b/>
                <w:bCs/>
                <w:rtl/>
              </w:rPr>
              <w:t xml:space="preserve">, </w:t>
            </w:r>
            <w:r w:rsidRPr="00F56252">
              <w:rPr>
                <w:rFonts w:ascii="Times New Roman" w:eastAsia="Times New Roman" w:hAnsi="Times New Roman"/>
                <w:b/>
                <w:bCs/>
                <w:rtl/>
              </w:rPr>
              <w:t>נשיא</w:t>
            </w:r>
          </w:p>
        </w:tc>
      </w:tr>
    </w:tbl>
    <w:p w14:paraId="3305C17B" w14:textId="77777777" w:rsidR="00913CBE" w:rsidRDefault="00913CBE">
      <w:pPr>
        <w:spacing w:line="360" w:lineRule="auto"/>
        <w:jc w:val="both"/>
        <w:rPr>
          <w:rtl/>
        </w:rPr>
      </w:pPr>
    </w:p>
    <w:p w14:paraId="7EDC552F" w14:textId="77777777" w:rsidR="00913CBE" w:rsidRDefault="00913CBE">
      <w:pPr>
        <w:spacing w:line="360" w:lineRule="auto"/>
        <w:jc w:val="both"/>
        <w:rPr>
          <w:rtl/>
        </w:rPr>
      </w:pPr>
    </w:p>
    <w:p w14:paraId="65BCF38B" w14:textId="77777777" w:rsidR="00913CBE" w:rsidRDefault="005625DD">
      <w:pPr>
        <w:spacing w:line="360" w:lineRule="auto"/>
        <w:jc w:val="both"/>
        <w:rPr>
          <w:sz w:val="6"/>
          <w:szCs w:val="6"/>
          <w:rtl/>
        </w:rPr>
      </w:pPr>
      <w:r>
        <w:rPr>
          <w:sz w:val="6"/>
          <w:szCs w:val="6"/>
          <w:rtl/>
        </w:rPr>
        <w:t>&lt;#5#&gt;</w:t>
      </w:r>
    </w:p>
    <w:p w14:paraId="1CD804EC" w14:textId="77777777" w:rsidR="00913CBE" w:rsidRDefault="005625DD">
      <w:pPr>
        <w:spacing w:line="360" w:lineRule="auto"/>
        <w:jc w:val="center"/>
        <w:rPr>
          <w:rFonts w:ascii="Arial" w:hAnsi="Arial"/>
          <w:b/>
          <w:bCs/>
          <w:sz w:val="28"/>
          <w:szCs w:val="28"/>
          <w:u w:val="single"/>
          <w:rtl/>
        </w:rPr>
      </w:pPr>
      <w:r>
        <w:rPr>
          <w:rFonts w:ascii="Arial" w:hAnsi="Arial" w:hint="cs"/>
          <w:b/>
          <w:bCs/>
          <w:sz w:val="28"/>
          <w:szCs w:val="28"/>
          <w:u w:val="single"/>
          <w:rtl/>
        </w:rPr>
        <w:lastRenderedPageBreak/>
        <w:t>גזר דין</w:t>
      </w:r>
    </w:p>
    <w:p w14:paraId="26419B04" w14:textId="77777777" w:rsidR="00913CBE" w:rsidRDefault="00913CBE">
      <w:pPr>
        <w:spacing w:line="360" w:lineRule="auto"/>
        <w:jc w:val="both"/>
        <w:rPr>
          <w:rtl/>
        </w:rPr>
      </w:pPr>
    </w:p>
    <w:p w14:paraId="3DE4B4A8" w14:textId="77777777" w:rsidR="00913CBE" w:rsidRDefault="005625DD">
      <w:pPr>
        <w:autoSpaceDE w:val="0"/>
        <w:autoSpaceDN w:val="0"/>
        <w:adjustRightInd w:val="0"/>
        <w:spacing w:line="360" w:lineRule="auto"/>
        <w:jc w:val="both"/>
        <w:rPr>
          <w:b/>
          <w:bCs/>
          <w:rtl/>
        </w:rPr>
      </w:pPr>
      <w:r>
        <w:rPr>
          <w:rFonts w:hint="cs"/>
          <w:b/>
          <w:bCs/>
          <w:rtl/>
        </w:rPr>
        <w:t>הנאשם הורשע על פי הודאתו בעבירות אשר יוחסו לו בכתב האישום</w:t>
      </w:r>
      <w:r>
        <w:rPr>
          <w:b/>
          <w:bCs/>
        </w:rPr>
        <w:t>.</w:t>
      </w:r>
    </w:p>
    <w:p w14:paraId="09F36075" w14:textId="77777777" w:rsidR="00913CBE" w:rsidRDefault="005625DD">
      <w:pPr>
        <w:autoSpaceDE w:val="0"/>
        <w:autoSpaceDN w:val="0"/>
        <w:adjustRightInd w:val="0"/>
        <w:spacing w:line="360" w:lineRule="auto"/>
        <w:jc w:val="both"/>
        <w:rPr>
          <w:b/>
          <w:bCs/>
        </w:rPr>
      </w:pPr>
      <w:r>
        <w:rPr>
          <w:rFonts w:hint="cs"/>
          <w:b/>
          <w:bCs/>
          <w:rtl/>
        </w:rPr>
        <w:t>בהתחשב בהודאת הנאשם,</w:t>
      </w:r>
      <w:r>
        <w:rPr>
          <w:rFonts w:hint="cs"/>
          <w:b/>
          <w:bCs/>
        </w:rPr>
        <w:t xml:space="preserve"> </w:t>
      </w:r>
      <w:r>
        <w:rPr>
          <w:rFonts w:hint="cs"/>
          <w:b/>
          <w:bCs/>
          <w:rtl/>
        </w:rPr>
        <w:t>ובטיעוני שני הצדדים לעונש,</w:t>
      </w:r>
      <w:r>
        <w:rPr>
          <w:rFonts w:hint="cs"/>
          <w:b/>
          <w:bCs/>
        </w:rPr>
        <w:t xml:space="preserve"> </w:t>
      </w:r>
      <w:r>
        <w:rPr>
          <w:rFonts w:hint="cs"/>
          <w:b/>
          <w:bCs/>
          <w:rtl/>
        </w:rPr>
        <w:t>אני דן את הנאשם לעונשים הבאים</w:t>
      </w:r>
      <w:r>
        <w:rPr>
          <w:b/>
          <w:bCs/>
        </w:rPr>
        <w:t>:</w:t>
      </w:r>
    </w:p>
    <w:p w14:paraId="58C830A9" w14:textId="77777777" w:rsidR="00913CBE" w:rsidRDefault="005625DD">
      <w:pPr>
        <w:tabs>
          <w:tab w:val="left" w:pos="8132"/>
        </w:tabs>
        <w:autoSpaceDE w:val="0"/>
        <w:autoSpaceDN w:val="0"/>
        <w:adjustRightInd w:val="0"/>
        <w:spacing w:line="360" w:lineRule="auto"/>
        <w:ind w:left="720" w:hanging="720"/>
        <w:jc w:val="both"/>
        <w:rPr>
          <w:b/>
          <w:bCs/>
          <w:rtl/>
        </w:rPr>
      </w:pPr>
      <w:r>
        <w:rPr>
          <w:rFonts w:hint="cs"/>
          <w:b/>
          <w:bCs/>
          <w:rtl/>
        </w:rPr>
        <w:t>א</w:t>
      </w:r>
      <w:r>
        <w:rPr>
          <w:b/>
          <w:bCs/>
        </w:rPr>
        <w:t>.</w:t>
      </w:r>
      <w:r>
        <w:rPr>
          <w:b/>
          <w:bCs/>
        </w:rPr>
        <w:tab/>
      </w:r>
      <w:r>
        <w:rPr>
          <w:rFonts w:hint="cs"/>
          <w:b/>
          <w:bCs/>
          <w:rtl/>
        </w:rPr>
        <w:t>אני דן את הנאשם לתשלום קנס בסך 5,000 ₪, או  50 ימי מאסר שישא הנאשם בנוסף לכל מאסר אחר שהוטל עליו</w:t>
      </w:r>
      <w:r>
        <w:rPr>
          <w:b/>
          <w:bCs/>
        </w:rPr>
        <w:t>.</w:t>
      </w:r>
    </w:p>
    <w:p w14:paraId="12FF9A2A" w14:textId="77777777" w:rsidR="00913CBE" w:rsidRDefault="005625DD">
      <w:pPr>
        <w:pStyle w:val="BodyTextIndent"/>
        <w:spacing w:after="0" w:line="360" w:lineRule="auto"/>
        <w:ind w:left="720"/>
        <w:jc w:val="both"/>
        <w:rPr>
          <w:rFonts w:cs="David"/>
          <w:b/>
          <w:bCs/>
        </w:rPr>
      </w:pPr>
      <w:r>
        <w:rPr>
          <w:rFonts w:cs="David" w:hint="cs"/>
          <w:b/>
          <w:bCs/>
          <w:rtl/>
        </w:rPr>
        <w:t>הקנס ישולם בעשרה שיעורים חודשיים שווים ורצופים, וזאת החל מיום 1/1/09 עד התשלום המלא בפועל.</w:t>
      </w:r>
    </w:p>
    <w:p w14:paraId="72C9FDC5" w14:textId="77777777" w:rsidR="00913CBE" w:rsidRDefault="005625DD">
      <w:pPr>
        <w:pStyle w:val="BodyTextIndent"/>
        <w:spacing w:after="0" w:line="360" w:lineRule="auto"/>
        <w:ind w:left="720"/>
        <w:jc w:val="both"/>
        <w:rPr>
          <w:rFonts w:cs="David"/>
          <w:b/>
          <w:bCs/>
          <w:rtl/>
        </w:rPr>
      </w:pPr>
      <w:r>
        <w:rPr>
          <w:rFonts w:cs="David" w:hint="cs"/>
          <w:b/>
          <w:bCs/>
          <w:rtl/>
        </w:rPr>
        <w:t xml:space="preserve">במידה והנאשם יפגר בתשלום כלשהוא, תעמוד היתרה הבלתי מסולקת לפרעון מיידי וייאסר למשך התקופה המוזכרת לעיל.  </w:t>
      </w:r>
    </w:p>
    <w:p w14:paraId="4A195777" w14:textId="77777777" w:rsidR="00913CBE" w:rsidRDefault="005625DD">
      <w:pPr>
        <w:autoSpaceDE w:val="0"/>
        <w:autoSpaceDN w:val="0"/>
        <w:adjustRightInd w:val="0"/>
        <w:spacing w:line="360" w:lineRule="auto"/>
        <w:ind w:firstLine="720"/>
        <w:jc w:val="both"/>
        <w:rPr>
          <w:b/>
          <w:bCs/>
          <w:rtl/>
        </w:rPr>
      </w:pPr>
      <w:r>
        <w:rPr>
          <w:rFonts w:hint="cs"/>
          <w:b/>
          <w:bCs/>
          <w:rtl/>
        </w:rPr>
        <w:t>במידה וקיים פקדון</w:t>
      </w:r>
      <w:r>
        <w:rPr>
          <w:b/>
          <w:bCs/>
        </w:rPr>
        <w:t xml:space="preserve">, </w:t>
      </w:r>
      <w:r>
        <w:rPr>
          <w:rFonts w:hint="cs"/>
          <w:b/>
          <w:bCs/>
          <w:rtl/>
        </w:rPr>
        <w:t>הקנס יקוזז מהפיקדון</w:t>
      </w:r>
      <w:r>
        <w:rPr>
          <w:b/>
          <w:bCs/>
        </w:rPr>
        <w:t xml:space="preserve">. </w:t>
      </w:r>
    </w:p>
    <w:p w14:paraId="493D5575" w14:textId="77777777" w:rsidR="00913CBE" w:rsidRDefault="005625DD">
      <w:pPr>
        <w:spacing w:line="360" w:lineRule="auto"/>
        <w:ind w:left="720" w:hanging="720"/>
        <w:jc w:val="both"/>
        <w:rPr>
          <w:b/>
          <w:bCs/>
          <w:rtl/>
          <w:lang w:eastAsia="he-IL"/>
        </w:rPr>
      </w:pPr>
      <w:r>
        <w:rPr>
          <w:rFonts w:hint="cs"/>
          <w:b/>
          <w:bCs/>
          <w:rtl/>
        </w:rPr>
        <w:t>ב.</w:t>
      </w:r>
      <w:r>
        <w:rPr>
          <w:rFonts w:hint="cs"/>
          <w:b/>
          <w:bCs/>
          <w:rtl/>
        </w:rPr>
        <w:tab/>
        <w:t xml:space="preserve">אני מעמיד את הנאשם במבחן שירות המבחן למשך 18 חודשים, שירות המבחן יעדכן את בית המשפט אחת לשישה חודשים על התקדמות ההליך הטיפולי של הנאשם. </w:t>
      </w:r>
    </w:p>
    <w:p w14:paraId="5104528D" w14:textId="77777777" w:rsidR="00913CBE" w:rsidRDefault="005625DD">
      <w:pPr>
        <w:spacing w:line="360" w:lineRule="auto"/>
        <w:ind w:left="720" w:hanging="720"/>
        <w:jc w:val="both"/>
        <w:rPr>
          <w:b/>
          <w:bCs/>
          <w:rtl/>
        </w:rPr>
      </w:pPr>
      <w:r>
        <w:rPr>
          <w:rFonts w:hint="cs"/>
          <w:b/>
          <w:bCs/>
          <w:rtl/>
        </w:rPr>
        <w:t>ג.</w:t>
      </w:r>
      <w:r>
        <w:rPr>
          <w:rFonts w:hint="cs"/>
          <w:b/>
          <w:bCs/>
          <w:rtl/>
        </w:rPr>
        <w:tab/>
        <w:t>אני מחייב את הנאשם לפצות את המתלוננת בסך של 5,000 ₪. הפיצוי ישולם לקופת בית המשפט תוך 90 יום מהיום לזכות המתלוננת, שאם לא כן ישא סכום זה הפרשי הצמדה וריבית מהיום ועד התשלום המלא בפועל.</w:t>
      </w:r>
    </w:p>
    <w:p w14:paraId="2DDFDE64" w14:textId="77777777" w:rsidR="00913CBE" w:rsidRDefault="005625DD">
      <w:pPr>
        <w:autoSpaceDE w:val="0"/>
        <w:autoSpaceDN w:val="0"/>
        <w:adjustRightInd w:val="0"/>
        <w:spacing w:line="360" w:lineRule="auto"/>
        <w:ind w:left="720" w:hanging="720"/>
        <w:jc w:val="both"/>
        <w:rPr>
          <w:b/>
          <w:bCs/>
          <w:rtl/>
        </w:rPr>
      </w:pPr>
      <w:r>
        <w:rPr>
          <w:rFonts w:hint="cs"/>
          <w:b/>
          <w:bCs/>
          <w:rtl/>
        </w:rPr>
        <w:t>ד</w:t>
      </w:r>
      <w:r>
        <w:rPr>
          <w:b/>
          <w:bCs/>
        </w:rPr>
        <w:t>.</w:t>
      </w:r>
      <w:r>
        <w:rPr>
          <w:b/>
          <w:bCs/>
        </w:rPr>
        <w:tab/>
      </w:r>
      <w:r>
        <w:rPr>
          <w:rFonts w:hint="cs"/>
          <w:b/>
          <w:bCs/>
          <w:rtl/>
        </w:rPr>
        <w:t>אני מטיל על הנאשם מאסר לתקופה של 12 חודשים וזאת על תנאי למשך שנתיים,</w:t>
      </w:r>
      <w:r>
        <w:rPr>
          <w:rFonts w:hint="cs"/>
          <w:b/>
          <w:bCs/>
        </w:rPr>
        <w:t xml:space="preserve"> </w:t>
      </w:r>
      <w:r>
        <w:rPr>
          <w:rFonts w:hint="cs"/>
          <w:b/>
          <w:bCs/>
          <w:rtl/>
        </w:rPr>
        <w:t>והתנאי שלא יעבור ויורשע על כל אחת מהעבירות בהן  הורשע בכתב אישום זה.</w:t>
      </w:r>
    </w:p>
    <w:p w14:paraId="00635CC7" w14:textId="77777777" w:rsidR="00913CBE" w:rsidRDefault="005625DD">
      <w:pPr>
        <w:spacing w:line="360" w:lineRule="auto"/>
        <w:jc w:val="both"/>
        <w:rPr>
          <w:b/>
          <w:bCs/>
          <w:u w:val="single"/>
          <w:lang w:eastAsia="he-IL"/>
        </w:rPr>
      </w:pPr>
      <w:r>
        <w:rPr>
          <w:rFonts w:hint="cs"/>
          <w:b/>
          <w:bCs/>
          <w:u w:val="single"/>
          <w:rtl/>
        </w:rPr>
        <w:t>זכות ערעור תוך 45 יום מהיום בבית משפט המחוזי בנצרת</w:t>
      </w:r>
      <w:r>
        <w:rPr>
          <w:b/>
          <w:bCs/>
          <w:u w:val="single"/>
        </w:rPr>
        <w:t>.</w:t>
      </w:r>
      <w:bookmarkStart w:id="8" w:name="Hachlata17"/>
      <w:bookmarkStart w:id="9" w:name="Hachlata9"/>
      <w:bookmarkEnd w:id="8"/>
      <w:bookmarkEnd w:id="9"/>
    </w:p>
    <w:p w14:paraId="7EEAE57A" w14:textId="77777777" w:rsidR="00913CBE" w:rsidRDefault="005625DD">
      <w:pPr>
        <w:spacing w:line="360" w:lineRule="auto"/>
        <w:jc w:val="both"/>
        <w:rPr>
          <w:b/>
          <w:bCs/>
          <w:sz w:val="6"/>
          <w:szCs w:val="6"/>
          <w:lang w:eastAsia="he-IL"/>
        </w:rPr>
      </w:pPr>
      <w:r>
        <w:rPr>
          <w:b/>
          <w:bCs/>
          <w:sz w:val="6"/>
          <w:szCs w:val="6"/>
          <w:rtl/>
          <w:lang w:eastAsia="he-IL"/>
        </w:rPr>
        <w:t>&lt;#6#&gt;</w:t>
      </w:r>
    </w:p>
    <w:p w14:paraId="14727974" w14:textId="77777777" w:rsidR="005625DD" w:rsidRPr="005625DD" w:rsidRDefault="005625DD">
      <w:pPr>
        <w:jc w:val="right"/>
        <w:rPr>
          <w:color w:val="FFFFFF"/>
          <w:sz w:val="2"/>
          <w:szCs w:val="2"/>
          <w:rtl/>
        </w:rPr>
      </w:pPr>
    </w:p>
    <w:p w14:paraId="06AA09DF" w14:textId="77777777" w:rsidR="005625DD" w:rsidRPr="005625DD" w:rsidRDefault="005625DD">
      <w:pPr>
        <w:jc w:val="right"/>
        <w:rPr>
          <w:color w:val="FFFFFF"/>
          <w:sz w:val="2"/>
          <w:szCs w:val="2"/>
          <w:rtl/>
        </w:rPr>
      </w:pPr>
      <w:r w:rsidRPr="005625DD">
        <w:rPr>
          <w:color w:val="FFFFFF"/>
          <w:sz w:val="2"/>
          <w:szCs w:val="2"/>
          <w:rtl/>
        </w:rPr>
        <w:t>5129371</w:t>
      </w:r>
    </w:p>
    <w:p w14:paraId="4449625D" w14:textId="77777777" w:rsidR="005625DD" w:rsidRDefault="005625DD">
      <w:pPr>
        <w:jc w:val="right"/>
        <w:rPr>
          <w:color w:val="FFFFFF"/>
          <w:sz w:val="2"/>
          <w:szCs w:val="2"/>
          <w:rtl/>
        </w:rPr>
      </w:pPr>
    </w:p>
    <w:p w14:paraId="4E4F6605" w14:textId="77777777" w:rsidR="005625DD" w:rsidRPr="005625DD" w:rsidRDefault="005625DD" w:rsidP="005625DD">
      <w:pPr>
        <w:keepNext/>
        <w:rPr>
          <w:color w:val="000000"/>
          <w:sz w:val="22"/>
          <w:szCs w:val="22"/>
          <w:rtl/>
        </w:rPr>
      </w:pPr>
    </w:p>
    <w:p w14:paraId="5709BEA8" w14:textId="77777777" w:rsidR="005625DD" w:rsidRPr="005625DD" w:rsidRDefault="005625DD" w:rsidP="005625DD">
      <w:pPr>
        <w:keepNext/>
        <w:rPr>
          <w:color w:val="000000"/>
          <w:sz w:val="22"/>
          <w:szCs w:val="22"/>
          <w:rtl/>
        </w:rPr>
      </w:pPr>
      <w:r w:rsidRPr="005625DD">
        <w:rPr>
          <w:color w:val="000000"/>
          <w:sz w:val="22"/>
          <w:szCs w:val="22"/>
          <w:rtl/>
        </w:rPr>
        <w:t>תאופיק כתילי 54678313</w:t>
      </w:r>
    </w:p>
    <w:p w14:paraId="2BE42200" w14:textId="77777777" w:rsidR="00913CBE" w:rsidRDefault="005625DD">
      <w:pPr>
        <w:jc w:val="right"/>
        <w:rPr>
          <w:rtl/>
        </w:rPr>
      </w:pPr>
      <w:r w:rsidRPr="005625DD">
        <w:rPr>
          <w:color w:val="FFFFFF"/>
          <w:sz w:val="2"/>
          <w:szCs w:val="2"/>
          <w:rtl/>
        </w:rPr>
        <w:t>54678313</w:t>
      </w:r>
    </w:p>
    <w:p w14:paraId="69F93436" w14:textId="77777777" w:rsidR="00913CBE" w:rsidRDefault="005625DD">
      <w:pPr>
        <w:spacing w:line="360" w:lineRule="auto"/>
        <w:jc w:val="both"/>
        <w:rPr>
          <w:rtl/>
        </w:rPr>
      </w:pPr>
      <w:r>
        <w:rPr>
          <w:b/>
          <w:bCs/>
          <w:rtl/>
        </w:rPr>
        <w:t xml:space="preserve">ניתנה והודעה היום כ"ט חשון תשס"ט, 27/11/2008 במעמד הנוכחים.  </w:t>
      </w:r>
    </w:p>
    <w:tbl>
      <w:tblPr>
        <w:bidiVisual/>
        <w:tblW w:w="0" w:type="auto"/>
        <w:tblInd w:w="3914" w:type="dxa"/>
        <w:tblLook w:val="01E0" w:firstRow="1" w:lastRow="1" w:firstColumn="1" w:lastColumn="1" w:noHBand="0" w:noVBand="0"/>
      </w:tblPr>
      <w:tblGrid>
        <w:gridCol w:w="4608"/>
      </w:tblGrid>
      <w:tr w:rsidR="00913CBE" w14:paraId="0D8D0D24" w14:textId="77777777">
        <w:tc>
          <w:tcPr>
            <w:tcW w:w="4608" w:type="dxa"/>
            <w:tcBorders>
              <w:bottom w:val="single" w:sz="4" w:space="0" w:color="auto"/>
            </w:tcBorders>
            <w:shd w:val="clear" w:color="auto" w:fill="auto"/>
          </w:tcPr>
          <w:p w14:paraId="1854F022" w14:textId="77777777" w:rsidR="00913CBE" w:rsidRPr="00F56252" w:rsidRDefault="005625DD" w:rsidP="00F56252">
            <w:pPr>
              <w:spacing w:line="360" w:lineRule="auto"/>
              <w:jc w:val="center"/>
              <w:rPr>
                <w:rFonts w:ascii="Times New Roman" w:eastAsia="Times New Roman" w:hAnsi="Times New Roman" w:cs="FrankRuehl"/>
                <w:rtl/>
              </w:rPr>
            </w:pPr>
            <w:r w:rsidRPr="00F56252">
              <w:rPr>
                <w:rFonts w:ascii="Times New Roman" w:eastAsia="Times New Roman" w:hAnsi="Times New Roman" w:cs="Times New Roman"/>
              </w:rPr>
              <w:t xml:space="preserve"> </w:t>
            </w:r>
          </w:p>
        </w:tc>
      </w:tr>
      <w:tr w:rsidR="00913CBE" w14:paraId="18275713" w14:textId="77777777">
        <w:trPr>
          <w:cantSplit/>
        </w:trPr>
        <w:tc>
          <w:tcPr>
            <w:tcW w:w="4608" w:type="dxa"/>
            <w:tcBorders>
              <w:top w:val="single" w:sz="4" w:space="0" w:color="auto"/>
            </w:tcBorders>
            <w:shd w:val="clear" w:color="auto" w:fill="auto"/>
            <w:vAlign w:val="center"/>
          </w:tcPr>
          <w:p w14:paraId="773DC7CF" w14:textId="77777777" w:rsidR="00913CBE" w:rsidRPr="00F56252" w:rsidRDefault="005625DD" w:rsidP="00F56252">
            <w:pPr>
              <w:spacing w:line="360" w:lineRule="auto"/>
              <w:jc w:val="center"/>
              <w:rPr>
                <w:rFonts w:ascii="Times New Roman" w:eastAsia="Times New Roman" w:hAnsi="Times New Roman"/>
                <w:b/>
                <w:bCs/>
                <w:rtl/>
              </w:rPr>
            </w:pPr>
            <w:r w:rsidRPr="00F56252">
              <w:rPr>
                <w:rFonts w:ascii="Times New Roman" w:eastAsia="Times New Roman" w:hAnsi="Times New Roman"/>
                <w:b/>
                <w:bCs/>
                <w:rtl/>
              </w:rPr>
              <w:t>תאופיק</w:t>
            </w:r>
            <w:r w:rsidRPr="00F56252">
              <w:rPr>
                <w:rFonts w:ascii="Times New Roman" w:eastAsia="Times New Roman" w:hAnsi="Times New Roman" w:hint="cs"/>
                <w:b/>
                <w:bCs/>
                <w:rtl/>
              </w:rPr>
              <w:t xml:space="preserve"> </w:t>
            </w:r>
            <w:r w:rsidRPr="00F56252">
              <w:rPr>
                <w:rFonts w:ascii="Times New Roman" w:eastAsia="Times New Roman" w:hAnsi="Times New Roman"/>
                <w:b/>
                <w:bCs/>
                <w:rtl/>
              </w:rPr>
              <w:t>כתילי</w:t>
            </w:r>
            <w:r w:rsidRPr="00F56252">
              <w:rPr>
                <w:rFonts w:ascii="Times New Roman" w:eastAsia="Times New Roman" w:hAnsi="Times New Roman" w:hint="cs"/>
                <w:b/>
                <w:bCs/>
                <w:rtl/>
              </w:rPr>
              <w:t xml:space="preserve">, </w:t>
            </w:r>
            <w:r w:rsidRPr="00F56252">
              <w:rPr>
                <w:rFonts w:ascii="Times New Roman" w:eastAsia="Times New Roman" w:hAnsi="Times New Roman"/>
                <w:b/>
                <w:bCs/>
                <w:rtl/>
              </w:rPr>
              <w:t>נשיא</w:t>
            </w:r>
          </w:p>
        </w:tc>
      </w:tr>
    </w:tbl>
    <w:p w14:paraId="38442595" w14:textId="77777777" w:rsidR="00913CBE" w:rsidRDefault="00913CBE">
      <w:pPr>
        <w:spacing w:line="360" w:lineRule="auto"/>
        <w:jc w:val="both"/>
        <w:rPr>
          <w:rtl/>
        </w:rPr>
      </w:pPr>
    </w:p>
    <w:p w14:paraId="29628904" w14:textId="77777777" w:rsidR="005625DD" w:rsidRPr="005625DD" w:rsidRDefault="005625DD" w:rsidP="005625DD">
      <w:pPr>
        <w:rPr>
          <w:rFonts w:ascii="Arial" w:hAnsi="Arial" w:cs="FrankRuehl"/>
          <w:color w:val="000000"/>
          <w:sz w:val="28"/>
          <w:szCs w:val="28"/>
          <w:rtl/>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יבגניה דורין-מלמוד</w:t>
      </w:r>
    </w:p>
    <w:p w14:paraId="442F27A8" w14:textId="77777777" w:rsidR="00913CBE" w:rsidRDefault="005625DD" w:rsidP="005625DD">
      <w:pPr>
        <w:rPr>
          <w:rFonts w:cs="FrankRuehl"/>
          <w:sz w:val="28"/>
          <w:szCs w:val="28"/>
        </w:rPr>
      </w:pPr>
      <w:r w:rsidRPr="005625DD">
        <w:rPr>
          <w:rFonts w:cs="FrankRuehl"/>
          <w:color w:val="000000"/>
          <w:sz w:val="28"/>
          <w:szCs w:val="28"/>
          <w:rtl/>
        </w:rPr>
        <w:t>נוסח מסמך זה כפוף לשינויי ניסוח ועריכה</w:t>
      </w:r>
    </w:p>
    <w:sectPr w:rsidR="00913CBE" w:rsidSect="005625DD">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2136" w14:textId="77777777" w:rsidR="00CC0B59" w:rsidRDefault="00CC0B59">
      <w:r>
        <w:separator/>
      </w:r>
    </w:p>
  </w:endnote>
  <w:endnote w:type="continuationSeparator" w:id="0">
    <w:p w14:paraId="1516FBA2" w14:textId="77777777" w:rsidR="00CC0B59" w:rsidRDefault="00CC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67BB" w14:textId="77777777" w:rsidR="00BC26B7" w:rsidRDefault="00BC26B7" w:rsidP="005625D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5563381D" w14:textId="77777777" w:rsidR="00BC26B7" w:rsidRDefault="00BC26B7" w:rsidP="005625DD">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A6C9FCD" w14:textId="77777777" w:rsidR="00BC26B7" w:rsidRPr="005625DD" w:rsidRDefault="00BC26B7" w:rsidP="005625DD">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Y:\2008 - final\xml\2008-11\2008-11-27 - 2656 files - Shay\1\OutDoc-Ragil\00ba9d7844764f4a0300000094b92aa3.xml</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5EFA" w14:textId="77777777" w:rsidR="00BC26B7" w:rsidRDefault="00BC26B7" w:rsidP="005625D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39CA">
      <w:rPr>
        <w:rFonts w:ascii="FrankRuehl" w:hAnsi="FrankRuehl" w:cs="FrankRuehl"/>
        <w:noProof/>
        <w:rtl/>
      </w:rPr>
      <w:t>1</w:t>
    </w:r>
    <w:r>
      <w:rPr>
        <w:rFonts w:ascii="FrankRuehl" w:hAnsi="FrankRuehl" w:cs="FrankRuehl"/>
        <w:rtl/>
      </w:rPr>
      <w:fldChar w:fldCharType="end"/>
    </w:r>
  </w:p>
  <w:p w14:paraId="22C88978" w14:textId="77777777" w:rsidR="00BC26B7" w:rsidRDefault="00BC26B7" w:rsidP="005625DD">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24E829C" w14:textId="77777777" w:rsidR="00BC26B7" w:rsidRPr="005625DD" w:rsidRDefault="00BC26B7" w:rsidP="005625DD">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Y:\2008 - final\xml\2008-11\2008-11-27 - 2656 files - Shay\1\OutDoc-Ragil\00ba9d7844764f4a0300000094b92aa3.xml</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43A0" w14:textId="77777777" w:rsidR="00CC0B59" w:rsidRDefault="00CC0B59">
      <w:r>
        <w:separator/>
      </w:r>
    </w:p>
  </w:footnote>
  <w:footnote w:type="continuationSeparator" w:id="0">
    <w:p w14:paraId="1CB7600E" w14:textId="77777777" w:rsidR="00CC0B59" w:rsidRDefault="00CC0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C77F" w14:textId="77777777" w:rsidR="00BC26B7" w:rsidRPr="005625DD" w:rsidRDefault="00BC26B7" w:rsidP="005625D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2386-07</w:t>
    </w:r>
    <w:r>
      <w:rPr>
        <w:color w:val="000000"/>
        <w:sz w:val="22"/>
        <w:szCs w:val="22"/>
        <w:rtl/>
      </w:rPr>
      <w:tab/>
      <w:t xml:space="preserve"> מ.י. פרקליטות מחוז הצפון-פלילי נ' ראמי זהר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7329" w14:textId="77777777" w:rsidR="00BC26B7" w:rsidRPr="005625DD" w:rsidRDefault="00BC26B7" w:rsidP="005625D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2386-07</w:t>
    </w:r>
    <w:r>
      <w:rPr>
        <w:color w:val="000000"/>
        <w:sz w:val="22"/>
        <w:szCs w:val="22"/>
        <w:rtl/>
      </w:rPr>
      <w:tab/>
      <w:t xml:space="preserve"> מ.י. פרקליטות מחוז הצפון-פלילי נ' ראמי זהר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8205B84"/>
    <w:multiLevelType w:val="hybridMultilevel"/>
    <w:tmpl w:val="100E3AF6"/>
    <w:lvl w:ilvl="0" w:tplc="9850C24A">
      <w:start w:val="1"/>
      <w:numFmt w:val="decimal"/>
      <w:lvlText w:val="%1."/>
      <w:lvlJc w:val="left"/>
      <w:pPr>
        <w:tabs>
          <w:tab w:val="num" w:pos="566"/>
        </w:tabs>
        <w:ind w:left="566" w:right="566" w:hanging="360"/>
      </w:pPr>
    </w:lvl>
    <w:lvl w:ilvl="1" w:tplc="040D0013">
      <w:start w:val="1"/>
      <w:numFmt w:val="hebrew1"/>
      <w:lvlText w:val="%2."/>
      <w:lvlJc w:val="center"/>
      <w:pPr>
        <w:tabs>
          <w:tab w:val="num" w:pos="1286"/>
        </w:tabs>
        <w:ind w:left="1286" w:right="1286" w:hanging="360"/>
      </w:pPr>
    </w:lvl>
    <w:lvl w:ilvl="2" w:tplc="494A2022">
      <w:start w:val="1"/>
      <w:numFmt w:val="hebrew1"/>
      <w:lvlText w:val="%3."/>
      <w:lvlJc w:val="left"/>
      <w:pPr>
        <w:tabs>
          <w:tab w:val="num" w:pos="2186"/>
        </w:tabs>
        <w:ind w:left="2186" w:right="2186" w:hanging="360"/>
      </w:pPr>
    </w:lvl>
    <w:lvl w:ilvl="3" w:tplc="040D000F">
      <w:start w:val="1"/>
      <w:numFmt w:val="decimal"/>
      <w:lvlText w:val="%4."/>
      <w:lvlJc w:val="left"/>
      <w:pPr>
        <w:tabs>
          <w:tab w:val="num" w:pos="2726"/>
        </w:tabs>
        <w:ind w:left="2726" w:right="2726"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72084157">
    <w:abstractNumId w:val="14"/>
  </w:num>
  <w:num w:numId="2" w16cid:durableId="1527594622">
    <w:abstractNumId w:val="5"/>
  </w:num>
  <w:num w:numId="3" w16cid:durableId="1000305049">
    <w:abstractNumId w:val="12"/>
  </w:num>
  <w:num w:numId="4" w16cid:durableId="1409116904">
    <w:abstractNumId w:val="11"/>
  </w:num>
  <w:num w:numId="5" w16cid:durableId="349844655">
    <w:abstractNumId w:val="4"/>
  </w:num>
  <w:num w:numId="6" w16cid:durableId="1385565898">
    <w:abstractNumId w:val="6"/>
  </w:num>
  <w:num w:numId="7" w16cid:durableId="2081782407">
    <w:abstractNumId w:val="17"/>
  </w:num>
  <w:num w:numId="8" w16cid:durableId="1403601255">
    <w:abstractNumId w:val="0"/>
  </w:num>
  <w:num w:numId="9" w16cid:durableId="1054475087">
    <w:abstractNumId w:val="10"/>
  </w:num>
  <w:num w:numId="10" w16cid:durableId="438063245">
    <w:abstractNumId w:val="8"/>
  </w:num>
  <w:num w:numId="11" w16cid:durableId="23486384">
    <w:abstractNumId w:val="3"/>
  </w:num>
  <w:num w:numId="12" w16cid:durableId="577984598">
    <w:abstractNumId w:val="16"/>
  </w:num>
  <w:num w:numId="13" w16cid:durableId="763692373">
    <w:abstractNumId w:val="9"/>
  </w:num>
  <w:num w:numId="14" w16cid:durableId="714349142">
    <w:abstractNumId w:val="2"/>
  </w:num>
  <w:num w:numId="15" w16cid:durableId="6489230">
    <w:abstractNumId w:val="13"/>
  </w:num>
  <w:num w:numId="16" w16cid:durableId="1619531155">
    <w:abstractNumId w:val="1"/>
  </w:num>
  <w:num w:numId="17" w16cid:durableId="1471480388">
    <w:abstractNumId w:val="7"/>
  </w:num>
  <w:num w:numId="18" w16cid:durableId="4676756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386-07"/>
    <w:docVar w:name="caseId" w:val="1974922"/>
    <w:docVar w:name="deriveClass" w:val="NGCS.Protocol.BL.Client.ProtocolBLClientCriminal"/>
    <w:docVar w:name="firstPageNumber" w:val="5"/>
    <w:docVar w:name="MyInfo" w:val="This document was extracted from Nevo's site"/>
    <w:docVar w:name="NGCS.isReservedAddressPlace" w:val="0"/>
    <w:docVar w:name="NGCS.isReservedVoucherPlace" w:val="0"/>
    <w:docVar w:name="NGCS.TemplateCategoryID" w:val="14"/>
    <w:docVar w:name="privellegeId" w:val="1"/>
    <w:docVar w:name="protocolId" w:val="174885"/>
    <w:docVar w:name="releaseSign" w:val="0"/>
    <w:docVar w:name="sittingDateTime" w:val="27/11/2008 12:00     "/>
    <w:docVar w:name="sittingId" w:val="12230008"/>
    <w:docVar w:name="sittingTypeId" w:val="2"/>
    <w:docVar w:name="WordClientAssemblyName" w:val="NGCS.Protocol.BL.Client"/>
  </w:docVars>
  <w:rsids>
    <w:rsidRoot w:val="00913CBE"/>
    <w:rsid w:val="00383223"/>
    <w:rsid w:val="004C6D8F"/>
    <w:rsid w:val="005625DD"/>
    <w:rsid w:val="006D39CA"/>
    <w:rsid w:val="00913CBE"/>
    <w:rsid w:val="009553E3"/>
    <w:rsid w:val="00BC26B7"/>
    <w:rsid w:val="00C42704"/>
    <w:rsid w:val="00CC0B59"/>
    <w:rsid w:val="00D83AF0"/>
    <w:rsid w:val="00E10A43"/>
    <w:rsid w:val="00F56252"/>
    <w:rsid w:val="00F679CB"/>
    <w:rsid w:val="00FA792C"/>
  </w:rsids>
  <m:mathPr>
    <m:mathFont m:val="Cambria Math"/>
    <m:brkBin m:val="before"/>
    <m:brkBinSub m:val="--"/>
    <m:smallFrac m:val="0"/>
    <m:dispDef/>
    <m:lMargin m:val="0"/>
    <m:rMargin m:val="0"/>
    <m:defJc m:val="centerGroup"/>
    <m:wrapIndent m:val="1440"/>
    <m:intLim m:val="subSup"/>
    <m:naryLim m:val="undOvr"/>
  </m:mathPr>
  <w:attachedSchema w:val="http://tempuri.org/Events.xsd"/>
  <w:attachedSchema w:val="NGCS.MergeFields.Schema"/>
  <w:attachedSchema w:val="http://schemas.microsoft.com/InformationBridge/2004"/>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A9FD46"/>
  <w15:chartTrackingRefBased/>
  <w15:docId w15:val="{E5F0F82D-FEA6-4908-A8C4-0857CEA6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CBE"/>
    <w:pPr>
      <w:bidi/>
    </w:pPr>
    <w:rPr>
      <w:sz w:val="24"/>
      <w:szCs w:val="24"/>
    </w:rPr>
  </w:style>
  <w:style w:type="paragraph" w:styleId="Heading1">
    <w:name w:val="heading 1"/>
    <w:basedOn w:val="Normal"/>
    <w:next w:val="Normal"/>
    <w:qFormat/>
    <w:rsid w:val="00913CBE"/>
    <w:pPr>
      <w:keepNext/>
      <w:spacing w:before="240" w:after="60"/>
      <w:outlineLvl w:val="0"/>
    </w:pPr>
    <w:rPr>
      <w:rFonts w:ascii="Arial" w:hAnsi="Arial"/>
      <w:b/>
      <w:bCs/>
      <w:kern w:val="32"/>
      <w:sz w:val="32"/>
      <w:szCs w:val="32"/>
    </w:rPr>
  </w:style>
  <w:style w:type="paragraph" w:styleId="Heading2">
    <w:name w:val="heading 2"/>
    <w:basedOn w:val="Normal"/>
    <w:next w:val="Normal"/>
    <w:qFormat/>
    <w:rsid w:val="00913CBE"/>
    <w:pPr>
      <w:keepNext/>
      <w:spacing w:before="240" w:after="60"/>
      <w:outlineLvl w:val="1"/>
    </w:pPr>
    <w:rPr>
      <w:b/>
      <w:bCs/>
      <w:i/>
      <w:iCs/>
    </w:rPr>
  </w:style>
  <w:style w:type="paragraph" w:styleId="Heading3">
    <w:name w:val="heading 3"/>
    <w:basedOn w:val="Normal"/>
    <w:next w:val="Normal"/>
    <w:qFormat/>
    <w:rsid w:val="00913CBE"/>
    <w:pPr>
      <w:keepNext/>
      <w:spacing w:before="240" w:after="6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3CBE"/>
    <w:pPr>
      <w:tabs>
        <w:tab w:val="center" w:pos="4153"/>
        <w:tab w:val="right" w:pos="8306"/>
      </w:tabs>
    </w:pPr>
  </w:style>
  <w:style w:type="paragraph" w:styleId="Footer">
    <w:name w:val="footer"/>
    <w:basedOn w:val="Normal"/>
    <w:rsid w:val="00913CBE"/>
    <w:pPr>
      <w:tabs>
        <w:tab w:val="center" w:pos="4153"/>
        <w:tab w:val="right" w:pos="8306"/>
      </w:tabs>
    </w:pPr>
  </w:style>
  <w:style w:type="table" w:styleId="TableGrid">
    <w:name w:val="Table Grid"/>
    <w:basedOn w:val="TableNormal"/>
    <w:rsid w:val="00913CB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913CBE"/>
    <w:rPr>
      <w:rFonts w:ascii="Times New Roman" w:eastAsia="Times New Roman" w:hAnsi="Times New Roman" w:cs="Times New Roman"/>
      <w:sz w:val="20"/>
      <w:szCs w:val="20"/>
    </w:rPr>
  </w:style>
  <w:style w:type="character" w:styleId="CommentReference">
    <w:name w:val="annotation reference"/>
    <w:semiHidden/>
    <w:rsid w:val="00913CBE"/>
    <w:rPr>
      <w:sz w:val="16"/>
      <w:szCs w:val="16"/>
    </w:rPr>
  </w:style>
  <w:style w:type="paragraph" w:styleId="BalloonText">
    <w:name w:val="Balloon Text"/>
    <w:basedOn w:val="Normal"/>
    <w:semiHidden/>
    <w:rsid w:val="00913CBE"/>
    <w:rPr>
      <w:rFonts w:ascii="Tahoma" w:hAnsi="Tahoma" w:cs="Tahoma"/>
      <w:sz w:val="16"/>
      <w:szCs w:val="16"/>
    </w:rPr>
  </w:style>
  <w:style w:type="character" w:styleId="PageNumber">
    <w:name w:val="page number"/>
    <w:basedOn w:val="DefaultParagraphFont"/>
    <w:rsid w:val="00913CBE"/>
  </w:style>
  <w:style w:type="character" w:styleId="LineNumber">
    <w:name w:val="line number"/>
    <w:rsid w:val="00913CBE"/>
    <w:rPr>
      <w:rFonts w:cs="Arial"/>
      <w:szCs w:val="20"/>
    </w:rPr>
  </w:style>
  <w:style w:type="paragraph" w:customStyle="1" w:styleId="12">
    <w:name w:val="רגיל + ‏12 נק'"/>
    <w:aliases w:val="מיושר לשני הצדדים,מרווח בין שורות:  שורה וחצי"/>
    <w:basedOn w:val="Normal"/>
    <w:rsid w:val="00913CBE"/>
    <w:rPr>
      <w:rFonts w:ascii="Times New Roman" w:eastAsia="Times New Roman" w:hAnsi="Times New Roman"/>
      <w:b/>
      <w:bCs/>
      <w:u w:val="single"/>
    </w:rPr>
  </w:style>
  <w:style w:type="paragraph" w:customStyle="1" w:styleId="a">
    <w:name w:val="שמות"/>
    <w:basedOn w:val="Normal"/>
    <w:rsid w:val="00913CBE"/>
    <w:pPr>
      <w:suppressLineNumbers/>
      <w:snapToGrid w:val="0"/>
      <w:spacing w:line="360" w:lineRule="auto"/>
      <w:jc w:val="both"/>
    </w:pPr>
    <w:rPr>
      <w:rFonts w:ascii="Times New Roman" w:eastAsia="Times New Roman" w:hAnsi="Times New Roman"/>
      <w:b/>
      <w:bCs/>
      <w:sz w:val="22"/>
      <w:lang w:eastAsia="he-IL"/>
    </w:rPr>
  </w:style>
  <w:style w:type="paragraph" w:styleId="BodyTextIndent">
    <w:name w:val="Body Text Indent"/>
    <w:basedOn w:val="Normal"/>
    <w:rsid w:val="00913CBE"/>
    <w:pPr>
      <w:spacing w:after="120"/>
      <w:ind w:left="283"/>
    </w:pPr>
    <w:rPr>
      <w:rFonts w:ascii="Times New Roman" w:eastAsia="Times New Roman" w:hAnsi="Times New Roman" w:cs="Times New Roman"/>
      <w:lang w:eastAsia="he-IL"/>
    </w:rPr>
  </w:style>
  <w:style w:type="paragraph" w:styleId="BodyTextIndent2">
    <w:name w:val="Body Text Indent 2"/>
    <w:basedOn w:val="Normal"/>
    <w:rsid w:val="00913CBE"/>
    <w:pPr>
      <w:spacing w:line="360" w:lineRule="auto"/>
      <w:ind w:left="566"/>
      <w:jc w:val="both"/>
    </w:pPr>
    <w:rPr>
      <w:rFonts w:ascii="Times New Roman" w:eastAsia="Times New Roman" w:hAnsi="Times New Roman"/>
      <w:lang w:eastAsia="he-IL"/>
    </w:rPr>
  </w:style>
  <w:style w:type="paragraph" w:customStyle="1" w:styleId="a0">
    <w:name w:val="שם הקובץ והנתיב"/>
    <w:rsid w:val="00913CBE"/>
    <w:rPr>
      <w:rFonts w:ascii="Times New Roman" w:eastAsia="Times New Roman" w:hAnsi="Times New Roman" w:cs="Times New Roman"/>
      <w:sz w:val="24"/>
      <w:szCs w:val="24"/>
      <w:lang w:eastAsia="he-IL"/>
    </w:rPr>
  </w:style>
  <w:style w:type="character" w:styleId="Hyperlink">
    <w:name w:val="Hyperlink"/>
    <w:rsid w:val="00562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293340534">
      <w:bodyDiv w:val="1"/>
      <w:marLeft w:val="0"/>
      <w:marRight w:val="0"/>
      <w:marTop w:val="0"/>
      <w:marBottom w:val="0"/>
      <w:divBdr>
        <w:top w:val="none" w:sz="0" w:space="0" w:color="auto"/>
        <w:left w:val="none" w:sz="0" w:space="0" w:color="auto"/>
        <w:bottom w:val="none" w:sz="0" w:space="0" w:color="auto"/>
        <w:right w:val="none" w:sz="0" w:space="0" w:color="auto"/>
      </w:divBdr>
    </w:div>
    <w:div w:id="320239226">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case/581078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vo.co.il/law/70301/348.c" TargetMode="Externa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5324</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6246</CharactersWithSpaces>
  <SharedDoc>false</SharedDoc>
  <HLinks>
    <vt:vector size="30" baseType="variant">
      <vt:variant>
        <vt:i4>3276916</vt:i4>
      </vt:variant>
      <vt:variant>
        <vt:i4>12</vt:i4>
      </vt:variant>
      <vt:variant>
        <vt:i4>0</vt:i4>
      </vt:variant>
      <vt:variant>
        <vt:i4>5</vt:i4>
      </vt:variant>
      <vt:variant>
        <vt:lpwstr>http://www.nevo.co.il/case/5810781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2008-11-27T09:12:00Z</cp:lastPrinted>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2386</vt:lpwstr>
  </property>
  <property fmtid="{D5CDD505-2E9C-101B-9397-08002B2CF9AE}" pid="6" name="NEWPARTB">
    <vt:lpwstr/>
  </property>
  <property fmtid="{D5CDD505-2E9C-101B-9397-08002B2CF9AE}" pid="7" name="NEWPARTC">
    <vt:lpwstr>07</vt:lpwstr>
  </property>
  <property fmtid="{D5CDD505-2E9C-101B-9397-08002B2CF9AE}" pid="8" name="PROCNUM">
    <vt:lpwstr>2386</vt:lpwstr>
  </property>
  <property fmtid="{D5CDD505-2E9C-101B-9397-08002B2CF9AE}" pid="9" name="PROCYEAR">
    <vt:lpwstr>07</vt:lpwstr>
  </property>
  <property fmtid="{D5CDD505-2E9C-101B-9397-08002B2CF9AE}" pid="10" name="APPELLANT">
    <vt:lpwstr>מ.י. פרקליטות מחוז הצפון-פלילי</vt:lpwstr>
  </property>
  <property fmtid="{D5CDD505-2E9C-101B-9397-08002B2CF9AE}" pid="11" name="APPELLEE">
    <vt:lpwstr>ראמי זהר</vt:lpwstr>
  </property>
  <property fmtid="{D5CDD505-2E9C-101B-9397-08002B2CF9AE}" pid="12" name="LAWYER">
    <vt:lpwstr>נעמה אביאב;סארי חורי</vt:lpwstr>
  </property>
  <property fmtid="{D5CDD505-2E9C-101B-9397-08002B2CF9AE}" pid="13" name="JUDGE">
    <vt:lpwstr>תאופיק כתילי</vt:lpwstr>
  </property>
  <property fmtid="{D5CDD505-2E9C-101B-9397-08002B2CF9AE}" pid="14" name="CITY">
    <vt:lpwstr>נצ'</vt:lpwstr>
  </property>
  <property fmtid="{D5CDD505-2E9C-101B-9397-08002B2CF9AE}" pid="15" name="DATE">
    <vt:lpwstr>20081127</vt:lpwstr>
  </property>
  <property fmtid="{D5CDD505-2E9C-101B-9397-08002B2CF9AE}" pid="16" name="TYPE_N_DATE">
    <vt:lpwstr>38020081127</vt:lpwstr>
  </property>
  <property fmtid="{D5CDD505-2E9C-101B-9397-08002B2CF9AE}" pid="17" name="WORDNUMPAGES">
    <vt:lpwstr>4</vt:lpwstr>
  </property>
  <property fmtid="{D5CDD505-2E9C-101B-9397-08002B2CF9AE}" pid="18" name="TYPE_ABS_DATE">
    <vt:lpwstr>380020081127</vt:lpwstr>
  </property>
  <property fmtid="{D5CDD505-2E9C-101B-9397-08002B2CF9AE}" pid="19" name="PROCESS">
    <vt:lpwstr>תפ</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LINKK6">
    <vt:lpwstr/>
  </property>
  <property fmtid="{D5CDD505-2E9C-101B-9397-08002B2CF9AE}" pid="31" name="LINKK7">
    <vt:lpwstr/>
  </property>
  <property fmtid="{D5CDD505-2E9C-101B-9397-08002B2CF9AE}" pid="32" name="LINKK8">
    <vt:lpwstr/>
  </property>
  <property fmtid="{D5CDD505-2E9C-101B-9397-08002B2CF9AE}" pid="33" name="LINKK9">
    <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ISABSTRACT">
    <vt:lpwstr>Y</vt:lpwstr>
  </property>
  <property fmtid="{D5CDD505-2E9C-101B-9397-08002B2CF9AE}" pid="38" name="CASESLISTTMP1">
    <vt:lpwstr>5810781</vt:lpwstr>
  </property>
  <property fmtid="{D5CDD505-2E9C-101B-9397-08002B2CF9AE}" pid="39" name="LAWLISTTMP1">
    <vt:lpwstr>70301/348.c</vt:lpwstr>
  </property>
</Properties>
</file>