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0F6B7D" w:rsidRPr="00CE1223" w14:paraId="15F3F93E" w14:textId="77777777">
        <w:trPr>
          <w:trHeight w:hRule="exact" w:val="418"/>
          <w:jc w:val="center"/>
        </w:trPr>
        <w:tc>
          <w:tcPr>
            <w:tcW w:w="8720" w:type="dxa"/>
            <w:gridSpan w:val="3"/>
          </w:tcPr>
          <w:p w14:paraId="22905405" w14:textId="77777777" w:rsidR="000F6B7D" w:rsidRPr="00CE1223" w:rsidRDefault="0069122D">
            <w:pPr>
              <w:pStyle w:val="Header"/>
              <w:tabs>
                <w:tab w:val="clear" w:pos="8306"/>
              </w:tabs>
              <w:jc w:val="center"/>
              <w:rPr>
                <w:rFonts w:ascii="Tahoma" w:hAnsi="Tahoma" w:cs="Tahoma"/>
                <w:b/>
                <w:bCs/>
                <w:color w:val="000080"/>
                <w:sz w:val="20"/>
                <w:szCs w:val="20"/>
                <w:rtl/>
              </w:rPr>
            </w:pPr>
            <w:bookmarkStart w:id="0" w:name="LastJudge"/>
            <w:r w:rsidRPr="00CE1223">
              <w:rPr>
                <w:rFonts w:ascii="Tahoma" w:hAnsi="Tahoma" w:cs="Tahoma"/>
                <w:b/>
                <w:bCs/>
                <w:color w:val="000080"/>
                <w:sz w:val="20"/>
                <w:szCs w:val="20"/>
                <w:rtl/>
              </w:rPr>
              <w:t>בית משפט השלום בתל אביב - יפו</w:t>
            </w:r>
          </w:p>
        </w:tc>
      </w:tr>
      <w:tr w:rsidR="000F6B7D" w:rsidRPr="00CE1223" w14:paraId="385B2B8F" w14:textId="77777777">
        <w:trPr>
          <w:trHeight w:val="337"/>
          <w:jc w:val="center"/>
        </w:trPr>
        <w:tc>
          <w:tcPr>
            <w:tcW w:w="3973" w:type="dxa"/>
          </w:tcPr>
          <w:p w14:paraId="4BAD868E" w14:textId="77777777" w:rsidR="000F6B7D" w:rsidRPr="00CE1223" w:rsidRDefault="0069122D">
            <w:pPr>
              <w:rPr>
                <w:b/>
                <w:bCs/>
                <w:sz w:val="26"/>
                <w:szCs w:val="26"/>
                <w:rtl/>
              </w:rPr>
            </w:pPr>
            <w:r w:rsidRPr="00CE1223">
              <w:rPr>
                <w:b/>
                <w:bCs/>
                <w:sz w:val="26"/>
                <w:szCs w:val="26"/>
                <w:rtl/>
              </w:rPr>
              <w:t>ת"פ</w:t>
            </w:r>
            <w:r w:rsidRPr="00CE1223">
              <w:rPr>
                <w:rFonts w:hint="cs"/>
                <w:b/>
                <w:bCs/>
                <w:sz w:val="26"/>
                <w:szCs w:val="26"/>
                <w:rtl/>
              </w:rPr>
              <w:t xml:space="preserve"> </w:t>
            </w:r>
            <w:r w:rsidRPr="00CE1223">
              <w:rPr>
                <w:b/>
                <w:bCs/>
                <w:sz w:val="28"/>
                <w:szCs w:val="28"/>
                <w:rtl/>
              </w:rPr>
              <w:t>8210-07</w:t>
            </w:r>
            <w:r w:rsidRPr="00CE1223">
              <w:rPr>
                <w:rFonts w:hint="cs"/>
                <w:b/>
                <w:bCs/>
                <w:sz w:val="26"/>
                <w:szCs w:val="26"/>
                <w:rtl/>
              </w:rPr>
              <w:t xml:space="preserve"> </w:t>
            </w:r>
          </w:p>
          <w:p w14:paraId="5B0FD6EB" w14:textId="77777777" w:rsidR="000F6B7D" w:rsidRPr="00CE1223" w:rsidRDefault="000F6B7D">
            <w:pPr>
              <w:rPr>
                <w:b/>
                <w:bCs/>
                <w:sz w:val="26"/>
                <w:szCs w:val="26"/>
                <w:rtl/>
              </w:rPr>
            </w:pPr>
          </w:p>
          <w:p w14:paraId="09B4CD57" w14:textId="77777777" w:rsidR="000F6B7D" w:rsidRPr="00CE1223" w:rsidRDefault="0069122D">
            <w:pPr>
              <w:rPr>
                <w:b/>
                <w:bCs/>
                <w:sz w:val="26"/>
                <w:szCs w:val="26"/>
                <w:rtl/>
              </w:rPr>
            </w:pPr>
            <w:r w:rsidRPr="00CE1223">
              <w:rPr>
                <w:b/>
                <w:bCs/>
                <w:sz w:val="26"/>
                <w:szCs w:val="26"/>
                <w:rtl/>
              </w:rPr>
              <w:t>מ.י. פרקליטות מחוז ת"א - פלילי נ' קשקוש</w:t>
            </w:r>
          </w:p>
          <w:p w14:paraId="78363F85" w14:textId="77777777" w:rsidR="000F6B7D" w:rsidRPr="00CE1223" w:rsidRDefault="000F6B7D">
            <w:pPr>
              <w:rPr>
                <w:b/>
                <w:bCs/>
                <w:sz w:val="26"/>
                <w:szCs w:val="26"/>
                <w:rtl/>
              </w:rPr>
            </w:pPr>
          </w:p>
        </w:tc>
        <w:tc>
          <w:tcPr>
            <w:tcW w:w="1068" w:type="dxa"/>
          </w:tcPr>
          <w:p w14:paraId="542FC501" w14:textId="77777777" w:rsidR="000F6B7D" w:rsidRPr="00CE1223" w:rsidRDefault="000F6B7D">
            <w:pPr>
              <w:pStyle w:val="Header"/>
              <w:jc w:val="right"/>
              <w:rPr>
                <w:b/>
                <w:bCs/>
                <w:sz w:val="26"/>
                <w:szCs w:val="26"/>
                <w:rtl/>
              </w:rPr>
            </w:pPr>
          </w:p>
        </w:tc>
        <w:tc>
          <w:tcPr>
            <w:tcW w:w="3679" w:type="dxa"/>
          </w:tcPr>
          <w:p w14:paraId="47A5A296" w14:textId="77777777" w:rsidR="000F6B7D" w:rsidRPr="00CE1223" w:rsidRDefault="0069122D">
            <w:pPr>
              <w:pStyle w:val="Header"/>
              <w:tabs>
                <w:tab w:val="clear" w:pos="4153"/>
              </w:tabs>
              <w:jc w:val="right"/>
              <w:rPr>
                <w:b/>
                <w:bCs/>
                <w:sz w:val="26"/>
                <w:szCs w:val="26"/>
                <w:rtl/>
              </w:rPr>
            </w:pPr>
            <w:r w:rsidRPr="00CE1223">
              <w:rPr>
                <w:b/>
                <w:bCs/>
                <w:sz w:val="26"/>
                <w:szCs w:val="26"/>
                <w:rtl/>
              </w:rPr>
              <w:t>28 ינואר 2010</w:t>
            </w:r>
          </w:p>
        </w:tc>
      </w:tr>
    </w:tbl>
    <w:p w14:paraId="1CA2E957" w14:textId="77777777" w:rsidR="000F6B7D" w:rsidRPr="00CE1223" w:rsidRDefault="000F6B7D">
      <w:pPr>
        <w:rPr>
          <w:sz w:val="22"/>
          <w:szCs w:val="22"/>
          <w:rtl/>
        </w:rPr>
      </w:pPr>
    </w:p>
    <w:tbl>
      <w:tblPr>
        <w:bidiVisual/>
        <w:tblW w:w="882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43"/>
        <w:gridCol w:w="8077"/>
      </w:tblGrid>
      <w:tr w:rsidR="000F6B7D" w:rsidRPr="00CE1223" w14:paraId="1BCA9A29" w14:textId="77777777">
        <w:trPr>
          <w:trHeight w:val="295"/>
          <w:jc w:val="center"/>
        </w:trPr>
        <w:tc>
          <w:tcPr>
            <w:tcW w:w="743" w:type="dxa"/>
            <w:tcBorders>
              <w:top w:val="nil"/>
              <w:left w:val="nil"/>
              <w:bottom w:val="nil"/>
              <w:right w:val="nil"/>
            </w:tcBorders>
          </w:tcPr>
          <w:p w14:paraId="30DE60A9" w14:textId="77777777" w:rsidR="000F6B7D" w:rsidRPr="00CE1223" w:rsidRDefault="0069122D">
            <w:pPr>
              <w:spacing w:line="360" w:lineRule="auto"/>
              <w:jc w:val="both"/>
              <w:rPr>
                <w:rFonts w:ascii="Arial" w:hAnsi="Arial"/>
                <w:b/>
                <w:bCs/>
                <w:noProof/>
                <w:sz w:val="28"/>
                <w:szCs w:val="28"/>
                <w:lang w:eastAsia="he-IL"/>
              </w:rPr>
            </w:pPr>
            <w:r w:rsidRPr="00CE1223">
              <w:rPr>
                <w:rFonts w:ascii="Arial" w:hAnsi="Arial" w:hint="cs"/>
                <w:b/>
                <w:bCs/>
                <w:sz w:val="28"/>
                <w:szCs w:val="28"/>
                <w:rtl/>
              </w:rPr>
              <w:t xml:space="preserve">בפני </w:t>
            </w:r>
          </w:p>
        </w:tc>
        <w:tc>
          <w:tcPr>
            <w:tcW w:w="8077" w:type="dxa"/>
            <w:tcBorders>
              <w:top w:val="nil"/>
              <w:left w:val="nil"/>
              <w:bottom w:val="nil"/>
              <w:right w:val="nil"/>
            </w:tcBorders>
          </w:tcPr>
          <w:p w14:paraId="5E2EF3C2" w14:textId="77777777" w:rsidR="000F6B7D" w:rsidRPr="00CE1223" w:rsidRDefault="0069122D">
            <w:pPr>
              <w:rPr>
                <w:rFonts w:ascii="Arial" w:hAnsi="Arial"/>
                <w:b/>
                <w:bCs/>
                <w:noProof/>
                <w:sz w:val="28"/>
                <w:szCs w:val="28"/>
                <w:rtl/>
                <w:lang w:eastAsia="he-IL"/>
              </w:rPr>
            </w:pPr>
            <w:r w:rsidRPr="00CE1223">
              <w:rPr>
                <w:rFonts w:ascii="Arial" w:hAnsi="Arial" w:hint="cs"/>
                <w:b/>
                <w:bCs/>
                <w:sz w:val="28"/>
                <w:szCs w:val="28"/>
                <w:rtl/>
              </w:rPr>
              <w:t>כב' השופטת  דורית רייך-שפירא</w:t>
            </w:r>
          </w:p>
          <w:p w14:paraId="4A4A3470" w14:textId="77777777" w:rsidR="000F6B7D" w:rsidRPr="00CE1223" w:rsidRDefault="00756B84">
            <w:pPr>
              <w:rPr>
                <w:rFonts w:ascii="Arial" w:hAnsi="Arial"/>
                <w:noProof/>
                <w:sz w:val="28"/>
                <w:szCs w:val="28"/>
                <w:highlight w:val="yellow"/>
                <w:lang w:eastAsia="he-IL"/>
              </w:rPr>
            </w:pPr>
            <w:r>
              <w:rPr>
                <w:rFonts w:ascii="Arial" w:hAnsi="Arial" w:hint="cs"/>
                <w:sz w:val="28"/>
                <w:szCs w:val="28"/>
                <w:rtl/>
              </w:rPr>
              <w:t xml:space="preserve"> </w:t>
            </w:r>
          </w:p>
        </w:tc>
      </w:tr>
    </w:tbl>
    <w:p w14:paraId="4688D8D5" w14:textId="77777777" w:rsidR="000F6B7D" w:rsidRPr="00CE1223" w:rsidRDefault="00756B84">
      <w:pPr>
        <w:rPr>
          <w:noProof/>
          <w:sz w:val="22"/>
          <w:szCs w:val="22"/>
          <w:lang w:eastAsia="he-IL"/>
        </w:rPr>
      </w:pPr>
      <w:r>
        <w:rPr>
          <w:rFonts w:hint="cs"/>
          <w:sz w:val="22"/>
          <w:szCs w:val="22"/>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93"/>
        <w:gridCol w:w="5009"/>
        <w:gridCol w:w="2918"/>
      </w:tblGrid>
      <w:tr w:rsidR="000F6B7D" w:rsidRPr="00CE1223" w14:paraId="559BD955" w14:textId="77777777">
        <w:trPr>
          <w:trHeight w:val="355"/>
          <w:jc w:val="center"/>
        </w:trPr>
        <w:tc>
          <w:tcPr>
            <w:tcW w:w="893" w:type="dxa"/>
            <w:tcBorders>
              <w:top w:val="nil"/>
              <w:left w:val="nil"/>
              <w:bottom w:val="nil"/>
              <w:right w:val="nil"/>
            </w:tcBorders>
          </w:tcPr>
          <w:p w14:paraId="0AF3373A" w14:textId="77777777" w:rsidR="000F6B7D" w:rsidRPr="00CE1223" w:rsidRDefault="00756B84">
            <w:pPr>
              <w:jc w:val="both"/>
              <w:rPr>
                <w:rFonts w:ascii="Arial" w:hAnsi="Arial"/>
                <w:b/>
                <w:bCs/>
                <w:noProof/>
                <w:sz w:val="26"/>
                <w:szCs w:val="26"/>
                <w:rtl/>
                <w:lang w:eastAsia="he-IL"/>
              </w:rPr>
            </w:pPr>
            <w:bookmarkStart w:id="1" w:name="FirstLawyer"/>
            <w:r>
              <w:rPr>
                <w:rFonts w:ascii="Arial" w:hAnsi="Arial" w:hint="cs"/>
                <w:b/>
                <w:bCs/>
                <w:sz w:val="26"/>
                <w:szCs w:val="26"/>
                <w:rtl/>
              </w:rPr>
              <w:t xml:space="preserve"> </w:t>
            </w:r>
          </w:p>
          <w:p w14:paraId="2F9A695D" w14:textId="77777777" w:rsidR="000F6B7D" w:rsidRPr="00CE1223" w:rsidRDefault="0069122D">
            <w:pPr>
              <w:jc w:val="both"/>
              <w:rPr>
                <w:rFonts w:ascii="Arial" w:hAnsi="Arial"/>
                <w:b/>
                <w:bCs/>
                <w:noProof/>
                <w:sz w:val="26"/>
                <w:szCs w:val="26"/>
                <w:lang w:eastAsia="he-IL"/>
              </w:rPr>
            </w:pPr>
            <w:r w:rsidRPr="00CE1223">
              <w:rPr>
                <w:rFonts w:ascii="Arial" w:hAnsi="Arial" w:hint="cs"/>
                <w:b/>
                <w:bCs/>
                <w:sz w:val="26"/>
                <w:szCs w:val="26"/>
                <w:rtl/>
              </w:rPr>
              <w:t>בעניין:</w:t>
            </w:r>
          </w:p>
        </w:tc>
        <w:tc>
          <w:tcPr>
            <w:tcW w:w="5009" w:type="dxa"/>
            <w:tcBorders>
              <w:top w:val="nil"/>
              <w:left w:val="nil"/>
              <w:bottom w:val="nil"/>
              <w:right w:val="nil"/>
            </w:tcBorders>
          </w:tcPr>
          <w:p w14:paraId="51C8DE97" w14:textId="77777777" w:rsidR="000F6B7D" w:rsidRPr="00CE1223" w:rsidRDefault="00756B84">
            <w:pPr>
              <w:jc w:val="both"/>
              <w:rPr>
                <w:rFonts w:ascii="Arial" w:hAnsi="Arial"/>
                <w:b/>
                <w:bCs/>
                <w:noProof/>
                <w:sz w:val="26"/>
                <w:szCs w:val="26"/>
                <w:rtl/>
                <w:lang w:eastAsia="he-IL"/>
              </w:rPr>
            </w:pPr>
            <w:r>
              <w:rPr>
                <w:rFonts w:ascii="Arial" w:hAnsi="Arial" w:hint="cs"/>
                <w:b/>
                <w:bCs/>
                <w:sz w:val="26"/>
                <w:szCs w:val="26"/>
                <w:rtl/>
              </w:rPr>
              <w:t xml:space="preserve"> </w:t>
            </w:r>
          </w:p>
          <w:p w14:paraId="22101D7A" w14:textId="77777777" w:rsidR="000F6B7D" w:rsidRPr="00CE1223" w:rsidRDefault="0069122D">
            <w:pPr>
              <w:jc w:val="both"/>
              <w:rPr>
                <w:rFonts w:ascii="Arial" w:hAnsi="Arial"/>
                <w:b/>
                <w:bCs/>
                <w:noProof/>
                <w:sz w:val="26"/>
                <w:szCs w:val="26"/>
                <w:lang w:eastAsia="he-IL"/>
              </w:rPr>
            </w:pPr>
            <w:r w:rsidRPr="00CE1223">
              <w:rPr>
                <w:rFonts w:ascii="Arial" w:hAnsi="Arial" w:hint="cs"/>
                <w:b/>
                <w:bCs/>
                <w:sz w:val="26"/>
                <w:szCs w:val="26"/>
                <w:rtl/>
              </w:rPr>
              <w:t>מדינת ישראל - ע"י ב"כ עו"ד ליהי מלצמן</w:t>
            </w:r>
          </w:p>
        </w:tc>
        <w:tc>
          <w:tcPr>
            <w:tcW w:w="2918" w:type="dxa"/>
            <w:tcBorders>
              <w:top w:val="nil"/>
              <w:left w:val="nil"/>
              <w:bottom w:val="nil"/>
              <w:right w:val="nil"/>
            </w:tcBorders>
          </w:tcPr>
          <w:p w14:paraId="5F4783E5" w14:textId="77777777" w:rsidR="000F6B7D" w:rsidRPr="00CE1223" w:rsidRDefault="00756B84">
            <w:pPr>
              <w:jc w:val="both"/>
              <w:rPr>
                <w:rFonts w:ascii="Arial" w:hAnsi="Arial"/>
                <w:b/>
                <w:bCs/>
                <w:noProof/>
                <w:sz w:val="26"/>
                <w:szCs w:val="26"/>
                <w:lang w:eastAsia="he-IL"/>
              </w:rPr>
            </w:pPr>
            <w:r>
              <w:rPr>
                <w:rFonts w:ascii="Arial" w:hAnsi="Arial" w:hint="cs"/>
                <w:b/>
                <w:bCs/>
                <w:sz w:val="26"/>
                <w:szCs w:val="26"/>
                <w:rtl/>
              </w:rPr>
              <w:t xml:space="preserve"> </w:t>
            </w:r>
          </w:p>
        </w:tc>
      </w:tr>
      <w:tr w:rsidR="000F6B7D" w:rsidRPr="00CE1223" w14:paraId="41F49310" w14:textId="77777777">
        <w:trPr>
          <w:trHeight w:val="355"/>
          <w:jc w:val="center"/>
        </w:trPr>
        <w:tc>
          <w:tcPr>
            <w:tcW w:w="893" w:type="dxa"/>
            <w:tcBorders>
              <w:top w:val="nil"/>
              <w:left w:val="nil"/>
              <w:bottom w:val="nil"/>
              <w:right w:val="nil"/>
            </w:tcBorders>
          </w:tcPr>
          <w:p w14:paraId="56ED765B" w14:textId="77777777" w:rsidR="000F6B7D" w:rsidRPr="00CE1223" w:rsidRDefault="00756B84">
            <w:pPr>
              <w:jc w:val="both"/>
              <w:rPr>
                <w:rFonts w:ascii="Arial" w:hAnsi="Arial"/>
                <w:b/>
                <w:bCs/>
                <w:noProof/>
                <w:sz w:val="26"/>
                <w:szCs w:val="26"/>
                <w:lang w:eastAsia="he-IL"/>
              </w:rPr>
            </w:pPr>
            <w:bookmarkStart w:id="2" w:name="FirstAppellant" w:colFirst="0" w:colLast="1"/>
            <w:bookmarkEnd w:id="1"/>
            <w:r>
              <w:rPr>
                <w:rFonts w:ascii="Arial" w:hAnsi="Arial" w:hint="cs"/>
                <w:b/>
                <w:bCs/>
                <w:sz w:val="26"/>
                <w:szCs w:val="26"/>
                <w:rtl/>
              </w:rPr>
              <w:t xml:space="preserve"> </w:t>
            </w:r>
          </w:p>
        </w:tc>
        <w:tc>
          <w:tcPr>
            <w:tcW w:w="5009" w:type="dxa"/>
            <w:tcBorders>
              <w:top w:val="nil"/>
              <w:left w:val="nil"/>
              <w:bottom w:val="nil"/>
              <w:right w:val="nil"/>
            </w:tcBorders>
          </w:tcPr>
          <w:p w14:paraId="6EE27126" w14:textId="77777777" w:rsidR="000F6B7D" w:rsidRPr="00CE1223" w:rsidRDefault="00756B84">
            <w:pPr>
              <w:jc w:val="both"/>
              <w:rPr>
                <w:b/>
                <w:bCs/>
                <w:noProof/>
                <w:sz w:val="22"/>
                <w:szCs w:val="22"/>
                <w:lang w:eastAsia="he-IL"/>
              </w:rPr>
            </w:pPr>
            <w:r>
              <w:rPr>
                <w:rFonts w:hint="cs"/>
                <w:b/>
                <w:bCs/>
                <w:sz w:val="22"/>
                <w:szCs w:val="22"/>
                <w:rtl/>
              </w:rPr>
              <w:t xml:space="preserve"> </w:t>
            </w:r>
          </w:p>
        </w:tc>
        <w:tc>
          <w:tcPr>
            <w:tcW w:w="2918" w:type="dxa"/>
            <w:tcBorders>
              <w:top w:val="nil"/>
              <w:left w:val="nil"/>
              <w:bottom w:val="nil"/>
              <w:right w:val="nil"/>
            </w:tcBorders>
          </w:tcPr>
          <w:p w14:paraId="001BB4D2" w14:textId="77777777" w:rsidR="000F6B7D" w:rsidRPr="00CE1223" w:rsidRDefault="0069122D">
            <w:pPr>
              <w:jc w:val="right"/>
              <w:rPr>
                <w:rFonts w:ascii="Arial" w:hAnsi="Arial"/>
                <w:b/>
                <w:bCs/>
                <w:noProof/>
                <w:sz w:val="26"/>
                <w:szCs w:val="26"/>
                <w:lang w:eastAsia="he-IL"/>
              </w:rPr>
            </w:pPr>
            <w:r w:rsidRPr="00CE1223">
              <w:rPr>
                <w:rFonts w:ascii="Arial" w:hAnsi="Arial" w:hint="cs"/>
                <w:b/>
                <w:bCs/>
                <w:sz w:val="26"/>
                <w:szCs w:val="26"/>
                <w:rtl/>
              </w:rPr>
              <w:t>המאשימה</w:t>
            </w:r>
          </w:p>
        </w:tc>
      </w:tr>
      <w:tr w:rsidR="000F6B7D" w:rsidRPr="00CE1223" w14:paraId="6C60A458" w14:textId="77777777">
        <w:trPr>
          <w:trHeight w:val="355"/>
          <w:jc w:val="center"/>
        </w:trPr>
        <w:tc>
          <w:tcPr>
            <w:tcW w:w="893" w:type="dxa"/>
            <w:tcBorders>
              <w:top w:val="nil"/>
              <w:left w:val="nil"/>
              <w:bottom w:val="nil"/>
              <w:right w:val="nil"/>
            </w:tcBorders>
          </w:tcPr>
          <w:p w14:paraId="5EBA9E2F" w14:textId="77777777" w:rsidR="000F6B7D" w:rsidRPr="00CE1223" w:rsidRDefault="00756B84">
            <w:pPr>
              <w:jc w:val="both"/>
              <w:rPr>
                <w:rFonts w:ascii="Arial" w:hAnsi="Arial"/>
                <w:b/>
                <w:bCs/>
                <w:noProof/>
                <w:sz w:val="26"/>
                <w:szCs w:val="26"/>
                <w:lang w:eastAsia="he-IL"/>
              </w:rPr>
            </w:pPr>
            <w:r>
              <w:rPr>
                <w:rFonts w:ascii="Arial" w:hAnsi="Arial" w:hint="cs"/>
                <w:b/>
                <w:bCs/>
                <w:sz w:val="26"/>
                <w:szCs w:val="26"/>
                <w:rtl/>
              </w:rPr>
              <w:t xml:space="preserve"> </w:t>
            </w:r>
          </w:p>
        </w:tc>
        <w:tc>
          <w:tcPr>
            <w:tcW w:w="7927" w:type="dxa"/>
            <w:gridSpan w:val="2"/>
            <w:tcBorders>
              <w:top w:val="nil"/>
              <w:left w:val="nil"/>
              <w:bottom w:val="nil"/>
              <w:right w:val="nil"/>
            </w:tcBorders>
          </w:tcPr>
          <w:p w14:paraId="38536357" w14:textId="77777777" w:rsidR="000F6B7D" w:rsidRPr="00CE1223" w:rsidRDefault="00756B84">
            <w:pPr>
              <w:jc w:val="center"/>
              <w:rPr>
                <w:rFonts w:ascii="Arial" w:hAnsi="Arial"/>
                <w:b/>
                <w:bCs/>
                <w:noProof/>
                <w:sz w:val="26"/>
                <w:szCs w:val="26"/>
                <w:rtl/>
                <w:lang w:eastAsia="he-IL"/>
              </w:rPr>
            </w:pPr>
            <w:r>
              <w:rPr>
                <w:rFonts w:ascii="Arial" w:hAnsi="Arial" w:hint="cs"/>
                <w:b/>
                <w:bCs/>
                <w:sz w:val="26"/>
                <w:szCs w:val="26"/>
                <w:rtl/>
              </w:rPr>
              <w:t xml:space="preserve"> </w:t>
            </w:r>
          </w:p>
          <w:p w14:paraId="7216DA84" w14:textId="77777777" w:rsidR="000F6B7D" w:rsidRPr="00CE1223" w:rsidRDefault="0069122D">
            <w:pPr>
              <w:jc w:val="center"/>
              <w:rPr>
                <w:rFonts w:ascii="Arial" w:hAnsi="Arial"/>
                <w:b/>
                <w:bCs/>
                <w:sz w:val="26"/>
                <w:szCs w:val="26"/>
                <w:rtl/>
              </w:rPr>
            </w:pPr>
            <w:r w:rsidRPr="00CE1223">
              <w:rPr>
                <w:rFonts w:ascii="Arial" w:hAnsi="Arial" w:hint="cs"/>
                <w:b/>
                <w:bCs/>
                <w:sz w:val="26"/>
                <w:szCs w:val="26"/>
                <w:rtl/>
              </w:rPr>
              <w:t>נגד</w:t>
            </w:r>
          </w:p>
          <w:p w14:paraId="71C9F8F4" w14:textId="77777777" w:rsidR="000F6B7D" w:rsidRPr="00CE1223" w:rsidRDefault="00756B84">
            <w:pPr>
              <w:jc w:val="both"/>
              <w:rPr>
                <w:rFonts w:ascii="Arial" w:hAnsi="Arial"/>
                <w:b/>
                <w:bCs/>
                <w:noProof/>
                <w:sz w:val="26"/>
                <w:szCs w:val="26"/>
                <w:lang w:eastAsia="he-IL"/>
              </w:rPr>
            </w:pPr>
            <w:r>
              <w:rPr>
                <w:rFonts w:ascii="Arial" w:hAnsi="Arial" w:hint="cs"/>
                <w:b/>
                <w:bCs/>
                <w:sz w:val="26"/>
                <w:szCs w:val="26"/>
                <w:rtl/>
              </w:rPr>
              <w:t xml:space="preserve"> </w:t>
            </w:r>
          </w:p>
        </w:tc>
      </w:tr>
      <w:bookmarkEnd w:id="2"/>
      <w:tr w:rsidR="000F6B7D" w:rsidRPr="00CE1223" w14:paraId="2A0D4EFF" w14:textId="77777777">
        <w:trPr>
          <w:trHeight w:val="355"/>
          <w:jc w:val="center"/>
        </w:trPr>
        <w:tc>
          <w:tcPr>
            <w:tcW w:w="893" w:type="dxa"/>
            <w:tcBorders>
              <w:top w:val="nil"/>
              <w:left w:val="nil"/>
              <w:bottom w:val="nil"/>
              <w:right w:val="nil"/>
            </w:tcBorders>
          </w:tcPr>
          <w:p w14:paraId="528DBFF9" w14:textId="77777777" w:rsidR="000F6B7D" w:rsidRPr="00CE1223" w:rsidRDefault="00756B84">
            <w:pPr>
              <w:jc w:val="both"/>
              <w:rPr>
                <w:rFonts w:ascii="Arial" w:hAnsi="Arial"/>
                <w:b/>
                <w:bCs/>
                <w:noProof/>
                <w:sz w:val="26"/>
                <w:szCs w:val="26"/>
                <w:lang w:eastAsia="he-IL"/>
              </w:rPr>
            </w:pPr>
            <w:r>
              <w:rPr>
                <w:rFonts w:ascii="Arial" w:hAnsi="Arial" w:hint="cs"/>
                <w:b/>
                <w:bCs/>
                <w:sz w:val="26"/>
                <w:szCs w:val="26"/>
                <w:rtl/>
              </w:rPr>
              <w:t xml:space="preserve"> </w:t>
            </w:r>
          </w:p>
        </w:tc>
        <w:tc>
          <w:tcPr>
            <w:tcW w:w="5009" w:type="dxa"/>
            <w:tcBorders>
              <w:top w:val="nil"/>
              <w:left w:val="nil"/>
              <w:bottom w:val="nil"/>
              <w:right w:val="nil"/>
            </w:tcBorders>
          </w:tcPr>
          <w:p w14:paraId="230AA4FA" w14:textId="77777777" w:rsidR="000F6B7D" w:rsidRPr="00CE1223" w:rsidRDefault="0069122D">
            <w:pPr>
              <w:jc w:val="both"/>
              <w:rPr>
                <w:b/>
                <w:bCs/>
                <w:noProof/>
                <w:sz w:val="22"/>
                <w:szCs w:val="22"/>
                <w:lang w:eastAsia="he-IL"/>
              </w:rPr>
            </w:pPr>
            <w:r w:rsidRPr="00CE1223">
              <w:rPr>
                <w:rFonts w:ascii="Arial" w:hAnsi="Arial" w:hint="cs"/>
                <w:b/>
                <w:bCs/>
                <w:sz w:val="26"/>
                <w:szCs w:val="26"/>
                <w:rtl/>
              </w:rPr>
              <w:t>עאדל קשקוש- בעצמו ע"י ב"כ עו"ד עירקי ממשרדו של עו"ד ג'לג'ולי</w:t>
            </w:r>
          </w:p>
        </w:tc>
        <w:tc>
          <w:tcPr>
            <w:tcW w:w="2918" w:type="dxa"/>
            <w:tcBorders>
              <w:top w:val="nil"/>
              <w:left w:val="nil"/>
              <w:bottom w:val="nil"/>
              <w:right w:val="nil"/>
            </w:tcBorders>
          </w:tcPr>
          <w:p w14:paraId="6A67C569" w14:textId="77777777" w:rsidR="000F6B7D" w:rsidRPr="00CE1223" w:rsidRDefault="00756B84">
            <w:pPr>
              <w:jc w:val="right"/>
              <w:rPr>
                <w:rFonts w:ascii="Arial" w:hAnsi="Arial"/>
                <w:b/>
                <w:bCs/>
                <w:noProof/>
                <w:sz w:val="26"/>
                <w:szCs w:val="26"/>
                <w:lang w:eastAsia="he-IL"/>
              </w:rPr>
            </w:pPr>
            <w:r>
              <w:rPr>
                <w:rFonts w:ascii="Arial" w:hAnsi="Arial" w:hint="cs"/>
                <w:b/>
                <w:bCs/>
                <w:sz w:val="26"/>
                <w:szCs w:val="26"/>
                <w:rtl/>
              </w:rPr>
              <w:t xml:space="preserve"> </w:t>
            </w:r>
          </w:p>
        </w:tc>
      </w:tr>
      <w:tr w:rsidR="000F6B7D" w:rsidRPr="00CE1223" w14:paraId="10C1C57B" w14:textId="77777777">
        <w:trPr>
          <w:trHeight w:val="355"/>
          <w:jc w:val="center"/>
        </w:trPr>
        <w:tc>
          <w:tcPr>
            <w:tcW w:w="893" w:type="dxa"/>
            <w:tcBorders>
              <w:top w:val="nil"/>
              <w:left w:val="nil"/>
              <w:bottom w:val="nil"/>
              <w:right w:val="nil"/>
            </w:tcBorders>
          </w:tcPr>
          <w:p w14:paraId="5B9C5E28" w14:textId="77777777" w:rsidR="000F6B7D" w:rsidRPr="00CE1223" w:rsidRDefault="00756B84">
            <w:pPr>
              <w:jc w:val="both"/>
              <w:rPr>
                <w:rFonts w:ascii="Arial" w:hAnsi="Arial"/>
                <w:b/>
                <w:bCs/>
                <w:noProof/>
                <w:sz w:val="26"/>
                <w:szCs w:val="26"/>
                <w:lang w:eastAsia="he-IL"/>
              </w:rPr>
            </w:pPr>
            <w:r>
              <w:rPr>
                <w:rFonts w:ascii="Arial" w:hAnsi="Arial" w:hint="cs"/>
                <w:b/>
                <w:bCs/>
                <w:sz w:val="26"/>
                <w:szCs w:val="26"/>
                <w:rtl/>
              </w:rPr>
              <w:t xml:space="preserve"> </w:t>
            </w:r>
          </w:p>
        </w:tc>
        <w:tc>
          <w:tcPr>
            <w:tcW w:w="5009" w:type="dxa"/>
            <w:tcBorders>
              <w:top w:val="nil"/>
              <w:left w:val="nil"/>
              <w:bottom w:val="nil"/>
              <w:right w:val="nil"/>
            </w:tcBorders>
          </w:tcPr>
          <w:p w14:paraId="18D5165A" w14:textId="77777777" w:rsidR="000F6B7D" w:rsidRPr="00CE1223" w:rsidRDefault="00756B84">
            <w:pPr>
              <w:jc w:val="both"/>
              <w:rPr>
                <w:b/>
                <w:bCs/>
                <w:noProof/>
                <w:sz w:val="22"/>
                <w:szCs w:val="22"/>
                <w:lang w:eastAsia="he-IL"/>
              </w:rPr>
            </w:pPr>
            <w:r>
              <w:rPr>
                <w:rFonts w:hint="cs"/>
                <w:b/>
                <w:bCs/>
                <w:sz w:val="22"/>
                <w:szCs w:val="22"/>
                <w:rtl/>
              </w:rPr>
              <w:t xml:space="preserve"> </w:t>
            </w:r>
          </w:p>
        </w:tc>
        <w:tc>
          <w:tcPr>
            <w:tcW w:w="2918" w:type="dxa"/>
            <w:tcBorders>
              <w:top w:val="nil"/>
              <w:left w:val="nil"/>
              <w:bottom w:val="nil"/>
              <w:right w:val="nil"/>
            </w:tcBorders>
          </w:tcPr>
          <w:p w14:paraId="41C72ACD" w14:textId="77777777" w:rsidR="000F6B7D" w:rsidRPr="00CE1223" w:rsidRDefault="0069122D">
            <w:pPr>
              <w:jc w:val="right"/>
              <w:rPr>
                <w:rFonts w:ascii="Arial" w:hAnsi="Arial"/>
                <w:b/>
                <w:bCs/>
                <w:noProof/>
                <w:sz w:val="26"/>
                <w:szCs w:val="26"/>
                <w:lang w:eastAsia="he-IL"/>
              </w:rPr>
            </w:pPr>
            <w:r w:rsidRPr="00CE1223">
              <w:rPr>
                <w:rFonts w:ascii="Arial" w:hAnsi="Arial" w:hint="cs"/>
                <w:b/>
                <w:bCs/>
                <w:sz w:val="26"/>
                <w:szCs w:val="26"/>
                <w:rtl/>
              </w:rPr>
              <w:t>הנאשם</w:t>
            </w:r>
          </w:p>
        </w:tc>
      </w:tr>
    </w:tbl>
    <w:p w14:paraId="74C1AC57" w14:textId="77777777" w:rsidR="000F6B7D" w:rsidRPr="00CE1223" w:rsidRDefault="00756B84">
      <w:pPr>
        <w:rPr>
          <w:b/>
          <w:bCs/>
          <w:noProof/>
          <w:sz w:val="22"/>
          <w:szCs w:val="22"/>
          <w:lang w:eastAsia="he-IL"/>
        </w:rPr>
      </w:pPr>
      <w:r>
        <w:rPr>
          <w:rFonts w:hint="cs"/>
          <w:b/>
          <w:bCs/>
          <w:sz w:val="22"/>
          <w:szCs w:val="22"/>
          <w:rtl/>
        </w:rPr>
        <w:t xml:space="preserve"> </w:t>
      </w:r>
    </w:p>
    <w:p w14:paraId="44FD6956" w14:textId="77777777" w:rsidR="000F6B7D" w:rsidRPr="00CE1223" w:rsidRDefault="00756B84">
      <w:pPr>
        <w:rPr>
          <w:sz w:val="22"/>
          <w:szCs w:val="22"/>
        </w:rPr>
      </w:pPr>
      <w:r>
        <w:rPr>
          <w:rFonts w:hint="cs"/>
          <w:sz w:val="22"/>
          <w:szCs w:val="22"/>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820"/>
      </w:tblGrid>
      <w:tr w:rsidR="000F6B7D" w14:paraId="28E2C29D" w14:textId="77777777">
        <w:trPr>
          <w:trHeight w:val="355"/>
          <w:jc w:val="center"/>
        </w:trPr>
        <w:tc>
          <w:tcPr>
            <w:tcW w:w="8820" w:type="dxa"/>
            <w:tcBorders>
              <w:top w:val="nil"/>
              <w:left w:val="nil"/>
              <w:bottom w:val="nil"/>
              <w:right w:val="nil"/>
            </w:tcBorders>
          </w:tcPr>
          <w:p w14:paraId="48BED917" w14:textId="77777777" w:rsidR="00756B84" w:rsidRDefault="00756B84" w:rsidP="0069122D">
            <w:pPr>
              <w:jc w:val="center"/>
              <w:rPr>
                <w:rFonts w:ascii="Arial" w:hAnsi="Arial"/>
                <w:b/>
                <w:bCs/>
                <w:sz w:val="30"/>
                <w:szCs w:val="30"/>
                <w:highlight w:val="yellow"/>
                <w:rtl/>
              </w:rPr>
            </w:pPr>
          </w:p>
          <w:p w14:paraId="5C9B20D2" w14:textId="77777777" w:rsidR="00FC7C3D" w:rsidRDefault="00FC7C3D" w:rsidP="0069122D">
            <w:pPr>
              <w:jc w:val="center"/>
              <w:rPr>
                <w:rFonts w:ascii="Arial" w:hAnsi="Arial"/>
                <w:b/>
                <w:bCs/>
                <w:sz w:val="30"/>
                <w:szCs w:val="30"/>
                <w:highlight w:val="yellow"/>
                <w:rtl/>
              </w:rPr>
            </w:pPr>
          </w:p>
          <w:p w14:paraId="4646ED7C" w14:textId="77777777" w:rsidR="00CE1223" w:rsidRPr="00CE1223" w:rsidRDefault="00CE1223" w:rsidP="0069122D">
            <w:pPr>
              <w:jc w:val="center"/>
              <w:rPr>
                <w:rFonts w:ascii="Arial" w:hAnsi="Arial"/>
                <w:b/>
                <w:bCs/>
                <w:sz w:val="30"/>
                <w:szCs w:val="30"/>
                <w:highlight w:val="yellow"/>
                <w:rtl/>
              </w:rPr>
            </w:pPr>
          </w:p>
          <w:p w14:paraId="2A1175AE" w14:textId="77777777" w:rsidR="00FC7C3D" w:rsidRDefault="00FC7C3D" w:rsidP="00CE1223">
            <w:pPr>
              <w:jc w:val="center"/>
              <w:rPr>
                <w:rFonts w:ascii="Arial" w:hAnsi="Arial"/>
                <w:sz w:val="30"/>
                <w:szCs w:val="30"/>
                <w:highlight w:val="yellow"/>
                <w:rtl/>
              </w:rPr>
            </w:pPr>
            <w:bookmarkStart w:id="3" w:name="PsakDin"/>
            <w:bookmarkStart w:id="4" w:name="LawTable"/>
            <w:bookmarkEnd w:id="4"/>
          </w:p>
          <w:p w14:paraId="7ADC608F" w14:textId="77777777" w:rsidR="00FC7C3D" w:rsidRPr="00FC7C3D" w:rsidRDefault="00FC7C3D" w:rsidP="00FC7C3D">
            <w:pPr>
              <w:spacing w:after="120" w:line="240" w:lineRule="exact"/>
              <w:ind w:left="283" w:hanging="283"/>
              <w:jc w:val="both"/>
              <w:rPr>
                <w:rFonts w:ascii="FrankRuehl" w:hAnsi="FrankRuehl" w:cs="FrankRuehl"/>
                <w:highlight w:val="yellow"/>
                <w:rtl/>
              </w:rPr>
            </w:pPr>
          </w:p>
          <w:p w14:paraId="737151AC" w14:textId="77777777" w:rsidR="00FC7C3D" w:rsidRPr="00FC7C3D" w:rsidRDefault="00FC7C3D" w:rsidP="00FC7C3D">
            <w:pPr>
              <w:spacing w:after="120" w:line="240" w:lineRule="exact"/>
              <w:ind w:left="283" w:hanging="283"/>
              <w:jc w:val="both"/>
              <w:rPr>
                <w:rFonts w:ascii="FrankRuehl" w:hAnsi="FrankRuehl" w:cs="FrankRuehl"/>
                <w:highlight w:val="yellow"/>
                <w:rtl/>
              </w:rPr>
            </w:pPr>
            <w:r w:rsidRPr="00FC7C3D">
              <w:rPr>
                <w:rFonts w:ascii="FrankRuehl" w:hAnsi="FrankRuehl" w:cs="FrankRuehl"/>
                <w:highlight w:val="yellow"/>
                <w:rtl/>
              </w:rPr>
              <w:t xml:space="preserve">חקיקה שאוזכרה: </w:t>
            </w:r>
          </w:p>
          <w:p w14:paraId="5D5719E9" w14:textId="77777777" w:rsidR="00FC7C3D" w:rsidRPr="00FC7C3D" w:rsidRDefault="00FC7C3D" w:rsidP="00FC7C3D">
            <w:pPr>
              <w:spacing w:after="120" w:line="240" w:lineRule="exact"/>
              <w:ind w:left="283" w:hanging="283"/>
              <w:jc w:val="both"/>
              <w:rPr>
                <w:rFonts w:ascii="FrankRuehl" w:hAnsi="FrankRuehl" w:cs="FrankRuehl"/>
                <w:highlight w:val="yellow"/>
                <w:rtl/>
              </w:rPr>
            </w:pPr>
            <w:hyperlink r:id="rId7" w:history="1">
              <w:r w:rsidRPr="00FC7C3D">
                <w:rPr>
                  <w:rFonts w:ascii="FrankRuehl" w:hAnsi="FrankRuehl" w:cs="FrankRuehl"/>
                  <w:color w:val="0000FF"/>
                  <w:highlight w:val="yellow"/>
                  <w:u w:val="single"/>
                  <w:rtl/>
                </w:rPr>
                <w:t>חוק העונשין, תשל"ז-1977</w:t>
              </w:r>
            </w:hyperlink>
            <w:r w:rsidRPr="00FC7C3D">
              <w:rPr>
                <w:rFonts w:ascii="FrankRuehl" w:hAnsi="FrankRuehl" w:cs="FrankRuehl"/>
                <w:highlight w:val="yellow"/>
                <w:rtl/>
              </w:rPr>
              <w:t xml:space="preserve">: סע'  </w:t>
            </w:r>
            <w:hyperlink r:id="rId8" w:history="1">
              <w:r w:rsidRPr="00FC7C3D">
                <w:rPr>
                  <w:rFonts w:ascii="FrankRuehl" w:hAnsi="FrankRuehl" w:cs="FrankRuehl"/>
                  <w:color w:val="0000FF"/>
                  <w:highlight w:val="yellow"/>
                  <w:u w:val="single"/>
                  <w:rtl/>
                </w:rPr>
                <w:t>345(א)(2)</w:t>
              </w:r>
            </w:hyperlink>
            <w:r w:rsidRPr="00FC7C3D">
              <w:rPr>
                <w:rFonts w:ascii="FrankRuehl" w:hAnsi="FrankRuehl" w:cs="FrankRuehl"/>
                <w:highlight w:val="yellow"/>
                <w:rtl/>
              </w:rPr>
              <w:t xml:space="preserve">, </w:t>
            </w:r>
            <w:hyperlink r:id="rId9" w:history="1">
              <w:r w:rsidRPr="00FC7C3D">
                <w:rPr>
                  <w:rFonts w:ascii="FrankRuehl" w:hAnsi="FrankRuehl" w:cs="FrankRuehl"/>
                  <w:color w:val="0000FF"/>
                  <w:highlight w:val="yellow"/>
                  <w:u w:val="single"/>
                  <w:rtl/>
                </w:rPr>
                <w:t>348(א)</w:t>
              </w:r>
            </w:hyperlink>
          </w:p>
          <w:p w14:paraId="7189E52B" w14:textId="77777777" w:rsidR="00FC7C3D" w:rsidRPr="00FC7C3D" w:rsidRDefault="00FC7C3D" w:rsidP="00FC7C3D">
            <w:pPr>
              <w:spacing w:after="120" w:line="240" w:lineRule="exact"/>
              <w:ind w:left="283" w:hanging="283"/>
              <w:jc w:val="both"/>
              <w:rPr>
                <w:rFonts w:ascii="FrankRuehl" w:hAnsi="FrankRuehl" w:cs="FrankRuehl"/>
                <w:highlight w:val="yellow"/>
                <w:rtl/>
              </w:rPr>
            </w:pPr>
          </w:p>
          <w:p w14:paraId="5229A78B" w14:textId="77777777" w:rsidR="00FC7C3D" w:rsidRPr="00FC7C3D" w:rsidRDefault="00FC7C3D" w:rsidP="00CE1223">
            <w:pPr>
              <w:jc w:val="center"/>
              <w:rPr>
                <w:rFonts w:ascii="Arial" w:hAnsi="Arial"/>
                <w:sz w:val="30"/>
                <w:szCs w:val="30"/>
                <w:highlight w:val="yellow"/>
                <w:rtl/>
              </w:rPr>
            </w:pPr>
            <w:bookmarkStart w:id="5" w:name="LawTable_End"/>
            <w:bookmarkEnd w:id="5"/>
          </w:p>
          <w:p w14:paraId="230D6254" w14:textId="77777777" w:rsidR="00756B84" w:rsidRPr="00756B84" w:rsidRDefault="00756B84" w:rsidP="00CE1223">
            <w:pPr>
              <w:jc w:val="center"/>
              <w:rPr>
                <w:rFonts w:ascii="Arial" w:hAnsi="Arial"/>
                <w:sz w:val="30"/>
                <w:szCs w:val="30"/>
                <w:highlight w:val="yellow"/>
                <w:rtl/>
              </w:rPr>
            </w:pPr>
          </w:p>
          <w:p w14:paraId="5381FA65" w14:textId="77777777" w:rsidR="00CE1223" w:rsidRPr="00CE1223" w:rsidRDefault="00CE1223" w:rsidP="00CE1223">
            <w:pPr>
              <w:jc w:val="center"/>
              <w:rPr>
                <w:rFonts w:ascii="Arial" w:hAnsi="Arial"/>
                <w:b/>
                <w:bCs/>
                <w:sz w:val="30"/>
                <w:szCs w:val="30"/>
                <w:highlight w:val="yellow"/>
                <w:rtl/>
              </w:rPr>
            </w:pPr>
            <w:r w:rsidRPr="00CE1223">
              <w:rPr>
                <w:rFonts w:ascii="Arial" w:hAnsi="Arial"/>
                <w:b/>
                <w:bCs/>
                <w:sz w:val="30"/>
                <w:szCs w:val="30"/>
                <w:highlight w:val="yellow"/>
                <w:rtl/>
              </w:rPr>
              <w:t>הכרעת - דין</w:t>
            </w:r>
          </w:p>
          <w:bookmarkEnd w:id="3"/>
          <w:p w14:paraId="3C6FD247" w14:textId="77777777" w:rsidR="000F6B7D" w:rsidRPr="0069122D" w:rsidRDefault="000F6B7D" w:rsidP="0069122D">
            <w:pPr>
              <w:jc w:val="center"/>
              <w:rPr>
                <w:rFonts w:ascii="Arial" w:hAnsi="Arial"/>
                <w:bCs/>
                <w:noProof/>
                <w:sz w:val="30"/>
                <w:szCs w:val="30"/>
                <w:lang w:eastAsia="he-IL"/>
              </w:rPr>
            </w:pPr>
          </w:p>
        </w:tc>
      </w:tr>
      <w:bookmarkEnd w:id="0"/>
    </w:tbl>
    <w:p w14:paraId="1E50CC31" w14:textId="77777777" w:rsidR="000F6B7D" w:rsidRDefault="000F6B7D">
      <w:pPr>
        <w:rPr>
          <w:rFonts w:ascii="Arial" w:hAnsi="Arial"/>
          <w:sz w:val="26"/>
          <w:szCs w:val="26"/>
        </w:rPr>
      </w:pPr>
    </w:p>
    <w:p w14:paraId="1CB62E66" w14:textId="77777777" w:rsidR="000F6B7D" w:rsidRDefault="0069122D">
      <w:pPr>
        <w:jc w:val="center"/>
        <w:rPr>
          <w:rFonts w:ascii="Arial" w:hAnsi="Arial"/>
          <w:b/>
          <w:bCs/>
          <w:sz w:val="26"/>
          <w:szCs w:val="26"/>
          <w:rtl/>
        </w:rPr>
      </w:pPr>
      <w:r>
        <w:rPr>
          <w:rFonts w:ascii="Arial" w:hAnsi="Arial" w:hint="cs"/>
          <w:b/>
          <w:bCs/>
          <w:sz w:val="26"/>
          <w:szCs w:val="26"/>
          <w:rtl/>
        </w:rPr>
        <w:t>אני אוסרת פרסום שמה של המתלוננת וכל פרט מזהה אחר</w:t>
      </w:r>
    </w:p>
    <w:p w14:paraId="141EB42F" w14:textId="77777777" w:rsidR="000F6B7D" w:rsidRDefault="000F6B7D">
      <w:pPr>
        <w:jc w:val="center"/>
        <w:rPr>
          <w:rFonts w:ascii="Arial" w:hAnsi="Arial"/>
          <w:b/>
          <w:bCs/>
          <w:sz w:val="26"/>
          <w:szCs w:val="26"/>
          <w:rtl/>
        </w:rPr>
      </w:pPr>
    </w:p>
    <w:p w14:paraId="78F31A3B" w14:textId="77777777" w:rsidR="000F6B7D" w:rsidRDefault="0069122D">
      <w:pPr>
        <w:jc w:val="both"/>
        <w:rPr>
          <w:rFonts w:ascii="Arial" w:hAnsi="Arial"/>
          <w:b/>
          <w:bCs/>
          <w:noProof/>
          <w:sz w:val="26"/>
          <w:szCs w:val="26"/>
          <w:rtl/>
          <w:lang w:eastAsia="he-IL"/>
        </w:rPr>
      </w:pPr>
      <w:r>
        <w:rPr>
          <w:rFonts w:ascii="Arial" w:hAnsi="Arial" w:hint="cs"/>
          <w:b/>
          <w:bCs/>
          <w:sz w:val="26"/>
          <w:szCs w:val="26"/>
          <w:rtl/>
        </w:rPr>
        <w:t>בפתח הדיון הביע בית משפט התנצלות בפני הנאשם וב"כ הצדדים על העיכוב שהתעכב מתן הכרעת הדין וזאת בשל עומס עבודה ותקלה בלשכתי</w:t>
      </w:r>
      <w:r>
        <w:rPr>
          <w:rFonts w:ascii="Arial" w:hAnsi="Arial" w:hint="cs"/>
          <w:b/>
          <w:bCs/>
          <w:noProof/>
          <w:sz w:val="26"/>
          <w:szCs w:val="26"/>
          <w:rtl/>
          <w:lang w:eastAsia="he-IL"/>
        </w:rPr>
        <w:t>.</w:t>
      </w:r>
    </w:p>
    <w:p w14:paraId="21423B40" w14:textId="77777777" w:rsidR="000F6B7D" w:rsidRDefault="0069122D">
      <w:pPr>
        <w:pStyle w:val="Heading1"/>
        <w:spacing w:line="360" w:lineRule="auto"/>
        <w:rPr>
          <w:sz w:val="26"/>
          <w:szCs w:val="26"/>
        </w:rPr>
      </w:pPr>
      <w:r>
        <w:rPr>
          <w:rFonts w:hint="cs"/>
          <w:sz w:val="28"/>
          <w:szCs w:val="26"/>
          <w:highlight w:val="yellow"/>
          <w:rtl/>
        </w:rPr>
        <w:t>א. כתב האישום ותשובת הנאשם</w:t>
      </w:r>
    </w:p>
    <w:p w14:paraId="04E7DCCC" w14:textId="77777777" w:rsidR="000F6B7D" w:rsidRDefault="0069122D">
      <w:pPr>
        <w:spacing w:line="360" w:lineRule="auto"/>
        <w:jc w:val="both"/>
        <w:rPr>
          <w:sz w:val="26"/>
          <w:rtl/>
        </w:rPr>
      </w:pPr>
      <w:r>
        <w:rPr>
          <w:rFonts w:hint="cs"/>
          <w:sz w:val="26"/>
          <w:rtl/>
        </w:rPr>
        <w:t>כתב האישום שלפני מייחס לעדאל קשקוש, יליד 1967 (להלן: "</w:t>
      </w:r>
      <w:r>
        <w:rPr>
          <w:rFonts w:hint="cs"/>
          <w:b/>
          <w:bCs/>
          <w:sz w:val="26"/>
          <w:rtl/>
        </w:rPr>
        <w:t>הנאשם</w:t>
      </w:r>
      <w:r>
        <w:rPr>
          <w:rFonts w:hint="cs"/>
          <w:sz w:val="26"/>
          <w:rtl/>
        </w:rPr>
        <w:t xml:space="preserve">"), עבירה לפי </w:t>
      </w:r>
      <w:hyperlink r:id="rId10" w:history="1">
        <w:r w:rsidR="00FC7C3D" w:rsidRPr="00FC7C3D">
          <w:rPr>
            <w:color w:val="0000FF"/>
            <w:sz w:val="26"/>
            <w:u w:val="single"/>
            <w:rtl/>
          </w:rPr>
          <w:t>סעיף 348(א)</w:t>
        </w:r>
      </w:hyperlink>
      <w:r>
        <w:rPr>
          <w:rFonts w:hint="cs"/>
          <w:sz w:val="26"/>
          <w:rtl/>
        </w:rPr>
        <w:t xml:space="preserve"> בנסיבות </w:t>
      </w:r>
      <w:hyperlink r:id="rId11" w:history="1">
        <w:r w:rsidR="00FC7C3D" w:rsidRPr="00FC7C3D">
          <w:rPr>
            <w:color w:val="0000FF"/>
            <w:sz w:val="26"/>
            <w:u w:val="single"/>
            <w:rtl/>
          </w:rPr>
          <w:t>סעיף 345(א)(2)</w:t>
        </w:r>
      </w:hyperlink>
      <w:r>
        <w:rPr>
          <w:rFonts w:hint="cs"/>
          <w:sz w:val="26"/>
          <w:rtl/>
        </w:rPr>
        <w:t xml:space="preserve"> ל</w:t>
      </w:r>
      <w:hyperlink r:id="rId12" w:history="1">
        <w:r w:rsidR="00756B84" w:rsidRPr="00756B84">
          <w:rPr>
            <w:rStyle w:val="Hyperlink"/>
            <w:sz w:val="26"/>
            <w:rtl/>
          </w:rPr>
          <w:t>חוק העונשין</w:t>
        </w:r>
      </w:hyperlink>
      <w:r>
        <w:rPr>
          <w:rFonts w:hint="cs"/>
          <w:sz w:val="26"/>
          <w:rtl/>
        </w:rPr>
        <w:t>, תשל"ז-1977 (להלן: "</w:t>
      </w:r>
      <w:r>
        <w:rPr>
          <w:rFonts w:hint="cs"/>
          <w:b/>
          <w:bCs/>
          <w:sz w:val="26"/>
          <w:rtl/>
        </w:rPr>
        <w:t>החוק</w:t>
      </w:r>
      <w:r>
        <w:rPr>
          <w:rFonts w:hint="cs"/>
          <w:sz w:val="26"/>
          <w:rtl/>
        </w:rPr>
        <w:t xml:space="preserve">"). </w:t>
      </w:r>
    </w:p>
    <w:p w14:paraId="4E0E29B8" w14:textId="77777777" w:rsidR="000F6B7D" w:rsidRDefault="0069122D">
      <w:pPr>
        <w:spacing w:line="360" w:lineRule="auto"/>
        <w:jc w:val="both"/>
        <w:rPr>
          <w:rtl/>
        </w:rPr>
      </w:pPr>
      <w:r>
        <w:rPr>
          <w:rFonts w:hint="cs"/>
          <w:sz w:val="26"/>
          <w:rtl/>
        </w:rPr>
        <w:t>התביעה טוענת, שבתאריך 24.07.06, תוך כדי עבודתו כאח בבית חולים "אסותא" בתל אביב (להלן: "</w:t>
      </w:r>
      <w:r>
        <w:rPr>
          <w:rFonts w:hint="cs"/>
          <w:b/>
          <w:bCs/>
          <w:sz w:val="26"/>
          <w:rtl/>
        </w:rPr>
        <w:t>ביה"ח</w:t>
      </w:r>
      <w:r>
        <w:rPr>
          <w:rFonts w:hint="cs"/>
          <w:sz w:val="26"/>
          <w:rtl/>
        </w:rPr>
        <w:t>" ו/או "</w:t>
      </w:r>
      <w:r>
        <w:rPr>
          <w:rFonts w:hint="cs"/>
          <w:b/>
          <w:bCs/>
          <w:sz w:val="26"/>
          <w:rtl/>
        </w:rPr>
        <w:t>אסותא</w:t>
      </w:r>
      <w:r>
        <w:rPr>
          <w:rFonts w:hint="cs"/>
          <w:sz w:val="26"/>
          <w:rtl/>
        </w:rPr>
        <w:t>"), ביצע מעשה מגונה במטופלת ד.ק. (להלן: "</w:t>
      </w:r>
      <w:r>
        <w:rPr>
          <w:rFonts w:hint="cs"/>
          <w:b/>
          <w:bCs/>
          <w:sz w:val="26"/>
          <w:rtl/>
        </w:rPr>
        <w:t>המתלוננת</w:t>
      </w:r>
      <w:r>
        <w:rPr>
          <w:rFonts w:hint="cs"/>
          <w:sz w:val="26"/>
          <w:rtl/>
        </w:rPr>
        <w:t xml:space="preserve">"), שהגיעה לביה"ח </w:t>
      </w:r>
      <w:r>
        <w:rPr>
          <w:rFonts w:hint="cs"/>
          <w:sz w:val="26"/>
          <w:rtl/>
        </w:rPr>
        <w:lastRenderedPageBreak/>
        <w:t>על מנת לעבור ניתוח להוצאת גידול משד שמאל (להלן: "</w:t>
      </w:r>
      <w:r>
        <w:rPr>
          <w:rFonts w:hint="cs"/>
          <w:b/>
          <w:bCs/>
          <w:sz w:val="26"/>
          <w:rtl/>
        </w:rPr>
        <w:t>הניתוח</w:t>
      </w:r>
      <w:r>
        <w:rPr>
          <w:rFonts w:hint="cs"/>
          <w:sz w:val="26"/>
          <w:rtl/>
        </w:rPr>
        <w:t xml:space="preserve">"), וזאת לאחר שקיבל הסכמתה במרמה. </w:t>
      </w:r>
    </w:p>
    <w:p w14:paraId="106346BF" w14:textId="77777777" w:rsidR="000F6B7D" w:rsidRDefault="00756B84">
      <w:pPr>
        <w:spacing w:line="360" w:lineRule="auto"/>
        <w:ind w:left="360"/>
        <w:jc w:val="both"/>
        <w:rPr>
          <w:rtl/>
        </w:rPr>
      </w:pPr>
      <w:r>
        <w:rPr>
          <w:rFonts w:hint="cs"/>
          <w:rtl/>
        </w:rPr>
        <w:t xml:space="preserve"> </w:t>
      </w:r>
    </w:p>
    <w:p w14:paraId="4B9DCB21" w14:textId="77777777" w:rsidR="000F6B7D" w:rsidRDefault="0069122D">
      <w:pPr>
        <w:spacing w:line="360" w:lineRule="auto"/>
        <w:jc w:val="both"/>
        <w:rPr>
          <w:sz w:val="26"/>
          <w:rtl/>
        </w:rPr>
      </w:pPr>
      <w:r>
        <w:rPr>
          <w:rFonts w:hint="cs"/>
          <w:sz w:val="26"/>
          <w:rtl/>
        </w:rPr>
        <w:t>באמצעות בא כוחו, עו"ד ג'לג'ולי (להלן: "</w:t>
      </w:r>
      <w:r>
        <w:rPr>
          <w:rFonts w:hint="cs"/>
          <w:b/>
          <w:bCs/>
          <w:sz w:val="26"/>
          <w:rtl/>
        </w:rPr>
        <w:t>הסנגור</w:t>
      </w:r>
      <w:r>
        <w:rPr>
          <w:rFonts w:hint="cs"/>
          <w:sz w:val="26"/>
          <w:rtl/>
        </w:rPr>
        <w:t xml:space="preserve">") כפר הנאשם בעובדות בכתב האישום, אשר יש בהן לבסס עבירה ונקבע מועד לשמיעת ראיות. </w:t>
      </w:r>
    </w:p>
    <w:p w14:paraId="7F867E3C" w14:textId="77777777" w:rsidR="000F6B7D" w:rsidRDefault="00756B84">
      <w:pPr>
        <w:spacing w:line="360" w:lineRule="auto"/>
        <w:jc w:val="both"/>
        <w:rPr>
          <w:sz w:val="26"/>
          <w:rtl/>
        </w:rPr>
      </w:pPr>
      <w:r>
        <w:rPr>
          <w:rFonts w:hint="cs"/>
          <w:sz w:val="26"/>
          <w:rtl/>
        </w:rPr>
        <w:t xml:space="preserve"> </w:t>
      </w:r>
    </w:p>
    <w:p w14:paraId="65A5CE6A" w14:textId="77777777" w:rsidR="000F6B7D" w:rsidRDefault="0069122D">
      <w:pPr>
        <w:spacing w:line="360" w:lineRule="auto"/>
        <w:jc w:val="both"/>
        <w:rPr>
          <w:sz w:val="26"/>
          <w:rtl/>
        </w:rPr>
      </w:pPr>
      <w:r>
        <w:rPr>
          <w:rFonts w:hint="cs"/>
          <w:b/>
          <w:bCs/>
          <w:sz w:val="28"/>
          <w:szCs w:val="26"/>
          <w:rtl/>
        </w:rPr>
        <w:t>לתביעה</w:t>
      </w:r>
      <w:r>
        <w:rPr>
          <w:rFonts w:hint="cs"/>
          <w:sz w:val="26"/>
          <w:rtl/>
        </w:rPr>
        <w:t xml:space="preserve"> העידו שני אנשי משטרה ושבעה אזרחים. השוטרים: </w:t>
      </w:r>
      <w:r>
        <w:rPr>
          <w:rFonts w:hint="cs"/>
          <w:b/>
          <w:bCs/>
          <w:sz w:val="26"/>
          <w:rtl/>
        </w:rPr>
        <w:t>רס"ר ליאת כנפו</w:t>
      </w:r>
      <w:r>
        <w:rPr>
          <w:rFonts w:hint="cs"/>
          <w:sz w:val="26"/>
          <w:rtl/>
        </w:rPr>
        <w:t xml:space="preserve"> (פ/ ע' 71-72)– חקרה את הנאשם וגבתה את הודעתו ת/1, </w:t>
      </w:r>
      <w:r>
        <w:rPr>
          <w:rFonts w:hint="cs"/>
          <w:b/>
          <w:bCs/>
          <w:sz w:val="26"/>
          <w:rtl/>
        </w:rPr>
        <w:t>רס"ב ויוי טקו</w:t>
      </w:r>
      <w:r>
        <w:rPr>
          <w:rFonts w:hint="cs"/>
          <w:sz w:val="26"/>
          <w:rtl/>
        </w:rPr>
        <w:t xml:space="preserve"> (פ/ ע' 72-76) – ביצעה עימות בין הנאשם למתלוננת וערכה את דו"ח העימות </w:t>
      </w:r>
      <w:r>
        <w:rPr>
          <w:rFonts w:hint="cs"/>
          <w:b/>
          <w:bCs/>
          <w:sz w:val="26"/>
          <w:rtl/>
        </w:rPr>
        <w:t>ת//2</w:t>
      </w:r>
      <w:r>
        <w:rPr>
          <w:rFonts w:hint="cs"/>
          <w:sz w:val="26"/>
          <w:rtl/>
        </w:rPr>
        <w:t xml:space="preserve"> ואת הזכ"ד </w:t>
      </w:r>
      <w:r>
        <w:rPr>
          <w:rFonts w:hint="cs"/>
          <w:b/>
          <w:bCs/>
          <w:sz w:val="26"/>
          <w:rtl/>
        </w:rPr>
        <w:t>ת/3</w:t>
      </w:r>
      <w:r>
        <w:rPr>
          <w:rFonts w:hint="cs"/>
          <w:sz w:val="26"/>
          <w:rtl/>
        </w:rPr>
        <w:t>. האזרחים:</w:t>
      </w:r>
      <w:r>
        <w:rPr>
          <w:rFonts w:hint="cs"/>
          <w:b/>
          <w:bCs/>
          <w:sz w:val="26"/>
          <w:rtl/>
        </w:rPr>
        <w:t xml:space="preserve"> המתלוננת</w:t>
      </w:r>
      <w:r>
        <w:rPr>
          <w:rFonts w:hint="cs"/>
          <w:sz w:val="26"/>
          <w:rtl/>
        </w:rPr>
        <w:t xml:space="preserve"> (פ/ ע' 4-34), </w:t>
      </w:r>
      <w:r>
        <w:rPr>
          <w:rFonts w:hint="cs"/>
          <w:b/>
          <w:bCs/>
          <w:sz w:val="26"/>
          <w:rtl/>
        </w:rPr>
        <w:t>אימה</w:t>
      </w:r>
      <w:r>
        <w:rPr>
          <w:rFonts w:hint="cs"/>
          <w:sz w:val="26"/>
          <w:rtl/>
        </w:rPr>
        <w:t xml:space="preserve"> (פ/ ע' 34-43), </w:t>
      </w:r>
      <w:r>
        <w:rPr>
          <w:rFonts w:hint="cs"/>
          <w:b/>
          <w:bCs/>
          <w:sz w:val="26"/>
          <w:rtl/>
        </w:rPr>
        <w:t>בעלה</w:t>
      </w:r>
      <w:r>
        <w:rPr>
          <w:rFonts w:hint="cs"/>
          <w:sz w:val="26"/>
          <w:rtl/>
        </w:rPr>
        <w:t xml:space="preserve"> (פ/ ע' 44-51), </w:t>
      </w:r>
      <w:r>
        <w:rPr>
          <w:rFonts w:hint="cs"/>
          <w:b/>
          <w:bCs/>
          <w:sz w:val="26"/>
          <w:rtl/>
        </w:rPr>
        <w:t>ד"ר כהנא</w:t>
      </w:r>
      <w:r>
        <w:rPr>
          <w:rFonts w:hint="cs"/>
          <w:sz w:val="26"/>
          <w:rtl/>
        </w:rPr>
        <w:t xml:space="preserve"> (פ/ ע' 57-61)– רופא נשים שכיהן בתקופה הרלוונטית כסגן מנהל ביה"ח אסותא, </w:t>
      </w:r>
      <w:r>
        <w:rPr>
          <w:rFonts w:hint="cs"/>
          <w:b/>
          <w:bCs/>
          <w:sz w:val="26"/>
          <w:rtl/>
        </w:rPr>
        <w:t>ד"ר גולדשטיין</w:t>
      </w:r>
      <w:r>
        <w:rPr>
          <w:rFonts w:hint="cs"/>
          <w:sz w:val="26"/>
          <w:rtl/>
        </w:rPr>
        <w:t xml:space="preserve"> (פ/ ע' 61-69) – רופא כירורג שניתח את המתלוננת בתאריך הרלוונטי בביה"ח, עובדת סוציאלית </w:t>
      </w:r>
      <w:r>
        <w:rPr>
          <w:rFonts w:hint="cs"/>
          <w:b/>
          <w:bCs/>
          <w:sz w:val="26"/>
          <w:rtl/>
        </w:rPr>
        <w:t>תמי מרוז</w:t>
      </w:r>
      <w:r>
        <w:rPr>
          <w:rFonts w:hint="cs"/>
          <w:sz w:val="26"/>
          <w:rtl/>
        </w:rPr>
        <w:t xml:space="preserve"> (פ/ עמ' 77-87) –בתקופה הרלוונטית היתה ממונה על טיפול ומניעת הטרדות מיניות בביה"ח (להלן: "</w:t>
      </w:r>
      <w:r>
        <w:rPr>
          <w:rFonts w:hint="cs"/>
          <w:b/>
          <w:bCs/>
          <w:sz w:val="26"/>
          <w:rtl/>
        </w:rPr>
        <w:t>העו"ס</w:t>
      </w:r>
      <w:r>
        <w:rPr>
          <w:rFonts w:hint="cs"/>
          <w:sz w:val="26"/>
          <w:rtl/>
        </w:rPr>
        <w:t xml:space="preserve">"), </w:t>
      </w:r>
      <w:r>
        <w:rPr>
          <w:rFonts w:hint="cs"/>
          <w:b/>
          <w:bCs/>
          <w:sz w:val="26"/>
          <w:rtl/>
        </w:rPr>
        <w:t>וציפי רוזנברג – גלעד</w:t>
      </w:r>
      <w:r>
        <w:rPr>
          <w:rFonts w:hint="cs"/>
          <w:sz w:val="26"/>
          <w:rtl/>
        </w:rPr>
        <w:t xml:space="preserve"> (פ/ ע' 84-87) – אחות בהנהלת הסיעוד בביה"ח (להלן: "</w:t>
      </w:r>
      <w:r>
        <w:rPr>
          <w:rFonts w:hint="cs"/>
          <w:b/>
          <w:bCs/>
          <w:sz w:val="26"/>
          <w:rtl/>
        </w:rPr>
        <w:t>אחות הסיעוד</w:t>
      </w:r>
      <w:r>
        <w:rPr>
          <w:rFonts w:hint="cs"/>
          <w:sz w:val="26"/>
          <w:rtl/>
        </w:rPr>
        <w:t>").</w:t>
      </w:r>
    </w:p>
    <w:p w14:paraId="24EC93D9" w14:textId="77777777" w:rsidR="000F6B7D" w:rsidRDefault="00756B84">
      <w:pPr>
        <w:spacing w:line="360" w:lineRule="auto"/>
        <w:jc w:val="both"/>
        <w:rPr>
          <w:sz w:val="26"/>
          <w:rtl/>
        </w:rPr>
      </w:pPr>
      <w:r>
        <w:rPr>
          <w:rFonts w:hint="cs"/>
          <w:sz w:val="26"/>
          <w:rtl/>
        </w:rPr>
        <w:t xml:space="preserve"> </w:t>
      </w:r>
    </w:p>
    <w:p w14:paraId="22F0AF6B" w14:textId="77777777" w:rsidR="000F6B7D" w:rsidRDefault="0069122D">
      <w:pPr>
        <w:spacing w:line="360" w:lineRule="auto"/>
        <w:jc w:val="both"/>
        <w:rPr>
          <w:sz w:val="26"/>
          <w:rtl/>
        </w:rPr>
      </w:pPr>
      <w:r>
        <w:rPr>
          <w:rFonts w:hint="cs"/>
          <w:b/>
          <w:bCs/>
          <w:sz w:val="28"/>
          <w:szCs w:val="26"/>
          <w:rtl/>
        </w:rPr>
        <w:t>להגנה</w:t>
      </w:r>
      <w:r>
        <w:rPr>
          <w:rFonts w:hint="cs"/>
          <w:sz w:val="26"/>
          <w:rtl/>
        </w:rPr>
        <w:t xml:space="preserve"> העידו: </w:t>
      </w:r>
      <w:r>
        <w:rPr>
          <w:rFonts w:hint="cs"/>
          <w:b/>
          <w:bCs/>
          <w:sz w:val="26"/>
          <w:rtl/>
        </w:rPr>
        <w:t>הנאשם</w:t>
      </w:r>
      <w:r>
        <w:rPr>
          <w:rFonts w:hint="cs"/>
          <w:sz w:val="26"/>
          <w:rtl/>
        </w:rPr>
        <w:t xml:space="preserve"> (פ/ ע' 94-102), </w:t>
      </w:r>
      <w:r>
        <w:rPr>
          <w:rFonts w:hint="cs"/>
          <w:b/>
          <w:bCs/>
          <w:sz w:val="26"/>
          <w:rtl/>
        </w:rPr>
        <w:t>אביבה אפרתי</w:t>
      </w:r>
      <w:r>
        <w:rPr>
          <w:rFonts w:hint="cs"/>
          <w:sz w:val="26"/>
          <w:rtl/>
        </w:rPr>
        <w:t xml:space="preserve"> (פ/ ע' 89- 92) – אחות אחראית בביה"ח, שהיתה ממונה על הנאשם </w:t>
      </w:r>
      <w:r>
        <w:rPr>
          <w:rFonts w:hint="cs"/>
          <w:b/>
          <w:bCs/>
          <w:sz w:val="26"/>
          <w:rtl/>
        </w:rPr>
        <w:t>ואילנה שולמן</w:t>
      </w:r>
      <w:r>
        <w:rPr>
          <w:rFonts w:hint="cs"/>
          <w:sz w:val="26"/>
          <w:rtl/>
        </w:rPr>
        <w:t xml:space="preserve"> (פ/ ע' 92-94) – סגנית אחראית מחלקה אורולוגית- כירורגית בביה"ח. </w:t>
      </w:r>
    </w:p>
    <w:p w14:paraId="06866F92" w14:textId="77777777" w:rsidR="000F6B7D" w:rsidRDefault="000F6B7D">
      <w:pPr>
        <w:spacing w:line="360" w:lineRule="auto"/>
        <w:jc w:val="both"/>
        <w:rPr>
          <w:sz w:val="26"/>
          <w:rtl/>
        </w:rPr>
      </w:pPr>
    </w:p>
    <w:p w14:paraId="6E72E364" w14:textId="77777777" w:rsidR="000F6B7D" w:rsidRDefault="0069122D">
      <w:pPr>
        <w:spacing w:line="360" w:lineRule="auto"/>
        <w:jc w:val="both"/>
        <w:rPr>
          <w:b/>
          <w:bCs/>
          <w:sz w:val="28"/>
          <w:szCs w:val="26"/>
          <w:rtl/>
        </w:rPr>
      </w:pPr>
      <w:r>
        <w:rPr>
          <w:rFonts w:hint="cs"/>
          <w:b/>
          <w:bCs/>
          <w:sz w:val="28"/>
          <w:szCs w:val="26"/>
          <w:highlight w:val="yellow"/>
          <w:rtl/>
        </w:rPr>
        <w:t>ב. מהחומר שבפני עולה כדלקמן:</w:t>
      </w:r>
    </w:p>
    <w:p w14:paraId="488A6BBD" w14:textId="77777777" w:rsidR="000F6B7D" w:rsidRDefault="0069122D">
      <w:pPr>
        <w:numPr>
          <w:ilvl w:val="0"/>
          <w:numId w:val="1"/>
        </w:numPr>
        <w:spacing w:line="360" w:lineRule="auto"/>
        <w:ind w:right="0"/>
        <w:jc w:val="both"/>
        <w:rPr>
          <w:rtl/>
        </w:rPr>
      </w:pPr>
      <w:r>
        <w:rPr>
          <w:rFonts w:hint="cs"/>
          <w:sz w:val="26"/>
          <w:rtl/>
        </w:rPr>
        <w:t xml:space="preserve">(1) </w:t>
      </w:r>
      <w:r>
        <w:rPr>
          <w:rFonts w:hint="cs"/>
          <w:b/>
          <w:bCs/>
          <w:sz w:val="26"/>
          <w:rtl/>
        </w:rPr>
        <w:t>הנאשם</w:t>
      </w:r>
      <w:r>
        <w:rPr>
          <w:rFonts w:hint="cs"/>
          <w:sz w:val="26"/>
          <w:rtl/>
        </w:rPr>
        <w:t xml:space="preserve"> אח מוסמך בהכשרתו, עבד בביה"ח עובר לפני האירוע כשלוש שנים במחלקה האורולוגית- כירורגית (להלן: "</w:t>
      </w:r>
      <w:r>
        <w:rPr>
          <w:rFonts w:hint="cs"/>
          <w:b/>
          <w:bCs/>
          <w:sz w:val="26"/>
          <w:rtl/>
        </w:rPr>
        <w:t>המחלקה</w:t>
      </w:r>
      <w:r>
        <w:rPr>
          <w:rFonts w:hint="cs"/>
          <w:sz w:val="26"/>
          <w:rtl/>
        </w:rPr>
        <w:t>").</w:t>
      </w:r>
    </w:p>
    <w:p w14:paraId="0154079B" w14:textId="77777777" w:rsidR="000F6B7D" w:rsidRDefault="0069122D">
      <w:pPr>
        <w:spacing w:line="360" w:lineRule="auto"/>
        <w:ind w:left="720"/>
        <w:jc w:val="both"/>
        <w:rPr>
          <w:sz w:val="26"/>
          <w:rtl/>
        </w:rPr>
      </w:pPr>
      <w:r>
        <w:rPr>
          <w:rFonts w:hint="cs"/>
          <w:sz w:val="26"/>
          <w:rtl/>
        </w:rPr>
        <w:t xml:space="preserve">(2) במסגרת תפקידו קיבל מטופלים למחלקה, עיין בהיסטוריה הרפואית שלהם ובתוצאות בדיקות מעבדה רלוונטיות. כמו כן היה עליו לוודא שהחולים העומדים לעבור ניתוח בצום ולבצע בהם בדיקות כגון לחץ דם דופק וכיו"ב (ד"ר כהנא פ/ ע' 58 ש' 1-4, הנאשם פ/ ע' 95 ש' 23- 24). </w:t>
      </w:r>
    </w:p>
    <w:p w14:paraId="0FB485E6" w14:textId="77777777" w:rsidR="000F6B7D" w:rsidRDefault="0069122D">
      <w:pPr>
        <w:spacing w:line="360" w:lineRule="auto"/>
        <w:ind w:left="720"/>
        <w:jc w:val="both"/>
        <w:rPr>
          <w:sz w:val="26"/>
          <w:rtl/>
        </w:rPr>
      </w:pPr>
      <w:r>
        <w:rPr>
          <w:rFonts w:hint="cs"/>
          <w:sz w:val="26"/>
          <w:rtl/>
        </w:rPr>
        <w:t xml:space="preserve">(3) באשר לביצוע בדיקות פיזיות, הנוהל מסמיך אח במעמדו של הנאשם לבצע בדיקה פיזית במטופל רק אם המטופל התלונן בפניו, שמצבו הפיזי השתנה לרעה זמן קצר לפני הניתוח והרופא לא מודע לכך, (ד"ר כהנא פ/ע' 59 ש' 12-13). האח מחויב ברישום שמבצע את הבדיקה ולדווח עליה לרופא המטפל (ד"ר כהנא פ/ע' 61 ש' 16-17). </w:t>
      </w:r>
    </w:p>
    <w:p w14:paraId="1B819210" w14:textId="77777777" w:rsidR="000F6B7D" w:rsidRDefault="0069122D">
      <w:pPr>
        <w:spacing w:line="360" w:lineRule="auto"/>
        <w:ind w:left="720"/>
        <w:jc w:val="both"/>
        <w:rPr>
          <w:rtl/>
        </w:rPr>
      </w:pPr>
      <w:r>
        <w:rPr>
          <w:rFonts w:hint="cs"/>
          <w:sz w:val="26"/>
          <w:rtl/>
        </w:rPr>
        <w:t>(4) כמו כן מתיר הנוהל לאח בתפקידו של הנאשם לעזור למטופל מוגבל פיזית ללבוש חלוק. למטופל שלבש את החלוק במהופך, יסביר האח מילולית כיצד לעשות כן, כשבינו לבין המטופל מפריד פרגוד (ד"ר כהנא פ/ ע' 60 ש' 6-8, תמי פ/ ע' 79 ש' 19-20, הנאשם פ/ ע' 100 ש' 20-21).</w:t>
      </w:r>
    </w:p>
    <w:p w14:paraId="54CD360F" w14:textId="77777777" w:rsidR="000F6B7D" w:rsidRDefault="0069122D">
      <w:pPr>
        <w:numPr>
          <w:ilvl w:val="0"/>
          <w:numId w:val="1"/>
        </w:numPr>
        <w:spacing w:line="360" w:lineRule="auto"/>
        <w:ind w:right="0"/>
        <w:jc w:val="both"/>
        <w:rPr>
          <w:rtl/>
        </w:rPr>
      </w:pPr>
      <w:r>
        <w:rPr>
          <w:rFonts w:hint="cs"/>
          <w:sz w:val="26"/>
          <w:rtl/>
        </w:rPr>
        <w:lastRenderedPageBreak/>
        <w:t xml:space="preserve">(1) </w:t>
      </w:r>
      <w:r>
        <w:rPr>
          <w:rFonts w:hint="cs"/>
          <w:b/>
          <w:bCs/>
          <w:sz w:val="26"/>
          <w:rtl/>
        </w:rPr>
        <w:t>המתלוננת</w:t>
      </w:r>
      <w:r>
        <w:rPr>
          <w:rFonts w:hint="cs"/>
          <w:sz w:val="26"/>
          <w:rtl/>
        </w:rPr>
        <w:t xml:space="preserve"> עלתה לישראל מאורוגוואי ב- 2002. בתאריך הרלוונטי היתה בסוף שנות העשרים לחייה, נשואה ואם לשני ילדים, באותה עת לא שלטה בשפה העברית (פ/ עמ' 4 ש' 1-4). </w:t>
      </w:r>
    </w:p>
    <w:p w14:paraId="5F9FAF28" w14:textId="77777777" w:rsidR="000F6B7D" w:rsidRDefault="0069122D">
      <w:pPr>
        <w:spacing w:line="360" w:lineRule="auto"/>
        <w:ind w:left="720"/>
        <w:jc w:val="both"/>
        <w:rPr>
          <w:rtl/>
        </w:rPr>
      </w:pPr>
      <w:r>
        <w:rPr>
          <w:rFonts w:hint="cs"/>
          <w:sz w:val="26"/>
          <w:rtl/>
        </w:rPr>
        <w:t>(2) זמן מה לפני האירוע, נבדקה המתלוננת במרפאתו של ד"ר גולדשטיין. בדיקת ממוגרפיה גילתה גוש בשד שמאל. בהמלצת הרופא הסכימה המתלוננת להוצאת הגוש בהליך ניתוחי (ד"ר גולדשטיין פ/ ע' 61 ש' 24-27) והניתוח יתקיים בביה"ח אסותא בתאריך 24.07.06 (להלן: "</w:t>
      </w:r>
      <w:r>
        <w:rPr>
          <w:rFonts w:hint="cs"/>
          <w:b/>
          <w:bCs/>
          <w:sz w:val="26"/>
          <w:rtl/>
        </w:rPr>
        <w:t>תאריך האירוע</w:t>
      </w:r>
      <w:r>
        <w:rPr>
          <w:rFonts w:hint="cs"/>
          <w:sz w:val="26"/>
          <w:rtl/>
        </w:rPr>
        <w:t xml:space="preserve">"). </w:t>
      </w:r>
    </w:p>
    <w:p w14:paraId="0C0F81A1" w14:textId="77777777" w:rsidR="000F6B7D" w:rsidRDefault="0069122D">
      <w:pPr>
        <w:spacing w:line="360" w:lineRule="auto"/>
        <w:ind w:left="720"/>
        <w:jc w:val="both"/>
        <w:rPr>
          <w:sz w:val="26"/>
          <w:rtl/>
        </w:rPr>
      </w:pPr>
      <w:r>
        <w:rPr>
          <w:rFonts w:hint="cs"/>
          <w:sz w:val="26"/>
          <w:rtl/>
        </w:rPr>
        <w:t xml:space="preserve">(3) ביום האירוע, הגיעה המתלוננת לביה"ח יחד עם אימה ומסרה לאחות את מסמכיה הרפואיים. על פי רישומי ביה"ח ת/5, הנאשם תשאל את המתלוננת בנוכחות האם ומדד את לחץ דמה (המתלוננת נ/1 ש' 3-4). </w:t>
      </w:r>
    </w:p>
    <w:p w14:paraId="49ECA6C6" w14:textId="77777777" w:rsidR="000F6B7D" w:rsidRDefault="0069122D">
      <w:pPr>
        <w:numPr>
          <w:ilvl w:val="0"/>
          <w:numId w:val="1"/>
        </w:numPr>
        <w:spacing w:line="360" w:lineRule="auto"/>
        <w:ind w:right="0"/>
        <w:jc w:val="both"/>
        <w:rPr>
          <w:rtl/>
        </w:rPr>
      </w:pPr>
      <w:r>
        <w:rPr>
          <w:rFonts w:hint="cs"/>
          <w:rtl/>
        </w:rPr>
        <w:t>הצדדים חלוקים באשר לאירועים במהלך הכנת המתלוננת לניתוח, כדלקמן:</w:t>
      </w:r>
    </w:p>
    <w:p w14:paraId="16C6D6FE" w14:textId="77777777" w:rsidR="000F6B7D" w:rsidRDefault="0069122D">
      <w:pPr>
        <w:numPr>
          <w:ilvl w:val="0"/>
          <w:numId w:val="2"/>
        </w:numPr>
        <w:spacing w:line="360" w:lineRule="auto"/>
        <w:jc w:val="both"/>
        <w:rPr>
          <w:sz w:val="26"/>
          <w:rtl/>
        </w:rPr>
      </w:pPr>
      <w:r>
        <w:rPr>
          <w:rFonts w:hint="cs"/>
          <w:b/>
          <w:bCs/>
          <w:rtl/>
        </w:rPr>
        <w:t>המתלוננת</w:t>
      </w:r>
      <w:r>
        <w:rPr>
          <w:rFonts w:hint="cs"/>
          <w:rtl/>
        </w:rPr>
        <w:t xml:space="preserve"> – טוענת, ש</w:t>
      </w:r>
      <w:r>
        <w:rPr>
          <w:rFonts w:hint="cs"/>
          <w:sz w:val="26"/>
          <w:rtl/>
        </w:rPr>
        <w:t xml:space="preserve">לבקשת הנאשם נכנסה יחד איתו לחדר שסמוך לעמדת האחיות. בהיותם ביחידות, אמר לה שעליו לבדוק אותה טרם הניתוח. המתלוננת סברה שהנאשם כאח בביה"ח מוסמך לבקש זאת ממנה ושלבקשה הצדק רפואי, ולכן הרימה את חולצתה ואת חזייתה וחשפה את שדיה. </w:t>
      </w:r>
      <w:r>
        <w:rPr>
          <w:rFonts w:hint="cs"/>
          <w:rtl/>
        </w:rPr>
        <w:t>לגירסתה - הנאשם עיסה את שדיה בצורה "מוזרה ולא מקצועית".</w:t>
      </w:r>
      <w:r>
        <w:rPr>
          <w:rFonts w:hint="cs"/>
          <w:sz w:val="26"/>
          <w:rtl/>
        </w:rPr>
        <w:t xml:space="preserve"> לאחר מכן, מסר לה חלוק, אמר לה ללבוש אותו אחרי שתפשוט מעליה את כל בגדיה ויצא מהחדר. המתלוננת עשתה כן ורכסה היטב את החלוק מאחור. מספר דקות אחר כך, חזר הנאשם לחדר, טען שהחלוק לא לבוש כיאות, הציע למתלוננת עזרה, אמר לה להרים את ידיה, פתח את החלוק, הפשיל אותו והביט בגופה הערום ורכס את החלוק כפי שהיא עשתה מלכתחילה (ראו ההודעה נ/1 ש' 2 ואילך ופ/ ע' 5 ש' 2 ואילך). </w:t>
      </w:r>
    </w:p>
    <w:p w14:paraId="653298AD" w14:textId="77777777" w:rsidR="000F6B7D" w:rsidRDefault="0069122D">
      <w:pPr>
        <w:numPr>
          <w:ilvl w:val="0"/>
          <w:numId w:val="2"/>
        </w:numPr>
        <w:spacing w:line="360" w:lineRule="auto"/>
        <w:jc w:val="both"/>
        <w:rPr>
          <w:sz w:val="26"/>
          <w:rtl/>
        </w:rPr>
      </w:pPr>
      <w:r>
        <w:rPr>
          <w:rFonts w:hint="cs"/>
          <w:b/>
          <w:bCs/>
          <w:sz w:val="26"/>
          <w:rtl/>
        </w:rPr>
        <w:t>הנאשם</w:t>
      </w:r>
      <w:r>
        <w:rPr>
          <w:rFonts w:hint="cs"/>
          <w:sz w:val="26"/>
          <w:rtl/>
        </w:rPr>
        <w:t xml:space="preserve"> – עקבי בהכחשת המעשים המייחסת לו המתלוננת. לטענתו איננו זוכר אותה, כשם שאיננו זוכר אם קיבל אותה בתאריך הרלוונטי טרם ניתוח. בהנחה וכך היה, פעל, לטענתו, בהתאם לנוהל ביה"ח ולא ביצע במתלוננת את המעשים שהיא מייחסת לו.  </w:t>
      </w:r>
    </w:p>
    <w:p w14:paraId="61180CD9" w14:textId="77777777" w:rsidR="000F6B7D" w:rsidRDefault="0069122D">
      <w:pPr>
        <w:numPr>
          <w:ilvl w:val="0"/>
          <w:numId w:val="1"/>
        </w:numPr>
        <w:spacing w:line="360" w:lineRule="auto"/>
        <w:ind w:right="0"/>
        <w:jc w:val="both"/>
        <w:rPr>
          <w:rtl/>
        </w:rPr>
      </w:pPr>
      <w:r>
        <w:rPr>
          <w:rFonts w:hint="cs"/>
          <w:sz w:val="26"/>
          <w:rtl/>
        </w:rPr>
        <w:t xml:space="preserve">מיד בצאתה מהחדר, סיפרה המתלוננת לאימה ש"משהו מוזר" התרחש במהלך הבדיקה שהנאשם בדק אותה. לתחושתה- הבדיקה לא נעשתה במקצועיות וגרמה לה להרגשה לא נוחה. אימה הרגיעה אותה באומרה שייתכן וזהו תפקידו של אח ומכל מקום ביקשה שלא תחשוב על כך לפני הניתוח (המתלוננת נ/1 ש' 11-12 ועמ' 6 ש' 5-10, האמא פ/ ע' 36 ש' 1-2 ועמ' 39 ש' 20). </w:t>
      </w:r>
    </w:p>
    <w:p w14:paraId="72B1BF2A" w14:textId="77777777" w:rsidR="000F6B7D" w:rsidRDefault="0069122D">
      <w:pPr>
        <w:numPr>
          <w:ilvl w:val="0"/>
          <w:numId w:val="1"/>
        </w:numPr>
        <w:spacing w:line="360" w:lineRule="auto"/>
        <w:ind w:right="0"/>
        <w:jc w:val="both"/>
        <w:rPr>
          <w:rtl/>
        </w:rPr>
      </w:pPr>
      <w:r>
        <w:rPr>
          <w:rFonts w:hint="cs"/>
          <w:sz w:val="26"/>
          <w:rtl/>
        </w:rPr>
        <w:t xml:space="preserve">בתכוף לאחר שיחתה עם אימה, התקשרה המתלוננת לבעלה וגם לו סיפרה שהאח שבדק אותה נגע בה באופן מוזר (המתלוננת נ/1 ש' 12-13 פ/ ע' 9 ש' 12-13, הבעל פ/ע' 44 ש' 18-19). היא הודתה שלא היתה נסערת בשיחה זו (פ/ ע' 13 ש' 18). </w:t>
      </w:r>
    </w:p>
    <w:p w14:paraId="27FFA266" w14:textId="77777777" w:rsidR="000F6B7D" w:rsidRDefault="0069122D">
      <w:pPr>
        <w:numPr>
          <w:ilvl w:val="0"/>
          <w:numId w:val="1"/>
        </w:numPr>
        <w:spacing w:line="360" w:lineRule="auto"/>
        <w:ind w:right="0"/>
        <w:jc w:val="both"/>
        <w:rPr>
          <w:rtl/>
        </w:rPr>
      </w:pPr>
      <w:r>
        <w:rPr>
          <w:rFonts w:hint="cs"/>
          <w:sz w:val="26"/>
          <w:rtl/>
        </w:rPr>
        <w:t xml:space="preserve">בהמשך בדק ד"ר גולדשטיין את מוכנותה של המתלוננת לניתוח, סימן את השד השמאלי. בתום בדיקתו של ד"ר גולדשטיין עלתה המתלוננת למיטת ניתוחים, הנאשם ניגש אליה, נתן לה כוס מים עם כדור הרגעה ואיחל לה הצלחה (המתלוננת פ/ ע' 6 ש' 14-15). </w:t>
      </w:r>
    </w:p>
    <w:p w14:paraId="1505EB83" w14:textId="77777777" w:rsidR="000F6B7D" w:rsidRDefault="0069122D">
      <w:pPr>
        <w:numPr>
          <w:ilvl w:val="0"/>
          <w:numId w:val="1"/>
        </w:numPr>
        <w:spacing w:line="360" w:lineRule="auto"/>
        <w:ind w:right="0"/>
        <w:jc w:val="both"/>
        <w:rPr>
          <w:rtl/>
        </w:rPr>
      </w:pPr>
      <w:r>
        <w:rPr>
          <w:rFonts w:hint="cs"/>
          <w:sz w:val="26"/>
          <w:rtl/>
        </w:rPr>
        <w:t xml:space="preserve">שבוע לאחר הניתוח, הגיעה המתלוננת למרפאתו של ד"ר גולדשטיין לביקורת ולא סיפרה לו על שארע לאחר שנתקבלו תוצאות הביופסיה. כעשרה ימים אחרי הניתוח הגיעה המתלוננת </w:t>
      </w:r>
      <w:r>
        <w:rPr>
          <w:rFonts w:hint="cs"/>
          <w:sz w:val="26"/>
          <w:rtl/>
        </w:rPr>
        <w:lastRenderedPageBreak/>
        <w:t xml:space="preserve">שוב למרפאתו של ד"ר גולדשטיין אשר בישר לה שהתוצאות מוכיחות שאיננה חולה. רק בשלב זה סיפרה בבכי לרופא על האירוע, כפי ששניהם העידו. ד"ר גולדשטיין הבהיר למתלוננת, לדבריו, שלא היה זה מתפקידו של אח לבדוק אותה והוסיף שבמקרה הספציפי לא שלח אח/ רופא מטעמו לעשות כן (פ/ ע' 69 ש' 18 ו- 22-23). בנוכחות המתלוננת, התקשר ד"ר גולדשטיין לביה"ח ושוחח עם אחות הסיעוד (המתלוננת פ/ ע' 27, ד"ר גולדשטיין פ/ עמ' 62 ש' 7 ואילך, העו"ס פ/ ע' 77 ש' 9-13, אחות הסיעוד פ/ ע' 84 ש' 23 ואילך). זמן קצר לאחר מכן התקשרה אחות הסיעוד למתלוננת, הרגיעה אותה ואמרה לה שהעו"ס של ביה"ח תתקשר אליה (המתלוננת פ/ ע' 7 ש' 15,  אחות הסיעוד פ/ ע' 85 ש' 3 ואילך). </w:t>
      </w:r>
    </w:p>
    <w:p w14:paraId="1F28CCDF" w14:textId="77777777" w:rsidR="000F6B7D" w:rsidRDefault="0069122D">
      <w:pPr>
        <w:numPr>
          <w:ilvl w:val="0"/>
          <w:numId w:val="1"/>
        </w:numPr>
        <w:spacing w:line="360" w:lineRule="auto"/>
        <w:ind w:right="0"/>
        <w:jc w:val="both"/>
        <w:rPr>
          <w:rtl/>
        </w:rPr>
      </w:pPr>
      <w:r>
        <w:rPr>
          <w:rFonts w:hint="cs"/>
          <w:sz w:val="26"/>
          <w:rtl/>
        </w:rPr>
        <w:t xml:space="preserve">העו"ס אכן התקשרה למתלוננת ונקבע מועד לפגישה (העו"ס פ/ ע' 77 ש' 17- 20). הפגישה לא התקיימה, בשל חששה של המתלוננת, שפרטיה האישיים יגיעו לידיעת הנאשם ורצונה להיעזר בגורם ניטראלי (המתלוננת פ/ ע' 27 ש' 21 ואילך, תמי פ/ ע' 78 ש' 5 ואילך וע' 79 ש' 25-26). </w:t>
      </w:r>
    </w:p>
    <w:p w14:paraId="7B48370A" w14:textId="77777777" w:rsidR="000F6B7D" w:rsidRDefault="0069122D">
      <w:pPr>
        <w:numPr>
          <w:ilvl w:val="0"/>
          <w:numId w:val="1"/>
        </w:numPr>
        <w:spacing w:line="360" w:lineRule="auto"/>
        <w:ind w:right="0"/>
        <w:jc w:val="both"/>
        <w:rPr>
          <w:rtl/>
        </w:rPr>
      </w:pPr>
      <w:r>
        <w:rPr>
          <w:rFonts w:hint="cs"/>
          <w:sz w:val="26"/>
          <w:rtl/>
        </w:rPr>
        <w:t xml:space="preserve">משלא הצליחה לקבל ייעוץ מעורכת דין שמוצאה מדרום אמריקה, אליה התכוונה לפנות, סיפרה המתלוננת על האירוע למעסיקתה דאז. אותה גברת הפנתה את המתלוננת לעורך הדין דוד אביטל, הדובר ספניולית. באמצע נובמבר נפגשה המתלוננת עם עו"ד אביטל, הוא העלה על הכתב את תלונתה וייעץ לה לפנות למשטרה. עו"ד אביטל התקשר לביה"ח וקיבל מהעו"ס את פרטיו של הנאשם כעולה מ-ת/4. </w:t>
      </w:r>
    </w:p>
    <w:p w14:paraId="1C746509" w14:textId="77777777" w:rsidR="000F6B7D" w:rsidRDefault="0069122D">
      <w:pPr>
        <w:numPr>
          <w:ilvl w:val="0"/>
          <w:numId w:val="1"/>
        </w:numPr>
        <w:spacing w:line="360" w:lineRule="auto"/>
        <w:ind w:right="0"/>
        <w:jc w:val="both"/>
        <w:rPr>
          <w:rtl/>
        </w:rPr>
      </w:pPr>
      <w:r>
        <w:rPr>
          <w:rFonts w:hint="cs"/>
          <w:sz w:val="26"/>
          <w:rtl/>
        </w:rPr>
        <w:t xml:space="preserve">ב- 24.08.06, הגישה המתלוננת במשטרה את התלונה - נ/1. </w:t>
      </w:r>
    </w:p>
    <w:p w14:paraId="3854BB0C" w14:textId="77777777" w:rsidR="000F6B7D" w:rsidRDefault="0069122D">
      <w:pPr>
        <w:numPr>
          <w:ilvl w:val="0"/>
          <w:numId w:val="1"/>
        </w:numPr>
        <w:spacing w:line="360" w:lineRule="auto"/>
        <w:ind w:right="0"/>
        <w:jc w:val="both"/>
        <w:rPr>
          <w:rtl/>
        </w:rPr>
      </w:pPr>
      <w:r>
        <w:rPr>
          <w:rFonts w:hint="cs"/>
          <w:sz w:val="26"/>
          <w:rtl/>
        </w:rPr>
        <w:t>ב- 25.09.06, נחקר הנאשם באזהרה. הוא הודה שתפקידו לא מסמיך אותו לבדוק שדיים של מטופלות והכחיש שעשה כן במתלוננת (ת/1 ע' ש' פ' ע' 96 ש' 3 ואילך).</w:t>
      </w:r>
    </w:p>
    <w:p w14:paraId="25989EB7" w14:textId="77777777" w:rsidR="000F6B7D" w:rsidRDefault="0069122D">
      <w:pPr>
        <w:numPr>
          <w:ilvl w:val="0"/>
          <w:numId w:val="1"/>
        </w:numPr>
        <w:spacing w:line="360" w:lineRule="auto"/>
        <w:ind w:right="0"/>
        <w:jc w:val="both"/>
        <w:rPr>
          <w:rtl/>
        </w:rPr>
      </w:pPr>
      <w:r>
        <w:rPr>
          <w:rFonts w:hint="cs"/>
          <w:sz w:val="26"/>
          <w:rtl/>
        </w:rPr>
        <w:t xml:space="preserve">ב- 4.10.06 נערך עימות בין הנאשם למתלוננת. כל צד נשאר עקבי בגרסתו. </w:t>
      </w:r>
    </w:p>
    <w:p w14:paraId="6B0DA6C6" w14:textId="77777777" w:rsidR="000F6B7D" w:rsidRDefault="0069122D">
      <w:pPr>
        <w:numPr>
          <w:ilvl w:val="0"/>
          <w:numId w:val="1"/>
        </w:numPr>
        <w:spacing w:line="360" w:lineRule="auto"/>
        <w:ind w:right="0"/>
        <w:jc w:val="both"/>
        <w:rPr>
          <w:rtl/>
        </w:rPr>
      </w:pPr>
      <w:r>
        <w:rPr>
          <w:rFonts w:hint="cs"/>
          <w:sz w:val="26"/>
          <w:rtl/>
        </w:rPr>
        <w:t xml:space="preserve">המתלוננת היא עדה יחידה למעשים המיוחסים לנאשם. משכך חפותו ולחילופין אשמתו של הנאשם היא נגזרת ממידת האמון שייתן בית המשפט בגרסת המתלוננת. </w:t>
      </w:r>
    </w:p>
    <w:p w14:paraId="05C3E109" w14:textId="77777777" w:rsidR="000F6B7D" w:rsidRDefault="00756B84">
      <w:pPr>
        <w:spacing w:line="360" w:lineRule="auto"/>
        <w:ind w:left="360" w:right="720"/>
        <w:jc w:val="both"/>
        <w:rPr>
          <w:sz w:val="26"/>
          <w:rtl/>
        </w:rPr>
      </w:pPr>
      <w:r>
        <w:rPr>
          <w:rFonts w:hint="cs"/>
          <w:sz w:val="26"/>
          <w:rtl/>
        </w:rPr>
        <w:t xml:space="preserve"> </w:t>
      </w:r>
    </w:p>
    <w:p w14:paraId="469CC759" w14:textId="77777777" w:rsidR="000F6B7D" w:rsidRDefault="0069122D">
      <w:pPr>
        <w:spacing w:line="360" w:lineRule="auto"/>
        <w:jc w:val="both"/>
        <w:rPr>
          <w:b/>
          <w:bCs/>
          <w:sz w:val="28"/>
          <w:szCs w:val="28"/>
          <w:rtl/>
        </w:rPr>
      </w:pPr>
      <w:r>
        <w:rPr>
          <w:rFonts w:hint="cs"/>
          <w:b/>
          <w:bCs/>
          <w:sz w:val="26"/>
          <w:szCs w:val="26"/>
          <w:highlight w:val="yellow"/>
          <w:rtl/>
        </w:rPr>
        <w:t>ג. הסיכומים</w:t>
      </w:r>
    </w:p>
    <w:p w14:paraId="07987A33" w14:textId="77777777" w:rsidR="000F6B7D" w:rsidRDefault="0069122D">
      <w:pPr>
        <w:spacing w:line="360" w:lineRule="auto"/>
        <w:jc w:val="both"/>
        <w:rPr>
          <w:rtl/>
        </w:rPr>
      </w:pPr>
      <w:r>
        <w:rPr>
          <w:rFonts w:hint="cs"/>
          <w:b/>
          <w:bCs/>
          <w:rtl/>
        </w:rPr>
        <w:t>התובעת</w:t>
      </w:r>
      <w:r>
        <w:rPr>
          <w:rFonts w:hint="cs"/>
          <w:rtl/>
        </w:rPr>
        <w:t xml:space="preserve"> – עו"ד ל. מלצמן ביקשה בסיכומיה להעדיף את גרסת המתלוננת על פני גרסת הנאשם. התובעת הצביעה על ראיות ועדויות חיצוניות המחזקות ומאמתות את גרסת המתלוננת. היא ביקשה שלא ליתן משקל לשיהוי בהגשת התלונה במשטרה, שכן המתלוננת סיפרה על האירוע מיד לאחר קרותו לבני משפחתה ולאחר מכן לד"ר גולדשטיין שעירב את צוות ביה"ח. בהקשר לגרסת הנאשם הדגישה התובעת את העובדה שלראשונה טען בבית המשפט שהמתלוננת התבלבלה בזהות האח שקיבל אותה. למתלוננת לא ניתנה הזדמנות להשיב לטענה, הגרסה כבושה ולדעת התובעת איננה אמינה.</w:t>
      </w:r>
    </w:p>
    <w:p w14:paraId="7F94BA55" w14:textId="77777777" w:rsidR="000F6B7D" w:rsidRDefault="00756B84">
      <w:pPr>
        <w:spacing w:line="360" w:lineRule="auto"/>
        <w:jc w:val="both"/>
        <w:rPr>
          <w:rtl/>
        </w:rPr>
      </w:pPr>
      <w:r>
        <w:rPr>
          <w:rFonts w:hint="cs"/>
          <w:rtl/>
        </w:rPr>
        <w:t xml:space="preserve"> </w:t>
      </w:r>
    </w:p>
    <w:p w14:paraId="07BD5DD9" w14:textId="77777777" w:rsidR="000F6B7D" w:rsidRDefault="0069122D">
      <w:pPr>
        <w:spacing w:line="360" w:lineRule="auto"/>
        <w:jc w:val="both"/>
        <w:rPr>
          <w:rtl/>
        </w:rPr>
      </w:pPr>
      <w:r>
        <w:rPr>
          <w:rFonts w:hint="cs"/>
          <w:b/>
          <w:bCs/>
          <w:rtl/>
        </w:rPr>
        <w:t xml:space="preserve">הסנגור </w:t>
      </w:r>
      <w:r>
        <w:rPr>
          <w:rFonts w:hint="cs"/>
          <w:rtl/>
        </w:rPr>
        <w:t>– ביקש באופן טבעי לדחות גרסת המתלוננת ולקבוע שאין די בעדותה היחידה לביסוס הרשעת מרשו. הוא טען שהשיהוי שהשתהתה בהגשת התלונה מערער את אמינותה, בנוסף לסתירות ותמיהות בדבריה לעומת עדויות אחרות. עוד טען הסנגור שהזיהוי שזיהתה המתלוננת את הנאשם "מזוהם", בהעדר מסדר זיהוי לאחר שנמסר למתלוננת שמו של הנאשם והיא הוצבה בפני עובדה שהוא אשר טיפל בה. חיזוק לטענתו ביקש לראות בעובדה שהמתלוננת טענה שהנאשם לבש מדים כחולים או ירוקים, בעוד שמהעדויות עולה שאח/ אחות בקבלה לבושים לבן. הסנגור ביקש שלא ליתן משקל לעובדה שהמתלוננת לא נשאלה אם התבלבלה בזיהוי, שכן גם במידה והיתה נשאלת די שהיתה עונה שהנאשם הוא שביצע בה את העבירה.</w:t>
      </w:r>
    </w:p>
    <w:p w14:paraId="06C5F0D4" w14:textId="77777777" w:rsidR="000F6B7D" w:rsidRDefault="00756B84">
      <w:pPr>
        <w:spacing w:line="360" w:lineRule="auto"/>
        <w:ind w:right="720"/>
        <w:jc w:val="both"/>
        <w:rPr>
          <w:sz w:val="26"/>
          <w:rtl/>
        </w:rPr>
      </w:pPr>
      <w:r>
        <w:rPr>
          <w:rFonts w:hint="cs"/>
          <w:sz w:val="26"/>
          <w:rtl/>
        </w:rPr>
        <w:t xml:space="preserve"> </w:t>
      </w:r>
    </w:p>
    <w:p w14:paraId="72B4A1D2" w14:textId="77777777" w:rsidR="000F6B7D" w:rsidRDefault="0069122D">
      <w:pPr>
        <w:tabs>
          <w:tab w:val="left" w:pos="8306"/>
        </w:tabs>
        <w:spacing w:line="360" w:lineRule="auto"/>
        <w:jc w:val="both"/>
        <w:rPr>
          <w:sz w:val="26"/>
          <w:rtl/>
        </w:rPr>
      </w:pPr>
      <w:r>
        <w:rPr>
          <w:rFonts w:hint="cs"/>
          <w:sz w:val="26"/>
          <w:rtl/>
        </w:rPr>
        <w:t>טרם בחינת מהימנות העדים תסקרנה בקצרה סוגיות משפטיות רלוונטיות למקרה שבדיון.</w:t>
      </w:r>
    </w:p>
    <w:p w14:paraId="16B0E6F5" w14:textId="77777777" w:rsidR="000F6B7D" w:rsidRDefault="00756B84">
      <w:pPr>
        <w:tabs>
          <w:tab w:val="left" w:pos="8306"/>
        </w:tabs>
        <w:spacing w:line="360" w:lineRule="auto"/>
        <w:jc w:val="both"/>
        <w:rPr>
          <w:sz w:val="26"/>
          <w:rtl/>
        </w:rPr>
      </w:pPr>
      <w:r>
        <w:rPr>
          <w:rFonts w:hint="cs"/>
          <w:sz w:val="26"/>
          <w:rtl/>
        </w:rPr>
        <w:t xml:space="preserve"> </w:t>
      </w:r>
    </w:p>
    <w:p w14:paraId="1B990D9D" w14:textId="77777777" w:rsidR="000F6B7D" w:rsidRDefault="0069122D">
      <w:pPr>
        <w:pStyle w:val="Heading5"/>
        <w:spacing w:line="360" w:lineRule="auto"/>
        <w:jc w:val="both"/>
        <w:rPr>
          <w:i w:val="0"/>
          <w:iCs w:val="0"/>
          <w:sz w:val="28"/>
          <w:highlight w:val="yellow"/>
          <w:rtl/>
        </w:rPr>
      </w:pPr>
      <w:r>
        <w:rPr>
          <w:rFonts w:hint="cs"/>
          <w:i w:val="0"/>
          <w:iCs w:val="0"/>
          <w:sz w:val="28"/>
          <w:highlight w:val="yellow"/>
          <w:rtl/>
        </w:rPr>
        <w:t>ג. הפן המשפטי</w:t>
      </w:r>
    </w:p>
    <w:p w14:paraId="59ABF3E2" w14:textId="77777777" w:rsidR="000F6B7D" w:rsidRDefault="0069122D">
      <w:pPr>
        <w:pStyle w:val="Ruller4"/>
        <w:ind w:right="720"/>
        <w:rPr>
          <w:rFonts w:ascii="Times New Roman" w:hAnsi="Times New Roman" w:cs="David"/>
          <w:b/>
          <w:bCs/>
          <w:szCs w:val="24"/>
          <w:rtl/>
        </w:rPr>
      </w:pPr>
      <w:r>
        <w:rPr>
          <w:rFonts w:ascii="Times New Roman" w:hAnsi="Times New Roman" w:cs="David" w:hint="cs"/>
          <w:b/>
          <w:bCs/>
          <w:szCs w:val="24"/>
          <w:rtl/>
        </w:rPr>
        <w:t>1. מעשה מגונה במרמה</w:t>
      </w:r>
    </w:p>
    <w:p w14:paraId="34B8199E" w14:textId="77777777" w:rsidR="000F6B7D" w:rsidRDefault="0069122D">
      <w:pPr>
        <w:numPr>
          <w:ilvl w:val="0"/>
          <w:numId w:val="3"/>
        </w:numPr>
        <w:spacing w:line="360" w:lineRule="auto"/>
        <w:jc w:val="both"/>
        <w:rPr>
          <w:rFonts w:ascii="Times New Roman" w:hAnsi="Times New Roman"/>
          <w:sz w:val="22"/>
          <w:rtl/>
        </w:rPr>
      </w:pPr>
      <w:r>
        <w:rPr>
          <w:rFonts w:hint="cs"/>
          <w:sz w:val="22"/>
          <w:rtl/>
        </w:rPr>
        <w:t xml:space="preserve">האישום המיוחס לנאשם מורכב משילוב </w:t>
      </w:r>
      <w:r>
        <w:rPr>
          <w:rFonts w:hint="cs"/>
          <w:spacing w:val="10"/>
          <w:sz w:val="22"/>
          <w:rtl/>
        </w:rPr>
        <w:t>עבירת</w:t>
      </w:r>
      <w:r>
        <w:rPr>
          <w:rFonts w:hint="cs"/>
          <w:sz w:val="22"/>
          <w:rtl/>
        </w:rPr>
        <w:t xml:space="preserve"> </w:t>
      </w:r>
      <w:r>
        <w:rPr>
          <w:rFonts w:hint="cs"/>
          <w:sz w:val="26"/>
          <w:rtl/>
        </w:rPr>
        <w:t>המעשה המגונה</w:t>
      </w:r>
      <w:r>
        <w:rPr>
          <w:rFonts w:hint="cs"/>
          <w:sz w:val="22"/>
          <w:rtl/>
        </w:rPr>
        <w:t xml:space="preserve"> </w:t>
      </w:r>
      <w:hyperlink r:id="rId13" w:history="1">
        <w:r w:rsidR="00FC7C3D" w:rsidRPr="00FC7C3D">
          <w:rPr>
            <w:color w:val="0000FF"/>
            <w:sz w:val="22"/>
            <w:u w:val="single"/>
            <w:rtl/>
          </w:rPr>
          <w:t>שבסעיף 348(א)</w:t>
        </w:r>
      </w:hyperlink>
      <w:r>
        <w:rPr>
          <w:rFonts w:hint="cs"/>
          <w:sz w:val="22"/>
          <w:rtl/>
        </w:rPr>
        <w:t xml:space="preserve"> לחוק, עם מרכיב המרמה המופיע בעבירת האינוס (</w:t>
      </w:r>
      <w:hyperlink r:id="rId14" w:history="1">
        <w:r w:rsidR="00FC7C3D" w:rsidRPr="00FC7C3D">
          <w:rPr>
            <w:color w:val="0000FF"/>
            <w:sz w:val="22"/>
            <w:u w:val="single"/>
            <w:rtl/>
          </w:rPr>
          <w:t>סעיף 345(א)(2)</w:t>
        </w:r>
      </w:hyperlink>
      <w:r>
        <w:rPr>
          <w:rFonts w:hint="cs"/>
          <w:sz w:val="22"/>
          <w:rtl/>
        </w:rPr>
        <w:t xml:space="preserve">), כדלקמן: </w:t>
      </w:r>
    </w:p>
    <w:p w14:paraId="15BB872F" w14:textId="77777777" w:rsidR="000F6B7D" w:rsidRDefault="0069122D">
      <w:pPr>
        <w:pStyle w:val="Ruller4"/>
        <w:spacing w:line="240" w:lineRule="auto"/>
        <w:ind w:left="1418" w:right="1080" w:hanging="492"/>
        <w:rPr>
          <w:rFonts w:cs="David"/>
          <w:b/>
          <w:bCs/>
          <w:szCs w:val="24"/>
          <w:rtl/>
        </w:rPr>
      </w:pPr>
      <w:r>
        <w:rPr>
          <w:rFonts w:cs="David" w:hint="cs"/>
          <w:b/>
          <w:bCs/>
          <w:szCs w:val="24"/>
          <w:rtl/>
        </w:rPr>
        <w:t>348. מעשה מגונה</w:t>
      </w:r>
      <w:r>
        <w:rPr>
          <w:rFonts w:cs="David" w:hint="cs"/>
          <w:b/>
          <w:bCs/>
          <w:sz w:val="26"/>
          <w:rtl/>
        </w:rPr>
        <w:t xml:space="preserve"> </w:t>
      </w:r>
    </w:p>
    <w:p w14:paraId="563DE62C" w14:textId="77777777" w:rsidR="000F6B7D" w:rsidRDefault="0069122D">
      <w:pPr>
        <w:pStyle w:val="Ruller4"/>
        <w:spacing w:line="240" w:lineRule="auto"/>
        <w:ind w:left="1418" w:right="1080" w:hanging="492"/>
        <w:rPr>
          <w:rFonts w:cs="David"/>
          <w:b/>
          <w:bCs/>
          <w:szCs w:val="24"/>
          <w:rtl/>
        </w:rPr>
      </w:pPr>
      <w:r>
        <w:rPr>
          <w:rFonts w:cs="David" w:hint="cs"/>
          <w:b/>
          <w:bCs/>
          <w:szCs w:val="24"/>
          <w:rtl/>
        </w:rPr>
        <w:t>(א)</w:t>
      </w:r>
      <w:r w:rsidR="00756B84">
        <w:rPr>
          <w:rFonts w:cs="David" w:hint="cs"/>
          <w:b/>
          <w:bCs/>
          <w:szCs w:val="24"/>
          <w:rtl/>
        </w:rPr>
        <w:t xml:space="preserve">  </w:t>
      </w:r>
      <w:r>
        <w:rPr>
          <w:rFonts w:cs="David" w:hint="cs"/>
          <w:b/>
          <w:bCs/>
          <w:szCs w:val="24"/>
          <w:rtl/>
        </w:rPr>
        <w:t xml:space="preserve"> העושה מעשה מגונה באדם באחת הנסיבות המנויות </w:t>
      </w:r>
      <w:hyperlink r:id="rId15" w:history="1">
        <w:r w:rsidR="00FC7C3D" w:rsidRPr="00FC7C3D">
          <w:rPr>
            <w:rFonts w:cs="David"/>
            <w:b/>
            <w:bCs/>
            <w:color w:val="0000FF"/>
            <w:szCs w:val="24"/>
            <w:u w:val="single"/>
            <w:rtl/>
          </w:rPr>
          <w:t>בסעיף 345(א)(2)</w:t>
        </w:r>
      </w:hyperlink>
      <w:r>
        <w:rPr>
          <w:rFonts w:cs="David" w:hint="cs"/>
          <w:b/>
          <w:bCs/>
          <w:szCs w:val="24"/>
          <w:rtl/>
        </w:rPr>
        <w:t xml:space="preserve"> עד (5), בשינויים המחויבים, דינו - מאסר שבע שנים. </w:t>
      </w:r>
    </w:p>
    <w:p w14:paraId="1FB4067F" w14:textId="77777777" w:rsidR="000F6B7D" w:rsidRDefault="0069122D">
      <w:pPr>
        <w:pStyle w:val="Ruller4"/>
        <w:spacing w:line="240" w:lineRule="auto"/>
        <w:ind w:left="1418" w:right="1080" w:hanging="492"/>
        <w:rPr>
          <w:rFonts w:cs="David"/>
          <w:b/>
          <w:bCs/>
          <w:szCs w:val="24"/>
          <w:rtl/>
        </w:rPr>
      </w:pPr>
      <w:r>
        <w:rPr>
          <w:rFonts w:cs="David" w:hint="cs"/>
          <w:b/>
          <w:bCs/>
          <w:szCs w:val="24"/>
          <w:rtl/>
        </w:rPr>
        <w:t>...</w:t>
      </w:r>
    </w:p>
    <w:p w14:paraId="5869E7D0" w14:textId="77777777" w:rsidR="000F6B7D" w:rsidRDefault="00756B84">
      <w:pPr>
        <w:pStyle w:val="Ruller4"/>
        <w:spacing w:line="240" w:lineRule="auto"/>
        <w:ind w:left="1418" w:right="1080" w:hanging="492"/>
        <w:rPr>
          <w:rFonts w:cs="David"/>
          <w:b/>
          <w:bCs/>
          <w:szCs w:val="24"/>
          <w:rtl/>
        </w:rPr>
      </w:pPr>
      <w:r>
        <w:rPr>
          <w:rFonts w:cs="David" w:hint="cs"/>
          <w:b/>
          <w:bCs/>
          <w:szCs w:val="24"/>
          <w:rtl/>
        </w:rPr>
        <w:t xml:space="preserve"> </w:t>
      </w:r>
      <w:r w:rsidR="0069122D">
        <w:rPr>
          <w:rFonts w:cs="David" w:hint="cs"/>
          <w:b/>
          <w:bCs/>
          <w:szCs w:val="24"/>
          <w:rtl/>
        </w:rPr>
        <w:t>(ו)</w:t>
      </w:r>
      <w:r>
        <w:rPr>
          <w:rFonts w:cs="David" w:hint="cs"/>
          <w:b/>
          <w:bCs/>
          <w:szCs w:val="24"/>
          <w:rtl/>
        </w:rPr>
        <w:t xml:space="preserve"> </w:t>
      </w:r>
      <w:r w:rsidR="0069122D">
        <w:rPr>
          <w:rFonts w:cs="David" w:hint="cs"/>
          <w:b/>
          <w:bCs/>
          <w:szCs w:val="24"/>
          <w:rtl/>
        </w:rPr>
        <w:t xml:space="preserve"> בסימן זה, "מעשה מגונה" - מעשה לשם גירוי, סיפוק או ביזוי מיניים.</w:t>
      </w:r>
    </w:p>
    <w:p w14:paraId="71EF00CF" w14:textId="77777777" w:rsidR="000F6B7D" w:rsidRDefault="00756B84">
      <w:pPr>
        <w:pStyle w:val="Ruller4"/>
        <w:ind w:right="1080" w:hanging="492"/>
        <w:rPr>
          <w:rFonts w:cs="David"/>
          <w:b/>
          <w:bCs/>
          <w:szCs w:val="24"/>
          <w:rtl/>
        </w:rPr>
      </w:pPr>
      <w:r>
        <w:rPr>
          <w:rFonts w:cs="David" w:hint="cs"/>
          <w:b/>
          <w:bCs/>
          <w:szCs w:val="24"/>
          <w:rtl/>
        </w:rPr>
        <w:t xml:space="preserve"> </w:t>
      </w:r>
    </w:p>
    <w:p w14:paraId="78FEF4C4" w14:textId="77777777" w:rsidR="000F6B7D" w:rsidRDefault="0069122D">
      <w:pPr>
        <w:pStyle w:val="Ruller4"/>
        <w:spacing w:line="240" w:lineRule="auto"/>
        <w:ind w:left="1418" w:right="1080" w:hanging="492"/>
        <w:rPr>
          <w:rFonts w:cs="David"/>
          <w:b/>
          <w:bCs/>
          <w:sz w:val="26"/>
          <w:rtl/>
        </w:rPr>
      </w:pPr>
      <w:r>
        <w:rPr>
          <w:rFonts w:cs="David" w:hint="cs"/>
          <w:b/>
          <w:bCs/>
          <w:szCs w:val="24"/>
          <w:rtl/>
        </w:rPr>
        <w:t>345. אינוס</w:t>
      </w:r>
    </w:p>
    <w:p w14:paraId="6800EEDF" w14:textId="77777777" w:rsidR="000F6B7D" w:rsidRDefault="0069122D">
      <w:pPr>
        <w:pStyle w:val="Ruller4"/>
        <w:spacing w:line="240" w:lineRule="auto"/>
        <w:ind w:left="1418" w:right="1080" w:hanging="492"/>
        <w:rPr>
          <w:rFonts w:cs="David"/>
          <w:b/>
          <w:bCs/>
          <w:szCs w:val="24"/>
          <w:rtl/>
        </w:rPr>
      </w:pPr>
      <w:r>
        <w:rPr>
          <w:rFonts w:cs="David" w:hint="cs"/>
          <w:b/>
          <w:bCs/>
          <w:szCs w:val="24"/>
          <w:rtl/>
        </w:rPr>
        <w:t>(א)</w:t>
      </w:r>
      <w:r w:rsidR="00756B84">
        <w:rPr>
          <w:rFonts w:cs="David" w:hint="cs"/>
          <w:b/>
          <w:bCs/>
          <w:szCs w:val="24"/>
          <w:rtl/>
        </w:rPr>
        <w:t xml:space="preserve">  </w:t>
      </w:r>
      <w:r>
        <w:rPr>
          <w:rFonts w:cs="David" w:hint="cs"/>
          <w:b/>
          <w:bCs/>
          <w:szCs w:val="24"/>
          <w:rtl/>
        </w:rPr>
        <w:t xml:space="preserve"> הבועל אשה - </w:t>
      </w:r>
    </w:p>
    <w:p w14:paraId="06D8E1F8" w14:textId="77777777" w:rsidR="000F6B7D" w:rsidRDefault="0069122D">
      <w:pPr>
        <w:pStyle w:val="Ruller4"/>
        <w:spacing w:line="240" w:lineRule="auto"/>
        <w:ind w:left="1418" w:right="1080" w:hanging="492"/>
        <w:rPr>
          <w:rFonts w:cs="David"/>
          <w:b/>
          <w:bCs/>
          <w:szCs w:val="24"/>
          <w:rtl/>
        </w:rPr>
      </w:pPr>
      <w:r>
        <w:rPr>
          <w:rFonts w:cs="David" w:hint="cs"/>
          <w:b/>
          <w:bCs/>
          <w:szCs w:val="24"/>
          <w:rtl/>
        </w:rPr>
        <w:t>(1)</w:t>
      </w:r>
      <w:r w:rsidR="00756B84">
        <w:rPr>
          <w:rFonts w:cs="David" w:hint="cs"/>
          <w:b/>
          <w:bCs/>
          <w:szCs w:val="24"/>
          <w:rtl/>
        </w:rPr>
        <w:t xml:space="preserve">  </w:t>
      </w:r>
      <w:r>
        <w:rPr>
          <w:rFonts w:cs="David" w:hint="cs"/>
          <w:b/>
          <w:bCs/>
          <w:szCs w:val="24"/>
          <w:rtl/>
        </w:rPr>
        <w:t xml:space="preserve"> שלא בהסכמתה החופשית; </w:t>
      </w:r>
    </w:p>
    <w:p w14:paraId="49618B5C" w14:textId="77777777" w:rsidR="000F6B7D" w:rsidRDefault="0069122D">
      <w:pPr>
        <w:pStyle w:val="Ruller4"/>
        <w:spacing w:line="240" w:lineRule="auto"/>
        <w:ind w:left="1418" w:right="1080" w:hanging="492"/>
        <w:rPr>
          <w:rFonts w:cs="David"/>
          <w:b/>
          <w:bCs/>
          <w:szCs w:val="24"/>
          <w:rtl/>
        </w:rPr>
      </w:pPr>
      <w:r>
        <w:rPr>
          <w:rFonts w:cs="David" w:hint="cs"/>
          <w:b/>
          <w:bCs/>
          <w:szCs w:val="24"/>
          <w:rtl/>
        </w:rPr>
        <w:t>(2) בהסכמת האשה, שהושגה במרמה לגבי מיהות העושה או מהות המעשה;</w:t>
      </w:r>
    </w:p>
    <w:p w14:paraId="3E2C1EF7" w14:textId="77777777" w:rsidR="000F6B7D" w:rsidRDefault="0069122D">
      <w:pPr>
        <w:pStyle w:val="Ruller4"/>
        <w:spacing w:line="240" w:lineRule="auto"/>
        <w:ind w:left="1418" w:right="1080" w:hanging="492"/>
        <w:rPr>
          <w:rFonts w:cs="David"/>
          <w:b/>
          <w:bCs/>
          <w:szCs w:val="24"/>
          <w:rtl/>
        </w:rPr>
      </w:pPr>
      <w:r>
        <w:rPr>
          <w:rFonts w:cs="David" w:hint="cs"/>
          <w:b/>
          <w:bCs/>
          <w:szCs w:val="24"/>
          <w:rtl/>
        </w:rPr>
        <w:t>...</w:t>
      </w:r>
    </w:p>
    <w:p w14:paraId="3DACBBB4" w14:textId="77777777" w:rsidR="000F6B7D" w:rsidRDefault="0069122D">
      <w:pPr>
        <w:pStyle w:val="Ruller4"/>
        <w:spacing w:line="240" w:lineRule="auto"/>
        <w:ind w:left="1418" w:right="1080" w:hanging="492"/>
        <w:rPr>
          <w:rFonts w:cs="David"/>
          <w:b/>
          <w:bCs/>
          <w:szCs w:val="24"/>
          <w:rtl/>
        </w:rPr>
      </w:pPr>
      <w:r>
        <w:rPr>
          <w:rFonts w:cs="David" w:hint="cs"/>
          <w:b/>
          <w:bCs/>
          <w:szCs w:val="24"/>
          <w:rtl/>
        </w:rPr>
        <w:t>הרי הוא אונס ודינו - מאסר שש עשרה שנים.</w:t>
      </w:r>
    </w:p>
    <w:p w14:paraId="26A9B74B" w14:textId="77777777" w:rsidR="000F6B7D" w:rsidRDefault="00756B84">
      <w:pPr>
        <w:pStyle w:val="Ruller4"/>
        <w:spacing w:line="240" w:lineRule="auto"/>
        <w:ind w:left="1418" w:right="1418"/>
        <w:rPr>
          <w:rFonts w:cs="David"/>
          <w:sz w:val="30"/>
          <w:rtl/>
        </w:rPr>
      </w:pPr>
      <w:r>
        <w:rPr>
          <w:rFonts w:cs="David" w:hint="cs"/>
          <w:sz w:val="30"/>
          <w:rtl/>
        </w:rPr>
        <w:t xml:space="preserve"> </w:t>
      </w:r>
    </w:p>
    <w:p w14:paraId="57E975FC" w14:textId="77777777" w:rsidR="000F6B7D" w:rsidRDefault="0069122D">
      <w:pPr>
        <w:numPr>
          <w:ilvl w:val="0"/>
          <w:numId w:val="3"/>
        </w:numPr>
        <w:spacing w:line="360" w:lineRule="auto"/>
        <w:jc w:val="both"/>
        <w:rPr>
          <w:rtl/>
        </w:rPr>
      </w:pPr>
      <w:r>
        <w:rPr>
          <w:rFonts w:hint="cs"/>
          <w:sz w:val="26"/>
          <w:rtl/>
        </w:rPr>
        <w:t xml:space="preserve">תכליתן של עבירות המוסר להגן על כבוד הקורבן, על זכותו </w:t>
      </w:r>
      <w:r>
        <w:rPr>
          <w:rFonts w:hint="cs"/>
          <w:sz w:val="22"/>
          <w:rtl/>
        </w:rPr>
        <w:t>לריבונות</w:t>
      </w:r>
      <w:r>
        <w:rPr>
          <w:rFonts w:hint="cs"/>
          <w:sz w:val="26"/>
          <w:rtl/>
        </w:rPr>
        <w:t xml:space="preserve"> על גופו ועל האוטונומיה של רצונו, ראו בהקשר זה פסקה 8 בפסק דינו של בית המשפט העליון ב</w:t>
      </w:r>
      <w:hyperlink r:id="rId16" w:history="1">
        <w:r w:rsidR="00756B84" w:rsidRPr="00756B84">
          <w:rPr>
            <w:rStyle w:val="Hyperlink"/>
            <w:sz w:val="26"/>
            <w:rtl/>
          </w:rPr>
          <w:t>ע"פ 5097/07</w:t>
        </w:r>
      </w:hyperlink>
      <w:r>
        <w:rPr>
          <w:rFonts w:hint="cs"/>
          <w:sz w:val="26"/>
          <w:rtl/>
        </w:rPr>
        <w:t xml:space="preserve"> </w:t>
      </w:r>
      <w:r>
        <w:rPr>
          <w:rFonts w:hint="cs"/>
          <w:b/>
          <w:bCs/>
          <w:sz w:val="26"/>
          <w:rtl/>
        </w:rPr>
        <w:t>פחימה נ' מדינת ישראל</w:t>
      </w:r>
      <w:r>
        <w:rPr>
          <w:rFonts w:hint="cs"/>
          <w:sz w:val="26"/>
          <w:rtl/>
        </w:rPr>
        <w:t>, (לא פורסם), מפי המשנה לנשיאה כב' השופט רבלין (להלן: "</w:t>
      </w:r>
      <w:r>
        <w:rPr>
          <w:rFonts w:hint="cs"/>
          <w:b/>
          <w:bCs/>
          <w:sz w:val="26"/>
          <w:rtl/>
        </w:rPr>
        <w:t>פרשת פחימה</w:t>
      </w:r>
      <w:r>
        <w:rPr>
          <w:rFonts w:hint="cs"/>
          <w:sz w:val="26"/>
          <w:rtl/>
        </w:rPr>
        <w:t>"). הסכמה חופשית היא בלב ליבן של העבירות, הסכמה שניתנה כתוצאה ממרמה, איננה הסכמתה והמעשה פוגע בערך המוגן.</w:t>
      </w:r>
    </w:p>
    <w:p w14:paraId="3260382A" w14:textId="77777777" w:rsidR="000F6B7D" w:rsidRDefault="0069122D">
      <w:pPr>
        <w:numPr>
          <w:ilvl w:val="0"/>
          <w:numId w:val="3"/>
        </w:numPr>
        <w:spacing w:line="360" w:lineRule="auto"/>
        <w:jc w:val="both"/>
        <w:rPr>
          <w:rtl/>
        </w:rPr>
      </w:pPr>
      <w:r>
        <w:rPr>
          <w:rFonts w:hint="cs"/>
          <w:sz w:val="26"/>
          <w:rtl/>
        </w:rPr>
        <w:t xml:space="preserve">המרמה נבחנת על פי הגדרה בהקשר לעבירות מין </w:t>
      </w:r>
      <w:hyperlink r:id="rId17" w:history="1">
        <w:r w:rsidR="00FC7C3D" w:rsidRPr="00FC7C3D">
          <w:rPr>
            <w:color w:val="0000FF"/>
            <w:sz w:val="26"/>
            <w:u w:val="single"/>
            <w:rtl/>
          </w:rPr>
          <w:t>בסעיף 345(א)(2)</w:t>
        </w:r>
      </w:hyperlink>
      <w:r>
        <w:rPr>
          <w:rFonts w:hint="cs"/>
          <w:sz w:val="26"/>
          <w:rtl/>
        </w:rPr>
        <w:t xml:space="preserve"> ויכולה להתקיים ביחס </w:t>
      </w:r>
      <w:r>
        <w:rPr>
          <w:rStyle w:val="a"/>
          <w:rFonts w:hint="default"/>
          <w:sz w:val="26"/>
          <w:rtl/>
        </w:rPr>
        <w:t>למיהות העושה</w:t>
      </w:r>
      <w:r>
        <w:rPr>
          <w:rFonts w:hint="cs"/>
          <w:sz w:val="26"/>
          <w:rtl/>
        </w:rPr>
        <w:t xml:space="preserve"> ובאשר </w:t>
      </w:r>
      <w:r>
        <w:rPr>
          <w:rStyle w:val="a"/>
          <w:rFonts w:hint="default"/>
          <w:sz w:val="26"/>
          <w:rtl/>
        </w:rPr>
        <w:t>למהות המעשה</w:t>
      </w:r>
      <w:r>
        <w:rPr>
          <w:rFonts w:hint="cs"/>
          <w:sz w:val="26"/>
          <w:rtl/>
        </w:rPr>
        <w:t>., ראו בהקשר זה פסק דינו של בית המשפט העליון ב</w:t>
      </w:r>
      <w:hyperlink r:id="rId18" w:history="1">
        <w:r w:rsidR="00756B84" w:rsidRPr="00756B84">
          <w:rPr>
            <w:rStyle w:val="Hyperlink"/>
            <w:sz w:val="26"/>
            <w:rtl/>
          </w:rPr>
          <w:t>ע"פ 9274/08</w:t>
        </w:r>
      </w:hyperlink>
      <w:r>
        <w:rPr>
          <w:rFonts w:hint="cs"/>
          <w:sz w:val="26"/>
          <w:rtl/>
        </w:rPr>
        <w:t xml:space="preserve">, </w:t>
      </w:r>
      <w:r>
        <w:rPr>
          <w:rFonts w:hint="cs"/>
          <w:b/>
          <w:bCs/>
          <w:sz w:val="26"/>
          <w:rtl/>
        </w:rPr>
        <w:t>פלוני נ' מדינת ישראל.</w:t>
      </w:r>
    </w:p>
    <w:p w14:paraId="30576126" w14:textId="77777777" w:rsidR="000F6B7D" w:rsidRDefault="0069122D">
      <w:pPr>
        <w:numPr>
          <w:ilvl w:val="0"/>
          <w:numId w:val="3"/>
        </w:numPr>
        <w:spacing w:line="360" w:lineRule="auto"/>
        <w:jc w:val="both"/>
        <w:rPr>
          <w:sz w:val="26"/>
          <w:rtl/>
        </w:rPr>
      </w:pPr>
      <w:r>
        <w:rPr>
          <w:rFonts w:hint="cs"/>
          <w:b/>
          <w:bCs/>
          <w:sz w:val="26"/>
          <w:rtl/>
        </w:rPr>
        <w:t>במקרה שבדיון</w:t>
      </w:r>
      <w:r>
        <w:rPr>
          <w:rFonts w:hint="cs"/>
          <w:sz w:val="26"/>
          <w:rtl/>
        </w:rPr>
        <w:t xml:space="preserve"> – הסנגור טען בסיכומיו כטענה חלופית, ש</w:t>
      </w:r>
      <w:r>
        <w:rPr>
          <w:rFonts w:hint="cs"/>
          <w:rtl/>
        </w:rPr>
        <w:t>במידה ובית המשפט יקבל שהנאשם בדק את המתלוננת, מהעובדה שהמתלוננת לא היתה בטוחה שהבדיקה שבוצעה בה איננה חוקי, מביאה למסקנה באשר לספק לגבי עצם ביצוע העבירה</w:t>
      </w:r>
      <w:r>
        <w:rPr>
          <w:rFonts w:hint="cs"/>
          <w:sz w:val="26"/>
          <w:rtl/>
        </w:rPr>
        <w:t>. אינני מקבלת את הטענה, הניסיון המשפטי מלמד שעובר זמן עד שמתחוור לקורבן מהותו האמיתית והאסורה של המעשה שעשה בו גורם מוסמך, לכאורה, במיוחד כאשר זה האחרון מסווה את כוונתו ומציג מצג של פעולה/ דרישה מקצועית ולגיטימית.</w:t>
      </w:r>
    </w:p>
    <w:p w14:paraId="2336C9FF" w14:textId="77777777" w:rsidR="000F6B7D" w:rsidRDefault="0069122D">
      <w:pPr>
        <w:pStyle w:val="Heading2"/>
        <w:rPr>
          <w:i w:val="0"/>
          <w:iCs w:val="0"/>
          <w:szCs w:val="22"/>
          <w:rtl/>
        </w:rPr>
      </w:pPr>
      <w:r>
        <w:rPr>
          <w:rFonts w:hint="cs"/>
          <w:i w:val="0"/>
          <w:iCs w:val="0"/>
          <w:rtl/>
        </w:rPr>
        <w:t>2. עדות יחידה</w:t>
      </w:r>
    </w:p>
    <w:p w14:paraId="07EFF14A" w14:textId="77777777" w:rsidR="000F6B7D" w:rsidRDefault="0069122D">
      <w:pPr>
        <w:spacing w:line="360" w:lineRule="auto"/>
        <w:jc w:val="both"/>
        <w:rPr>
          <w:sz w:val="26"/>
          <w:rtl/>
        </w:rPr>
      </w:pPr>
      <w:r>
        <w:rPr>
          <w:rFonts w:hint="cs"/>
          <w:sz w:val="26"/>
          <w:rtl/>
        </w:rPr>
        <w:t xml:space="preserve">ככלל אין מניעה שבית המשפט יבסס הרשעה על עדות יחידה ובלבד שהעדות זוכה לאימונו המלא של בית המשפט, אשר הזהיר את עצמו שבפניו עדות יחידה בלבד, ראו לעניין זה </w:t>
      </w:r>
      <w:hyperlink r:id="rId19" w:history="1">
        <w:r w:rsidR="00756B84" w:rsidRPr="00756B84">
          <w:rPr>
            <w:rStyle w:val="Hyperlink"/>
            <w:sz w:val="26"/>
            <w:rtl/>
          </w:rPr>
          <w:t>ע"פ 2780/90</w:t>
        </w:r>
      </w:hyperlink>
      <w:r>
        <w:rPr>
          <w:rFonts w:hint="cs"/>
          <w:sz w:val="26"/>
          <w:rtl/>
        </w:rPr>
        <w:t xml:space="preserve"> </w:t>
      </w:r>
      <w:r>
        <w:rPr>
          <w:rFonts w:hint="cs"/>
          <w:b/>
          <w:bCs/>
          <w:sz w:val="26"/>
          <w:rtl/>
        </w:rPr>
        <w:t>עזרא קצירו נ' מדינת ישראל</w:t>
      </w:r>
      <w:r>
        <w:rPr>
          <w:rFonts w:hint="cs"/>
          <w:sz w:val="26"/>
          <w:rtl/>
        </w:rPr>
        <w:t>,</w:t>
      </w:r>
      <w:r>
        <w:rPr>
          <w:rFonts w:hint="cs"/>
          <w:b/>
          <w:bCs/>
          <w:sz w:val="26"/>
          <w:rtl/>
        </w:rPr>
        <w:t xml:space="preserve"> </w:t>
      </w:r>
      <w:r>
        <w:rPr>
          <w:rFonts w:hint="cs"/>
          <w:sz w:val="26"/>
          <w:rtl/>
        </w:rPr>
        <w:t xml:space="preserve">תק- על 91(2), 2073 וספרו של כבוד השופט קדמי </w:t>
      </w:r>
      <w:r>
        <w:rPr>
          <w:rFonts w:hint="cs"/>
          <w:b/>
          <w:bCs/>
          <w:sz w:val="26"/>
          <w:rtl/>
        </w:rPr>
        <w:t>"על הראיות"</w:t>
      </w:r>
      <w:r>
        <w:rPr>
          <w:rFonts w:hint="cs"/>
          <w:sz w:val="26"/>
          <w:rtl/>
        </w:rPr>
        <w:t>, מהדורה משולבת ומעודכנת, תשס"ד-2003, עמ' 414.</w:t>
      </w:r>
    </w:p>
    <w:p w14:paraId="1B085976" w14:textId="77777777" w:rsidR="000F6B7D" w:rsidRDefault="000F6B7D">
      <w:pPr>
        <w:spacing w:line="360" w:lineRule="auto"/>
        <w:jc w:val="both"/>
        <w:rPr>
          <w:sz w:val="26"/>
          <w:rtl/>
        </w:rPr>
      </w:pPr>
    </w:p>
    <w:p w14:paraId="2A5CB279" w14:textId="77777777" w:rsidR="000F6B7D" w:rsidRDefault="0069122D">
      <w:pPr>
        <w:spacing w:line="360" w:lineRule="auto"/>
        <w:jc w:val="both"/>
        <w:rPr>
          <w:b/>
          <w:bCs/>
          <w:sz w:val="26"/>
          <w:rtl/>
        </w:rPr>
      </w:pPr>
      <w:r>
        <w:rPr>
          <w:rFonts w:hint="cs"/>
          <w:b/>
          <w:bCs/>
          <w:sz w:val="26"/>
          <w:rtl/>
        </w:rPr>
        <w:t xml:space="preserve">3. מצב נפשי של קרבן עבירה כראיה מחזקת </w:t>
      </w:r>
    </w:p>
    <w:p w14:paraId="4137A50C" w14:textId="77777777" w:rsidR="000F6B7D" w:rsidRDefault="0069122D">
      <w:pPr>
        <w:spacing w:line="360" w:lineRule="auto"/>
        <w:jc w:val="both"/>
        <w:rPr>
          <w:rFonts w:ascii="Arial" w:hAnsi="Arial"/>
          <w:sz w:val="26"/>
          <w:rtl/>
        </w:rPr>
      </w:pPr>
      <w:r>
        <w:rPr>
          <w:rFonts w:hint="cs"/>
          <w:spacing w:val="10"/>
          <w:sz w:val="26"/>
          <w:rtl/>
        </w:rPr>
        <w:t xml:space="preserve">מצבו הנפשי של קרבן עבירה עשוי לשמש ראיה לחיזוק ולעיתים אף סיוע לראיות התביעה, ראו למשל, </w:t>
      </w:r>
      <w:hyperlink r:id="rId20" w:history="1">
        <w:r w:rsidR="00756B84" w:rsidRPr="00756B84">
          <w:rPr>
            <w:rStyle w:val="Hyperlink"/>
            <w:spacing w:val="10"/>
            <w:sz w:val="26"/>
            <w:rtl/>
          </w:rPr>
          <w:t>ע"פ 9902/04</w:t>
        </w:r>
      </w:hyperlink>
      <w:r>
        <w:rPr>
          <w:rFonts w:hint="cs"/>
          <w:spacing w:val="10"/>
          <w:sz w:val="26"/>
          <w:rtl/>
        </w:rPr>
        <w:t xml:space="preserve"> </w:t>
      </w:r>
      <w:r>
        <w:rPr>
          <w:rFonts w:hint="cs"/>
          <w:b/>
          <w:bCs/>
          <w:spacing w:val="10"/>
          <w:sz w:val="26"/>
          <w:rtl/>
        </w:rPr>
        <w:t>פלוני נ' מדינת ישראל,</w:t>
      </w:r>
      <w:r>
        <w:rPr>
          <w:rFonts w:hint="cs"/>
          <w:spacing w:val="10"/>
          <w:sz w:val="26"/>
          <w:rtl/>
        </w:rPr>
        <w:t xml:space="preserve"> תק-על 2007(3), 404 ,עמ' 410</w:t>
      </w:r>
      <w:r>
        <w:rPr>
          <w:rFonts w:ascii="Arial" w:hAnsi="Arial" w:hint="cs"/>
          <w:sz w:val="26"/>
          <w:rtl/>
        </w:rPr>
        <w:t xml:space="preserve"> 411, </w:t>
      </w:r>
      <w:hyperlink r:id="rId21" w:history="1">
        <w:r w:rsidR="00756B84" w:rsidRPr="00756B84">
          <w:rPr>
            <w:rStyle w:val="Hyperlink"/>
            <w:rFonts w:ascii="Arial" w:hAnsi="Arial"/>
            <w:sz w:val="26"/>
            <w:rtl/>
          </w:rPr>
          <w:t>ע"פ 1895/01</w:t>
        </w:r>
      </w:hyperlink>
      <w:r>
        <w:rPr>
          <w:rFonts w:ascii="Arial" w:hAnsi="Arial" w:hint="cs"/>
          <w:sz w:val="26"/>
          <w:rtl/>
        </w:rPr>
        <w:t xml:space="preserve"> </w:t>
      </w:r>
      <w:r>
        <w:rPr>
          <w:rFonts w:ascii="Arial" w:hAnsi="Arial" w:hint="cs"/>
          <w:b/>
          <w:bCs/>
          <w:sz w:val="26"/>
          <w:rtl/>
        </w:rPr>
        <w:t>בסטיקר נ' מדינת ישראל</w:t>
      </w:r>
      <w:r>
        <w:rPr>
          <w:rFonts w:ascii="Arial" w:hAnsi="Arial" w:hint="cs"/>
          <w:sz w:val="26"/>
          <w:rtl/>
        </w:rPr>
        <w:t>, תק-על 2003(2), 4131 ,עמ' 4136.</w:t>
      </w:r>
    </w:p>
    <w:p w14:paraId="0EC39614" w14:textId="77777777" w:rsidR="000F6B7D" w:rsidRDefault="0069122D">
      <w:pPr>
        <w:pStyle w:val="Heading3"/>
        <w:rPr>
          <w:rFonts w:ascii="Arial" w:hAnsi="Arial"/>
          <w:szCs w:val="24"/>
          <w:rtl/>
        </w:rPr>
      </w:pPr>
      <w:r>
        <w:rPr>
          <w:rFonts w:hint="cs"/>
          <w:sz w:val="24"/>
          <w:szCs w:val="24"/>
          <w:rtl/>
        </w:rPr>
        <w:t>4. שיהוי בהגשת תלונה בעבירות מין</w:t>
      </w:r>
    </w:p>
    <w:p w14:paraId="00613325" w14:textId="77777777" w:rsidR="000F6B7D" w:rsidRDefault="0069122D">
      <w:pPr>
        <w:spacing w:line="360" w:lineRule="auto"/>
        <w:jc w:val="both"/>
        <w:rPr>
          <w:sz w:val="26"/>
          <w:rtl/>
        </w:rPr>
      </w:pPr>
      <w:r>
        <w:rPr>
          <w:rFonts w:ascii="Arial" w:hAnsi="Arial" w:hint="cs"/>
          <w:sz w:val="26"/>
          <w:rtl/>
        </w:rPr>
        <w:t>כלל</w:t>
      </w:r>
      <w:r>
        <w:rPr>
          <w:rFonts w:hint="cs"/>
          <w:sz w:val="26"/>
          <w:rtl/>
        </w:rPr>
        <w:t xml:space="preserve"> הוא, שעצם השתהות בהגשת תלונה (להבדיל מהנסיבות) לא בהכרח שולל את אמינותה. במיוחד בעבירות מין, הכירו בתי המשפט, בקיומן של עכבות המונעות קורבנות מהגשת תלונה מיידית בשל: תחושות בושה, עלבון, קלון, רתיעה מפני חשיפה ומחירה החברתי והאישי של חשיפה (ראו:</w:t>
      </w:r>
      <w:r>
        <w:rPr>
          <w:rFonts w:hint="cs"/>
          <w:sz w:val="30"/>
          <w:szCs w:val="28"/>
          <w:rtl/>
        </w:rPr>
        <w:t xml:space="preserve"> </w:t>
      </w:r>
      <w:hyperlink r:id="rId22" w:history="1">
        <w:r w:rsidR="00756B84" w:rsidRPr="00756B84">
          <w:rPr>
            <w:rStyle w:val="Hyperlink"/>
            <w:sz w:val="26"/>
            <w:rtl/>
          </w:rPr>
          <w:t>ע"פ 2485/00 פלוני נ' מדינת ישראל, פ"ד נה</w:t>
        </w:r>
      </w:hyperlink>
      <w:r>
        <w:rPr>
          <w:rFonts w:hint="cs"/>
          <w:sz w:val="26"/>
          <w:rtl/>
        </w:rPr>
        <w:t xml:space="preserve">(2) 918, 925; </w:t>
      </w:r>
      <w:hyperlink r:id="rId23" w:history="1">
        <w:r w:rsidR="00756B84" w:rsidRPr="00756B84">
          <w:rPr>
            <w:rStyle w:val="Hyperlink"/>
            <w:sz w:val="26"/>
            <w:rtl/>
          </w:rPr>
          <w:t>ע"פ 10830/02 מדינת ישראל נ' פלוני, פ"ד נ"ח</w:t>
        </w:r>
      </w:hyperlink>
      <w:r>
        <w:rPr>
          <w:rFonts w:hint="cs"/>
          <w:sz w:val="26"/>
          <w:rtl/>
        </w:rPr>
        <w:t xml:space="preserve">(3) 823, 838 </w:t>
      </w:r>
      <w:hyperlink r:id="rId24" w:history="1">
        <w:r w:rsidR="00756B84" w:rsidRPr="00756B84">
          <w:rPr>
            <w:rStyle w:val="Hyperlink"/>
            <w:sz w:val="26"/>
            <w:rtl/>
          </w:rPr>
          <w:t>עש"מ 2203/05</w:t>
        </w:r>
      </w:hyperlink>
      <w:r>
        <w:rPr>
          <w:rFonts w:hint="cs"/>
          <w:sz w:val="26"/>
          <w:rtl/>
        </w:rPr>
        <w:t xml:space="preserve">, </w:t>
      </w:r>
      <w:r>
        <w:rPr>
          <w:rFonts w:hint="cs"/>
          <w:b/>
          <w:bCs/>
          <w:sz w:val="26"/>
          <w:rtl/>
        </w:rPr>
        <w:t xml:space="preserve">מדר </w:t>
      </w:r>
      <w:r>
        <w:rPr>
          <w:rFonts w:hint="cs"/>
          <w:sz w:val="26"/>
          <w:rtl/>
        </w:rPr>
        <w:t>נ'</w:t>
      </w:r>
      <w:r>
        <w:rPr>
          <w:rFonts w:hint="cs"/>
          <w:b/>
          <w:bCs/>
          <w:sz w:val="26"/>
          <w:rtl/>
        </w:rPr>
        <w:t xml:space="preserve"> נציבות שירות המדינה,</w:t>
      </w:r>
      <w:r>
        <w:rPr>
          <w:rFonts w:hint="cs"/>
          <w:sz w:val="26"/>
          <w:rtl/>
        </w:rPr>
        <w:t xml:space="preserve"> תק-על 2005(3), 888 עמ' 891, ו</w:t>
      </w:r>
      <w:hyperlink r:id="rId25" w:history="1">
        <w:r w:rsidR="00756B84" w:rsidRPr="00756B84">
          <w:rPr>
            <w:rStyle w:val="Hyperlink"/>
            <w:sz w:val="26"/>
            <w:rtl/>
          </w:rPr>
          <w:t>עש"ם 2168/01 חמני נ' נציבות שירות המדינה, פ"ד נה</w:t>
        </w:r>
      </w:hyperlink>
      <w:r>
        <w:rPr>
          <w:rFonts w:hint="cs"/>
          <w:sz w:val="26"/>
          <w:rtl/>
        </w:rPr>
        <w:t>(5) 949, 955). גם במקרים כאלה נדרש בית המשפט להסבר לשיהוי ונותן לו משקל ראייתי.</w:t>
      </w:r>
    </w:p>
    <w:p w14:paraId="2BF3B68F" w14:textId="77777777" w:rsidR="000F6B7D" w:rsidRDefault="000F6B7D">
      <w:pPr>
        <w:spacing w:line="360" w:lineRule="auto"/>
        <w:jc w:val="both"/>
        <w:rPr>
          <w:sz w:val="26"/>
          <w:rtl/>
        </w:rPr>
      </w:pPr>
    </w:p>
    <w:p w14:paraId="3FAF548E" w14:textId="77777777" w:rsidR="000F6B7D" w:rsidRDefault="0069122D">
      <w:pPr>
        <w:pStyle w:val="Heading5"/>
        <w:spacing w:line="360" w:lineRule="auto"/>
        <w:ind w:left="-334"/>
        <w:jc w:val="both"/>
        <w:rPr>
          <w:i w:val="0"/>
          <w:iCs w:val="0"/>
          <w:szCs w:val="24"/>
          <w:rtl/>
        </w:rPr>
      </w:pPr>
      <w:r>
        <w:rPr>
          <w:rFonts w:hint="cs"/>
          <w:i w:val="0"/>
          <w:iCs w:val="0"/>
          <w:sz w:val="28"/>
          <w:highlight w:val="yellow"/>
          <w:rtl/>
        </w:rPr>
        <w:t>ד. מהימנות העדים ומסקנות</w:t>
      </w:r>
    </w:p>
    <w:p w14:paraId="444BB430" w14:textId="77777777" w:rsidR="000F6B7D" w:rsidRDefault="0069122D">
      <w:pPr>
        <w:tabs>
          <w:tab w:val="num" w:pos="658"/>
        </w:tabs>
        <w:spacing w:line="360" w:lineRule="auto"/>
        <w:ind w:left="-334"/>
        <w:jc w:val="both"/>
        <w:rPr>
          <w:rFonts w:ascii="Arial" w:hAnsi="Arial"/>
          <w:b/>
          <w:bCs/>
          <w:sz w:val="18"/>
          <w:rtl/>
        </w:rPr>
      </w:pPr>
      <w:r>
        <w:rPr>
          <w:rFonts w:ascii="Arial" w:hAnsi="Arial" w:hint="cs"/>
          <w:b/>
          <w:bCs/>
          <w:sz w:val="18"/>
          <w:rtl/>
        </w:rPr>
        <w:t>1. מהימנות עדי התביעה:</w:t>
      </w:r>
    </w:p>
    <w:p w14:paraId="274C5ECB" w14:textId="77777777" w:rsidR="000F6B7D" w:rsidRDefault="0069122D">
      <w:pPr>
        <w:numPr>
          <w:ilvl w:val="0"/>
          <w:numId w:val="4"/>
        </w:numPr>
        <w:spacing w:line="360" w:lineRule="auto"/>
        <w:jc w:val="both"/>
        <w:rPr>
          <w:rFonts w:ascii="Arial" w:hAnsi="Arial"/>
          <w:sz w:val="18"/>
          <w:rtl/>
        </w:rPr>
      </w:pPr>
      <w:r>
        <w:rPr>
          <w:rFonts w:ascii="Arial" w:hAnsi="Arial" w:hint="cs"/>
          <w:b/>
          <w:bCs/>
          <w:sz w:val="18"/>
          <w:rtl/>
        </w:rPr>
        <w:t>אנשי המשטרה - רס"ר כנפו</w:t>
      </w:r>
      <w:r>
        <w:rPr>
          <w:rFonts w:ascii="Arial" w:hAnsi="Arial" w:hint="cs"/>
          <w:sz w:val="18"/>
          <w:rtl/>
        </w:rPr>
        <w:t xml:space="preserve"> גבתה את הודעה הנאשם ת/1 – לא נטענה טענה כלשהיא באשר ל-ת/1 שהתקבלה ללא התנגדות. </w:t>
      </w:r>
      <w:r>
        <w:rPr>
          <w:rFonts w:ascii="Arial" w:hAnsi="Arial" w:hint="cs"/>
          <w:b/>
          <w:bCs/>
          <w:sz w:val="18"/>
          <w:rtl/>
        </w:rPr>
        <w:t>רס"ב טקו</w:t>
      </w:r>
      <w:r>
        <w:rPr>
          <w:rFonts w:ascii="Arial" w:hAnsi="Arial" w:hint="cs"/>
          <w:sz w:val="18"/>
          <w:rtl/>
        </w:rPr>
        <w:t xml:space="preserve"> ביצעה עימות בין הנאשם למתלוננת שאותו תיעדה בדוח ת/2, מבלי לציין את בכייה של המתלוננת. יחד עם זאת בו ביום ערכה את מזכר ת/3 ובו כתבה, שבמהלך העימות המתלוננת פרצה בבכי כשהנאשם העליב אותה בתנועות ידיים מזלזלות והרים את קולו, באופן שהצדיק להעיר לו על כך והמתלוננת פרצה בבכי. השוטרות עשו מלאכתן נאמנה, תיעדו פעולותיהן כנדרש ואין כל סיבה להסתייג מדבריהן.</w:t>
      </w:r>
    </w:p>
    <w:p w14:paraId="37DD64EB" w14:textId="77777777" w:rsidR="000F6B7D" w:rsidRDefault="0069122D">
      <w:pPr>
        <w:numPr>
          <w:ilvl w:val="0"/>
          <w:numId w:val="4"/>
        </w:numPr>
        <w:spacing w:line="360" w:lineRule="auto"/>
        <w:jc w:val="both"/>
        <w:rPr>
          <w:rFonts w:ascii="Arial" w:hAnsi="Arial"/>
          <w:sz w:val="18"/>
          <w:rtl/>
        </w:rPr>
      </w:pPr>
      <w:r>
        <w:rPr>
          <w:rFonts w:ascii="Arial" w:hAnsi="Arial" w:hint="cs"/>
          <w:b/>
          <w:bCs/>
          <w:sz w:val="18"/>
          <w:rtl/>
        </w:rPr>
        <w:t xml:space="preserve">הרופאים וצוות ביה"ח אסותא </w:t>
      </w:r>
      <w:r>
        <w:rPr>
          <w:rFonts w:ascii="Arial" w:hAnsi="Arial" w:hint="cs"/>
          <w:sz w:val="18"/>
          <w:rtl/>
        </w:rPr>
        <w:t xml:space="preserve">– לא הונחה בפני שום ראיה שיהיה בה להביאני לפקפק באמינותם של ד"ר כהנא ד"ר גולדשטיין, העו"ס ואחות הסיעוד. כולם אנשי מקצוע שמילאו תפקידיהם כדין ללא עניין אישי בתוצאות המשפט. אדרבא, התרשמתי עובדי ביה"ח חרדים לשם הטוב של ביה"ח ושל עובדיו. הם מכירים את הנאשם משגרת עבודתם ולא הוכחה סיבה כלשהיא בגינה העידו נגדו עדויות שקר במכוון. </w:t>
      </w:r>
    </w:p>
    <w:p w14:paraId="437556AD" w14:textId="77777777" w:rsidR="000F6B7D" w:rsidRDefault="0069122D">
      <w:pPr>
        <w:spacing w:line="360" w:lineRule="auto"/>
        <w:ind w:left="360"/>
        <w:jc w:val="both"/>
        <w:rPr>
          <w:rFonts w:ascii="Arial" w:hAnsi="Arial"/>
          <w:sz w:val="18"/>
          <w:rtl/>
        </w:rPr>
      </w:pPr>
      <w:r>
        <w:rPr>
          <w:rFonts w:ascii="Arial" w:hAnsi="Arial" w:hint="cs"/>
          <w:sz w:val="18"/>
          <w:rtl/>
        </w:rPr>
        <w:t xml:space="preserve">מכאן מסקנתי, שעדים אלה העידו את אמת הידועה להם ומסרו נתונים, שחלקם גם לטובת הנאשם. העו"ס ואחות הסיעוד תיארו מצד אחד את תיפקודו של הנאשם באופן חיובי ומצד שני העידו על מצבה הנפשי הנסער של המתלוננת. העו"ס </w:t>
      </w:r>
      <w:r>
        <w:rPr>
          <w:rFonts w:hint="cs"/>
          <w:sz w:val="26"/>
          <w:rtl/>
        </w:rPr>
        <w:t>ראיינה את הנאשם לאחר שדווח לה על האירוע, אישרה שהכחיש את המיוחס לו. העדה הוסיפה שהתרשמה מאדם חיובי, שאוהב את עבודתו, את משפחתו ודואג לשמו הטוב (פ/ ע' 84 ש' 1-2). אחות הסיעוד אמרה שהופתעה מאוד לגלות שהתלונה מתייחסת לנאשם, לנוכח ההערכה המקצועית הגבוהה שמוערכת עבודתו והעדר תלונות קודמות (פ/ ע' 85 ש' 21-22 וע' 87 ש' 13-18).</w:t>
      </w:r>
    </w:p>
    <w:p w14:paraId="078AF362" w14:textId="77777777" w:rsidR="000F6B7D" w:rsidRDefault="0069122D">
      <w:pPr>
        <w:spacing w:line="360" w:lineRule="auto"/>
        <w:ind w:left="360"/>
        <w:jc w:val="both"/>
        <w:rPr>
          <w:rFonts w:ascii="Arial" w:hAnsi="Arial"/>
          <w:sz w:val="18"/>
          <w:rtl/>
        </w:rPr>
      </w:pPr>
      <w:r>
        <w:rPr>
          <w:rFonts w:ascii="Arial" w:hAnsi="Arial" w:hint="cs"/>
          <w:sz w:val="18"/>
          <w:rtl/>
        </w:rPr>
        <w:t xml:space="preserve">אני מקבלת דבריהם של עדים אלה ונותנת להם משקל ראייתי מלא. כנגזרת מכך אני קובעת כעובדה: הנאשם קיבל לפני הניתוח את המתלוננת כפי שגם עולה מ-ת/5. הוא לא היה מוסמך לבדוק את שדיה ולא היה מוסמך לשהות איתה בחדר ביחידות כשהיא איננה לבושה, ולא היה רשאי להלבישה בחלוק כשהיא עירומה (כפי שהעיד ד"ר כהנא). </w:t>
      </w:r>
    </w:p>
    <w:p w14:paraId="78A7A37B" w14:textId="77777777" w:rsidR="000F6B7D" w:rsidRDefault="0069122D">
      <w:pPr>
        <w:numPr>
          <w:ilvl w:val="0"/>
          <w:numId w:val="4"/>
        </w:numPr>
        <w:spacing w:line="360" w:lineRule="auto"/>
        <w:jc w:val="both"/>
        <w:rPr>
          <w:rFonts w:ascii="Arial" w:hAnsi="Arial"/>
          <w:sz w:val="26"/>
          <w:rtl/>
        </w:rPr>
      </w:pPr>
      <w:r>
        <w:rPr>
          <w:rFonts w:ascii="Arial" w:hAnsi="Arial" w:hint="cs"/>
          <w:b/>
          <w:bCs/>
          <w:sz w:val="26"/>
          <w:rtl/>
        </w:rPr>
        <w:t>המתלוננת</w:t>
      </w:r>
      <w:r>
        <w:rPr>
          <w:rFonts w:ascii="Arial" w:hAnsi="Arial" w:hint="cs"/>
          <w:sz w:val="26"/>
          <w:rtl/>
        </w:rPr>
        <w:t xml:space="preserve"> - עדותה של המתלוננת עשתה עלי רושם חיובי מאוד, היא שכנעה אותי ואני מאמינה לה. בעדותה חזרה המתלוננת על דברים שמסרה בהודעתה נ/1. ההשוואה בין הגרסאות לא מעלה סתירות של ממש, וזאת חרף הפגמים עליהם הצביע הסנגור. להלן הנמקותיי:</w:t>
      </w:r>
    </w:p>
    <w:p w14:paraId="52379E51" w14:textId="77777777" w:rsidR="000F6B7D" w:rsidRDefault="0069122D">
      <w:pPr>
        <w:numPr>
          <w:ilvl w:val="1"/>
          <w:numId w:val="4"/>
        </w:numPr>
        <w:spacing w:line="360" w:lineRule="auto"/>
        <w:jc w:val="both"/>
        <w:rPr>
          <w:rFonts w:ascii="Arial" w:hAnsi="Arial"/>
          <w:sz w:val="18"/>
        </w:rPr>
      </w:pPr>
      <w:r>
        <w:rPr>
          <w:rFonts w:ascii="Arial" w:hAnsi="Arial" w:hint="cs"/>
          <w:sz w:val="26"/>
          <w:rtl/>
        </w:rPr>
        <w:t xml:space="preserve">המתלוננת לא הגזימה בתיאור המעשים שהנאשם עשה בה. עדותה נקייה מרצון להחמיר את מצבו המשפטי. המתלוננת עמדה על כך, שהנאשם לא התחכך בה למרות, שכך כתב עו"ד אביטל (המסמך לא הוצג כראיה). המתלוננת לא יכלה להסביר מדוע עו"ד אביטל כתב שהנאשם התחכך בה, למרות שלא עשה זאת ואני מאמינה שאילו היתה יודעת על התוספת היתה מעירה על כך (פ/ ע' 8 ש' 18-23). כמו כן הודתה שלא הסתכלה על תג העובד שהנאשם ענד בזמן האירוע. כשהסנגור הטיח בה שנמענה מעשות כן משום שיידעה שאין פסול במעשיו, ענתה בכנות שבאותו שלב לא ידעה בוודאות מלאה שמעשיו אסורים, למרות שהיא הרגישה ש"משהו לא בסדר" (ע' 18 ש' 19 וע' 19 ש' 8-9). </w:t>
      </w:r>
    </w:p>
    <w:p w14:paraId="3AC17459" w14:textId="77777777" w:rsidR="000F6B7D" w:rsidRDefault="0069122D">
      <w:pPr>
        <w:numPr>
          <w:ilvl w:val="1"/>
          <w:numId w:val="4"/>
        </w:numPr>
        <w:spacing w:line="360" w:lineRule="auto"/>
        <w:jc w:val="both"/>
        <w:rPr>
          <w:rFonts w:ascii="Arial" w:hAnsi="Arial"/>
          <w:sz w:val="18"/>
          <w:rtl/>
        </w:rPr>
      </w:pPr>
      <w:r>
        <w:rPr>
          <w:rFonts w:ascii="Arial" w:hAnsi="Arial" w:hint="cs"/>
          <w:sz w:val="26"/>
          <w:rtl/>
        </w:rPr>
        <w:t xml:space="preserve">המתלוננת לא הסתירה שלא התנגדה למעשיו של הנאשם, איפשרה לו לבדוק אותה ולשם כך הרימה את חולצתה. תשובתה לשאלה מדוע הסכימה שהנאשם יעשה כן, ענתה: </w:t>
      </w:r>
    </w:p>
    <w:p w14:paraId="2A995BE4" w14:textId="77777777" w:rsidR="000F6B7D" w:rsidRDefault="0069122D">
      <w:pPr>
        <w:spacing w:line="360" w:lineRule="auto"/>
        <w:ind w:left="1225" w:right="567"/>
        <w:jc w:val="both"/>
        <w:rPr>
          <w:rFonts w:ascii="Arial" w:hAnsi="Arial"/>
          <w:sz w:val="22"/>
        </w:rPr>
      </w:pPr>
      <w:r>
        <w:rPr>
          <w:rFonts w:ascii="Arial" w:hAnsi="Arial" w:hint="cs"/>
          <w:sz w:val="26"/>
          <w:rtl/>
        </w:rPr>
        <w:t>"</w:t>
      </w:r>
      <w:r>
        <w:rPr>
          <w:rFonts w:ascii="Arial" w:hAnsi="Arial" w:hint="cs"/>
          <w:b/>
          <w:bCs/>
          <w:sz w:val="26"/>
          <w:rtl/>
        </w:rPr>
        <w:t>לא יודעת. חשבתי שמשהו מוזר. חשבתי שזה התפקיד שלו. מישהו שעובד בבית חולים, הוא אמר לי שהוא צריך לבדוק, מה אני יודעת.</w:t>
      </w:r>
    </w:p>
    <w:p w14:paraId="58670056" w14:textId="77777777" w:rsidR="000F6B7D" w:rsidRDefault="0069122D">
      <w:pPr>
        <w:spacing w:line="360" w:lineRule="auto"/>
        <w:ind w:left="720" w:right="360" w:firstLine="360"/>
        <w:jc w:val="both"/>
        <w:rPr>
          <w:rtl/>
        </w:rPr>
      </w:pPr>
      <w:r>
        <w:rPr>
          <w:rFonts w:hint="cs"/>
          <w:rtl/>
        </w:rPr>
        <w:t>התשובה כנה הגיונית וסבירה. אני מקבלת אותה ללא הסתייגות.</w:t>
      </w:r>
    </w:p>
    <w:p w14:paraId="0284BA2A" w14:textId="77777777" w:rsidR="000F6B7D" w:rsidRDefault="0069122D">
      <w:pPr>
        <w:numPr>
          <w:ilvl w:val="1"/>
          <w:numId w:val="4"/>
        </w:numPr>
        <w:spacing w:line="360" w:lineRule="auto"/>
        <w:jc w:val="both"/>
        <w:rPr>
          <w:rtl/>
        </w:rPr>
      </w:pPr>
      <w:r>
        <w:rPr>
          <w:rFonts w:hint="cs"/>
          <w:sz w:val="26"/>
          <w:rtl/>
        </w:rPr>
        <w:t>המתלוננת שללה טענת הסנגור שהתלוננה במשטרה רק לאחר שעו"ד אביטל הסביר לה שמגיע לה כסף (פ' ע' 24 ש' 15), למרות שלא הסתירה כוונתה לתבוע את ביה"ח שהעסיק את הנאשם. היא העידה "</w:t>
      </w:r>
      <w:r>
        <w:rPr>
          <w:rFonts w:hint="cs"/>
          <w:b/>
          <w:bCs/>
          <w:sz w:val="26"/>
          <w:rtl/>
        </w:rPr>
        <w:t>אני שילמתי וקיבלתי את השירות שלו</w:t>
      </w:r>
      <w:r>
        <w:rPr>
          <w:rFonts w:hint="cs"/>
          <w:sz w:val="26"/>
          <w:rtl/>
        </w:rPr>
        <w:t>" (פ/ ע' 16 ש' 6-7) והדפה את טענת הסנגור שהמציאה את האירוע כדי להשיג כסף. דבריה: "</w:t>
      </w:r>
      <w:r>
        <w:rPr>
          <w:rFonts w:hint="cs"/>
          <w:b/>
          <w:bCs/>
          <w:sz w:val="26"/>
          <w:rtl/>
        </w:rPr>
        <w:t>יש לי בריאות, אני עובדת ואני לא צריכה ממנו כלום</w:t>
      </w:r>
      <w:r>
        <w:rPr>
          <w:rFonts w:hint="cs"/>
          <w:sz w:val="26"/>
          <w:rtl/>
        </w:rPr>
        <w:t xml:space="preserve">" (פ/ ע' 11 ש' 4), אמינים עלי. לשאלה מה היתה עושה אילו ייעץ לה עו"ד אביטל לתבוע אישית את הנאשם ענתה שהיא לא דורשת מהנאשם דבר למעט רצונה שלא יעסוק יותר במקצוע (פ/ ע' 24 ש' 17-18). </w:t>
      </w:r>
    </w:p>
    <w:p w14:paraId="38E68558" w14:textId="77777777" w:rsidR="000F6B7D" w:rsidRDefault="0069122D">
      <w:pPr>
        <w:numPr>
          <w:ilvl w:val="1"/>
          <w:numId w:val="4"/>
        </w:numPr>
        <w:spacing w:line="360" w:lineRule="auto"/>
        <w:jc w:val="both"/>
        <w:rPr>
          <w:spacing w:val="10"/>
          <w:sz w:val="26"/>
          <w:rtl/>
        </w:rPr>
      </w:pPr>
      <w:r>
        <w:rPr>
          <w:rFonts w:hint="cs"/>
          <w:spacing w:val="10"/>
          <w:sz w:val="26"/>
          <w:rtl/>
        </w:rPr>
        <w:t xml:space="preserve">מקובל עלי שמיד לאחר האירוע, ביוצאה מחדר הבדיקה, עוד לפני הניתוח שעמדה לעבור תכף אחר כך, המתלוננת לא התמקדה בתג שענד (אם ענד) הנאשם ודעתה לא היתה נתונה לבירור פרטיו האישיים. מה עוד שלדבריה באותו שלב לא היתה משוכנעת בוודאות מלאה שמעשיו של הנאשם לא היו חוקיים. ההסבר מקובל עלי. </w:t>
      </w:r>
    </w:p>
    <w:p w14:paraId="7E9661A0" w14:textId="77777777" w:rsidR="000F6B7D" w:rsidRDefault="0069122D">
      <w:pPr>
        <w:spacing w:line="360" w:lineRule="auto"/>
        <w:ind w:left="1080"/>
        <w:jc w:val="both"/>
        <w:rPr>
          <w:rtl/>
        </w:rPr>
      </w:pPr>
      <w:r>
        <w:rPr>
          <w:rFonts w:hint="cs"/>
          <w:spacing w:val="10"/>
          <w:sz w:val="26"/>
          <w:rtl/>
        </w:rPr>
        <w:t xml:space="preserve">בהקשר זה, מוצאת אני להפנות שוב לפסק הדין בפרשת פחימה, שם פסקה כבוד השופטת </w:t>
      </w:r>
      <w:r>
        <w:rPr>
          <w:rStyle w:val="Ruller5"/>
          <w:rFonts w:hint="cs"/>
          <w:sz w:val="26"/>
          <w:rtl/>
        </w:rPr>
        <w:t>ארבל</w:t>
      </w:r>
      <w:r>
        <w:rPr>
          <w:rFonts w:hint="cs"/>
          <w:spacing w:val="10"/>
          <w:sz w:val="26"/>
          <w:rtl/>
        </w:rPr>
        <w:t xml:space="preserve"> ש</w:t>
      </w:r>
      <w:r>
        <w:rPr>
          <w:rFonts w:hint="cs"/>
          <w:sz w:val="26"/>
          <w:rtl/>
        </w:rPr>
        <w:t>"</w:t>
      </w:r>
      <w:r>
        <w:rPr>
          <w:rFonts w:hint="cs"/>
          <w:b/>
          <w:bCs/>
          <w:spacing w:val="10"/>
          <w:sz w:val="26"/>
          <w:rtl/>
        </w:rPr>
        <w:t>אין</w:t>
      </w:r>
      <w:r>
        <w:rPr>
          <w:rFonts w:hint="cs"/>
          <w:spacing w:val="10"/>
          <w:sz w:val="26"/>
          <w:rtl/>
        </w:rPr>
        <w:t xml:space="preserve"> </w:t>
      </w:r>
      <w:r>
        <w:rPr>
          <w:rFonts w:hint="cs"/>
          <w:b/>
          <w:bCs/>
          <w:spacing w:val="10"/>
          <w:sz w:val="26"/>
          <w:rtl/>
        </w:rPr>
        <w:t xml:space="preserve">לנקוט בגישה ביקורתית או שיפוטית </w:t>
      </w:r>
      <w:r>
        <w:rPr>
          <w:rFonts w:ascii="Arial" w:hAnsi="Arial" w:hint="cs"/>
          <w:b/>
          <w:bCs/>
          <w:sz w:val="26"/>
          <w:rtl/>
        </w:rPr>
        <w:t>כלפי</w:t>
      </w:r>
      <w:r>
        <w:rPr>
          <w:rFonts w:hint="cs"/>
          <w:b/>
          <w:bCs/>
          <w:spacing w:val="10"/>
          <w:sz w:val="26"/>
          <w:rtl/>
        </w:rPr>
        <w:t xml:space="preserve"> התנהגותה של האשה בהאמינה למרמה שהוצגה בפניה. כל מה שצריך לקבוע בית המשפט הוא האם אכן הושגה הסכמתה של האשה לקיום יחסי המין על בסיס המרמה שהוצגה לה על-ידי הגבר והאם היה הגבר מודע לכך</w:t>
      </w:r>
      <w:r>
        <w:rPr>
          <w:rFonts w:hint="cs"/>
          <w:spacing w:val="10"/>
          <w:sz w:val="26"/>
          <w:rtl/>
        </w:rPr>
        <w:t>" (פסקה 19).</w:t>
      </w:r>
    </w:p>
    <w:p w14:paraId="6A2C341A" w14:textId="77777777" w:rsidR="000F6B7D" w:rsidRDefault="0069122D">
      <w:pPr>
        <w:numPr>
          <w:ilvl w:val="1"/>
          <w:numId w:val="4"/>
        </w:numPr>
        <w:spacing w:line="360" w:lineRule="auto"/>
        <w:jc w:val="both"/>
        <w:rPr>
          <w:b/>
          <w:bCs/>
          <w:rtl/>
        </w:rPr>
      </w:pPr>
      <w:r>
        <w:rPr>
          <w:rFonts w:hint="cs"/>
          <w:b/>
          <w:bCs/>
          <w:sz w:val="26"/>
          <w:rtl/>
        </w:rPr>
        <w:t xml:space="preserve">מצבה הנפשי הנסער של המתלוננת מחזק את אמינותה: </w:t>
      </w:r>
      <w:r>
        <w:rPr>
          <w:rFonts w:ascii="Arial" w:hAnsi="Arial" w:hint="cs"/>
          <w:sz w:val="18"/>
          <w:rtl/>
        </w:rPr>
        <w:t>המתלוננת היתה נסערת כשסיפרה על האירוע לד"ר גולדשטיין, לעו"ס ולאחות הסיעוד.</w:t>
      </w:r>
    </w:p>
    <w:p w14:paraId="3CD7C8C0" w14:textId="77777777" w:rsidR="000F6B7D" w:rsidRDefault="0069122D">
      <w:pPr>
        <w:numPr>
          <w:ilvl w:val="0"/>
          <w:numId w:val="7"/>
        </w:numPr>
        <w:spacing w:line="360" w:lineRule="auto"/>
        <w:jc w:val="both"/>
        <w:rPr>
          <w:rtl/>
        </w:rPr>
      </w:pPr>
      <w:r>
        <w:rPr>
          <w:rFonts w:hint="cs"/>
          <w:b/>
          <w:bCs/>
          <w:sz w:val="26"/>
          <w:rtl/>
        </w:rPr>
        <w:t>ד"ר גולדשטיין</w:t>
      </w:r>
      <w:r>
        <w:rPr>
          <w:rFonts w:hint="cs"/>
          <w:sz w:val="26"/>
          <w:rtl/>
        </w:rPr>
        <w:t xml:space="preserve"> - העיד על מצבה הנפשי הנסער כשסיפרה לו את פרטי האירוע והתרשם שהיתה פגועה מאוד (פ/ ע' 62 ש' 23-24). אני ערה לכך שהמתלוננת לא בכתה כשסיפרה על מה שקרה לאימה ובעלה, עוד קודם לניתוח. רק לאחר כשבועיים, כשהתקבלה תוצאת הבדיקה, שהסירה את האיום החמור על בריאותה, התפנתה המתלוננת רגשית לעסוק במעשה המגונה שנאלצה לחוות ורק אז כשנאלמה לספר את הפרטים המביכים לרופא צפו רגשותיה כלפי חוץ והיא בכתה (פ/ ע' 26 ש' 2-5). זאת תגובה סבירה מאוד בהתחשב בנסיבות המקרה.</w:t>
      </w:r>
    </w:p>
    <w:p w14:paraId="3D3D3887" w14:textId="77777777" w:rsidR="000F6B7D" w:rsidRDefault="0069122D">
      <w:pPr>
        <w:numPr>
          <w:ilvl w:val="0"/>
          <w:numId w:val="7"/>
        </w:numPr>
        <w:spacing w:line="360" w:lineRule="auto"/>
        <w:jc w:val="both"/>
        <w:rPr>
          <w:rtl/>
        </w:rPr>
      </w:pPr>
      <w:r>
        <w:rPr>
          <w:rFonts w:hint="cs"/>
          <w:b/>
          <w:bCs/>
          <w:sz w:val="26"/>
          <w:rtl/>
        </w:rPr>
        <w:t>העו"ס</w:t>
      </w:r>
      <w:r>
        <w:rPr>
          <w:rFonts w:hint="cs"/>
          <w:sz w:val="26"/>
          <w:rtl/>
        </w:rPr>
        <w:t xml:space="preserve"> – שהיתה אמינה עלי, העידה שבשיחות הטלפוניות אותן ניהלה עם המתלוננת, שמעה שהמתלוננת נסערת מאוד ומרבה לבכות (פ/ ע' 78 ש' 26-27 וע' 80 ש' 2). לדעת העו"ס אין לגזור מסקנות מסירובה של המתלוננת להפיגש עימה, מכיוון שאנשים מגיבים בדרכים שונות (פ/ ע' 82 ש' 25-26).</w:t>
      </w:r>
    </w:p>
    <w:p w14:paraId="70AE7785" w14:textId="77777777" w:rsidR="000F6B7D" w:rsidRDefault="0069122D">
      <w:pPr>
        <w:numPr>
          <w:ilvl w:val="0"/>
          <w:numId w:val="7"/>
        </w:numPr>
        <w:spacing w:line="360" w:lineRule="auto"/>
        <w:jc w:val="both"/>
        <w:rPr>
          <w:rtl/>
        </w:rPr>
      </w:pPr>
      <w:r>
        <w:rPr>
          <w:rFonts w:hint="cs"/>
          <w:b/>
          <w:bCs/>
          <w:sz w:val="26"/>
          <w:rtl/>
        </w:rPr>
        <w:t xml:space="preserve">אחות הסיעוד </w:t>
      </w:r>
      <w:r>
        <w:rPr>
          <w:rFonts w:hint="cs"/>
          <w:sz w:val="26"/>
          <w:rtl/>
        </w:rPr>
        <w:t xml:space="preserve">– גם כן העידה שהמתלוננת בכתה בשיחה ביניהן (פ/ ע' 85 ש' 12 ו- 16). </w:t>
      </w:r>
    </w:p>
    <w:p w14:paraId="702C1968" w14:textId="77777777" w:rsidR="000F6B7D" w:rsidRDefault="0069122D">
      <w:pPr>
        <w:numPr>
          <w:ilvl w:val="1"/>
          <w:numId w:val="4"/>
        </w:numPr>
        <w:spacing w:line="360" w:lineRule="auto"/>
        <w:jc w:val="both"/>
        <w:rPr>
          <w:rtl/>
        </w:rPr>
      </w:pPr>
      <w:r>
        <w:rPr>
          <w:rFonts w:ascii="Arial" w:hAnsi="Arial" w:hint="cs"/>
          <w:b/>
          <w:bCs/>
          <w:sz w:val="26"/>
          <w:rtl/>
        </w:rPr>
        <w:t>השיהוי</w:t>
      </w:r>
      <w:r>
        <w:rPr>
          <w:rFonts w:ascii="Arial" w:hAnsi="Arial" w:hint="cs"/>
          <w:sz w:val="26"/>
          <w:rtl/>
        </w:rPr>
        <w:t xml:space="preserve"> –לנגד עיני העובדה שהמתלוננת סיפרה לראשונה לגורם שאיננו בן משפחתה, דהיינו לד"ר גולדשטיין, רק כשבועיים לאחר האירוע. כמו כן אני ערה לכך שתלונתה למשטרה, הוגשה כעבור חודש. </w:t>
      </w:r>
      <w:r>
        <w:rPr>
          <w:rFonts w:hint="cs"/>
          <w:sz w:val="26"/>
          <w:rtl/>
        </w:rPr>
        <w:t>כבר בחקירה נשאלה המתלוננת מדוע לא התלוננה ביום האירוע ענתה "</w:t>
      </w:r>
      <w:r>
        <w:rPr>
          <w:rFonts w:hint="cs"/>
          <w:b/>
          <w:bCs/>
          <w:sz w:val="26"/>
          <w:rtl/>
        </w:rPr>
        <w:t>כי חשבתי שהוא צריך לבדוק אותי ככה זה שזה לא בסדר אמר לי הרופא בפגישה השנייה שלי אצלו שבועיים אחרי המקרה</w:t>
      </w:r>
      <w:r>
        <w:rPr>
          <w:rFonts w:hint="cs"/>
          <w:sz w:val="26"/>
          <w:rtl/>
        </w:rPr>
        <w:t>" ולשאלה הנוספת מדוע הגיעה "רק היום" – (הכוונה ליום החקירה) ענתה, "</w:t>
      </w:r>
      <w:r>
        <w:rPr>
          <w:rFonts w:hint="cs"/>
          <w:b/>
          <w:bCs/>
          <w:sz w:val="26"/>
          <w:rtl/>
        </w:rPr>
        <w:t>כי אתמול קיבלתי את המכתב מהעורך דין עם התשובה של אסותא</w:t>
      </w:r>
      <w:r>
        <w:rPr>
          <w:rFonts w:hint="cs"/>
          <w:sz w:val="26"/>
          <w:rtl/>
        </w:rPr>
        <w:t xml:space="preserve">". בבית המשפט הסבירה, שהתביישה לספר לד"ר גולדשטיין (פ/ ע' 23 ש' 19) ורק בפגישה השנייה לאחר שהתבשרה על תוצאת הביופסיה, שזה חשוב יותר, החליטה לספר לו על המקרה (פ' ע' 24 ש' 2- 3). הסבריה ותשובותיה של המתלוננת משכנעים ומניחים את הדעת. </w:t>
      </w:r>
    </w:p>
    <w:p w14:paraId="66D7A0CB" w14:textId="77777777" w:rsidR="000F6B7D" w:rsidRDefault="0069122D">
      <w:pPr>
        <w:numPr>
          <w:ilvl w:val="1"/>
          <w:numId w:val="4"/>
        </w:numPr>
        <w:spacing w:line="360" w:lineRule="auto"/>
        <w:jc w:val="both"/>
        <w:rPr>
          <w:rtl/>
        </w:rPr>
      </w:pPr>
      <w:r>
        <w:rPr>
          <w:rFonts w:hint="cs"/>
          <w:rtl/>
        </w:rPr>
        <w:t xml:space="preserve">באשר לסתירות בין גרסת המתלוננת לגרסאות עדים אחרים אליהן הפנה הסנגור בסיכומיו כגון: </w:t>
      </w:r>
    </w:p>
    <w:p w14:paraId="794068E1" w14:textId="77777777" w:rsidR="000F6B7D" w:rsidRDefault="0069122D">
      <w:pPr>
        <w:numPr>
          <w:ilvl w:val="0"/>
          <w:numId w:val="5"/>
        </w:numPr>
        <w:spacing w:line="360" w:lineRule="auto"/>
        <w:jc w:val="both"/>
        <w:rPr>
          <w:rtl/>
        </w:rPr>
      </w:pPr>
      <w:r>
        <w:rPr>
          <w:rFonts w:hint="cs"/>
          <w:rtl/>
        </w:rPr>
        <w:t xml:space="preserve">המתלוננת טענה שלא נפגשה עם העו"ס, בעוד שבעלה טוען ההפך (פ' ע' 51 ש' 15). </w:t>
      </w:r>
    </w:p>
    <w:p w14:paraId="37047779" w14:textId="77777777" w:rsidR="000F6B7D" w:rsidRDefault="0069122D">
      <w:pPr>
        <w:numPr>
          <w:ilvl w:val="0"/>
          <w:numId w:val="5"/>
        </w:numPr>
        <w:spacing w:line="360" w:lineRule="auto"/>
        <w:jc w:val="both"/>
        <w:rPr>
          <w:rtl/>
        </w:rPr>
      </w:pPr>
      <w:r>
        <w:rPr>
          <w:rFonts w:hint="cs"/>
          <w:rtl/>
        </w:rPr>
        <w:t xml:space="preserve">המתלוננת טוענת שלא בכתה מול אימה כאשר סיפרה לה על שארע, בעוד שהאם טוענת שביתה היתה בוכיה. </w:t>
      </w:r>
    </w:p>
    <w:p w14:paraId="416840FD" w14:textId="77777777" w:rsidR="000F6B7D" w:rsidRDefault="0069122D">
      <w:pPr>
        <w:numPr>
          <w:ilvl w:val="0"/>
          <w:numId w:val="5"/>
        </w:numPr>
        <w:spacing w:line="360" w:lineRule="auto"/>
        <w:jc w:val="both"/>
        <w:rPr>
          <w:rtl/>
        </w:rPr>
      </w:pPr>
      <w:r>
        <w:rPr>
          <w:rFonts w:hint="cs"/>
          <w:rtl/>
        </w:rPr>
        <w:t>המתלוננת טוענת שביוזמתה הורידה את החולצה, בעוד שהאם טוענת שביתה סיפרה לה שהאח ביקש ממנה לעשות כן.</w:t>
      </w:r>
    </w:p>
    <w:p w14:paraId="5791F031" w14:textId="77777777" w:rsidR="000F6B7D" w:rsidRDefault="0069122D">
      <w:pPr>
        <w:numPr>
          <w:ilvl w:val="0"/>
          <w:numId w:val="5"/>
        </w:numPr>
        <w:spacing w:line="360" w:lineRule="auto"/>
        <w:jc w:val="both"/>
        <w:rPr>
          <w:rtl/>
        </w:rPr>
      </w:pPr>
      <w:r>
        <w:rPr>
          <w:rFonts w:hint="cs"/>
          <w:rtl/>
        </w:rPr>
        <w:t>המתלוננת טוענת שאחות הסיעוד ביקשה ממנה לתאר את החשוד והיא עשתה כן (המתלוננת ע' 7 ש' 12, בעוד שאחות הסיעוד טוענת שהמתלוננת לא תיארה את החשוד (אחות הסיעוד  ע' 87 ש' 22).</w:t>
      </w:r>
    </w:p>
    <w:p w14:paraId="14B8702E" w14:textId="77777777" w:rsidR="000F6B7D" w:rsidRDefault="0069122D">
      <w:pPr>
        <w:spacing w:line="360" w:lineRule="auto"/>
        <w:ind w:left="720"/>
        <w:jc w:val="both"/>
        <w:rPr>
          <w:rtl/>
        </w:rPr>
      </w:pPr>
      <w:r>
        <w:rPr>
          <w:rFonts w:hint="cs"/>
          <w:rtl/>
        </w:rPr>
        <w:t xml:space="preserve">בכל אלה אני מעדיפה את דברי המתלוננת במשטרה ובבית המשפט משום שהיא היתה מעורבת בהם אישית ואין לי ספק שהשומעים אותה נתפסו לכלל טעות. הסתירות אינן מהותיות והן לא קשורות לליבת המחלוקת ואין בהם לערער את אמוני המלא בגרסת המתלוננת. </w:t>
      </w:r>
    </w:p>
    <w:p w14:paraId="02B4492A" w14:textId="77777777" w:rsidR="000F6B7D" w:rsidRDefault="000F6B7D">
      <w:pPr>
        <w:spacing w:line="360" w:lineRule="auto"/>
        <w:ind w:left="720"/>
        <w:jc w:val="both"/>
        <w:rPr>
          <w:rtl/>
        </w:rPr>
      </w:pPr>
    </w:p>
    <w:p w14:paraId="5967896D" w14:textId="77777777" w:rsidR="000F6B7D" w:rsidRDefault="0069122D">
      <w:pPr>
        <w:spacing w:line="360" w:lineRule="auto"/>
        <w:jc w:val="both"/>
        <w:rPr>
          <w:rtl/>
        </w:rPr>
      </w:pPr>
      <w:r>
        <w:rPr>
          <w:rFonts w:hint="cs"/>
          <w:rtl/>
        </w:rPr>
        <w:t xml:space="preserve">4. </w:t>
      </w:r>
      <w:r w:rsidR="00756B84">
        <w:rPr>
          <w:rFonts w:hint="cs"/>
          <w:rtl/>
        </w:rPr>
        <w:t xml:space="preserve"> </w:t>
      </w:r>
      <w:r>
        <w:rPr>
          <w:rFonts w:ascii="Arial" w:hAnsi="Arial" w:hint="cs"/>
          <w:b/>
          <w:bCs/>
          <w:sz w:val="26"/>
          <w:rtl/>
        </w:rPr>
        <w:t xml:space="preserve">אימה ובעלה של המתלוננת – </w:t>
      </w:r>
      <w:r>
        <w:rPr>
          <w:rFonts w:ascii="Arial" w:hAnsi="Arial" w:hint="cs"/>
          <w:sz w:val="26"/>
          <w:rtl/>
        </w:rPr>
        <w:t>העידו על התלונה המיידית שהמתלוננת התלוננה על מעשיו של הנאשם עוד לפני הניתוח. תיאור המעשים תואם את ליבת גרסתה של המתלוננת. אני ערה לסתירות ולתמיהות שהעלה הסנגור בסיכומיו לגבי שני עדים אלו. לנוכח אמוני המלא בגרסת המתלוננת כפי שנקבע לעיל, אינני מוצאת להתייחס לכל פרט מהפרטים השוליים אליהם הפנה הסנגור בסיכומיו. למעלה מהדרוש אומר שתקיפה מינית פוגעת בקורבן וגם בקרוביו ונוצר מתח משפחתי, שיכול להתבטא בשתיקות וברצון להדחיק את אשר קרה, כפי שהעיד הבעל (פ/ ע' 49 ש' 20-21) וממצב כזה נובעות גם אי התאמות שאינן מהותיות אך יש בו להוכיח שהעדים לא תיאמו גרסאות.</w:t>
      </w:r>
    </w:p>
    <w:p w14:paraId="74100B24" w14:textId="77777777" w:rsidR="000F6B7D" w:rsidRDefault="000F6B7D">
      <w:pPr>
        <w:spacing w:line="360" w:lineRule="auto"/>
        <w:jc w:val="both"/>
        <w:rPr>
          <w:rtl/>
        </w:rPr>
      </w:pPr>
    </w:p>
    <w:p w14:paraId="26884E2E" w14:textId="77777777" w:rsidR="000F6B7D" w:rsidRDefault="0069122D">
      <w:pPr>
        <w:spacing w:line="360" w:lineRule="auto"/>
        <w:jc w:val="both"/>
        <w:rPr>
          <w:b/>
          <w:bCs/>
          <w:rtl/>
        </w:rPr>
      </w:pPr>
      <w:r>
        <w:rPr>
          <w:rFonts w:hint="cs"/>
          <w:b/>
          <w:bCs/>
          <w:rtl/>
        </w:rPr>
        <w:t>2. מהימנות עדי ההגנה:</w:t>
      </w:r>
    </w:p>
    <w:p w14:paraId="562BF5FA" w14:textId="77777777" w:rsidR="000F6B7D" w:rsidRDefault="0069122D">
      <w:pPr>
        <w:numPr>
          <w:ilvl w:val="0"/>
          <w:numId w:val="6"/>
        </w:numPr>
        <w:spacing w:line="360" w:lineRule="auto"/>
        <w:jc w:val="both"/>
      </w:pPr>
      <w:r>
        <w:rPr>
          <w:rFonts w:hint="cs"/>
          <w:b/>
          <w:bCs/>
          <w:rtl/>
        </w:rPr>
        <w:t>עובדות בית החולים אביבה ואילנה</w:t>
      </w:r>
      <w:r>
        <w:rPr>
          <w:rFonts w:hint="cs"/>
          <w:rtl/>
        </w:rPr>
        <w:t xml:space="preserve"> – כאמור לעיל, עדויותיהם של עובדי ביה"ח אמינים עלי, ועדויותיהן של אביבה ואילנה בכלל זה. אין בעדויותיהן לקדם הגנת הנאשם באשר לשאלות השנויות במחלוקת והצריכות הכרעה. אדרבא שתיהן תומכות בעדותה של המתלוננת שנאשם לבש מדים בצבע כחול או ירוק. אילנה אמרה שבדרך כלל הנאשם לבש מדים בצבע ירוק (פ/ ע' 92 ש' 2). אביבה העידה שבדרך כלל הנאשם לבש מדים ירוקים או כחולים (פ/ ע' 89 ש' 19). משכך לא ירדתי לסוף דעתו של הסנגור כאשר תמך טענתו בהקשר לפגם בזיהויו של הנאשם בגרסת המתלוננת בהקשר לצבע מדיו של הנאשם. אני ערה לכך, שלדברי העו"ס, האחים והאחיות בקבלה לבושים בלבן. אני מעדיפה את גרסתן של עדות ההגנה. תמי, להבדיל מאילנה ואביבה, מבקרת במחלקה רק "</w:t>
      </w:r>
      <w:r>
        <w:rPr>
          <w:rFonts w:hint="cs"/>
          <w:b/>
          <w:bCs/>
          <w:rtl/>
        </w:rPr>
        <w:t>פעם בשבוע – שבועיים</w:t>
      </w:r>
      <w:r>
        <w:rPr>
          <w:rFonts w:hint="cs"/>
          <w:rtl/>
        </w:rPr>
        <w:t>" (פ/ ע' 81 ש' 5), בעוד שאביבה ואילנה עובדות במחלקה באופן יומיומי וקבוע ומכירות היטב את שגרת העבודה ונהליה, כולל צבע המדים של הסגל הרפואי.</w:t>
      </w:r>
    </w:p>
    <w:p w14:paraId="6F886BA8" w14:textId="77777777" w:rsidR="000F6B7D" w:rsidRDefault="0069122D">
      <w:pPr>
        <w:numPr>
          <w:ilvl w:val="0"/>
          <w:numId w:val="6"/>
        </w:numPr>
        <w:spacing w:line="360" w:lineRule="auto"/>
        <w:jc w:val="both"/>
        <w:rPr>
          <w:szCs w:val="22"/>
          <w:rtl/>
        </w:rPr>
      </w:pPr>
      <w:r>
        <w:rPr>
          <w:rFonts w:hint="cs"/>
          <w:b/>
          <w:bCs/>
          <w:rtl/>
        </w:rPr>
        <w:t>הנאשם</w:t>
      </w:r>
      <w:r>
        <w:rPr>
          <w:rFonts w:hint="cs"/>
          <w:rtl/>
        </w:rPr>
        <w:t xml:space="preserve"> – למרות הכחשתו העקבית, גרסתו </w:t>
      </w:r>
      <w:r>
        <w:rPr>
          <w:rFonts w:hint="cs"/>
          <w:sz w:val="26"/>
          <w:rtl/>
        </w:rPr>
        <w:t>לא שכנעה אותי. אני מקבלת אמנם שבהיותו מעורב בטיפול בחולים רבים מידי יום ביומו איננו יכול לזכור את כל המטופלים אלא אם כן קרה אירוע חריג מאוד (פ/ ע' 99 ש' 26 ואילך). אני בהחלט מקווה שהאירוע הזה היה בגדר חריג ואינני מאמינה שהנאשם לא זכר אותו. התרשמתי שהנאשם הכחיש ולא הודה, תוך שהוא עושה ככל יכולתו להרחיק עצמו מביצוע העבירה. ואף על פי כן</w:t>
      </w:r>
      <w:r>
        <w:rPr>
          <w:rFonts w:hint="cs"/>
          <w:szCs w:val="22"/>
          <w:rtl/>
        </w:rPr>
        <w:t xml:space="preserve"> </w:t>
      </w:r>
      <w:r>
        <w:rPr>
          <w:rFonts w:hint="cs"/>
          <w:sz w:val="26"/>
          <w:rtl/>
        </w:rPr>
        <w:t xml:space="preserve">הנאשם לא הכחיש את הרישום ת/5 והסכים שאם כך נרשם, הוא קיבל את המתלוננת (פ/ ע' 97 ש' 24). וחרף זאת, בחקירה נגדית התאמץ מאוד להתנער מהליך קבלתה של המתלוננת. חרף העובדה שזיהה את כתב ידו ב-ת/5 טען שלא עולה ממנו שהוא קיבל את המתלוננת (פ/ ע' 98 ש' 7 ואילך). והנה בהמשך היה מוכן להסכים שקיבל אותה וטיפל בה באופן שגרתי כנדרש לפני הניתוח (פ/ ע' 99 ש' 17). בהתחשב בכך, לא נפל, לדעתי, כל פגם בזיהוי שזיהתה המתלוננת את הנאשם וגם אם אניח לצורך הויכוח שהיה פגם, אין לו משקל ראייתי המצריך דיון. </w:t>
      </w:r>
    </w:p>
    <w:p w14:paraId="5F970530" w14:textId="77777777" w:rsidR="000F6B7D" w:rsidRDefault="0069122D">
      <w:pPr>
        <w:spacing w:line="360" w:lineRule="auto"/>
        <w:ind w:left="720"/>
        <w:jc w:val="both"/>
        <w:rPr>
          <w:sz w:val="26"/>
          <w:rtl/>
        </w:rPr>
      </w:pPr>
      <w:r>
        <w:rPr>
          <w:rFonts w:hint="cs"/>
          <w:sz w:val="26"/>
          <w:rtl/>
        </w:rPr>
        <w:t>הנאשם לא יכול היה להסביר איזו סיבה יש למתלוננת להעליל עליו עלילת שווא והשערתו "</w:t>
      </w:r>
      <w:r>
        <w:rPr>
          <w:rFonts w:hint="cs"/>
          <w:b/>
          <w:bCs/>
          <w:sz w:val="26"/>
          <w:rtl/>
        </w:rPr>
        <w:t>אולי היא רוצה כסף, מאיפה אני יודע</w:t>
      </w:r>
      <w:r>
        <w:rPr>
          <w:rFonts w:hint="cs"/>
          <w:sz w:val="26"/>
          <w:rtl/>
        </w:rPr>
        <w:t xml:space="preserve">" (פ/ ע' 97 ש' 4). הנאשם לא טען כך במשטרה וקשה להשתחרר מהרושם ש"אימץ" את הרעיון בעקבות חקירה נגדית שנחקרה המתלוננת בבית המשפט. </w:t>
      </w:r>
    </w:p>
    <w:p w14:paraId="3FAEF7B3" w14:textId="77777777" w:rsidR="000F6B7D" w:rsidRDefault="0069122D">
      <w:pPr>
        <w:spacing w:line="360" w:lineRule="auto"/>
        <w:ind w:left="720"/>
        <w:jc w:val="both"/>
        <w:rPr>
          <w:sz w:val="26"/>
          <w:rtl/>
        </w:rPr>
      </w:pPr>
      <w:r>
        <w:rPr>
          <w:rFonts w:hint="cs"/>
          <w:sz w:val="26"/>
          <w:rtl/>
        </w:rPr>
        <w:t xml:space="preserve">הנאשם מצא לבקר פעולותיה של רס"ב טקו שביצעה את העימות וטען שלא תיעדה את האירועים במלואם. לדעתי הדוחות שרשמה מלאים ומפורטים כנדרש והנאשם לא הוסיף על האמור בהם שום דבר מהותי כלשהוא. </w:t>
      </w:r>
    </w:p>
    <w:p w14:paraId="36617222" w14:textId="77777777" w:rsidR="000F6B7D" w:rsidRDefault="0069122D">
      <w:pPr>
        <w:spacing w:line="360" w:lineRule="auto"/>
        <w:ind w:left="720"/>
        <w:jc w:val="both"/>
        <w:rPr>
          <w:szCs w:val="22"/>
          <w:rtl/>
        </w:rPr>
      </w:pPr>
      <w:r>
        <w:rPr>
          <w:rFonts w:hint="cs"/>
          <w:sz w:val="26"/>
          <w:rtl/>
        </w:rPr>
        <w:t xml:space="preserve">הנאשם לא מסר </w:t>
      </w:r>
      <w:r>
        <w:rPr>
          <w:rFonts w:ascii="Arial" w:hAnsi="Arial" w:hint="cs"/>
          <w:sz w:val="26"/>
          <w:rtl/>
        </w:rPr>
        <w:t>הסבר סביר ואמין, שהיה בו לעורר ספק באשר לכוונת הנגיעה שנגע במתלוננת. בהעדר כל הכרות מוקדמת בין השניים, ולאחר שקיבלתי את גרסת המתלוננת כאמינה, אין אפשרות לראות בנגיעות שנגע בה כמגעים תמימים, המסקנה המתחייבת היא שהנאשם מישש את שדיה של המתלוננת והביט בגופה הערום שלא כדין. מעשים אלו נגועים בכוונה מינית גלויה, אשר מתבונן מן הצד יראה אותם כבלתי הגונים, חסרי צניעות ומוסריות כפי שפסק כב' השופט לווין ב</w:t>
      </w:r>
      <w:hyperlink r:id="rId26" w:history="1">
        <w:r w:rsidR="00756B84" w:rsidRPr="00756B84">
          <w:rPr>
            <w:rStyle w:val="Hyperlink"/>
            <w:rFonts w:ascii="Arial" w:hAnsi="Arial"/>
            <w:sz w:val="26"/>
            <w:rtl/>
          </w:rPr>
          <w:t>ע"פ 616/83, פליישמן נ' מדינת ישראל, פ"ד לט</w:t>
        </w:r>
      </w:hyperlink>
      <w:r>
        <w:rPr>
          <w:rFonts w:ascii="Arial" w:hAnsi="Arial" w:hint="cs"/>
          <w:sz w:val="26"/>
          <w:rtl/>
        </w:rPr>
        <w:t xml:space="preserve"> (1) 449.</w:t>
      </w:r>
    </w:p>
    <w:p w14:paraId="53644F9A" w14:textId="77777777" w:rsidR="000F6B7D" w:rsidRDefault="000F6B7D">
      <w:pPr>
        <w:spacing w:line="360" w:lineRule="auto"/>
        <w:jc w:val="both"/>
        <w:rPr>
          <w:rFonts w:ascii="Arial" w:hAnsi="Arial"/>
          <w:rtl/>
        </w:rPr>
      </w:pPr>
    </w:p>
    <w:p w14:paraId="4A4EAB33" w14:textId="77777777" w:rsidR="000F6B7D" w:rsidRDefault="0069122D">
      <w:pPr>
        <w:spacing w:line="360" w:lineRule="auto"/>
        <w:jc w:val="both"/>
        <w:rPr>
          <w:rFonts w:ascii="Arial" w:hAnsi="Arial"/>
          <w:rtl/>
        </w:rPr>
      </w:pPr>
      <w:r>
        <w:rPr>
          <w:rFonts w:ascii="Arial" w:hAnsi="Arial" w:hint="cs"/>
          <w:b/>
          <w:bCs/>
          <w:rtl/>
        </w:rPr>
        <w:t>סוף דבר</w:t>
      </w:r>
      <w:r>
        <w:rPr>
          <w:rFonts w:ascii="Arial" w:hAnsi="Arial" w:hint="cs"/>
          <w:rtl/>
        </w:rPr>
        <w:t xml:space="preserve"> – על סמך אמוני המלא בגרסת המתלוננת אשר נמצאו לה חיזוקים מספיקים ולאחר שהזהרתי את עצמי  בפני עדות יחידה, ולאחר שדחיתי גרסת הנאשם, אני מקבלת שהתביעה הוכיחה מעבר לספק סביר וכנדרש במשפט פלילי את אשמת הנאשם ואני מרשיעה אותו בעבירות, לפי </w:t>
      </w:r>
      <w:hyperlink r:id="rId27" w:history="1">
        <w:r w:rsidR="00FC7C3D" w:rsidRPr="00FC7C3D">
          <w:rPr>
            <w:color w:val="0000FF"/>
            <w:sz w:val="26"/>
            <w:u w:val="single"/>
            <w:rtl/>
          </w:rPr>
          <w:t>סעיף 348(א)</w:t>
        </w:r>
      </w:hyperlink>
      <w:r>
        <w:rPr>
          <w:rFonts w:hint="cs"/>
          <w:sz w:val="26"/>
          <w:rtl/>
        </w:rPr>
        <w:t xml:space="preserve"> בנסיבות </w:t>
      </w:r>
      <w:hyperlink r:id="rId28" w:history="1">
        <w:r w:rsidR="00FC7C3D" w:rsidRPr="00FC7C3D">
          <w:rPr>
            <w:color w:val="0000FF"/>
            <w:sz w:val="26"/>
            <w:u w:val="single"/>
            <w:rtl/>
          </w:rPr>
          <w:t>סעיף 345(א)(2)</w:t>
        </w:r>
      </w:hyperlink>
      <w:r>
        <w:rPr>
          <w:rFonts w:hint="cs"/>
          <w:sz w:val="26"/>
          <w:rtl/>
        </w:rPr>
        <w:t xml:space="preserve"> ל</w:t>
      </w:r>
      <w:hyperlink r:id="rId29" w:history="1">
        <w:r w:rsidR="00756B84" w:rsidRPr="00756B84">
          <w:rPr>
            <w:rStyle w:val="Hyperlink"/>
            <w:sz w:val="26"/>
            <w:rtl/>
          </w:rPr>
          <w:t>חוק העונשין</w:t>
        </w:r>
      </w:hyperlink>
      <w:r>
        <w:rPr>
          <w:rFonts w:hint="cs"/>
          <w:sz w:val="26"/>
          <w:rtl/>
        </w:rPr>
        <w:t>, תשל"ז-1977.</w:t>
      </w:r>
    </w:p>
    <w:p w14:paraId="470A9EB7" w14:textId="77777777" w:rsidR="000F6B7D" w:rsidRDefault="000F6B7D">
      <w:pPr>
        <w:jc w:val="center"/>
        <w:rPr>
          <w:rtl/>
        </w:rPr>
      </w:pPr>
    </w:p>
    <w:p w14:paraId="7D77AE7D" w14:textId="77777777" w:rsidR="000F6B7D" w:rsidRDefault="0069122D">
      <w:pPr>
        <w:jc w:val="center"/>
        <w:rPr>
          <w:sz w:val="6"/>
          <w:szCs w:val="6"/>
          <w:rtl/>
        </w:rPr>
      </w:pPr>
      <w:r>
        <w:rPr>
          <w:sz w:val="6"/>
          <w:szCs w:val="6"/>
          <w:rtl/>
        </w:rPr>
        <w:t>&lt;#7#&gt;</w:t>
      </w:r>
    </w:p>
    <w:p w14:paraId="736DF3B5" w14:textId="77777777" w:rsidR="000F6B7D" w:rsidRDefault="000F6B7D">
      <w:pPr>
        <w:jc w:val="right"/>
        <w:rPr>
          <w:rtl/>
        </w:rPr>
      </w:pPr>
    </w:p>
    <w:p w14:paraId="5C2B6229" w14:textId="77777777" w:rsidR="000F6B7D" w:rsidRDefault="0069122D">
      <w:pPr>
        <w:spacing w:line="360" w:lineRule="auto"/>
        <w:jc w:val="both"/>
        <w:rPr>
          <w:rtl/>
        </w:rPr>
      </w:pPr>
      <w:r>
        <w:rPr>
          <w:rFonts w:hint="cs"/>
          <w:b/>
          <w:bCs/>
          <w:rtl/>
        </w:rPr>
        <w:t xml:space="preserve">ניתנה והודעה היום </w:t>
      </w:r>
      <w:r>
        <w:rPr>
          <w:b/>
          <w:bCs/>
          <w:rtl/>
        </w:rPr>
        <w:t>י"ג שבט תש"ע</w:t>
      </w:r>
      <w:r>
        <w:rPr>
          <w:rFonts w:hint="cs"/>
          <w:b/>
          <w:bCs/>
          <w:rtl/>
        </w:rPr>
        <w:t xml:space="preserve">, </w:t>
      </w:r>
      <w:r>
        <w:rPr>
          <w:b/>
          <w:bCs/>
          <w:rtl/>
        </w:rPr>
        <w:t>28/01/2010</w:t>
      </w:r>
      <w:r>
        <w:rPr>
          <w:rFonts w:hint="cs"/>
          <w:b/>
          <w:bCs/>
          <w:rtl/>
        </w:rPr>
        <w:t xml:space="preserve"> במעמד הנוכחים.</w:t>
      </w:r>
      <w:r>
        <w:rPr>
          <w:rtl/>
        </w:rPr>
        <w:t xml:space="preserve"> </w:t>
      </w:r>
    </w:p>
    <w:p w14:paraId="07619F08" w14:textId="77777777" w:rsidR="000F6B7D" w:rsidRDefault="0069122D">
      <w:pPr>
        <w:jc w:val="both"/>
        <w:rPr>
          <w:rtl/>
        </w:rPr>
      </w:pPr>
      <w:r>
        <w:rPr>
          <w:rtl/>
        </w:rPr>
        <w:t xml:space="preserve"> </w:t>
      </w:r>
    </w:p>
    <w:p w14:paraId="471EAB1B" w14:textId="77777777" w:rsidR="000F6B7D" w:rsidRDefault="000F6B7D">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F6B7D" w14:paraId="0266684F" w14:textId="77777777">
        <w:trPr>
          <w:trHeight w:val="364"/>
          <w:jc w:val="right"/>
        </w:trPr>
        <w:tc>
          <w:tcPr>
            <w:tcW w:w="3708" w:type="dxa"/>
            <w:shd w:val="clear" w:color="auto" w:fill="auto"/>
          </w:tcPr>
          <w:p w14:paraId="7E97034C" w14:textId="77777777" w:rsidR="000F6B7D" w:rsidRDefault="000F6B7D" w:rsidP="00B67BF3">
            <w:pPr>
              <w:jc w:val="center"/>
              <w:rPr>
                <w:rtl/>
              </w:rPr>
            </w:pPr>
          </w:p>
        </w:tc>
      </w:tr>
      <w:tr w:rsidR="000F6B7D" w14:paraId="2C365F32" w14:textId="77777777">
        <w:trPr>
          <w:trHeight w:val="415"/>
          <w:jc w:val="right"/>
        </w:trPr>
        <w:tc>
          <w:tcPr>
            <w:tcW w:w="3708" w:type="dxa"/>
            <w:shd w:val="clear" w:color="auto" w:fill="auto"/>
          </w:tcPr>
          <w:p w14:paraId="2DBC4F2E" w14:textId="77777777" w:rsidR="000F6B7D" w:rsidRPr="00B67BF3" w:rsidRDefault="0069122D" w:rsidP="00B67BF3">
            <w:pPr>
              <w:jc w:val="center"/>
              <w:rPr>
                <w:b/>
                <w:bCs/>
                <w:rtl/>
              </w:rPr>
            </w:pPr>
            <w:r w:rsidRPr="00B67BF3">
              <w:rPr>
                <w:b/>
                <w:bCs/>
                <w:rtl/>
              </w:rPr>
              <w:t>דורית</w:t>
            </w:r>
            <w:r w:rsidRPr="00B67BF3">
              <w:rPr>
                <w:rFonts w:hint="cs"/>
                <w:b/>
                <w:bCs/>
                <w:rtl/>
              </w:rPr>
              <w:t xml:space="preserve"> </w:t>
            </w:r>
            <w:r w:rsidRPr="00B67BF3">
              <w:rPr>
                <w:b/>
                <w:bCs/>
                <w:rtl/>
              </w:rPr>
              <w:t>רייך-שפירא</w:t>
            </w:r>
            <w:r w:rsidRPr="00B67BF3">
              <w:rPr>
                <w:rFonts w:hint="cs"/>
                <w:b/>
                <w:bCs/>
                <w:rtl/>
              </w:rPr>
              <w:t xml:space="preserve">, </w:t>
            </w:r>
            <w:r w:rsidRPr="00B67BF3">
              <w:rPr>
                <w:b/>
                <w:bCs/>
                <w:rtl/>
              </w:rPr>
              <w:t>שופטת</w:t>
            </w:r>
          </w:p>
        </w:tc>
      </w:tr>
    </w:tbl>
    <w:p w14:paraId="3CEED695" w14:textId="77777777" w:rsidR="000F6B7D" w:rsidRDefault="000F6B7D">
      <w:pPr>
        <w:spacing w:line="360" w:lineRule="auto"/>
        <w:jc w:val="both"/>
        <w:rPr>
          <w:rtl/>
        </w:rPr>
      </w:pPr>
    </w:p>
    <w:p w14:paraId="31AAEEAB" w14:textId="77777777" w:rsidR="000F6B7D" w:rsidRDefault="0069122D">
      <w:pPr>
        <w:spacing w:line="360" w:lineRule="auto"/>
        <w:jc w:val="both"/>
        <w:rPr>
          <w:sz w:val="6"/>
          <w:szCs w:val="6"/>
          <w:rtl/>
        </w:rPr>
      </w:pPr>
      <w:r>
        <w:rPr>
          <w:sz w:val="6"/>
          <w:szCs w:val="6"/>
          <w:rtl/>
        </w:rPr>
        <w:t>&lt;#9#&gt;</w:t>
      </w:r>
    </w:p>
    <w:p w14:paraId="0592D61D" w14:textId="77777777" w:rsidR="000F6B7D" w:rsidRDefault="0069122D">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D2CCEA7" w14:textId="77777777" w:rsidR="000F6B7D" w:rsidRDefault="0069122D">
      <w:pPr>
        <w:spacing w:line="360" w:lineRule="auto"/>
        <w:jc w:val="both"/>
        <w:rPr>
          <w:rtl/>
        </w:rPr>
      </w:pPr>
      <w:r>
        <w:rPr>
          <w:rFonts w:hint="cs"/>
          <w:rtl/>
        </w:rPr>
        <w:t xml:space="preserve">חרף הפגיעה הקשה מאוד שתפגע הרשעה שיצאה מתחת לידי הבוקר, משקל של נסיבותיו האישיות לא גובר של משקלו של האינטרס הציבורי שבהשארת ההרשעה על כנה. הסנגור המלומד מודע לכך מן הסתם ואפילו לא ביקש ביטול הרשעה. יוצא אפוא שהסנגור מבקש התייחסויות לנתונים אחרים כגון תגובתו הנפשית של הנאשם להרשעה וכיו"ב. את אלו יכול הסנגור להביא בפני בית משפט הן בטיעונים שיעלה הוא בבית המשפט והן במסמכים שיציג כולל אישורים רפואיים וחוות דעת של רופאים שמטפלים או טיפלו בנאשם, אם יש כאלה, במהלך התקופה שהתנהל המשפט בפני והמתין למתן הכרעת הדין. </w:t>
      </w:r>
    </w:p>
    <w:p w14:paraId="6B00DEBE" w14:textId="77777777" w:rsidR="000F6B7D" w:rsidRDefault="000F6B7D">
      <w:pPr>
        <w:spacing w:line="360" w:lineRule="auto"/>
        <w:jc w:val="both"/>
        <w:rPr>
          <w:rtl/>
        </w:rPr>
      </w:pPr>
    </w:p>
    <w:p w14:paraId="1B6E0574" w14:textId="77777777" w:rsidR="000F6B7D" w:rsidRDefault="0069122D">
      <w:pPr>
        <w:spacing w:line="360" w:lineRule="auto"/>
        <w:jc w:val="both"/>
        <w:rPr>
          <w:rtl/>
        </w:rPr>
      </w:pPr>
      <w:r>
        <w:rPr>
          <w:rFonts w:hint="cs"/>
          <w:rtl/>
        </w:rPr>
        <w:t xml:space="preserve">אני קובעת שמיעת הטיעונים לעונש ליום </w:t>
      </w:r>
      <w:r>
        <w:rPr>
          <w:rFonts w:hint="cs"/>
          <w:b/>
          <w:bCs/>
          <w:sz w:val="26"/>
          <w:szCs w:val="26"/>
          <w:rtl/>
        </w:rPr>
        <w:t>17.02.10 שעה  12:30.</w:t>
      </w:r>
    </w:p>
    <w:p w14:paraId="66D3F24E" w14:textId="77777777" w:rsidR="000F6B7D" w:rsidRDefault="000F6B7D">
      <w:pPr>
        <w:spacing w:line="360" w:lineRule="auto"/>
        <w:jc w:val="both"/>
        <w:rPr>
          <w:rtl/>
        </w:rPr>
      </w:pPr>
    </w:p>
    <w:p w14:paraId="6C0378E5" w14:textId="77777777" w:rsidR="000F6B7D" w:rsidRDefault="0069122D">
      <w:pPr>
        <w:spacing w:line="360" w:lineRule="auto"/>
        <w:jc w:val="both"/>
        <w:rPr>
          <w:rtl/>
        </w:rPr>
      </w:pPr>
      <w:r>
        <w:rPr>
          <w:rFonts w:hint="cs"/>
          <w:rtl/>
        </w:rPr>
        <w:t xml:space="preserve">הודע לנאשם שלא תשלח לו הזמנה נוספת ועליו להתייצב במועד שנקבע. </w:t>
      </w:r>
    </w:p>
    <w:p w14:paraId="5C41CBDF" w14:textId="77777777" w:rsidR="000F6B7D" w:rsidRDefault="0069122D">
      <w:pPr>
        <w:rPr>
          <w:rtl/>
        </w:rPr>
      </w:pPr>
      <w:r>
        <w:rPr>
          <w:rtl/>
        </w:rPr>
        <w:t xml:space="preserve"> </w:t>
      </w:r>
    </w:p>
    <w:p w14:paraId="63370C64" w14:textId="77777777" w:rsidR="000F6B7D" w:rsidRDefault="0069122D">
      <w:pPr>
        <w:rPr>
          <w:sz w:val="6"/>
          <w:szCs w:val="6"/>
          <w:rtl/>
        </w:rPr>
      </w:pPr>
      <w:r>
        <w:rPr>
          <w:sz w:val="6"/>
          <w:szCs w:val="6"/>
          <w:rtl/>
        </w:rPr>
        <w:t>&lt;#6#&gt;</w:t>
      </w:r>
    </w:p>
    <w:p w14:paraId="51E34520" w14:textId="77777777" w:rsidR="0069122D" w:rsidRPr="0069122D" w:rsidRDefault="0069122D">
      <w:pPr>
        <w:jc w:val="right"/>
        <w:rPr>
          <w:color w:val="FFFFFF"/>
          <w:sz w:val="2"/>
          <w:szCs w:val="2"/>
          <w:rtl/>
        </w:rPr>
      </w:pPr>
    </w:p>
    <w:p w14:paraId="16DFAC94" w14:textId="77777777" w:rsidR="0069122D" w:rsidRPr="0069122D" w:rsidRDefault="0069122D">
      <w:pPr>
        <w:jc w:val="right"/>
        <w:rPr>
          <w:color w:val="FFFFFF"/>
          <w:sz w:val="2"/>
          <w:szCs w:val="2"/>
          <w:rtl/>
        </w:rPr>
      </w:pPr>
      <w:r w:rsidRPr="0069122D">
        <w:rPr>
          <w:color w:val="FFFFFF"/>
          <w:sz w:val="2"/>
          <w:szCs w:val="2"/>
          <w:rtl/>
        </w:rPr>
        <w:t>5129371</w:t>
      </w:r>
    </w:p>
    <w:p w14:paraId="1DEC55FA" w14:textId="77777777" w:rsidR="000F6B7D" w:rsidRDefault="0069122D">
      <w:pPr>
        <w:jc w:val="right"/>
        <w:rPr>
          <w:rtl/>
        </w:rPr>
      </w:pPr>
      <w:r w:rsidRPr="0069122D">
        <w:rPr>
          <w:color w:val="FFFFFF"/>
          <w:sz w:val="2"/>
          <w:szCs w:val="2"/>
          <w:rtl/>
        </w:rPr>
        <w:t>54678313</w:t>
      </w:r>
    </w:p>
    <w:p w14:paraId="0EAB11BE" w14:textId="77777777" w:rsidR="0069122D" w:rsidRPr="0069122D" w:rsidRDefault="00CE1223" w:rsidP="0069122D">
      <w:pPr>
        <w:keepNext/>
        <w:rPr>
          <w:color w:val="000000"/>
          <w:sz w:val="22"/>
          <w:szCs w:val="22"/>
          <w:rtl/>
        </w:rPr>
      </w:pPr>
      <w:r>
        <w:rPr>
          <w:b/>
          <w:bCs/>
          <w:rtl/>
        </w:rPr>
        <w:t xml:space="preserve">ניתנה והודעה היום י"ג שבט תש"ע, 28/01/2010 במעמד הנוכחים.    </w:t>
      </w:r>
    </w:p>
    <w:p w14:paraId="53D46929" w14:textId="77777777" w:rsidR="0069122D" w:rsidRPr="0069122D" w:rsidRDefault="0069122D" w:rsidP="0069122D">
      <w:pPr>
        <w:keepNext/>
        <w:rPr>
          <w:rFonts w:hint="cs"/>
          <w:color w:val="000000"/>
          <w:sz w:val="22"/>
          <w:szCs w:val="22"/>
          <w:rtl/>
        </w:rPr>
      </w:pPr>
    </w:p>
    <w:p w14:paraId="16D31A25" w14:textId="77777777" w:rsidR="009E66C6" w:rsidRPr="009E66C6" w:rsidRDefault="009E66C6">
      <w:pPr>
        <w:jc w:val="center"/>
        <w:rPr>
          <w:color w:val="FFFFFF"/>
          <w:sz w:val="2"/>
          <w:szCs w:val="2"/>
          <w:rtl/>
        </w:rPr>
      </w:pPr>
    </w:p>
    <w:p w14:paraId="3B9EC586" w14:textId="77777777" w:rsidR="009E66C6" w:rsidRPr="009E66C6" w:rsidRDefault="009E66C6">
      <w:pPr>
        <w:jc w:val="center"/>
        <w:rPr>
          <w:color w:val="FFFFFF"/>
          <w:sz w:val="2"/>
          <w:szCs w:val="2"/>
          <w:rtl/>
        </w:rPr>
      </w:pPr>
      <w:r w:rsidRPr="009E66C6">
        <w:rPr>
          <w:color w:val="FFFFFF"/>
          <w:sz w:val="2"/>
          <w:szCs w:val="2"/>
          <w:rtl/>
        </w:rPr>
        <w:t>5129371</w:t>
      </w:r>
    </w:p>
    <w:p w14:paraId="550C757A" w14:textId="77777777" w:rsidR="009E66C6" w:rsidRPr="009E66C6" w:rsidRDefault="009E66C6" w:rsidP="009E66C6">
      <w:pPr>
        <w:keepNext/>
        <w:rPr>
          <w:color w:val="000000"/>
          <w:sz w:val="22"/>
          <w:szCs w:val="22"/>
          <w:rtl/>
        </w:rPr>
      </w:pPr>
    </w:p>
    <w:p w14:paraId="5A03B451" w14:textId="77777777" w:rsidR="00CE1223" w:rsidRPr="00CE1223" w:rsidRDefault="00CE1223" w:rsidP="00CE1223">
      <w:pPr>
        <w:keepNext/>
        <w:rPr>
          <w:color w:val="000000"/>
          <w:sz w:val="22"/>
          <w:szCs w:val="22"/>
          <w:rtl/>
        </w:rPr>
      </w:pPr>
    </w:p>
    <w:p w14:paraId="5B296FF3" w14:textId="77777777" w:rsidR="001248A8" w:rsidRPr="001248A8" w:rsidRDefault="001248A8">
      <w:pPr>
        <w:jc w:val="center"/>
        <w:rPr>
          <w:color w:val="FFFFFF"/>
          <w:sz w:val="2"/>
          <w:szCs w:val="2"/>
          <w:rtl/>
        </w:rPr>
      </w:pPr>
    </w:p>
    <w:p w14:paraId="5FB8A607" w14:textId="77777777" w:rsidR="001248A8" w:rsidRPr="001248A8" w:rsidRDefault="001248A8">
      <w:pPr>
        <w:jc w:val="center"/>
        <w:rPr>
          <w:color w:val="FFFFFF"/>
          <w:sz w:val="2"/>
          <w:szCs w:val="2"/>
          <w:rtl/>
        </w:rPr>
      </w:pPr>
      <w:r w:rsidRPr="001248A8">
        <w:rPr>
          <w:color w:val="FFFFFF"/>
          <w:sz w:val="2"/>
          <w:szCs w:val="2"/>
          <w:rtl/>
        </w:rPr>
        <w:t>5129371</w:t>
      </w:r>
    </w:p>
    <w:p w14:paraId="49C631D6" w14:textId="77777777" w:rsidR="001248A8" w:rsidRPr="001248A8" w:rsidRDefault="001248A8" w:rsidP="001248A8">
      <w:pPr>
        <w:keepNext/>
        <w:rPr>
          <w:color w:val="000000"/>
          <w:sz w:val="22"/>
          <w:szCs w:val="22"/>
          <w:rtl/>
        </w:rPr>
      </w:pPr>
    </w:p>
    <w:p w14:paraId="5372A9AB" w14:textId="77777777" w:rsidR="001248A8" w:rsidRPr="001248A8" w:rsidRDefault="001248A8" w:rsidP="001248A8">
      <w:pPr>
        <w:keepNext/>
        <w:rPr>
          <w:color w:val="000000"/>
          <w:sz w:val="22"/>
          <w:szCs w:val="22"/>
          <w:rtl/>
        </w:rPr>
      </w:pPr>
      <w:r w:rsidRPr="001248A8">
        <w:rPr>
          <w:color w:val="000000"/>
          <w:sz w:val="22"/>
          <w:szCs w:val="22"/>
          <w:rtl/>
        </w:rPr>
        <w:t>דורית רייך שפירא 54678313-8210/07</w:t>
      </w:r>
    </w:p>
    <w:p w14:paraId="70E3F789" w14:textId="77777777" w:rsidR="000F6B7D" w:rsidRDefault="001248A8">
      <w:pPr>
        <w:jc w:val="center"/>
        <w:rPr>
          <w:rtl/>
        </w:rPr>
      </w:pPr>
      <w:r w:rsidRPr="001248A8">
        <w:rPr>
          <w:color w:val="FFFFFF"/>
          <w:sz w:val="2"/>
          <w:szCs w:val="2"/>
          <w:rtl/>
        </w:rPr>
        <w:t>54678313</w:t>
      </w:r>
      <w:r w:rsidR="00CE1223" w:rsidRPr="00CE1223">
        <w:rPr>
          <w:color w:val="FFFFFF"/>
          <w:sz w:val="2"/>
          <w:szCs w:val="2"/>
          <w:rtl/>
        </w:rPr>
        <w:t>54678313</w:t>
      </w:r>
      <w:r w:rsidR="009E66C6" w:rsidRPr="009E66C6">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F6B7D" w14:paraId="261BE650" w14:textId="77777777">
        <w:trPr>
          <w:trHeight w:val="364"/>
          <w:jc w:val="right"/>
        </w:trPr>
        <w:tc>
          <w:tcPr>
            <w:tcW w:w="3708" w:type="dxa"/>
            <w:shd w:val="clear" w:color="auto" w:fill="auto"/>
          </w:tcPr>
          <w:p w14:paraId="749C2A9E" w14:textId="77777777" w:rsidR="000F6B7D" w:rsidRDefault="000F6B7D" w:rsidP="00B67BF3">
            <w:pPr>
              <w:jc w:val="center"/>
              <w:rPr>
                <w:rtl/>
              </w:rPr>
            </w:pPr>
          </w:p>
        </w:tc>
      </w:tr>
      <w:tr w:rsidR="000F6B7D" w14:paraId="3D75F438" w14:textId="77777777">
        <w:trPr>
          <w:trHeight w:val="415"/>
          <w:jc w:val="right"/>
        </w:trPr>
        <w:tc>
          <w:tcPr>
            <w:tcW w:w="3708" w:type="dxa"/>
            <w:shd w:val="clear" w:color="auto" w:fill="auto"/>
          </w:tcPr>
          <w:p w14:paraId="175F48BB" w14:textId="77777777" w:rsidR="000F6B7D" w:rsidRPr="00B67BF3" w:rsidRDefault="0069122D" w:rsidP="00B67BF3">
            <w:pPr>
              <w:jc w:val="center"/>
              <w:rPr>
                <w:b/>
                <w:bCs/>
                <w:rtl/>
              </w:rPr>
            </w:pPr>
            <w:r w:rsidRPr="00B67BF3">
              <w:rPr>
                <w:b/>
                <w:bCs/>
                <w:rtl/>
              </w:rPr>
              <w:t>דורית</w:t>
            </w:r>
            <w:r w:rsidRPr="00B67BF3">
              <w:rPr>
                <w:rFonts w:hint="cs"/>
                <w:b/>
                <w:bCs/>
                <w:rtl/>
              </w:rPr>
              <w:t xml:space="preserve"> </w:t>
            </w:r>
            <w:r w:rsidRPr="00B67BF3">
              <w:rPr>
                <w:b/>
                <w:bCs/>
                <w:rtl/>
              </w:rPr>
              <w:t>רייך-שפירא</w:t>
            </w:r>
            <w:r w:rsidRPr="00B67BF3">
              <w:rPr>
                <w:rFonts w:hint="cs"/>
                <w:b/>
                <w:bCs/>
                <w:rtl/>
              </w:rPr>
              <w:t xml:space="preserve">, </w:t>
            </w:r>
            <w:r w:rsidRPr="00B67BF3">
              <w:rPr>
                <w:b/>
                <w:bCs/>
                <w:rtl/>
              </w:rPr>
              <w:t>שופטת</w:t>
            </w:r>
          </w:p>
        </w:tc>
      </w:tr>
    </w:tbl>
    <w:p w14:paraId="7126CA5A" w14:textId="77777777" w:rsidR="0069122D" w:rsidRDefault="0069122D" w:rsidP="0069122D">
      <w:r w:rsidRPr="0069122D">
        <w:rPr>
          <w:color w:val="000000"/>
          <w:rtl/>
        </w:rPr>
        <w:t>נוסח מסמך זה כפוף לשינויי ניסוח ועריכה</w:t>
      </w:r>
    </w:p>
    <w:p w14:paraId="782DDFDE" w14:textId="77777777" w:rsidR="0069122D" w:rsidRDefault="0069122D" w:rsidP="0069122D">
      <w:pPr>
        <w:rPr>
          <w:rtl/>
        </w:rPr>
      </w:pPr>
    </w:p>
    <w:p w14:paraId="12F24D8C" w14:textId="77777777" w:rsidR="00CE1223" w:rsidRDefault="00CE1223" w:rsidP="00CE1223">
      <w:pPr>
        <w:rPr>
          <w:color w:val="0000FF"/>
          <w:u w:val="single"/>
          <w:rtl/>
        </w:rPr>
      </w:pPr>
    </w:p>
    <w:p w14:paraId="7495BE1C" w14:textId="77777777" w:rsidR="00CE1223" w:rsidRDefault="00CE1223" w:rsidP="00CE1223">
      <w:pPr>
        <w:jc w:val="center"/>
        <w:rPr>
          <w:color w:val="0000FF"/>
          <w:u w:val="single"/>
          <w:rtl/>
        </w:rPr>
      </w:pPr>
      <w:r w:rsidRPr="00D46A4C">
        <w:rPr>
          <w:color w:val="000000"/>
          <w:rtl/>
        </w:rPr>
        <w:t>הודעה למנויים על עריכה ושינויים במסמכי פסיקה, חקיקה ועוד באתר נבו - הקש כאן</w:t>
      </w:r>
    </w:p>
    <w:p w14:paraId="2FAB389A" w14:textId="77777777" w:rsidR="000A4788" w:rsidRDefault="000A4788" w:rsidP="00CE1223">
      <w:pPr>
        <w:jc w:val="center"/>
        <w:rPr>
          <w:color w:val="0000FF"/>
          <w:u w:val="single"/>
        </w:rPr>
      </w:pPr>
    </w:p>
    <w:p w14:paraId="56A72C4F" w14:textId="77777777" w:rsidR="0069122D" w:rsidRPr="00CE1223" w:rsidRDefault="001248A8" w:rsidP="001248A8">
      <w:pPr>
        <w:rPr>
          <w:color w:val="0000FF"/>
          <w:u w:val="single"/>
        </w:rPr>
      </w:pPr>
      <w:r w:rsidRPr="001248A8">
        <w:rPr>
          <w:color w:val="000000"/>
          <w:u w:val="single"/>
          <w:rtl/>
        </w:rPr>
        <w:t>נוסח מסמך זה כפוף לשינויי ניסוח ועריכה</w:t>
      </w:r>
    </w:p>
    <w:sectPr w:rsidR="0069122D" w:rsidRPr="00CE1223" w:rsidSect="001248A8">
      <w:headerReference w:type="even" r:id="rId30"/>
      <w:headerReference w:type="default" r:id="rId31"/>
      <w:footerReference w:type="even" r:id="rId32"/>
      <w:footerReference w:type="default" r:id="rId3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44FE6" w14:textId="77777777" w:rsidR="00B67BF3" w:rsidRPr="000C4051" w:rsidRDefault="00B67BF3">
      <w:pPr>
        <w:rPr>
          <w:rFonts w:cs="Arial"/>
          <w:szCs w:val="20"/>
        </w:rPr>
      </w:pPr>
      <w:r>
        <w:separator/>
      </w:r>
    </w:p>
  </w:endnote>
  <w:endnote w:type="continuationSeparator" w:id="0">
    <w:p w14:paraId="78E04409" w14:textId="77777777" w:rsidR="00B67BF3" w:rsidRPr="000C4051" w:rsidRDefault="00B67BF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8D57" w14:textId="77777777" w:rsidR="00000CC2" w:rsidRDefault="00000CC2" w:rsidP="001248A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11C29B6" w14:textId="77777777" w:rsidR="00000CC2" w:rsidRDefault="00000CC2" w:rsidP="001248A8">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0078DC33" w14:textId="77777777" w:rsidR="00000CC2" w:rsidRPr="001248A8" w:rsidRDefault="00000CC2" w:rsidP="001248A8">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756B84">
      <w:rPr>
        <w:rFonts w:ascii="Times New Roman" w:hAnsi="Times New Roman" w:cs="Times New Roman"/>
        <w:noProof/>
        <w:color w:val="000000"/>
        <w:sz w:val="14"/>
        <w:szCs w:val="14"/>
      </w:rPr>
      <w:t>Z:\00000000000000000000000000000000000-2016---------------\HAKIKA-KIDUD-2016\2010\shalom\word\outdoc-nohyper\03\OutDoc-Makor\sh-07-8210-259.doc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4DB8" w14:textId="77777777" w:rsidR="00000CC2" w:rsidRDefault="00000CC2" w:rsidP="001248A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2A72">
      <w:rPr>
        <w:rFonts w:ascii="FrankRuehl" w:hAnsi="FrankRuehl" w:cs="FrankRuehl"/>
        <w:noProof/>
        <w:rtl/>
      </w:rPr>
      <w:t>1</w:t>
    </w:r>
    <w:r>
      <w:rPr>
        <w:rFonts w:ascii="FrankRuehl" w:hAnsi="FrankRuehl" w:cs="FrankRuehl"/>
        <w:rtl/>
      </w:rPr>
      <w:fldChar w:fldCharType="end"/>
    </w:r>
  </w:p>
  <w:p w14:paraId="742E598B" w14:textId="77777777" w:rsidR="00000CC2" w:rsidRDefault="00000CC2" w:rsidP="001248A8">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312E1133" w14:textId="77777777" w:rsidR="00000CC2" w:rsidRPr="001248A8" w:rsidRDefault="00000CC2" w:rsidP="001248A8">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756B84">
      <w:rPr>
        <w:rFonts w:ascii="Times New Roman" w:hAnsi="Times New Roman" w:cs="Times New Roman"/>
        <w:noProof/>
        <w:color w:val="000000"/>
        <w:sz w:val="14"/>
        <w:szCs w:val="14"/>
      </w:rPr>
      <w:t>Z:\00000000000000000000000000000000000-2016---------------\HAKIKA-KIDUD-2016\2010\shalom\word\outdoc-nohyper\03\OutDoc-Makor\sh-07-8210-259.doc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ADA9" w14:textId="77777777" w:rsidR="00B67BF3" w:rsidRPr="000C4051" w:rsidRDefault="00B67BF3">
      <w:pPr>
        <w:rPr>
          <w:rFonts w:cs="Arial"/>
          <w:szCs w:val="20"/>
        </w:rPr>
      </w:pPr>
      <w:r>
        <w:separator/>
      </w:r>
    </w:p>
  </w:footnote>
  <w:footnote w:type="continuationSeparator" w:id="0">
    <w:p w14:paraId="45471B96" w14:textId="77777777" w:rsidR="00B67BF3" w:rsidRPr="000C4051" w:rsidRDefault="00B67BF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39CB" w14:textId="77777777" w:rsidR="00000CC2" w:rsidRPr="001248A8" w:rsidRDefault="00000CC2" w:rsidP="001248A8">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8210-07</w:t>
    </w:r>
    <w:r>
      <w:rPr>
        <w:color w:val="000000"/>
        <w:sz w:val="22"/>
        <w:szCs w:val="22"/>
        <w:rtl/>
      </w:rPr>
      <w:tab/>
      <w:t xml:space="preserve"> מדינת ישראל נ' עאדל קשקוש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86196" w14:textId="77777777" w:rsidR="00000CC2" w:rsidRPr="001248A8" w:rsidRDefault="00000CC2" w:rsidP="001248A8">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8210-07</w:t>
    </w:r>
    <w:r>
      <w:rPr>
        <w:color w:val="000000"/>
        <w:sz w:val="22"/>
        <w:szCs w:val="22"/>
        <w:rtl/>
      </w:rPr>
      <w:tab/>
      <w:t xml:space="preserve"> מדינת ישראל נ' עאדל קשקוש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82E5F"/>
    <w:multiLevelType w:val="hybridMultilevel"/>
    <w:tmpl w:val="CFC68720"/>
    <w:lvl w:ilvl="0" w:tplc="7C0A28A4">
      <w:start w:val="1"/>
      <w:numFmt w:val="decimal"/>
      <w:lvlText w:val="%1."/>
      <w:lvlJc w:val="left"/>
      <w:pPr>
        <w:tabs>
          <w:tab w:val="num" w:pos="360"/>
        </w:tabs>
        <w:ind w:left="360" w:hanging="360"/>
      </w:pPr>
      <w:rPr>
        <w:rFonts w:cs="David"/>
      </w:rPr>
    </w:lvl>
    <w:lvl w:ilvl="1" w:tplc="5E844786">
      <w:start w:val="1"/>
      <w:numFmt w:val="hebrew1"/>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FF6632F"/>
    <w:multiLevelType w:val="hybridMultilevel"/>
    <w:tmpl w:val="3564A7DA"/>
    <w:lvl w:ilvl="0" w:tplc="66B80AF8">
      <w:start w:val="1"/>
      <w:numFmt w:val="decimal"/>
      <w:lvlText w:val="%1."/>
      <w:lvlJc w:val="left"/>
      <w:pPr>
        <w:tabs>
          <w:tab w:val="num" w:pos="1440"/>
        </w:tabs>
        <w:ind w:left="144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2" w15:restartNumberingAfterBreak="0">
    <w:nsid w:val="2B8F5A4A"/>
    <w:multiLevelType w:val="hybridMultilevel"/>
    <w:tmpl w:val="06AC464E"/>
    <w:lvl w:ilvl="0" w:tplc="040D000F">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3" w15:restartNumberingAfterBreak="0">
    <w:nsid w:val="49806F23"/>
    <w:multiLevelType w:val="hybridMultilevel"/>
    <w:tmpl w:val="C9B0DB3C"/>
    <w:lvl w:ilvl="0" w:tplc="04090005">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5BB87C37"/>
    <w:multiLevelType w:val="hybridMultilevel"/>
    <w:tmpl w:val="3282F86A"/>
    <w:lvl w:ilvl="0" w:tplc="04090013">
      <w:start w:val="1"/>
      <w:numFmt w:val="hebrew1"/>
      <w:lvlText w:val="%1."/>
      <w:lvlJc w:val="center"/>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D1126C8"/>
    <w:multiLevelType w:val="hybridMultilevel"/>
    <w:tmpl w:val="152810F6"/>
    <w:lvl w:ilvl="0" w:tplc="0409000F">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0392A93"/>
    <w:multiLevelType w:val="hybridMultilevel"/>
    <w:tmpl w:val="8D9870AE"/>
    <w:lvl w:ilvl="0" w:tplc="92262EB8">
      <w:start w:val="1"/>
      <w:numFmt w:val="decimal"/>
      <w:lvlText w:val="%1."/>
      <w:lvlJc w:val="left"/>
      <w:pPr>
        <w:tabs>
          <w:tab w:val="num" w:pos="720"/>
        </w:tabs>
        <w:ind w:left="720" w:hanging="360"/>
      </w:pPr>
    </w:lvl>
    <w:lvl w:ilvl="1" w:tplc="040D0019">
      <w:start w:val="1"/>
      <w:numFmt w:val="decimal"/>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num w:numId="1" w16cid:durableId="1780119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83103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1492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54308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20030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01043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933925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6B7D"/>
    <w:rsid w:val="00000CC2"/>
    <w:rsid w:val="000A4788"/>
    <w:rsid w:val="000F6B7D"/>
    <w:rsid w:val="001248A8"/>
    <w:rsid w:val="00227DB6"/>
    <w:rsid w:val="006001B3"/>
    <w:rsid w:val="0069122D"/>
    <w:rsid w:val="00756B84"/>
    <w:rsid w:val="0091345C"/>
    <w:rsid w:val="009E66C6"/>
    <w:rsid w:val="00A1014E"/>
    <w:rsid w:val="00B67BF3"/>
    <w:rsid w:val="00CE1223"/>
    <w:rsid w:val="00D32A72"/>
    <w:rsid w:val="00D46A4C"/>
    <w:rsid w:val="00DA5460"/>
    <w:rsid w:val="00EE23B0"/>
    <w:rsid w:val="00FC7C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38452C"/>
  <w15:chartTrackingRefBased/>
  <w15:docId w15:val="{33FA759C-EAC0-4E0A-BD2A-40CADE42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B7D"/>
    <w:pPr>
      <w:bidi/>
    </w:pPr>
    <w:rPr>
      <w:rFonts w:ascii="David" w:eastAsia="David" w:hAnsi="David" w:cs="David"/>
      <w:sz w:val="24"/>
      <w:szCs w:val="24"/>
    </w:rPr>
  </w:style>
  <w:style w:type="paragraph" w:styleId="Heading1">
    <w:name w:val="heading 1"/>
    <w:basedOn w:val="Normal"/>
    <w:next w:val="Normal"/>
    <w:qFormat/>
    <w:rsid w:val="000F6B7D"/>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F6B7D"/>
    <w:pPr>
      <w:keepNext/>
      <w:spacing w:before="240" w:after="60"/>
      <w:outlineLvl w:val="1"/>
    </w:pPr>
    <w:rPr>
      <w:b/>
      <w:bCs/>
      <w:i/>
      <w:iCs/>
    </w:rPr>
  </w:style>
  <w:style w:type="paragraph" w:styleId="Heading3">
    <w:name w:val="heading 3"/>
    <w:basedOn w:val="Normal"/>
    <w:next w:val="Normal"/>
    <w:qFormat/>
    <w:rsid w:val="000F6B7D"/>
    <w:pPr>
      <w:keepNext/>
      <w:spacing w:before="240" w:after="60"/>
      <w:outlineLvl w:val="2"/>
    </w:pPr>
    <w:rPr>
      <w:b/>
      <w:bCs/>
      <w:sz w:val="26"/>
      <w:szCs w:val="26"/>
    </w:rPr>
  </w:style>
  <w:style w:type="paragraph" w:styleId="Heading5">
    <w:name w:val="heading 5"/>
    <w:basedOn w:val="Normal"/>
    <w:next w:val="Normal"/>
    <w:qFormat/>
    <w:rsid w:val="000F6B7D"/>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F6B7D"/>
    <w:pPr>
      <w:tabs>
        <w:tab w:val="center" w:pos="4153"/>
        <w:tab w:val="right" w:pos="8306"/>
      </w:tabs>
    </w:pPr>
  </w:style>
  <w:style w:type="paragraph" w:styleId="Footer">
    <w:name w:val="footer"/>
    <w:basedOn w:val="Normal"/>
    <w:rsid w:val="000F6B7D"/>
    <w:pPr>
      <w:tabs>
        <w:tab w:val="center" w:pos="4153"/>
        <w:tab w:val="right" w:pos="8306"/>
      </w:tabs>
    </w:pPr>
  </w:style>
  <w:style w:type="table" w:styleId="TableGrid">
    <w:name w:val="Table Grid"/>
    <w:basedOn w:val="TableNormal"/>
    <w:rsid w:val="000F6B7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F6B7D"/>
  </w:style>
  <w:style w:type="paragraph" w:customStyle="1" w:styleId="Ruller4">
    <w:name w:val="Ruller4"/>
    <w:basedOn w:val="Normal"/>
    <w:rsid w:val="000F6B7D"/>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rPr>
  </w:style>
  <w:style w:type="character" w:customStyle="1" w:styleId="Ruller5">
    <w:name w:val="Ruller5 תו"/>
    <w:rsid w:val="000F6B7D"/>
    <w:rPr>
      <w:rFonts w:ascii="Arial TUR" w:hAnsi="Arial TUR" w:cs="FrankRuehl" w:hint="default"/>
      <w:spacing w:val="10"/>
      <w:sz w:val="22"/>
      <w:szCs w:val="28"/>
      <w:lang w:val="en-US" w:eastAsia="en-US" w:bidi="he-IL"/>
    </w:rPr>
  </w:style>
  <w:style w:type="character" w:customStyle="1" w:styleId="a">
    <w:name w:val="הדגשה מרים תו"/>
    <w:rsid w:val="000F6B7D"/>
    <w:rPr>
      <w:rFonts w:cs="Miriam" w:hint="cs"/>
      <w:spacing w:val="10"/>
      <w:sz w:val="28"/>
      <w:szCs w:val="24"/>
      <w:lang w:val="en-US" w:eastAsia="en-US" w:bidi="he-IL"/>
    </w:rPr>
  </w:style>
  <w:style w:type="character" w:styleId="LineNumber">
    <w:name w:val="line number"/>
    <w:basedOn w:val="DefaultParagraphFont"/>
    <w:rsid w:val="000F6B7D"/>
  </w:style>
  <w:style w:type="character" w:styleId="Hyperlink">
    <w:name w:val="Hyperlink"/>
    <w:rsid w:val="006912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case/6249045" TargetMode="External"/><Relationship Id="rId26" Type="http://schemas.openxmlformats.org/officeDocument/2006/relationships/hyperlink" Target="http://www.nevo.co.il/case/17941097" TargetMode="External"/><Relationship Id="rId3" Type="http://schemas.openxmlformats.org/officeDocument/2006/relationships/settings" Target="settings.xml"/><Relationship Id="rId21" Type="http://schemas.openxmlformats.org/officeDocument/2006/relationships/hyperlink" Target="http://www.nevo.co.il/case/5798915"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45.a.2" TargetMode="External"/><Relationship Id="rId25" Type="http://schemas.openxmlformats.org/officeDocument/2006/relationships/hyperlink" Target="http://www.nevo.co.il/case/581604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676454" TargetMode="External"/><Relationship Id="rId20" Type="http://schemas.openxmlformats.org/officeDocument/2006/relationships/hyperlink" Target="http://www.nevo.co.il/case/6240898"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a.2" TargetMode="External"/><Relationship Id="rId24" Type="http://schemas.openxmlformats.org/officeDocument/2006/relationships/hyperlink" Target="http://www.nevo.co.il/case/5818433"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45.a.2" TargetMode="External"/><Relationship Id="rId23" Type="http://schemas.openxmlformats.org/officeDocument/2006/relationships/hyperlink" Target="http://www.nevo.co.il/case/6241333" TargetMode="External"/><Relationship Id="rId28" Type="http://schemas.openxmlformats.org/officeDocument/2006/relationships/hyperlink" Target="http://www.nevo.co.il/law/70301/345.a.2" TargetMode="External"/><Relationship Id="rId10" Type="http://schemas.openxmlformats.org/officeDocument/2006/relationships/hyperlink" Target="http://www.nevo.co.il/law/70301/348.a" TargetMode="External"/><Relationship Id="rId19" Type="http://schemas.openxmlformats.org/officeDocument/2006/relationships/hyperlink" Target="http://www.nevo.co.il/case/17917307"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345.a.2" TargetMode="External"/><Relationship Id="rId22" Type="http://schemas.openxmlformats.org/officeDocument/2006/relationships/hyperlink" Target="http://www.nevo.co.il/case/5816508" TargetMode="External"/><Relationship Id="rId27" Type="http://schemas.openxmlformats.org/officeDocument/2006/relationships/hyperlink" Target="http://www.nevo.co.il/law/70301/348.a"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45.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3410</Words>
  <Characters>19441</Characters>
  <Application>Microsoft Office Word</Application>
  <DocSecurity>0</DocSecurity>
  <Lines>162</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22806</CharactersWithSpaces>
  <SharedDoc>false</SharedDoc>
  <HLinks>
    <vt:vector size="138" baseType="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http://www.nevo.co.il/law/70301/345.a.2</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3145847</vt:i4>
      </vt:variant>
      <vt:variant>
        <vt:i4>57</vt:i4>
      </vt:variant>
      <vt:variant>
        <vt:i4>0</vt:i4>
      </vt:variant>
      <vt:variant>
        <vt:i4>5</vt:i4>
      </vt:variant>
      <vt:variant>
        <vt:lpwstr>http://www.nevo.co.il/case/17941097</vt:lpwstr>
      </vt:variant>
      <vt:variant>
        <vt:lpwstr/>
      </vt:variant>
      <vt:variant>
        <vt:i4>3604606</vt:i4>
      </vt:variant>
      <vt:variant>
        <vt:i4>54</vt:i4>
      </vt:variant>
      <vt:variant>
        <vt:i4>0</vt:i4>
      </vt:variant>
      <vt:variant>
        <vt:i4>5</vt:i4>
      </vt:variant>
      <vt:variant>
        <vt:lpwstr>http://www.nevo.co.il/case/5816043</vt:lpwstr>
      </vt:variant>
      <vt:variant>
        <vt:lpwstr/>
      </vt:variant>
      <vt:variant>
        <vt:i4>3342455</vt:i4>
      </vt:variant>
      <vt:variant>
        <vt:i4>51</vt:i4>
      </vt:variant>
      <vt:variant>
        <vt:i4>0</vt:i4>
      </vt:variant>
      <vt:variant>
        <vt:i4>5</vt:i4>
      </vt:variant>
      <vt:variant>
        <vt:lpwstr>http://www.nevo.co.il/case/5818433</vt:lpwstr>
      </vt:variant>
      <vt:variant>
        <vt:lpwstr/>
      </vt:variant>
      <vt:variant>
        <vt:i4>3276916</vt:i4>
      </vt:variant>
      <vt:variant>
        <vt:i4>48</vt:i4>
      </vt:variant>
      <vt:variant>
        <vt:i4>0</vt:i4>
      </vt:variant>
      <vt:variant>
        <vt:i4>5</vt:i4>
      </vt:variant>
      <vt:variant>
        <vt:lpwstr>http://www.nevo.co.il/case/6241333</vt:lpwstr>
      </vt:variant>
      <vt:variant>
        <vt:lpwstr/>
      </vt:variant>
      <vt:variant>
        <vt:i4>3735674</vt:i4>
      </vt:variant>
      <vt:variant>
        <vt:i4>45</vt:i4>
      </vt:variant>
      <vt:variant>
        <vt:i4>0</vt:i4>
      </vt:variant>
      <vt:variant>
        <vt:i4>5</vt:i4>
      </vt:variant>
      <vt:variant>
        <vt:lpwstr>http://www.nevo.co.il/case/5816508</vt:lpwstr>
      </vt:variant>
      <vt:variant>
        <vt:lpwstr/>
      </vt:variant>
      <vt:variant>
        <vt:i4>3145850</vt:i4>
      </vt:variant>
      <vt:variant>
        <vt:i4>42</vt:i4>
      </vt:variant>
      <vt:variant>
        <vt:i4>0</vt:i4>
      </vt:variant>
      <vt:variant>
        <vt:i4>5</vt:i4>
      </vt:variant>
      <vt:variant>
        <vt:lpwstr>http://www.nevo.co.il/case/5798915</vt:lpwstr>
      </vt:variant>
      <vt:variant>
        <vt:lpwstr/>
      </vt:variant>
      <vt:variant>
        <vt:i4>3276927</vt:i4>
      </vt:variant>
      <vt:variant>
        <vt:i4>39</vt:i4>
      </vt:variant>
      <vt:variant>
        <vt:i4>0</vt:i4>
      </vt:variant>
      <vt:variant>
        <vt:i4>5</vt:i4>
      </vt:variant>
      <vt:variant>
        <vt:lpwstr>http://www.nevo.co.il/case/6240898</vt:lpwstr>
      </vt:variant>
      <vt:variant>
        <vt:lpwstr/>
      </vt:variant>
      <vt:variant>
        <vt:i4>4128881</vt:i4>
      </vt:variant>
      <vt:variant>
        <vt:i4>36</vt:i4>
      </vt:variant>
      <vt:variant>
        <vt:i4>0</vt:i4>
      </vt:variant>
      <vt:variant>
        <vt:i4>5</vt:i4>
      </vt:variant>
      <vt:variant>
        <vt:lpwstr>http://www.nevo.co.il/case/17917307</vt:lpwstr>
      </vt:variant>
      <vt:variant>
        <vt:lpwstr/>
      </vt:variant>
      <vt:variant>
        <vt:i4>3604603</vt:i4>
      </vt:variant>
      <vt:variant>
        <vt:i4>33</vt:i4>
      </vt:variant>
      <vt:variant>
        <vt:i4>0</vt:i4>
      </vt:variant>
      <vt:variant>
        <vt:i4>5</vt:i4>
      </vt:variant>
      <vt:variant>
        <vt:lpwstr>http://www.nevo.co.il/case/6249045</vt:lpwstr>
      </vt:variant>
      <vt:variant>
        <vt:lpwstr/>
      </vt:variant>
      <vt:variant>
        <vt:i4>6357042</vt:i4>
      </vt:variant>
      <vt:variant>
        <vt:i4>30</vt:i4>
      </vt:variant>
      <vt:variant>
        <vt:i4>0</vt:i4>
      </vt:variant>
      <vt:variant>
        <vt:i4>5</vt:i4>
      </vt:variant>
      <vt:variant>
        <vt:lpwstr>http://www.nevo.co.il/law/70301/345.a.2</vt:lpwstr>
      </vt:variant>
      <vt:variant>
        <vt:lpwstr/>
      </vt:variant>
      <vt:variant>
        <vt:i4>3276913</vt:i4>
      </vt:variant>
      <vt:variant>
        <vt:i4>27</vt:i4>
      </vt:variant>
      <vt:variant>
        <vt:i4>0</vt:i4>
      </vt:variant>
      <vt:variant>
        <vt:i4>5</vt:i4>
      </vt:variant>
      <vt:variant>
        <vt:lpwstr>http://www.nevo.co.il/case/5676454</vt:lpwstr>
      </vt:variant>
      <vt:variant>
        <vt:lpwstr/>
      </vt:variant>
      <vt:variant>
        <vt:i4>6357042</vt:i4>
      </vt:variant>
      <vt:variant>
        <vt:i4>24</vt:i4>
      </vt:variant>
      <vt:variant>
        <vt:i4>0</vt:i4>
      </vt:variant>
      <vt:variant>
        <vt:i4>5</vt:i4>
      </vt:variant>
      <vt:variant>
        <vt:lpwstr>http://www.nevo.co.il/law/70301/345.a.2</vt:lpwstr>
      </vt:variant>
      <vt:variant>
        <vt:lpwstr/>
      </vt:variant>
      <vt:variant>
        <vt:i4>6357042</vt:i4>
      </vt:variant>
      <vt:variant>
        <vt:i4>21</vt:i4>
      </vt:variant>
      <vt:variant>
        <vt:i4>0</vt:i4>
      </vt:variant>
      <vt:variant>
        <vt:i4>5</vt:i4>
      </vt:variant>
      <vt:variant>
        <vt:lpwstr>http://www.nevo.co.il/law/70301/345.a.2</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http://www.nevo.co.il/law/70301/345.a.2</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2022-05-24T10:32:00Z</dcterms:created>
  <dcterms:modified xsi:type="dcterms:W3CDTF">2022-05-24T10:32:00Z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EMATA">
    <vt:lpwstr/>
  </property>
  <property fmtid="{D5CDD505-2E9C-101B-9397-08002B2CF9AE}" pid="3" name="TYPE">
    <vt:lpwstr>3</vt:lpwstr>
  </property>
  <property fmtid="{D5CDD505-2E9C-101B-9397-08002B2CF9AE}" pid="4" name="PSAKDIN">
    <vt:lpwstr>הכרעת-דין</vt:lpwstr>
  </property>
  <property fmtid="{D5CDD505-2E9C-101B-9397-08002B2CF9AE}" pid="5" name="NEWPROC">
    <vt:lpwstr>תפ</vt:lpwstr>
  </property>
  <property fmtid="{D5CDD505-2E9C-101B-9397-08002B2CF9AE}" pid="6" name="NEWPARTA">
    <vt:lpwstr>8210</vt:lpwstr>
  </property>
  <property fmtid="{D5CDD505-2E9C-101B-9397-08002B2CF9AE}" pid="7" name="NEWPARTB">
    <vt:lpwstr/>
  </property>
  <property fmtid="{D5CDD505-2E9C-101B-9397-08002B2CF9AE}" pid="8" name="NEWPARTC">
    <vt:lpwstr>07</vt:lpwstr>
  </property>
  <property fmtid="{D5CDD505-2E9C-101B-9397-08002B2CF9AE}" pid="9" name="PROCNUM">
    <vt:lpwstr>8210</vt:lpwstr>
  </property>
  <property fmtid="{D5CDD505-2E9C-101B-9397-08002B2CF9AE}" pid="10" name="PROCYEAR">
    <vt:lpwstr>07</vt:lpwstr>
  </property>
  <property fmtid="{D5CDD505-2E9C-101B-9397-08002B2CF9AE}" pid="11" name="LAWYER">
    <vt:lpwstr>ליהי מלצמן;ג'לג'ולי</vt:lpwstr>
  </property>
  <property fmtid="{D5CDD505-2E9C-101B-9397-08002B2CF9AE}" pid="12" name="JUDGE">
    <vt:lpwstr>דורית רייך שפירא</vt:lpwstr>
  </property>
  <property fmtid="{D5CDD505-2E9C-101B-9397-08002B2CF9AE}" pid="13" name="CITY">
    <vt:lpwstr>ת"א</vt:lpwstr>
  </property>
  <property fmtid="{D5CDD505-2E9C-101B-9397-08002B2CF9AE}" pid="14" name="DATE">
    <vt:lpwstr>20100128</vt:lpwstr>
  </property>
  <property fmtid="{D5CDD505-2E9C-101B-9397-08002B2CF9AE}" pid="15" name="TYPE_N_DATE">
    <vt:lpwstr>38020100128</vt:lpwstr>
  </property>
  <property fmtid="{D5CDD505-2E9C-101B-9397-08002B2CF9AE}" pid="16" name="WORDNUMPAGES">
    <vt:lpwstr>11</vt:lpwstr>
  </property>
  <property fmtid="{D5CDD505-2E9C-101B-9397-08002B2CF9AE}" pid="17" name="TYPE_ABS_DATE">
    <vt:lpwstr>380020100128</vt:lpwstr>
  </property>
  <property fmtid="{D5CDD505-2E9C-101B-9397-08002B2CF9AE}" pid="18" name="RemarkFileName">
    <vt:lpwstr>shalom sh 07 8210 259 htm</vt:lpwstr>
  </property>
  <property fmtid="{D5CDD505-2E9C-101B-9397-08002B2CF9AE}" pid="19" name="APPELLANT">
    <vt:lpwstr>מדינת ישראל</vt:lpwstr>
  </property>
  <property fmtid="{D5CDD505-2E9C-101B-9397-08002B2CF9AE}" pid="20" name="APPELLEE">
    <vt:lpwstr>עאדל קשקוש</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CASESLISTTMP1">
    <vt:lpwstr>5676454;6249045;17917307;6240898;5798915;5816508;6241333;5818433;5816043;17941097</vt:lpwstr>
  </property>
  <property fmtid="{D5CDD505-2E9C-101B-9397-08002B2CF9AE}" pid="39" name="LAWLISTTMP1">
    <vt:lpwstr>70301/348.a:3;345.a.2:5</vt:lpwstr>
  </property>
</Properties>
</file>