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A1112F" w:rsidRPr="001E1542" w14:paraId="344D0C9A" w14:textId="77777777">
        <w:trPr>
          <w:trHeight w:hRule="exact" w:val="418"/>
          <w:jc w:val="center"/>
        </w:trPr>
        <w:tc>
          <w:tcPr>
            <w:tcW w:w="8720" w:type="dxa"/>
            <w:gridSpan w:val="3"/>
          </w:tcPr>
          <w:p w14:paraId="12E347FA" w14:textId="77777777" w:rsidR="00A1112F" w:rsidRPr="001E1542" w:rsidRDefault="001E1542">
            <w:pPr>
              <w:pStyle w:val="Header"/>
              <w:tabs>
                <w:tab w:val="clear" w:pos="8306"/>
              </w:tabs>
              <w:jc w:val="center"/>
              <w:rPr>
                <w:rFonts w:ascii="Tahoma" w:hAnsi="Tahoma" w:cs="Tahoma"/>
                <w:b/>
                <w:bCs/>
                <w:color w:val="000080"/>
                <w:sz w:val="20"/>
                <w:szCs w:val="20"/>
                <w:rtl/>
              </w:rPr>
            </w:pPr>
            <w:bookmarkStart w:id="0" w:name="LastJudge"/>
            <w:r w:rsidRPr="001E1542">
              <w:rPr>
                <w:rFonts w:ascii="Tahoma" w:hAnsi="Tahoma" w:cs="Tahoma"/>
                <w:b/>
                <w:bCs/>
                <w:color w:val="000080"/>
                <w:sz w:val="20"/>
                <w:szCs w:val="20"/>
                <w:rtl/>
              </w:rPr>
              <w:t>בית משפט השלום בפתח תקווה</w:t>
            </w:r>
          </w:p>
        </w:tc>
      </w:tr>
      <w:tr w:rsidR="00A1112F" w:rsidRPr="001E1542" w14:paraId="46A22444" w14:textId="77777777">
        <w:trPr>
          <w:trHeight w:val="337"/>
          <w:jc w:val="center"/>
        </w:trPr>
        <w:tc>
          <w:tcPr>
            <w:tcW w:w="3973" w:type="dxa"/>
          </w:tcPr>
          <w:p w14:paraId="0AE92E10" w14:textId="77777777" w:rsidR="00A1112F" w:rsidRPr="001E1542" w:rsidRDefault="001E1542">
            <w:pPr>
              <w:rPr>
                <w:b/>
                <w:bCs/>
                <w:sz w:val="26"/>
                <w:szCs w:val="26"/>
                <w:rtl/>
              </w:rPr>
            </w:pPr>
            <w:r w:rsidRPr="001E1542">
              <w:rPr>
                <w:b/>
                <w:bCs/>
                <w:sz w:val="26"/>
                <w:szCs w:val="26"/>
                <w:rtl/>
              </w:rPr>
              <w:t>ת"פ</w:t>
            </w:r>
            <w:r w:rsidRPr="001E1542">
              <w:rPr>
                <w:rFonts w:hint="cs"/>
                <w:b/>
                <w:bCs/>
                <w:sz w:val="26"/>
                <w:szCs w:val="26"/>
                <w:rtl/>
              </w:rPr>
              <w:t xml:space="preserve"> </w:t>
            </w:r>
            <w:r w:rsidRPr="001E1542">
              <w:rPr>
                <w:b/>
                <w:bCs/>
                <w:sz w:val="26"/>
                <w:szCs w:val="26"/>
                <w:rtl/>
              </w:rPr>
              <w:t>8652-01-09</w:t>
            </w:r>
            <w:r w:rsidRPr="001E1542">
              <w:rPr>
                <w:rFonts w:hint="cs"/>
                <w:b/>
                <w:bCs/>
                <w:sz w:val="26"/>
                <w:szCs w:val="26"/>
                <w:rtl/>
              </w:rPr>
              <w:t xml:space="preserve"> </w:t>
            </w:r>
            <w:r w:rsidRPr="001E1542">
              <w:rPr>
                <w:b/>
                <w:bCs/>
                <w:sz w:val="26"/>
                <w:szCs w:val="26"/>
                <w:rtl/>
              </w:rPr>
              <w:t>מדינת ישראל נ' מנייב</w:t>
            </w:r>
          </w:p>
          <w:p w14:paraId="2E98E58B" w14:textId="77777777" w:rsidR="00A1112F" w:rsidRPr="001E1542" w:rsidRDefault="00A1112F">
            <w:pPr>
              <w:rPr>
                <w:b/>
                <w:bCs/>
                <w:sz w:val="26"/>
                <w:szCs w:val="26"/>
                <w:rtl/>
              </w:rPr>
            </w:pPr>
          </w:p>
        </w:tc>
        <w:tc>
          <w:tcPr>
            <w:tcW w:w="1068" w:type="dxa"/>
          </w:tcPr>
          <w:p w14:paraId="3AAAD525" w14:textId="77777777" w:rsidR="00A1112F" w:rsidRPr="001E1542" w:rsidRDefault="00A1112F">
            <w:pPr>
              <w:pStyle w:val="Header"/>
              <w:jc w:val="right"/>
              <w:rPr>
                <w:b/>
                <w:bCs/>
                <w:sz w:val="26"/>
                <w:szCs w:val="26"/>
                <w:rtl/>
              </w:rPr>
            </w:pPr>
          </w:p>
        </w:tc>
        <w:tc>
          <w:tcPr>
            <w:tcW w:w="3679" w:type="dxa"/>
          </w:tcPr>
          <w:p w14:paraId="46BFC981" w14:textId="77777777" w:rsidR="00A1112F" w:rsidRPr="001E1542" w:rsidRDefault="001E1542">
            <w:pPr>
              <w:pStyle w:val="Header"/>
              <w:tabs>
                <w:tab w:val="clear" w:pos="4153"/>
              </w:tabs>
              <w:jc w:val="right"/>
              <w:rPr>
                <w:b/>
                <w:bCs/>
                <w:sz w:val="26"/>
                <w:szCs w:val="26"/>
                <w:rtl/>
              </w:rPr>
            </w:pPr>
            <w:r w:rsidRPr="001E1542">
              <w:rPr>
                <w:b/>
                <w:bCs/>
                <w:sz w:val="26"/>
                <w:szCs w:val="26"/>
                <w:rtl/>
              </w:rPr>
              <w:t>27 ספטמבר 2011</w:t>
            </w:r>
          </w:p>
        </w:tc>
      </w:tr>
    </w:tbl>
    <w:p w14:paraId="55562CB4" w14:textId="77777777" w:rsidR="00A1112F" w:rsidRPr="001E1542" w:rsidRDefault="00A1112F">
      <w:pPr>
        <w:pStyle w:val="Header"/>
        <w:jc w:val="center"/>
        <w:rPr>
          <w:rFonts w:ascii="Tahoma" w:hAnsi="Tahoma" w:cs="Tahoma"/>
          <w:b/>
          <w:bCs/>
          <w:color w:val="000080"/>
          <w:sz w:val="20"/>
          <w:szCs w:val="20"/>
          <w:rtl/>
        </w:rPr>
      </w:pPr>
    </w:p>
    <w:p w14:paraId="65FDD3B9" w14:textId="77777777" w:rsidR="00A1112F" w:rsidRPr="001E1542" w:rsidRDefault="00A1112F">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A1112F" w:rsidRPr="001E1542" w14:paraId="758C2BEA" w14:textId="77777777">
        <w:trPr>
          <w:trHeight w:val="337"/>
          <w:jc w:val="center"/>
        </w:trPr>
        <w:tc>
          <w:tcPr>
            <w:tcW w:w="1592" w:type="dxa"/>
          </w:tcPr>
          <w:p w14:paraId="55B05458" w14:textId="77777777" w:rsidR="00A1112F" w:rsidRPr="001E1542" w:rsidRDefault="001E1542">
            <w:pPr>
              <w:pStyle w:val="Header"/>
              <w:bidi w:val="0"/>
              <w:spacing w:line="360" w:lineRule="auto"/>
              <w:jc w:val="both"/>
            </w:pPr>
            <w:r w:rsidRPr="001E1542">
              <w:t xml:space="preserve">   </w:t>
            </w:r>
          </w:p>
        </w:tc>
        <w:tc>
          <w:tcPr>
            <w:tcW w:w="7128" w:type="dxa"/>
          </w:tcPr>
          <w:p w14:paraId="68A0A2A3" w14:textId="77777777" w:rsidR="00A1112F" w:rsidRPr="001E1542" w:rsidRDefault="00A1112F">
            <w:pPr>
              <w:pStyle w:val="Header"/>
              <w:jc w:val="right"/>
              <w:rPr>
                <w:b/>
                <w:bCs/>
                <w:sz w:val="26"/>
                <w:szCs w:val="26"/>
                <w:rtl/>
              </w:rPr>
            </w:pPr>
          </w:p>
        </w:tc>
      </w:tr>
    </w:tbl>
    <w:p w14:paraId="1D7DB502" w14:textId="77777777" w:rsidR="00A1112F" w:rsidRPr="001E1542" w:rsidRDefault="00A1112F">
      <w:pPr>
        <w:spacing w:line="360" w:lineRule="auto"/>
        <w:jc w:val="both"/>
        <w:rPr>
          <w:rFonts w:ascii="Arial" w:hAnsi="Arial"/>
          <w:rtl/>
        </w:rPr>
      </w:pPr>
    </w:p>
    <w:p w14:paraId="7A95D115" w14:textId="77777777" w:rsidR="00A1112F" w:rsidRPr="001E1542" w:rsidRDefault="00A1112F">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A1112F" w:rsidRPr="001E1542" w14:paraId="212853AD" w14:textId="77777777">
        <w:trPr>
          <w:gridAfter w:val="1"/>
          <w:wAfter w:w="55" w:type="dxa"/>
        </w:trPr>
        <w:tc>
          <w:tcPr>
            <w:tcW w:w="8719" w:type="dxa"/>
            <w:gridSpan w:val="2"/>
            <w:shd w:val="clear" w:color="auto" w:fill="auto"/>
          </w:tcPr>
          <w:p w14:paraId="60831E25" w14:textId="77777777" w:rsidR="00A1112F" w:rsidRPr="00216FC3" w:rsidRDefault="001E1542" w:rsidP="00216FC3">
            <w:pPr>
              <w:spacing w:line="360" w:lineRule="auto"/>
              <w:jc w:val="both"/>
              <w:rPr>
                <w:b/>
                <w:bCs/>
                <w:sz w:val="26"/>
                <w:szCs w:val="26"/>
                <w:rtl/>
              </w:rPr>
            </w:pPr>
            <w:r w:rsidRPr="00216FC3">
              <w:rPr>
                <w:rFonts w:hint="cs"/>
                <w:b/>
                <w:bCs/>
                <w:sz w:val="26"/>
                <w:szCs w:val="26"/>
                <w:rtl/>
              </w:rPr>
              <w:t>בפני כב' ה</w:t>
            </w:r>
            <w:r w:rsidRPr="00216FC3">
              <w:rPr>
                <w:b/>
                <w:bCs/>
                <w:sz w:val="26"/>
                <w:szCs w:val="26"/>
                <w:rtl/>
              </w:rPr>
              <w:t>שופטת דבורה עטר</w:t>
            </w:r>
            <w:r w:rsidRPr="001E1542">
              <w:rPr>
                <w:rStyle w:val="TimesNewRomanTimesNewRoman"/>
                <w:rtl/>
              </w:rPr>
              <w:t xml:space="preserve"> </w:t>
            </w:r>
          </w:p>
        </w:tc>
      </w:tr>
      <w:tr w:rsidR="00A1112F" w:rsidRPr="001E1542" w14:paraId="1BE1F5CF" w14:textId="77777777">
        <w:tc>
          <w:tcPr>
            <w:tcW w:w="2880" w:type="dxa"/>
            <w:shd w:val="clear" w:color="auto" w:fill="auto"/>
          </w:tcPr>
          <w:p w14:paraId="231ECC58" w14:textId="77777777" w:rsidR="00A1112F" w:rsidRPr="00216FC3" w:rsidRDefault="001E1542" w:rsidP="00216FC3">
            <w:pPr>
              <w:ind w:left="26"/>
              <w:rPr>
                <w:b/>
                <w:bCs/>
                <w:sz w:val="26"/>
                <w:szCs w:val="26"/>
                <w:rtl/>
              </w:rPr>
            </w:pPr>
            <w:bookmarkStart w:id="1" w:name="FirstAppellant"/>
            <w:r w:rsidRPr="00216FC3">
              <w:rPr>
                <w:rFonts w:hint="cs"/>
                <w:b/>
                <w:bCs/>
                <w:sz w:val="26"/>
                <w:szCs w:val="26"/>
                <w:rtl/>
              </w:rPr>
              <w:t>ה</w:t>
            </w:r>
            <w:r w:rsidRPr="00216FC3">
              <w:rPr>
                <w:b/>
                <w:bCs/>
                <w:sz w:val="26"/>
                <w:szCs w:val="26"/>
                <w:rtl/>
              </w:rPr>
              <w:t>מאשימה</w:t>
            </w:r>
          </w:p>
        </w:tc>
        <w:tc>
          <w:tcPr>
            <w:tcW w:w="5922" w:type="dxa"/>
            <w:gridSpan w:val="2"/>
            <w:shd w:val="clear" w:color="auto" w:fill="auto"/>
          </w:tcPr>
          <w:p w14:paraId="6F922428" w14:textId="77777777" w:rsidR="00A1112F" w:rsidRPr="00216FC3" w:rsidRDefault="001E1542">
            <w:pPr>
              <w:rPr>
                <w:b/>
                <w:bCs/>
                <w:sz w:val="26"/>
                <w:szCs w:val="26"/>
                <w:rtl/>
              </w:rPr>
            </w:pPr>
            <w:r w:rsidRPr="00216FC3">
              <w:rPr>
                <w:b/>
                <w:bCs/>
                <w:sz w:val="26"/>
                <w:szCs w:val="26"/>
                <w:rtl/>
              </w:rPr>
              <w:t>מדינת ישראל</w:t>
            </w:r>
          </w:p>
          <w:p w14:paraId="54820AB7" w14:textId="77777777" w:rsidR="00A1112F" w:rsidRPr="00216FC3" w:rsidRDefault="00A1112F">
            <w:pPr>
              <w:rPr>
                <w:b/>
                <w:bCs/>
                <w:sz w:val="26"/>
                <w:szCs w:val="26"/>
                <w:rtl/>
              </w:rPr>
            </w:pPr>
          </w:p>
        </w:tc>
      </w:tr>
      <w:bookmarkEnd w:id="1"/>
      <w:tr w:rsidR="00A1112F" w:rsidRPr="001E1542" w14:paraId="54936610" w14:textId="77777777">
        <w:tc>
          <w:tcPr>
            <w:tcW w:w="8802" w:type="dxa"/>
            <w:gridSpan w:val="3"/>
            <w:shd w:val="clear" w:color="auto" w:fill="auto"/>
          </w:tcPr>
          <w:p w14:paraId="469FCC2F" w14:textId="77777777" w:rsidR="00A1112F" w:rsidRPr="00216FC3" w:rsidRDefault="00A1112F" w:rsidP="00216FC3">
            <w:pPr>
              <w:jc w:val="both"/>
              <w:rPr>
                <w:rFonts w:ascii="Arial" w:hAnsi="Arial"/>
                <w:b/>
                <w:bCs/>
                <w:sz w:val="26"/>
                <w:szCs w:val="26"/>
                <w:rtl/>
              </w:rPr>
            </w:pPr>
          </w:p>
          <w:p w14:paraId="7B68F393" w14:textId="77777777" w:rsidR="00A1112F" w:rsidRPr="00216FC3" w:rsidRDefault="001E1542" w:rsidP="00216FC3">
            <w:pPr>
              <w:jc w:val="center"/>
              <w:rPr>
                <w:rFonts w:ascii="Arial" w:hAnsi="Arial"/>
                <w:b/>
                <w:bCs/>
                <w:sz w:val="26"/>
                <w:szCs w:val="26"/>
                <w:rtl/>
              </w:rPr>
            </w:pPr>
            <w:r w:rsidRPr="00216FC3">
              <w:rPr>
                <w:rFonts w:ascii="Arial" w:hAnsi="Arial"/>
                <w:b/>
                <w:bCs/>
                <w:sz w:val="26"/>
                <w:szCs w:val="26"/>
                <w:rtl/>
              </w:rPr>
              <w:t>נגד</w:t>
            </w:r>
          </w:p>
          <w:p w14:paraId="045539B4" w14:textId="77777777" w:rsidR="00A1112F" w:rsidRPr="00216FC3" w:rsidRDefault="00A1112F" w:rsidP="00216FC3">
            <w:pPr>
              <w:jc w:val="center"/>
              <w:rPr>
                <w:rFonts w:ascii="Arial" w:hAnsi="Arial"/>
                <w:b/>
                <w:bCs/>
                <w:sz w:val="26"/>
                <w:szCs w:val="26"/>
              </w:rPr>
            </w:pPr>
          </w:p>
        </w:tc>
      </w:tr>
      <w:tr w:rsidR="00A1112F" w:rsidRPr="001E1542" w14:paraId="66F6A39A" w14:textId="77777777">
        <w:tc>
          <w:tcPr>
            <w:tcW w:w="2880" w:type="dxa"/>
            <w:shd w:val="clear" w:color="auto" w:fill="auto"/>
          </w:tcPr>
          <w:p w14:paraId="35BF4C14" w14:textId="77777777" w:rsidR="00A1112F" w:rsidRPr="00216FC3" w:rsidRDefault="001E1542" w:rsidP="00216FC3">
            <w:pPr>
              <w:ind w:left="26"/>
              <w:rPr>
                <w:b/>
                <w:bCs/>
                <w:sz w:val="26"/>
                <w:szCs w:val="26"/>
                <w:rtl/>
              </w:rPr>
            </w:pPr>
            <w:r w:rsidRPr="00216FC3">
              <w:rPr>
                <w:rFonts w:hint="cs"/>
                <w:b/>
                <w:bCs/>
                <w:sz w:val="26"/>
                <w:szCs w:val="26"/>
                <w:rtl/>
              </w:rPr>
              <w:t>ה</w:t>
            </w:r>
            <w:r w:rsidRPr="00216FC3">
              <w:rPr>
                <w:b/>
                <w:bCs/>
                <w:sz w:val="26"/>
                <w:szCs w:val="26"/>
                <w:rtl/>
              </w:rPr>
              <w:t>נאשם</w:t>
            </w:r>
          </w:p>
        </w:tc>
        <w:tc>
          <w:tcPr>
            <w:tcW w:w="5922" w:type="dxa"/>
            <w:gridSpan w:val="2"/>
            <w:shd w:val="clear" w:color="auto" w:fill="auto"/>
          </w:tcPr>
          <w:p w14:paraId="06D6740F" w14:textId="77777777" w:rsidR="00A1112F" w:rsidRPr="00216FC3" w:rsidRDefault="001E1542">
            <w:pPr>
              <w:rPr>
                <w:b/>
                <w:bCs/>
                <w:sz w:val="26"/>
                <w:szCs w:val="26"/>
                <w:rtl/>
              </w:rPr>
            </w:pPr>
            <w:r w:rsidRPr="00216FC3">
              <w:rPr>
                <w:b/>
                <w:bCs/>
                <w:sz w:val="26"/>
                <w:szCs w:val="26"/>
                <w:rtl/>
              </w:rPr>
              <w:t>יאשה מנייב</w:t>
            </w:r>
          </w:p>
          <w:p w14:paraId="6C2F204A" w14:textId="77777777" w:rsidR="00A1112F" w:rsidRPr="00216FC3" w:rsidRDefault="00A1112F">
            <w:pPr>
              <w:rPr>
                <w:b/>
                <w:bCs/>
                <w:sz w:val="26"/>
                <w:szCs w:val="26"/>
                <w:rtl/>
              </w:rPr>
            </w:pPr>
          </w:p>
        </w:tc>
      </w:tr>
    </w:tbl>
    <w:p w14:paraId="1EEF3A5E" w14:textId="77777777" w:rsidR="00A1112F" w:rsidRPr="001E1542" w:rsidRDefault="001E1542">
      <w:pPr>
        <w:spacing w:line="360" w:lineRule="auto"/>
        <w:jc w:val="both"/>
        <w:rPr>
          <w:sz w:val="6"/>
          <w:szCs w:val="6"/>
          <w:rtl/>
        </w:rPr>
      </w:pPr>
      <w:r w:rsidRPr="001E1542">
        <w:rPr>
          <w:sz w:val="6"/>
          <w:szCs w:val="6"/>
          <w:rtl/>
        </w:rPr>
        <w:t>&lt;#1#&gt;</w:t>
      </w:r>
    </w:p>
    <w:p w14:paraId="5A9EDF72" w14:textId="77777777" w:rsidR="00A1112F" w:rsidRPr="001E1542" w:rsidRDefault="001E1542">
      <w:pPr>
        <w:pStyle w:val="12"/>
        <w:rPr>
          <w:u w:val="none"/>
          <w:rtl/>
        </w:rPr>
      </w:pPr>
      <w:r w:rsidRPr="001E1542">
        <w:rPr>
          <w:rFonts w:hint="cs"/>
          <w:u w:val="none"/>
          <w:rtl/>
        </w:rPr>
        <w:t>נוכחים:</w:t>
      </w:r>
    </w:p>
    <w:p w14:paraId="1BEEF434" w14:textId="77777777" w:rsidR="00A1112F" w:rsidRPr="001E1542" w:rsidRDefault="001E1542">
      <w:pPr>
        <w:pStyle w:val="12"/>
        <w:rPr>
          <w:u w:val="none"/>
          <w:rtl/>
        </w:rPr>
      </w:pPr>
      <w:bookmarkStart w:id="2" w:name="FirstLawyer"/>
      <w:r w:rsidRPr="001E1542">
        <w:rPr>
          <w:rFonts w:hint="cs"/>
          <w:u w:val="none"/>
          <w:rtl/>
        </w:rPr>
        <w:t>ב"כ</w:t>
      </w:r>
      <w:bookmarkEnd w:id="2"/>
      <w:r w:rsidRPr="001E1542">
        <w:rPr>
          <w:rFonts w:hint="cs"/>
          <w:u w:val="none"/>
          <w:rtl/>
        </w:rPr>
        <w:t xml:space="preserve"> המאשימה: עו"ד עליזה שירן</w:t>
      </w:r>
    </w:p>
    <w:p w14:paraId="391B35EC" w14:textId="77777777" w:rsidR="00A1112F" w:rsidRPr="001E1542" w:rsidRDefault="001E1542">
      <w:pPr>
        <w:pStyle w:val="12"/>
        <w:tabs>
          <w:tab w:val="left" w:pos="704"/>
        </w:tabs>
        <w:rPr>
          <w:u w:val="none"/>
          <w:rtl/>
        </w:rPr>
      </w:pPr>
      <w:r w:rsidRPr="001E1542">
        <w:rPr>
          <w:rFonts w:hint="cs"/>
          <w:u w:val="none"/>
          <w:rtl/>
        </w:rPr>
        <w:t>ב"כ הנאשם: עו"ד גיא גור</w:t>
      </w:r>
    </w:p>
    <w:p w14:paraId="63F08010" w14:textId="77777777" w:rsidR="00A1112F" w:rsidRPr="001E1542" w:rsidRDefault="001E1542">
      <w:pPr>
        <w:pStyle w:val="12"/>
        <w:rPr>
          <w:u w:val="none"/>
          <w:rtl/>
        </w:rPr>
      </w:pPr>
      <w:r w:rsidRPr="001E1542">
        <w:rPr>
          <w:rFonts w:hint="cs"/>
          <w:u w:val="none"/>
          <w:rtl/>
        </w:rPr>
        <w:t>הנאשם: בעצמו</w:t>
      </w:r>
    </w:p>
    <w:p w14:paraId="1C6DE425" w14:textId="77777777" w:rsidR="00006F83" w:rsidRDefault="001E1542">
      <w:pPr>
        <w:spacing w:line="360" w:lineRule="auto"/>
        <w:jc w:val="center"/>
        <w:rPr>
          <w:rFonts w:ascii="Arial" w:hAnsi="Arial"/>
          <w:color w:val="FF0000"/>
          <w:sz w:val="28"/>
          <w:rtl/>
        </w:rPr>
      </w:pPr>
      <w:r w:rsidRPr="001E1542">
        <w:rPr>
          <w:rFonts w:ascii="Arial" w:hAnsi="Arial"/>
          <w:b/>
          <w:color w:val="FF0000"/>
          <w:sz w:val="28"/>
          <w:rtl/>
        </w:rPr>
        <w:t>במסמך זה הושמטו פרוטוקולי</w:t>
      </w:r>
      <w:bookmarkStart w:id="3" w:name="LawTable"/>
      <w:bookmarkEnd w:id="3"/>
    </w:p>
    <w:p w14:paraId="3ED61C5C" w14:textId="77777777" w:rsidR="00006F83" w:rsidRPr="00006F83" w:rsidRDefault="00006F83" w:rsidP="00006F83">
      <w:pPr>
        <w:spacing w:after="120" w:line="240" w:lineRule="exact"/>
        <w:ind w:left="283" w:hanging="283"/>
        <w:jc w:val="both"/>
        <w:rPr>
          <w:rFonts w:ascii="FrankRuehl" w:hAnsi="FrankRuehl" w:cs="FrankRuehl"/>
          <w:color w:val="FF0000"/>
          <w:rtl/>
        </w:rPr>
      </w:pPr>
    </w:p>
    <w:p w14:paraId="370AC2C0" w14:textId="77777777" w:rsidR="00006F83" w:rsidRPr="00006F83" w:rsidRDefault="00006F83" w:rsidP="00006F83">
      <w:pPr>
        <w:spacing w:after="120" w:line="240" w:lineRule="exact"/>
        <w:ind w:left="283" w:hanging="283"/>
        <w:jc w:val="both"/>
        <w:rPr>
          <w:rFonts w:ascii="FrankRuehl" w:hAnsi="FrankRuehl" w:cs="FrankRuehl"/>
          <w:color w:val="FF0000"/>
          <w:rtl/>
        </w:rPr>
      </w:pPr>
      <w:r w:rsidRPr="00006F83">
        <w:rPr>
          <w:rFonts w:ascii="FrankRuehl" w:hAnsi="FrankRuehl" w:cs="FrankRuehl"/>
          <w:color w:val="FF0000"/>
          <w:rtl/>
        </w:rPr>
        <w:t xml:space="preserve">חקיקה שאוזכרה: </w:t>
      </w:r>
    </w:p>
    <w:p w14:paraId="32DE049C" w14:textId="77777777" w:rsidR="00006F83" w:rsidRPr="00006F83" w:rsidRDefault="00006F83" w:rsidP="00006F83">
      <w:pPr>
        <w:spacing w:after="120" w:line="240" w:lineRule="exact"/>
        <w:ind w:left="283" w:hanging="283"/>
        <w:jc w:val="both"/>
        <w:rPr>
          <w:rFonts w:ascii="FrankRuehl" w:hAnsi="FrankRuehl" w:cs="FrankRuehl"/>
          <w:rtl/>
        </w:rPr>
      </w:pPr>
      <w:hyperlink r:id="rId7" w:history="1">
        <w:r w:rsidRPr="00006F83">
          <w:rPr>
            <w:rFonts w:ascii="FrankRuehl" w:hAnsi="FrankRuehl" w:cs="FrankRuehl"/>
            <w:color w:val="0000FF"/>
            <w:u w:val="single"/>
            <w:rtl/>
          </w:rPr>
          <w:t>חוק העונשין, תשל"ז-1977</w:t>
        </w:r>
      </w:hyperlink>
      <w:r w:rsidRPr="00006F83">
        <w:rPr>
          <w:rFonts w:ascii="FrankRuehl" w:hAnsi="FrankRuehl" w:cs="FrankRuehl"/>
          <w:rtl/>
        </w:rPr>
        <w:t xml:space="preserve">: סע'  </w:t>
      </w:r>
      <w:hyperlink r:id="rId8" w:history="1">
        <w:r w:rsidRPr="00006F83">
          <w:rPr>
            <w:rFonts w:ascii="FrankRuehl" w:hAnsi="FrankRuehl" w:cs="FrankRuehl"/>
            <w:color w:val="0000FF"/>
            <w:u w:val="single"/>
            <w:rtl/>
          </w:rPr>
          <w:t>348</w:t>
        </w:r>
      </w:hyperlink>
    </w:p>
    <w:p w14:paraId="0A63ABBE" w14:textId="77777777" w:rsidR="00006F83" w:rsidRPr="00006F83" w:rsidRDefault="00006F83" w:rsidP="00006F83">
      <w:pPr>
        <w:spacing w:after="120" w:line="240" w:lineRule="exact"/>
        <w:ind w:left="283" w:hanging="283"/>
        <w:jc w:val="both"/>
        <w:rPr>
          <w:rFonts w:ascii="FrankRuehl" w:hAnsi="FrankRuehl" w:cs="FrankRuehl"/>
          <w:rtl/>
        </w:rPr>
      </w:pPr>
    </w:p>
    <w:p w14:paraId="2CC04E0C" w14:textId="77777777" w:rsidR="00006F83" w:rsidRPr="00006F83" w:rsidRDefault="00006F83">
      <w:pPr>
        <w:spacing w:line="360" w:lineRule="auto"/>
        <w:jc w:val="center"/>
        <w:rPr>
          <w:rFonts w:ascii="Arial" w:hAnsi="Arial"/>
          <w:sz w:val="28"/>
          <w:rtl/>
        </w:rPr>
      </w:pPr>
      <w:bookmarkStart w:id="4" w:name="LawTable_End"/>
      <w:bookmarkEnd w:id="4"/>
    </w:p>
    <w:p w14:paraId="687EFAC6" w14:textId="77777777" w:rsidR="00006F83" w:rsidRPr="00006F83" w:rsidRDefault="00006F83">
      <w:pPr>
        <w:spacing w:line="360" w:lineRule="auto"/>
        <w:jc w:val="center"/>
        <w:rPr>
          <w:rFonts w:ascii="Arial" w:hAnsi="Arial"/>
          <w:b/>
          <w:color w:val="FF0000"/>
          <w:sz w:val="28"/>
          <w:rtl/>
        </w:rPr>
      </w:pPr>
    </w:p>
    <w:p w14:paraId="6A6764A7" w14:textId="77777777" w:rsidR="00E43DED" w:rsidRPr="00E43DED" w:rsidRDefault="001E1542">
      <w:pPr>
        <w:spacing w:line="360" w:lineRule="auto"/>
        <w:jc w:val="center"/>
        <w:rPr>
          <w:rFonts w:ascii="Arial" w:hAnsi="Arial"/>
          <w:sz w:val="28"/>
          <w:szCs w:val="28"/>
          <w:rtl/>
        </w:rPr>
      </w:pPr>
      <w:r w:rsidRPr="00006F83">
        <w:rPr>
          <w:rFonts w:ascii="Arial" w:hAnsi="Arial"/>
          <w:b/>
          <w:color w:val="FF0000"/>
          <w:sz w:val="28"/>
          <w:rtl/>
        </w:rPr>
        <w:t>ם</w:t>
      </w:r>
    </w:p>
    <w:p w14:paraId="1B8D5BFF" w14:textId="77777777" w:rsidR="00E43DED" w:rsidRPr="00E43DED" w:rsidRDefault="00E43DED">
      <w:pPr>
        <w:spacing w:line="360" w:lineRule="auto"/>
        <w:jc w:val="center"/>
        <w:rPr>
          <w:rFonts w:ascii="Arial" w:hAnsi="Arial"/>
          <w:b/>
          <w:bCs/>
          <w:sz w:val="28"/>
          <w:szCs w:val="28"/>
          <w:rtl/>
        </w:rPr>
      </w:pPr>
    </w:p>
    <w:p w14:paraId="190F0CBF" w14:textId="77777777" w:rsidR="00A1112F" w:rsidRPr="00E43DED" w:rsidRDefault="00A1112F">
      <w:pPr>
        <w:spacing w:line="360" w:lineRule="auto"/>
        <w:jc w:val="center"/>
        <w:rPr>
          <w:rFonts w:ascii="Arial" w:hAnsi="Arial"/>
          <w:b/>
          <w:bCs/>
          <w:sz w:val="28"/>
          <w:szCs w:val="28"/>
          <w:rtl/>
        </w:rPr>
      </w:pPr>
    </w:p>
    <w:p w14:paraId="7168BD52" w14:textId="77777777" w:rsidR="005B317F" w:rsidRPr="005B317F" w:rsidRDefault="005B317F">
      <w:pPr>
        <w:spacing w:line="360" w:lineRule="auto"/>
        <w:jc w:val="center"/>
        <w:rPr>
          <w:rFonts w:ascii="Arial" w:hAnsi="Arial"/>
          <w:sz w:val="28"/>
          <w:szCs w:val="28"/>
          <w:rtl/>
        </w:rPr>
      </w:pPr>
    </w:p>
    <w:p w14:paraId="5A33ECFF" w14:textId="77777777" w:rsidR="005B317F" w:rsidRPr="005B317F" w:rsidRDefault="005B317F">
      <w:pPr>
        <w:spacing w:line="360" w:lineRule="auto"/>
        <w:jc w:val="center"/>
        <w:rPr>
          <w:rFonts w:ascii="Arial" w:hAnsi="Arial"/>
          <w:b/>
          <w:bCs/>
          <w:sz w:val="28"/>
          <w:szCs w:val="28"/>
          <w:rtl/>
        </w:rPr>
      </w:pPr>
    </w:p>
    <w:p w14:paraId="1517D65F" w14:textId="77777777" w:rsidR="001E1542" w:rsidRPr="005B317F" w:rsidRDefault="001E1542">
      <w:pPr>
        <w:spacing w:line="360" w:lineRule="auto"/>
        <w:jc w:val="center"/>
        <w:rPr>
          <w:rFonts w:ascii="Arial" w:hAnsi="Arial"/>
          <w:b/>
          <w:bCs/>
          <w:sz w:val="28"/>
          <w:szCs w:val="28"/>
          <w:rtl/>
        </w:rPr>
      </w:pPr>
    </w:p>
    <w:p w14:paraId="4E87A4EC" w14:textId="77777777" w:rsidR="001E1542" w:rsidRPr="001E1542" w:rsidRDefault="001E1542" w:rsidP="001E1542">
      <w:pPr>
        <w:spacing w:line="360" w:lineRule="auto"/>
        <w:jc w:val="center"/>
        <w:rPr>
          <w:rFonts w:ascii="Arial" w:hAnsi="Arial"/>
          <w:b/>
          <w:bCs/>
          <w:sz w:val="28"/>
          <w:szCs w:val="28"/>
          <w:u w:val="single"/>
          <w:rtl/>
        </w:rPr>
      </w:pPr>
      <w:bookmarkStart w:id="5" w:name="PsakDin"/>
      <w:bookmarkEnd w:id="0"/>
      <w:r w:rsidRPr="001E1542">
        <w:rPr>
          <w:rFonts w:ascii="Arial" w:hAnsi="Arial"/>
          <w:b/>
          <w:bCs/>
          <w:sz w:val="28"/>
          <w:szCs w:val="28"/>
          <w:u w:val="single"/>
          <w:rtl/>
        </w:rPr>
        <w:t>הכרעת דין</w:t>
      </w:r>
    </w:p>
    <w:bookmarkEnd w:id="5"/>
    <w:p w14:paraId="44CEC43B" w14:textId="77777777" w:rsidR="00A1112F" w:rsidRDefault="00A1112F">
      <w:pPr>
        <w:spacing w:line="360" w:lineRule="auto"/>
        <w:jc w:val="both"/>
        <w:rPr>
          <w:rtl/>
        </w:rPr>
      </w:pPr>
    </w:p>
    <w:p w14:paraId="4B4AE4BF" w14:textId="77777777" w:rsidR="00A1112F" w:rsidRDefault="001E1542">
      <w:pPr>
        <w:numPr>
          <w:ilvl w:val="0"/>
          <w:numId w:val="1"/>
        </w:numPr>
        <w:spacing w:line="360" w:lineRule="auto"/>
        <w:jc w:val="both"/>
        <w:rPr>
          <w:rtl/>
        </w:rPr>
      </w:pPr>
      <w:bookmarkStart w:id="6" w:name="ABSTRACT_START"/>
      <w:bookmarkEnd w:id="6"/>
      <w:r>
        <w:rPr>
          <w:rFonts w:hint="cs"/>
          <w:rtl/>
        </w:rPr>
        <w:t xml:space="preserve">נגד הנאשם הוגש כתב אישום המייחס לו ביצוע עבירה של מעשה מגונה , לפי </w:t>
      </w:r>
      <w:hyperlink r:id="rId9" w:history="1">
        <w:r w:rsidR="00E43DED" w:rsidRPr="00E43DED">
          <w:rPr>
            <w:color w:val="0000FF"/>
            <w:u w:val="single"/>
            <w:rtl/>
          </w:rPr>
          <w:t>סעיף 348</w:t>
        </w:r>
      </w:hyperlink>
      <w:r>
        <w:rPr>
          <w:rFonts w:hint="cs"/>
          <w:rtl/>
        </w:rPr>
        <w:t xml:space="preserve"> ל</w:t>
      </w:r>
      <w:hyperlink r:id="rId10" w:history="1">
        <w:r w:rsidR="005B317F" w:rsidRPr="005B317F">
          <w:rPr>
            <w:rStyle w:val="Hyperlink"/>
            <w:rtl/>
          </w:rPr>
          <w:t>חוק העונשין</w:t>
        </w:r>
      </w:hyperlink>
      <w:r>
        <w:rPr>
          <w:rFonts w:hint="cs"/>
          <w:rtl/>
        </w:rPr>
        <w:t xml:space="preserve"> התשל"ז-1977</w:t>
      </w:r>
      <w:r>
        <w:rPr>
          <w:rFonts w:hint="cs"/>
          <w:b/>
          <w:bCs/>
          <w:rtl/>
        </w:rPr>
        <w:t>.</w:t>
      </w:r>
    </w:p>
    <w:p w14:paraId="13366103" w14:textId="77777777" w:rsidR="00A1112F" w:rsidRDefault="00A1112F">
      <w:pPr>
        <w:spacing w:line="360" w:lineRule="auto"/>
        <w:ind w:left="360"/>
        <w:jc w:val="both"/>
        <w:rPr>
          <w:rtl/>
        </w:rPr>
      </w:pPr>
      <w:bookmarkStart w:id="7" w:name="ABSTRACT_END"/>
      <w:bookmarkEnd w:id="7"/>
    </w:p>
    <w:p w14:paraId="2834599A" w14:textId="77777777" w:rsidR="00A1112F" w:rsidRDefault="001E1542">
      <w:pPr>
        <w:numPr>
          <w:ilvl w:val="0"/>
          <w:numId w:val="1"/>
        </w:numPr>
        <w:spacing w:line="360" w:lineRule="auto"/>
        <w:jc w:val="both"/>
        <w:rPr>
          <w:rtl/>
        </w:rPr>
      </w:pPr>
      <w:r>
        <w:rPr>
          <w:rFonts w:hint="cs"/>
          <w:rtl/>
        </w:rPr>
        <w:lastRenderedPageBreak/>
        <w:t xml:space="preserve">על פי כתב האישום ביום 25.1.08 הגיעה ט.ש </w:t>
      </w:r>
      <w:r>
        <w:rPr>
          <w:rFonts w:hint="cs"/>
          <w:b/>
          <w:bCs/>
          <w:rtl/>
        </w:rPr>
        <w:t>(להלן:"המתלוננת")</w:t>
      </w:r>
      <w:r>
        <w:rPr>
          <w:rFonts w:hint="cs"/>
          <w:rtl/>
        </w:rPr>
        <w:t xml:space="preserve"> לביתה </w:t>
      </w:r>
      <w:r>
        <w:rPr>
          <w:rFonts w:hint="cs"/>
          <w:b/>
          <w:bCs/>
          <w:rtl/>
        </w:rPr>
        <w:t>(להלן:"הבית")</w:t>
      </w:r>
      <w:r>
        <w:rPr>
          <w:rFonts w:hint="cs"/>
          <w:rtl/>
        </w:rPr>
        <w:t xml:space="preserve"> והתעכבה בכניסה בחפשה בתיקה את מפתחות ביתה. באותה עת קרב אליה הנאשם מאחור ואחז בישבנה. </w:t>
      </w:r>
    </w:p>
    <w:p w14:paraId="7B5E348B" w14:textId="77777777" w:rsidR="00A1112F" w:rsidRDefault="00A1112F">
      <w:pPr>
        <w:spacing w:line="360" w:lineRule="auto"/>
        <w:jc w:val="both"/>
      </w:pPr>
    </w:p>
    <w:p w14:paraId="6812C343" w14:textId="77777777" w:rsidR="00A1112F" w:rsidRDefault="001E1542">
      <w:pPr>
        <w:numPr>
          <w:ilvl w:val="0"/>
          <w:numId w:val="1"/>
        </w:numPr>
        <w:spacing w:line="360" w:lineRule="auto"/>
        <w:jc w:val="both"/>
        <w:rPr>
          <w:rtl/>
        </w:rPr>
      </w:pPr>
      <w:r>
        <w:rPr>
          <w:rFonts w:hint="cs"/>
          <w:rtl/>
        </w:rPr>
        <w:t xml:space="preserve">הנאשם כפר בכל המיוחס לו וטען כי זוהה על ידי המתלוננת, בטעות, בעת הגיעו לבקר את גרושתו בתחנת המשטרה. </w:t>
      </w:r>
    </w:p>
    <w:p w14:paraId="32D9CA77" w14:textId="77777777" w:rsidR="00A1112F" w:rsidRDefault="00A1112F">
      <w:pPr>
        <w:spacing w:line="360" w:lineRule="auto"/>
        <w:jc w:val="both"/>
      </w:pPr>
    </w:p>
    <w:p w14:paraId="68390B00" w14:textId="77777777" w:rsidR="00A1112F" w:rsidRDefault="001E1542">
      <w:pPr>
        <w:numPr>
          <w:ilvl w:val="0"/>
          <w:numId w:val="1"/>
        </w:numPr>
        <w:spacing w:line="360" w:lineRule="auto"/>
        <w:jc w:val="both"/>
        <w:rPr>
          <w:rtl/>
        </w:rPr>
      </w:pPr>
      <w:r>
        <w:rPr>
          <w:rFonts w:hint="cs"/>
          <w:rtl/>
        </w:rPr>
        <w:t>באשר לעצם קרות האירוע ונסיבותיו נשמעה מטעמה של המאשימה עדותה של המתלוננת אשר העידה כדלקמן:</w:t>
      </w:r>
    </w:p>
    <w:p w14:paraId="6F67DBAF" w14:textId="77777777" w:rsidR="00A1112F" w:rsidRDefault="00A1112F">
      <w:pPr>
        <w:spacing w:line="360" w:lineRule="auto"/>
        <w:jc w:val="both"/>
      </w:pPr>
    </w:p>
    <w:p w14:paraId="7E63BCDC" w14:textId="77777777" w:rsidR="00A1112F" w:rsidRDefault="001E1542">
      <w:pPr>
        <w:spacing w:line="360" w:lineRule="auto"/>
        <w:ind w:left="720" w:right="600"/>
        <w:jc w:val="both"/>
        <w:rPr>
          <w:b/>
          <w:bCs/>
          <w:rtl/>
        </w:rPr>
      </w:pPr>
      <w:r>
        <w:rPr>
          <w:rStyle w:val="normal-h"/>
          <w:rFonts w:hint="cs"/>
          <w:b/>
          <w:bCs/>
          <w:rtl/>
        </w:rPr>
        <w:t>"זה היה יום שישי, חזרתי ממרכז העיר הביתה, עמדתי בכניסה לבנין, הדלת של חדר המדרגות ננעלת אצלנו, חיפשתי בתיק שלי את המפתחות של דלת הכניסה, והרגשתי שמישהו בא ועומד ממש מאחורי צמוד, אז הסתובבתי לראות מי זה, וראיתי שמישהו עומד ממש ממש צמוד כזה, חשבתי שזה מישהו שבא לשכנים ומחכה שאפתח את הדלת. חזרתי לחפש בתיק את המפתחות, בשניה שהסתובבתי הוא פשוט בא ותפס לי את התחת, ממש ממש נלחצתי ונבהלתי, הוצאתי טלפון מהתיק, אמרתי לו שאני מחייגת למשטרה, שילך משם, התחלתי לצעוק, ממש ממש נבהלתי, הוא התרחק כזה, יצא מהשביל של הבנין ויצא מהבנין, לא ענו לי באותה שניה במוקד אז נבהלתי, רציתי להיכנס הביתה, חזרתי לחפש את המפתחות ופתאום ראיתי שהוא כאילו בא מסביב, זה כאילו טיפס על גדר קטנה כזו, בא מסביב ומציץ עלי מאיפה שהפחים, ממש ממש נבהלתי, התחלתי לצעוק, ברחתי משם, התקשרתי למוקד של המשטרה ומכיוון שאני גרה קרוב מאד למשטרה, בזמן תוך כדי שאני מדברת עם המוקדנית הגעתי לשם, הייתי נסערת ותוך כדי שאני מדברת איתה הגעתי למשטרה. באתי לתחנה המשטרה, בזמן שחיכיתי לשוטר למסור עדות מסרתי ליומנאית פרטים אודותיו שיחפשו אחריו. שלחו ניידת, היא מצאה מישהו שזה לא היה הוא, בזמן שחיכיתי לחוקר למסור לו עדות, הנאשם נכנס וזיהיתי אותו, זה היה הוא, עם המעיל ועם כל הפרטים.</w:t>
      </w:r>
      <w:r>
        <w:rPr>
          <w:rFonts w:hint="cs"/>
          <w:b/>
          <w:bCs/>
          <w:rtl/>
        </w:rPr>
        <w:t>"</w:t>
      </w:r>
    </w:p>
    <w:p w14:paraId="53514087" w14:textId="77777777" w:rsidR="00A1112F" w:rsidRDefault="001E1542">
      <w:pPr>
        <w:spacing w:line="360" w:lineRule="auto"/>
        <w:ind w:left="720"/>
        <w:jc w:val="both"/>
        <w:rPr>
          <w:rtl/>
        </w:rPr>
      </w:pPr>
      <w:r>
        <w:rPr>
          <w:rFonts w:hint="cs"/>
          <w:rtl/>
        </w:rPr>
        <w:t>( עמ' 7 לפרוטוקול ש' 9 ואילך).</w:t>
      </w:r>
    </w:p>
    <w:p w14:paraId="6F255794" w14:textId="77777777" w:rsidR="00A1112F" w:rsidRDefault="00A1112F">
      <w:pPr>
        <w:spacing w:line="360" w:lineRule="auto"/>
        <w:jc w:val="both"/>
        <w:rPr>
          <w:rtl/>
        </w:rPr>
      </w:pPr>
    </w:p>
    <w:p w14:paraId="069DAF1F" w14:textId="77777777" w:rsidR="00A1112F" w:rsidRDefault="001E1542">
      <w:pPr>
        <w:numPr>
          <w:ilvl w:val="0"/>
          <w:numId w:val="1"/>
        </w:numPr>
        <w:spacing w:line="360" w:lineRule="auto"/>
        <w:jc w:val="both"/>
        <w:rPr>
          <w:rtl/>
        </w:rPr>
      </w:pPr>
      <w:r>
        <w:rPr>
          <w:rFonts w:hint="cs"/>
          <w:rtl/>
        </w:rPr>
        <w:t xml:space="preserve">שוטר הסיור גרינברג מתתיהו </w:t>
      </w:r>
      <w:r>
        <w:rPr>
          <w:rFonts w:hint="cs"/>
          <w:b/>
          <w:bCs/>
          <w:rtl/>
        </w:rPr>
        <w:t>(להלן:השוטר")</w:t>
      </w:r>
      <w:r>
        <w:rPr>
          <w:rFonts w:hint="cs"/>
          <w:rtl/>
        </w:rPr>
        <w:t xml:space="preserve"> העיד כי קיבל את תיאור החשוד במעשים מיומנאית התחנה דנית </w:t>
      </w:r>
      <w:r>
        <w:rPr>
          <w:rFonts w:hint="cs"/>
          <w:b/>
          <w:bCs/>
          <w:rtl/>
        </w:rPr>
        <w:t xml:space="preserve">(להלן:"היומנאית") </w:t>
      </w:r>
      <w:r>
        <w:rPr>
          <w:rFonts w:hint="cs"/>
          <w:rtl/>
        </w:rPr>
        <w:t xml:space="preserve">וכפי שציין בדו"ח ת/2 </w:t>
      </w:r>
      <w:r>
        <w:rPr>
          <w:rFonts w:hint="cs"/>
          <w:b/>
          <w:bCs/>
          <w:rtl/>
        </w:rPr>
        <w:t xml:space="preserve">: </w:t>
      </w:r>
      <w:r>
        <w:rPr>
          <w:rFonts w:hint="cs"/>
          <w:rtl/>
        </w:rPr>
        <w:t xml:space="preserve">קירח, מלא, גיל 40, לבוש במעיל שחור עם סימן אדום לפנים. </w:t>
      </w:r>
    </w:p>
    <w:p w14:paraId="6A53F088" w14:textId="77777777" w:rsidR="00A1112F" w:rsidRDefault="00A1112F">
      <w:pPr>
        <w:spacing w:line="360" w:lineRule="auto"/>
        <w:ind w:left="360"/>
        <w:jc w:val="both"/>
      </w:pPr>
    </w:p>
    <w:p w14:paraId="313F7B0E" w14:textId="77777777" w:rsidR="00A1112F" w:rsidRDefault="001E1542">
      <w:pPr>
        <w:numPr>
          <w:ilvl w:val="0"/>
          <w:numId w:val="1"/>
        </w:numPr>
        <w:spacing w:line="360" w:lineRule="auto"/>
        <w:jc w:val="both"/>
      </w:pPr>
      <w:r>
        <w:rPr>
          <w:rFonts w:hint="cs"/>
          <w:rtl/>
        </w:rPr>
        <w:t xml:space="preserve">גם השוטר העיד כי עיכב לתחנת המשטרה חשוד שענה לתיאור זה ואולם המתלוננת שהיתה במקום שללה כי המדובר במי אשר ביצע את המעשים. בנוסף ציין כי באותה העת הגיע לתחנה הנאשם והמתלוננת זיהתה אותו. </w:t>
      </w:r>
    </w:p>
    <w:p w14:paraId="6B60A645" w14:textId="77777777" w:rsidR="00A1112F" w:rsidRDefault="00A1112F">
      <w:pPr>
        <w:spacing w:line="360" w:lineRule="auto"/>
        <w:ind w:left="360"/>
        <w:jc w:val="both"/>
      </w:pPr>
    </w:p>
    <w:p w14:paraId="75D78B44" w14:textId="77777777" w:rsidR="00A1112F" w:rsidRDefault="001E1542">
      <w:pPr>
        <w:numPr>
          <w:ilvl w:val="0"/>
          <w:numId w:val="1"/>
        </w:numPr>
        <w:spacing w:line="360" w:lineRule="auto"/>
        <w:jc w:val="both"/>
      </w:pPr>
      <w:r>
        <w:rPr>
          <w:rFonts w:hint="cs"/>
          <w:rtl/>
        </w:rPr>
        <w:lastRenderedPageBreak/>
        <w:t xml:space="preserve">היומנאית ציינה בדו"ח שערכה, ת/3 כי הנאשם נכנס לתחנה, ניגש ליומן וביקש לדבר עם עובדת המטבח טטיאנה. המתלוננת אשר נכחה במקום טענה כי עסקינן במי שהטרידה  מינית מספר דקות קודם לכן וכי התיאור היה זהה לדיווח. </w:t>
      </w:r>
    </w:p>
    <w:p w14:paraId="6906A69D" w14:textId="77777777" w:rsidR="00A1112F" w:rsidRDefault="00A1112F">
      <w:pPr>
        <w:spacing w:line="360" w:lineRule="auto"/>
        <w:jc w:val="both"/>
      </w:pPr>
    </w:p>
    <w:p w14:paraId="3F32B911" w14:textId="77777777" w:rsidR="00A1112F" w:rsidRDefault="001E1542">
      <w:pPr>
        <w:spacing w:line="360" w:lineRule="auto"/>
        <w:ind w:left="360"/>
        <w:jc w:val="both"/>
        <w:rPr>
          <w:b/>
          <w:bCs/>
          <w:u w:val="single"/>
          <w:rtl/>
        </w:rPr>
      </w:pPr>
      <w:r>
        <w:rPr>
          <w:rFonts w:hint="cs"/>
          <w:b/>
          <w:bCs/>
          <w:u w:val="single"/>
          <w:rtl/>
        </w:rPr>
        <w:t>דיון</w:t>
      </w:r>
    </w:p>
    <w:p w14:paraId="17F28776" w14:textId="77777777" w:rsidR="00A1112F" w:rsidRDefault="00A1112F">
      <w:pPr>
        <w:spacing w:line="360" w:lineRule="auto"/>
        <w:jc w:val="both"/>
      </w:pPr>
    </w:p>
    <w:p w14:paraId="4E437BE1" w14:textId="77777777" w:rsidR="00A1112F" w:rsidRDefault="001E1542">
      <w:pPr>
        <w:numPr>
          <w:ilvl w:val="0"/>
          <w:numId w:val="1"/>
        </w:numPr>
        <w:spacing w:line="360" w:lineRule="auto"/>
        <w:jc w:val="both"/>
        <w:rPr>
          <w:rtl/>
        </w:rPr>
      </w:pPr>
      <w:r>
        <w:rPr>
          <w:rFonts w:hint="cs"/>
          <w:rtl/>
        </w:rPr>
        <w:t xml:space="preserve">מעבר לתיאור האותנטי של האירוע ותחושות המתלוננת בעת ביצועו, אשר העידו על מהימנותה, לא נמצא כל מניע לפקפק בגרסתה באשר לעצם קרות האירוע ומהלכו.  ולא כל שכן בעת שלא שררה כל היכרות מוקדמת בינה לבין הנאשם ואף לא ייחסה אותו ספציפית לו, או לכל מאן דהוא אחר.  התרשמותי בדבר כנותה של המתלוננת אף התחזקה מהעובדה כי לא זיהתה את החשוד הראשון שעוכב כמי שביצע את המעשים והוא שוחרר. </w:t>
      </w:r>
    </w:p>
    <w:p w14:paraId="0DF4418E" w14:textId="77777777" w:rsidR="00A1112F" w:rsidRDefault="001E1542">
      <w:pPr>
        <w:spacing w:line="360" w:lineRule="auto"/>
        <w:ind w:left="360"/>
        <w:jc w:val="both"/>
      </w:pPr>
      <w:r>
        <w:rPr>
          <w:rFonts w:hint="cs"/>
          <w:rtl/>
        </w:rPr>
        <w:t xml:space="preserve">  </w:t>
      </w:r>
    </w:p>
    <w:p w14:paraId="6E839DC1" w14:textId="77777777" w:rsidR="00A1112F" w:rsidRDefault="001E1542">
      <w:pPr>
        <w:numPr>
          <w:ilvl w:val="0"/>
          <w:numId w:val="1"/>
        </w:numPr>
        <w:spacing w:line="360" w:lineRule="auto"/>
        <w:jc w:val="both"/>
        <w:rPr>
          <w:rtl/>
        </w:rPr>
      </w:pPr>
      <w:r>
        <w:rPr>
          <w:rFonts w:hint="cs"/>
          <w:rtl/>
        </w:rPr>
        <w:t xml:space="preserve">השאלה הטעונה הכרעה עתה הינה האם הוכח מעבר לכל ספק סביר כי אכן עסקינן בנאשם. </w:t>
      </w:r>
    </w:p>
    <w:p w14:paraId="4A47E5A8" w14:textId="77777777" w:rsidR="00A1112F" w:rsidRDefault="00A1112F">
      <w:pPr>
        <w:spacing w:line="360" w:lineRule="auto"/>
        <w:jc w:val="both"/>
      </w:pPr>
    </w:p>
    <w:p w14:paraId="43423147" w14:textId="77777777" w:rsidR="00A1112F" w:rsidRDefault="001E1542">
      <w:pPr>
        <w:numPr>
          <w:ilvl w:val="0"/>
          <w:numId w:val="1"/>
        </w:numPr>
        <w:spacing w:line="360" w:lineRule="auto"/>
        <w:jc w:val="both"/>
        <w:rPr>
          <w:rtl/>
        </w:rPr>
      </w:pPr>
      <w:r>
        <w:rPr>
          <w:rFonts w:hint="cs"/>
          <w:rtl/>
        </w:rPr>
        <w:t>הנאשם זוהה על ידי המתלוננת, באקראי, באופן ספונטאני ונקבע בהקשר זה ב</w:t>
      </w:r>
      <w:r w:rsidRPr="0036788F">
        <w:rPr>
          <w:color w:val="000000"/>
          <w:rtl/>
        </w:rPr>
        <w:t xml:space="preserve">ע"פ </w:t>
      </w:r>
      <w:hyperlink r:id="rId11" w:history="1">
        <w:r w:rsidR="00E43DED" w:rsidRPr="00E43DED">
          <w:rPr>
            <w:color w:val="0000FF"/>
            <w:u w:val="single"/>
            <w:rtl/>
          </w:rPr>
          <w:t xml:space="preserve">10/08 </w:t>
        </w:r>
      </w:hyperlink>
      <w:r>
        <w:rPr>
          <w:rFonts w:hint="cs"/>
          <w:rtl/>
        </w:rPr>
        <w:t xml:space="preserve"> </w:t>
      </w:r>
      <w:r>
        <w:rPr>
          <w:rFonts w:hint="cs"/>
          <w:b/>
          <w:bCs/>
          <w:rtl/>
        </w:rPr>
        <w:t>איליה ניסנוב נ' מדינת ישראל</w:t>
      </w:r>
      <w:r>
        <w:rPr>
          <w:rFonts w:hint="cs"/>
          <w:rtl/>
        </w:rPr>
        <w:t>, כדלקמן:</w:t>
      </w:r>
    </w:p>
    <w:p w14:paraId="5D694310" w14:textId="77777777" w:rsidR="00A1112F" w:rsidRDefault="00A1112F">
      <w:pPr>
        <w:spacing w:line="360" w:lineRule="auto"/>
        <w:jc w:val="both"/>
        <w:rPr>
          <w:rtl/>
        </w:rPr>
      </w:pPr>
    </w:p>
    <w:p w14:paraId="2A3EA796" w14:textId="77777777" w:rsidR="00A1112F" w:rsidRDefault="001E1542">
      <w:pPr>
        <w:spacing w:line="360" w:lineRule="auto"/>
        <w:ind w:left="720" w:right="600"/>
        <w:jc w:val="both"/>
        <w:rPr>
          <w:b/>
          <w:bCs/>
          <w:rtl/>
        </w:rPr>
      </w:pPr>
      <w:r>
        <w:rPr>
          <w:rFonts w:hint="cs"/>
          <w:b/>
          <w:bCs/>
          <w:rtl/>
        </w:rPr>
        <w:t>"באשר לזיהוי זה של המתלונן את המערער אומר, כי מדובר בזיהוי אקראי אותו לא יזמו החוקרים, ושכאמור, התרחש במפתיע כאשר המתלונן יצא מתחנת המשטרה, מלווה בחוקר. בזיהוי המתבצע בדרך זו אין כל פסול (</w:t>
      </w:r>
      <w:hyperlink r:id="rId12" w:history="1">
        <w:r w:rsidR="005B317F" w:rsidRPr="005B317F">
          <w:rPr>
            <w:rStyle w:val="Hyperlink"/>
            <w:b/>
            <w:bCs/>
            <w:rtl/>
          </w:rPr>
          <w:t>ע"פ 347/88 דמיאניוק נ' מדינת ישראל, פ"ד מז</w:t>
        </w:r>
      </w:hyperlink>
      <w:r>
        <w:rPr>
          <w:rFonts w:hint="cs"/>
          <w:b/>
          <w:bCs/>
          <w:rtl/>
        </w:rPr>
        <w:t>(4) 353, 391 (1993)), אולם משקלו מסור לשיקול דעתו של בית-המשפט נוכח הנסיבות בהן התרחש. משקלו של זיהוי זה אינו נופל מזיהוי במסדר פורמאלי, אולם מקום שנמצא כי הזיהוי התבצע בנסיבות שהיה בהן "כדי 'לרמוז' על כך שהמזוהה הוא זה שנחשד בביצוע העבירה - מתכרסם משקלו הראייתי" (</w:t>
      </w:r>
      <w:hyperlink r:id="rId13" w:history="1">
        <w:r w:rsidR="005B317F" w:rsidRPr="005B317F">
          <w:rPr>
            <w:rStyle w:val="Hyperlink"/>
            <w:b/>
            <w:bCs/>
            <w:rtl/>
          </w:rPr>
          <w:t>ע"פ 3727/93</w:t>
        </w:r>
      </w:hyperlink>
      <w:r>
        <w:rPr>
          <w:rFonts w:hint="cs"/>
          <w:b/>
          <w:bCs/>
          <w:rtl/>
        </w:rPr>
        <w:t xml:space="preserve"> עזאמי נ' מדינת ישראל, בפסקה 5 (לא פורסם, 17.5.94)). מאידך, הודגש גם כי "זיהוי ספונטאני יכול להיות עדיף ואמין יותר מאשר זיהוי חי, בנסיבות מסוימות. ניתן בנקל להצביע על גורמים שבהם לזיהוי הספונטאני עדיפות על פני הזיהוי במסדר. המזהה נמצא עם עצמו, ברגע הזיהוי הוא אינו חשוף ללחצים, ההשוואה היא בין דמות שהתקבעה במוחו לבין דמות האדם שבפניו והשכנוע הפנימי שלו - מקורו בדמות שנחרתה במוחו כשלם, בהבדל מפירוק השלם לגורמיו. ההסתייגויות הנשמעות בדרך כלל כנגד הזיהוי במסדר זיהוי ספונטאני מקורן בחשד או בחשש שמא אין מדובר בספונטאניות, אלא בתכנון של החוקרים להפגיש את החשוד עם המזהה כאשר הנסיבות תרמוזנה למזהה כי לפניו החשוד" (</w:t>
      </w:r>
      <w:hyperlink r:id="rId14" w:history="1">
        <w:r w:rsidR="005B317F" w:rsidRPr="005B317F">
          <w:rPr>
            <w:rStyle w:val="Hyperlink"/>
            <w:b/>
            <w:bCs/>
            <w:rtl/>
          </w:rPr>
          <w:t>ע"פ 3055/06</w:t>
        </w:r>
      </w:hyperlink>
      <w:r>
        <w:rPr>
          <w:rFonts w:hint="cs"/>
          <w:b/>
          <w:bCs/>
          <w:rtl/>
        </w:rPr>
        <w:t xml:space="preserve"> גרובי נ' מדינת ישראל, בפסקה 7 (טרם פורסם, 8.1.07)). "</w:t>
      </w:r>
    </w:p>
    <w:p w14:paraId="40AFF91D" w14:textId="77777777" w:rsidR="00A1112F" w:rsidRDefault="00A1112F">
      <w:pPr>
        <w:spacing w:line="360" w:lineRule="auto"/>
        <w:ind w:left="720"/>
        <w:jc w:val="both"/>
        <w:rPr>
          <w:rtl/>
        </w:rPr>
      </w:pPr>
    </w:p>
    <w:p w14:paraId="39F49C49" w14:textId="77777777" w:rsidR="00A1112F" w:rsidRDefault="001E1542">
      <w:pPr>
        <w:numPr>
          <w:ilvl w:val="0"/>
          <w:numId w:val="1"/>
        </w:numPr>
        <w:spacing w:line="360" w:lineRule="auto"/>
        <w:jc w:val="both"/>
        <w:rPr>
          <w:rtl/>
        </w:rPr>
      </w:pPr>
      <w:r>
        <w:rPr>
          <w:rFonts w:hint="cs"/>
          <w:rtl/>
        </w:rPr>
        <w:t xml:space="preserve">ובענייננו, בחינת אופן הזיהוי ונסיבותיו אינו מקים כל חשש שהיה בו כדי להדריך את המתלוננת לזהות את הנאשם דווקא כמבצעה של העבירה ועל כן יש ליתן לו את מלוא </w:t>
      </w:r>
      <w:r>
        <w:rPr>
          <w:rFonts w:hint="cs"/>
          <w:rtl/>
        </w:rPr>
        <w:lastRenderedPageBreak/>
        <w:t xml:space="preserve">משקלו. שכן, כפי שתואר לעיל, הובא לתחנת המשטרה חשוד אחר, והמתלוננת שללה כי עסקינן במבצע העבירה. ואילו הנאשם הגיע למקום באקראי, מיוזמתו בלא כל קשר לאירוע אלא על מנת לשוחח עם גרושתו, אשר עבדה בעת הרלוונטית במטבח התחנה ובאותה העת זוהה בוודאות על ידי המתלוננת. </w:t>
      </w:r>
    </w:p>
    <w:p w14:paraId="781C72AF" w14:textId="77777777" w:rsidR="00A1112F" w:rsidRDefault="00A1112F">
      <w:pPr>
        <w:spacing w:line="360" w:lineRule="auto"/>
        <w:ind w:left="360"/>
        <w:jc w:val="both"/>
      </w:pPr>
    </w:p>
    <w:p w14:paraId="76689F6D" w14:textId="77777777" w:rsidR="00A1112F" w:rsidRDefault="001E1542">
      <w:pPr>
        <w:numPr>
          <w:ilvl w:val="0"/>
          <w:numId w:val="1"/>
        </w:numPr>
        <w:spacing w:line="360" w:lineRule="auto"/>
        <w:jc w:val="both"/>
        <w:rPr>
          <w:rtl/>
        </w:rPr>
      </w:pPr>
      <w:r>
        <w:rPr>
          <w:rFonts w:hint="cs"/>
          <w:rtl/>
        </w:rPr>
        <w:t xml:space="preserve">המדובר בזיהוי שהתרחש זמן קצר לאחר קרות האירוע. כמו כן שוכנעתי כי במהלכו של האירוע עלה בידי המתלוננת להבחין בתווי פניו של הנאשם ובפרטי לבושו ולנצור אותם בזיכרונה , הן בשלב בו עמד מאחוריה והן בשלב בו הבחינה כי לא עזב את המקום אלא התחבא מאחורי חומה. </w:t>
      </w:r>
    </w:p>
    <w:p w14:paraId="26B9228B" w14:textId="77777777" w:rsidR="00A1112F" w:rsidRDefault="00A1112F">
      <w:pPr>
        <w:spacing w:line="360" w:lineRule="auto"/>
        <w:jc w:val="both"/>
      </w:pPr>
    </w:p>
    <w:p w14:paraId="276EF169" w14:textId="77777777" w:rsidR="00A1112F" w:rsidRDefault="001E1542">
      <w:pPr>
        <w:numPr>
          <w:ilvl w:val="0"/>
          <w:numId w:val="1"/>
        </w:numPr>
        <w:spacing w:line="360" w:lineRule="auto"/>
        <w:jc w:val="both"/>
        <w:rPr>
          <w:rtl/>
        </w:rPr>
      </w:pPr>
      <w:r>
        <w:rPr>
          <w:rFonts w:hint="cs"/>
          <w:rtl/>
        </w:rPr>
        <w:t xml:space="preserve">הנאשם מנגד לא זכה לאמוני. ניתן היה להתרשם בבירור מהאמור בהודעתו במשטרה כי ניסה להרחיק עצמו ממקום האירוע. בעת שנחקר תחת אזהרה נטען בפניו כי מיוחס לו ביצוע מעשה מגונה בכתובת הבית. הנאשם תיאר את מסלול הליכתו עד לתחנת המשטרה ואולם ציין כי שמות הרחובות בהם עבר אינם ידועים לו. הוא אף טען ספציפית כי רחוב זה  אינו מוכר לו ( ת/1 ש' 14 ו-20). </w:t>
      </w:r>
    </w:p>
    <w:p w14:paraId="6630047C" w14:textId="77777777" w:rsidR="00A1112F" w:rsidRDefault="00A1112F">
      <w:pPr>
        <w:spacing w:line="360" w:lineRule="auto"/>
        <w:jc w:val="both"/>
      </w:pPr>
    </w:p>
    <w:p w14:paraId="5B2903DA" w14:textId="77777777" w:rsidR="00A1112F" w:rsidRDefault="001E1542">
      <w:pPr>
        <w:spacing w:line="360" w:lineRule="auto"/>
        <w:ind w:left="720"/>
        <w:jc w:val="both"/>
        <w:rPr>
          <w:rtl/>
        </w:rPr>
      </w:pPr>
      <w:r>
        <w:rPr>
          <w:rFonts w:hint="cs"/>
          <w:rtl/>
        </w:rPr>
        <w:t xml:space="preserve">ואילו בעדותו בבית המשפט ציין הנאשם במפורש כי עבר דרך הרחוב בו מצוי הבית ( עמ' 17 לפרוטוקול ש' 1) מקום ביצוע העבירה ויהא בכך כדי להוות תמיכה ראייתית לגרסת המתלוננת. </w:t>
      </w:r>
    </w:p>
    <w:p w14:paraId="4F85B73C" w14:textId="77777777" w:rsidR="00A1112F" w:rsidRDefault="00A1112F">
      <w:pPr>
        <w:spacing w:line="360" w:lineRule="auto"/>
        <w:jc w:val="both"/>
      </w:pPr>
    </w:p>
    <w:p w14:paraId="57D347FF" w14:textId="77777777" w:rsidR="00A1112F" w:rsidRDefault="001E1542">
      <w:pPr>
        <w:numPr>
          <w:ilvl w:val="0"/>
          <w:numId w:val="1"/>
        </w:numPr>
        <w:spacing w:line="360" w:lineRule="auto"/>
        <w:jc w:val="both"/>
        <w:rPr>
          <w:rtl/>
        </w:rPr>
      </w:pPr>
      <w:r>
        <w:rPr>
          <w:rFonts w:hint="cs"/>
          <w:rtl/>
        </w:rPr>
        <w:t xml:space="preserve">תמיכה נוספת לגרסת המתלוננת היתה העובדה כי הנאשם אכן היה לבוש במעיל השחור עם "הסימן האדום", כפי שתיארה ( ת/1 ש' 21). גם בהקשר זה ניתן היה להתרשם בדבר חוסר מהימנות הנאשם וניסיונו להרחיק עצמו בציינו בעדותו בבית המשפט כי היה לבוש במעיל בצבע חום בהיר עם סימן בשחור ולבן. המדובר בגרסה כבושה אשר לו היה בה שמץ של ממש לבטח היה הנאשם טוען זאת בפני החוקר, בעת החקירה, משהטיח בפניו כי המעיל שלבש זהה לתיאור המתלוננת. </w:t>
      </w:r>
    </w:p>
    <w:p w14:paraId="5F7DDB40" w14:textId="77777777" w:rsidR="00A1112F" w:rsidRDefault="00A1112F">
      <w:pPr>
        <w:spacing w:line="360" w:lineRule="auto"/>
        <w:ind w:left="360"/>
        <w:jc w:val="both"/>
      </w:pPr>
    </w:p>
    <w:p w14:paraId="7A510960" w14:textId="77777777" w:rsidR="00A1112F" w:rsidRDefault="001E1542">
      <w:pPr>
        <w:numPr>
          <w:ilvl w:val="0"/>
          <w:numId w:val="1"/>
        </w:numPr>
        <w:spacing w:line="360" w:lineRule="auto"/>
        <w:jc w:val="both"/>
      </w:pPr>
      <w:r>
        <w:rPr>
          <w:rFonts w:hint="cs"/>
          <w:rtl/>
        </w:rPr>
        <w:t xml:space="preserve">מששוכנעתי מעבר לכל ספק סביר כי הנאשם הגיח מאחורי המתלוננת ואחז בישבנה יהא במהות המעשים ובנסיבות ביצועם כדי להצביע מאליהם אודות ביצועם לשם גירוי סיפוק </w:t>
      </w:r>
      <w:r>
        <w:rPr>
          <w:rtl/>
        </w:rPr>
        <w:br/>
      </w:r>
      <w:r>
        <w:rPr>
          <w:rFonts w:hint="cs"/>
          <w:rtl/>
        </w:rPr>
        <w:br/>
      </w:r>
      <w:r>
        <w:rPr>
          <w:rtl/>
        </w:rPr>
        <w:br/>
      </w:r>
      <w:r>
        <w:rPr>
          <w:rFonts w:hint="cs"/>
          <w:rtl/>
        </w:rPr>
        <w:br/>
      </w:r>
      <w:r>
        <w:rPr>
          <w:rtl/>
        </w:rPr>
        <w:br/>
      </w:r>
      <w:r>
        <w:rPr>
          <w:rFonts w:hint="cs"/>
          <w:rtl/>
        </w:rPr>
        <w:br/>
      </w:r>
      <w:r>
        <w:rPr>
          <w:rtl/>
        </w:rPr>
        <w:br/>
      </w:r>
      <w:r>
        <w:rPr>
          <w:rFonts w:hint="cs"/>
          <w:rtl/>
        </w:rPr>
        <w:t>או ביזוי מיניים ועל כן הוכחו כל יסודות העבירה המיוחסת לנאשם בכתב האישום ואני מרשיעה אותו בביצועה.</w:t>
      </w:r>
    </w:p>
    <w:p w14:paraId="11E1B3FE" w14:textId="77777777" w:rsidR="00A1112F" w:rsidRDefault="00A1112F">
      <w:pPr>
        <w:spacing w:line="360" w:lineRule="auto"/>
        <w:jc w:val="both"/>
      </w:pPr>
    </w:p>
    <w:p w14:paraId="1AC2E487" w14:textId="77777777" w:rsidR="00A1112F" w:rsidRDefault="001E1542">
      <w:pPr>
        <w:spacing w:line="360" w:lineRule="auto"/>
        <w:jc w:val="both"/>
        <w:rPr>
          <w:sz w:val="6"/>
          <w:szCs w:val="6"/>
        </w:rPr>
      </w:pPr>
      <w:r>
        <w:rPr>
          <w:sz w:val="6"/>
          <w:szCs w:val="6"/>
          <w:rtl/>
        </w:rPr>
        <w:t>&lt;#5#&gt;</w:t>
      </w:r>
    </w:p>
    <w:p w14:paraId="41C5CCEF" w14:textId="77777777" w:rsidR="00A1112F" w:rsidRDefault="00A1112F">
      <w:pPr>
        <w:jc w:val="right"/>
        <w:rPr>
          <w:rtl/>
        </w:rPr>
      </w:pPr>
    </w:p>
    <w:p w14:paraId="5C53C803" w14:textId="77777777" w:rsidR="00A1112F" w:rsidRDefault="001E1542">
      <w:pPr>
        <w:spacing w:line="360" w:lineRule="auto"/>
        <w:jc w:val="both"/>
        <w:rPr>
          <w:rtl/>
        </w:rPr>
      </w:pPr>
      <w:r>
        <w:rPr>
          <w:rFonts w:hint="cs"/>
          <w:b/>
          <w:bCs/>
          <w:rtl/>
        </w:rPr>
        <w:t xml:space="preserve">ניתנה והודעה היום </w:t>
      </w:r>
      <w:r>
        <w:rPr>
          <w:b/>
          <w:bCs/>
          <w:rtl/>
        </w:rPr>
        <w:t>כ"ח אלול תשע"א</w:t>
      </w:r>
      <w:r>
        <w:rPr>
          <w:rFonts w:hint="cs"/>
          <w:b/>
          <w:bCs/>
          <w:rtl/>
        </w:rPr>
        <w:t xml:space="preserve">, </w:t>
      </w:r>
      <w:r>
        <w:rPr>
          <w:b/>
          <w:bCs/>
          <w:rtl/>
        </w:rPr>
        <w:t>27/09/2011</w:t>
      </w:r>
      <w:r>
        <w:rPr>
          <w:rFonts w:hint="cs"/>
          <w:b/>
          <w:bCs/>
          <w:rtl/>
        </w:rPr>
        <w:t xml:space="preserve"> במעמד הנוכחים.</w:t>
      </w:r>
      <w:r>
        <w:rPr>
          <w:rtl/>
        </w:rPr>
        <w:t xml:space="preserve"> </w:t>
      </w:r>
    </w:p>
    <w:p w14:paraId="152CF71B" w14:textId="77777777" w:rsidR="00A1112F" w:rsidRDefault="001E1542">
      <w:pPr>
        <w:jc w:val="both"/>
        <w:rPr>
          <w:rtl/>
        </w:rPr>
      </w:pPr>
      <w:r>
        <w:rPr>
          <w:rtl/>
        </w:rPr>
        <w:t xml:space="preserve"> </w:t>
      </w:r>
    </w:p>
    <w:p w14:paraId="79107C61" w14:textId="77777777" w:rsidR="00A1112F" w:rsidRDefault="00A1112F">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1112F" w14:paraId="47370A47" w14:textId="77777777">
        <w:trPr>
          <w:trHeight w:val="364"/>
          <w:jc w:val="right"/>
        </w:trPr>
        <w:tc>
          <w:tcPr>
            <w:tcW w:w="3708" w:type="dxa"/>
            <w:shd w:val="clear" w:color="auto" w:fill="auto"/>
          </w:tcPr>
          <w:p w14:paraId="08809093" w14:textId="77777777" w:rsidR="00A1112F" w:rsidRDefault="00A1112F" w:rsidP="00216FC3">
            <w:pPr>
              <w:jc w:val="center"/>
              <w:rPr>
                <w:rtl/>
              </w:rPr>
            </w:pPr>
          </w:p>
        </w:tc>
      </w:tr>
      <w:tr w:rsidR="00A1112F" w14:paraId="73BFE568" w14:textId="77777777">
        <w:trPr>
          <w:trHeight w:val="415"/>
          <w:jc w:val="right"/>
        </w:trPr>
        <w:tc>
          <w:tcPr>
            <w:tcW w:w="3708" w:type="dxa"/>
            <w:shd w:val="clear" w:color="auto" w:fill="auto"/>
          </w:tcPr>
          <w:p w14:paraId="25922C72" w14:textId="77777777" w:rsidR="00A1112F" w:rsidRPr="00216FC3" w:rsidRDefault="001E1542" w:rsidP="00216FC3">
            <w:pPr>
              <w:jc w:val="center"/>
              <w:rPr>
                <w:b/>
                <w:bCs/>
                <w:rtl/>
              </w:rPr>
            </w:pPr>
            <w:r w:rsidRPr="00216FC3">
              <w:rPr>
                <w:b/>
                <w:bCs/>
                <w:rtl/>
              </w:rPr>
              <w:t>דבורה</w:t>
            </w:r>
            <w:r w:rsidRPr="00216FC3">
              <w:rPr>
                <w:rFonts w:hint="cs"/>
                <w:b/>
                <w:bCs/>
                <w:rtl/>
              </w:rPr>
              <w:t xml:space="preserve"> </w:t>
            </w:r>
            <w:r w:rsidRPr="00216FC3">
              <w:rPr>
                <w:b/>
                <w:bCs/>
                <w:rtl/>
              </w:rPr>
              <w:t>עטר</w:t>
            </w:r>
            <w:r w:rsidRPr="00216FC3">
              <w:rPr>
                <w:rFonts w:hint="cs"/>
                <w:b/>
                <w:bCs/>
                <w:rtl/>
              </w:rPr>
              <w:t xml:space="preserve">, </w:t>
            </w:r>
            <w:r w:rsidRPr="00216FC3">
              <w:rPr>
                <w:b/>
                <w:bCs/>
                <w:rtl/>
              </w:rPr>
              <w:t>שופטת</w:t>
            </w:r>
          </w:p>
        </w:tc>
      </w:tr>
    </w:tbl>
    <w:p w14:paraId="23D0B860" w14:textId="77777777" w:rsidR="00A1112F" w:rsidRDefault="00A1112F">
      <w:pPr>
        <w:jc w:val="right"/>
        <w:rPr>
          <w:rtl/>
        </w:rPr>
      </w:pPr>
    </w:p>
    <w:p w14:paraId="193DFC71" w14:textId="77777777" w:rsidR="00A1112F" w:rsidRDefault="00A1112F">
      <w:pPr>
        <w:spacing w:line="360" w:lineRule="auto"/>
        <w:jc w:val="both"/>
      </w:pPr>
    </w:p>
    <w:p w14:paraId="7A0A2C0D" w14:textId="77777777" w:rsidR="00A1112F" w:rsidRDefault="00A1112F">
      <w:pPr>
        <w:spacing w:line="360" w:lineRule="auto"/>
        <w:ind w:left="360"/>
        <w:jc w:val="both"/>
        <w:rPr>
          <w:rtl/>
        </w:rPr>
      </w:pPr>
    </w:p>
    <w:p w14:paraId="7348E6FB" w14:textId="77777777" w:rsidR="00A1112F" w:rsidRDefault="001E1542">
      <w:pPr>
        <w:spacing w:line="360" w:lineRule="auto"/>
        <w:jc w:val="both"/>
        <w:rPr>
          <w:rtl/>
        </w:rPr>
      </w:pPr>
      <w:r>
        <w:rPr>
          <w:rFonts w:hint="cs"/>
          <w:b/>
          <w:bCs/>
          <w:u w:val="single"/>
          <w:rtl/>
        </w:rPr>
        <w:t>ב"כ הנאשם</w:t>
      </w:r>
      <w:r>
        <w:rPr>
          <w:rFonts w:hint="cs"/>
          <w:rtl/>
        </w:rPr>
        <w:t>:</w:t>
      </w:r>
    </w:p>
    <w:p w14:paraId="4ED2198D" w14:textId="77777777" w:rsidR="00A1112F" w:rsidRDefault="001E1542">
      <w:pPr>
        <w:spacing w:line="360" w:lineRule="auto"/>
        <w:jc w:val="both"/>
        <w:rPr>
          <w:rtl/>
        </w:rPr>
      </w:pPr>
      <w:r>
        <w:rPr>
          <w:rFonts w:hint="cs"/>
          <w:rtl/>
        </w:rPr>
        <w:t>אבקש לעיין בהכרעת הדין ולהיערך לשמיעת הטיעונים לעונש.</w:t>
      </w:r>
    </w:p>
    <w:p w14:paraId="6D2B257D" w14:textId="77777777" w:rsidR="00A1112F" w:rsidRDefault="00A1112F">
      <w:pPr>
        <w:spacing w:line="360" w:lineRule="auto"/>
        <w:jc w:val="both"/>
        <w:rPr>
          <w:rtl/>
        </w:rPr>
      </w:pPr>
    </w:p>
    <w:p w14:paraId="2B4A2280" w14:textId="77777777" w:rsidR="00A1112F" w:rsidRDefault="001E1542">
      <w:pPr>
        <w:spacing w:line="360" w:lineRule="auto"/>
        <w:jc w:val="both"/>
        <w:rPr>
          <w:rtl/>
        </w:rPr>
      </w:pPr>
      <w:r>
        <w:rPr>
          <w:rFonts w:hint="cs"/>
          <w:b/>
          <w:bCs/>
          <w:u w:val="single"/>
          <w:rtl/>
        </w:rPr>
        <w:t>ב"כ המאשימה</w:t>
      </w:r>
      <w:r>
        <w:rPr>
          <w:rFonts w:hint="cs"/>
          <w:rtl/>
        </w:rPr>
        <w:t>:</w:t>
      </w:r>
    </w:p>
    <w:p w14:paraId="561A462A" w14:textId="77777777" w:rsidR="00A1112F" w:rsidRDefault="001E1542">
      <w:pPr>
        <w:spacing w:line="360" w:lineRule="auto"/>
        <w:jc w:val="both"/>
        <w:rPr>
          <w:rtl/>
        </w:rPr>
      </w:pPr>
      <w:r>
        <w:rPr>
          <w:rFonts w:hint="cs"/>
          <w:rtl/>
        </w:rPr>
        <w:t>אני מסכימה לדחיית הדיון, נבקש כי במהלך הדחייה, תתקבל חוות דעת הממונה על עבודות השירות, שכן עמדתנו הינה למאסר שירוצה בעבודות שירות.</w:t>
      </w:r>
    </w:p>
    <w:p w14:paraId="4902A5E7" w14:textId="77777777" w:rsidR="00A1112F" w:rsidRDefault="00A1112F">
      <w:pPr>
        <w:spacing w:line="360" w:lineRule="auto"/>
        <w:jc w:val="both"/>
        <w:rPr>
          <w:rtl/>
        </w:rPr>
      </w:pPr>
    </w:p>
    <w:p w14:paraId="05A3774C" w14:textId="77777777" w:rsidR="00A1112F" w:rsidRDefault="001E1542">
      <w:pPr>
        <w:spacing w:line="360" w:lineRule="auto"/>
        <w:jc w:val="both"/>
        <w:rPr>
          <w:rtl/>
        </w:rPr>
      </w:pPr>
      <w:r>
        <w:rPr>
          <w:rFonts w:hint="cs"/>
          <w:b/>
          <w:bCs/>
          <w:u w:val="single"/>
          <w:rtl/>
        </w:rPr>
        <w:t>ב"כ הנאשם</w:t>
      </w:r>
      <w:r>
        <w:rPr>
          <w:rFonts w:hint="cs"/>
          <w:rtl/>
        </w:rPr>
        <w:t>:</w:t>
      </w:r>
    </w:p>
    <w:p w14:paraId="6B24530F" w14:textId="77777777" w:rsidR="00A1112F" w:rsidRDefault="001E1542">
      <w:pPr>
        <w:spacing w:line="360" w:lineRule="auto"/>
        <w:jc w:val="both"/>
        <w:rPr>
          <w:rtl/>
        </w:rPr>
      </w:pPr>
      <w:r>
        <w:rPr>
          <w:rFonts w:hint="cs"/>
          <w:rtl/>
        </w:rPr>
        <w:t>לאור עמדת המאשימה, מצטרף לבקשה.</w:t>
      </w:r>
    </w:p>
    <w:p w14:paraId="6B9345FB" w14:textId="77777777" w:rsidR="00A1112F" w:rsidRDefault="00A1112F">
      <w:pPr>
        <w:spacing w:line="360" w:lineRule="auto"/>
        <w:jc w:val="both"/>
        <w:rPr>
          <w:rtl/>
        </w:rPr>
      </w:pPr>
    </w:p>
    <w:p w14:paraId="0BF09ECE" w14:textId="77777777" w:rsidR="00A1112F" w:rsidRDefault="001E1542">
      <w:pPr>
        <w:spacing w:line="360" w:lineRule="auto"/>
        <w:jc w:val="both"/>
        <w:rPr>
          <w:sz w:val="6"/>
          <w:szCs w:val="6"/>
          <w:rtl/>
        </w:rPr>
      </w:pPr>
      <w:r>
        <w:rPr>
          <w:sz w:val="6"/>
          <w:szCs w:val="6"/>
          <w:rtl/>
        </w:rPr>
        <w:t>&lt;#6#&gt;</w:t>
      </w:r>
    </w:p>
    <w:p w14:paraId="2908F89D" w14:textId="77777777" w:rsidR="00A1112F" w:rsidRDefault="001E1542">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8366637" w14:textId="77777777" w:rsidR="00A1112F" w:rsidRDefault="00A1112F">
      <w:pPr>
        <w:spacing w:line="360" w:lineRule="auto"/>
        <w:jc w:val="both"/>
        <w:rPr>
          <w:rtl/>
        </w:rPr>
      </w:pPr>
    </w:p>
    <w:p w14:paraId="39FC3B40" w14:textId="77777777" w:rsidR="00A1112F" w:rsidRDefault="001E1542">
      <w:pPr>
        <w:spacing w:line="360" w:lineRule="auto"/>
        <w:jc w:val="both"/>
        <w:rPr>
          <w:rtl/>
        </w:rPr>
      </w:pPr>
      <w:r>
        <w:rPr>
          <w:rFonts w:hint="cs"/>
          <w:rtl/>
        </w:rPr>
        <w:t>נקבע לשמיעת הטיעונים לעונש ליום 2.11.11  בשעה 11:30.</w:t>
      </w:r>
    </w:p>
    <w:p w14:paraId="1C79D5FA" w14:textId="77777777" w:rsidR="00A1112F" w:rsidRDefault="001E1542">
      <w:pPr>
        <w:spacing w:line="360" w:lineRule="auto"/>
        <w:jc w:val="both"/>
        <w:rPr>
          <w:rtl/>
        </w:rPr>
      </w:pPr>
      <w:r>
        <w:rPr>
          <w:rtl/>
        </w:rPr>
        <w:br w:type="page"/>
      </w:r>
    </w:p>
    <w:p w14:paraId="0912957D" w14:textId="77777777" w:rsidR="00A1112F" w:rsidRDefault="00A1112F">
      <w:pPr>
        <w:spacing w:line="360" w:lineRule="auto"/>
        <w:jc w:val="both"/>
        <w:rPr>
          <w:rtl/>
        </w:rPr>
      </w:pPr>
    </w:p>
    <w:p w14:paraId="28FDA2B2" w14:textId="77777777" w:rsidR="00A1112F" w:rsidRDefault="001E1542">
      <w:pPr>
        <w:spacing w:line="360" w:lineRule="auto"/>
        <w:jc w:val="both"/>
        <w:rPr>
          <w:rtl/>
        </w:rPr>
      </w:pPr>
      <w:r>
        <w:rPr>
          <w:rFonts w:hint="cs"/>
          <w:rtl/>
        </w:rPr>
        <w:t xml:space="preserve">עד לאותו המועד, יגיש הממונה על עבודות השירות, את חוות דעתו באשר לכשירות הנאשם לריצוי עבודות שירות היה ויוטלו עליו. </w:t>
      </w:r>
    </w:p>
    <w:p w14:paraId="255748AE" w14:textId="77777777" w:rsidR="00A1112F" w:rsidRDefault="00A1112F">
      <w:pPr>
        <w:spacing w:line="360" w:lineRule="auto"/>
        <w:jc w:val="both"/>
        <w:rPr>
          <w:rtl/>
        </w:rPr>
      </w:pPr>
    </w:p>
    <w:p w14:paraId="208BEFAA" w14:textId="77777777" w:rsidR="00A1112F" w:rsidRDefault="001E1542">
      <w:pPr>
        <w:spacing w:line="360" w:lineRule="auto"/>
        <w:jc w:val="both"/>
        <w:rPr>
          <w:rtl/>
        </w:rPr>
      </w:pPr>
      <w:r>
        <w:rPr>
          <w:rFonts w:hint="cs"/>
          <w:rtl/>
        </w:rPr>
        <w:t xml:space="preserve">כתובתו של הנאשם: אבן ספיר, 51, פתח תקווה. </w:t>
      </w:r>
    </w:p>
    <w:p w14:paraId="337605EE" w14:textId="77777777" w:rsidR="00A1112F" w:rsidRDefault="001E1542">
      <w:pPr>
        <w:spacing w:line="360" w:lineRule="auto"/>
        <w:jc w:val="both"/>
        <w:rPr>
          <w:rtl/>
        </w:rPr>
      </w:pPr>
      <w:r>
        <w:rPr>
          <w:rFonts w:hint="cs"/>
          <w:rtl/>
        </w:rPr>
        <w:t>טלפון: 052-2451043.</w:t>
      </w:r>
    </w:p>
    <w:p w14:paraId="51CE45A4" w14:textId="77777777" w:rsidR="00A1112F" w:rsidRDefault="00A1112F">
      <w:pPr>
        <w:spacing w:line="360" w:lineRule="auto"/>
        <w:jc w:val="both"/>
        <w:rPr>
          <w:rtl/>
        </w:rPr>
      </w:pPr>
    </w:p>
    <w:p w14:paraId="715277AC" w14:textId="77777777" w:rsidR="00A1112F" w:rsidRDefault="001E1542">
      <w:pPr>
        <w:spacing w:line="360" w:lineRule="auto"/>
        <w:jc w:val="both"/>
        <w:rPr>
          <w:rtl/>
        </w:rPr>
      </w:pPr>
      <w:r>
        <w:rPr>
          <w:rFonts w:hint="cs"/>
          <w:rtl/>
        </w:rPr>
        <w:t>המזכירות תעביר עותק מכתב האישום ומפרוטוקול הדיון לממונה על עבודות השירות.</w:t>
      </w:r>
    </w:p>
    <w:p w14:paraId="03C5EC30" w14:textId="77777777" w:rsidR="00A1112F" w:rsidRDefault="00A1112F">
      <w:pPr>
        <w:spacing w:line="360" w:lineRule="auto"/>
        <w:jc w:val="both"/>
        <w:rPr>
          <w:rtl/>
        </w:rPr>
      </w:pPr>
    </w:p>
    <w:p w14:paraId="5B0293B9" w14:textId="77777777" w:rsidR="001E1542" w:rsidRPr="001E1542" w:rsidRDefault="001E1542">
      <w:pPr>
        <w:spacing w:line="360" w:lineRule="auto"/>
        <w:jc w:val="both"/>
        <w:rPr>
          <w:color w:val="FFFFFF"/>
          <w:sz w:val="2"/>
          <w:szCs w:val="2"/>
          <w:rtl/>
        </w:rPr>
      </w:pPr>
    </w:p>
    <w:p w14:paraId="0CEA1972" w14:textId="77777777" w:rsidR="001E1542" w:rsidRPr="001E1542" w:rsidRDefault="001E1542">
      <w:pPr>
        <w:spacing w:line="360" w:lineRule="auto"/>
        <w:jc w:val="both"/>
        <w:rPr>
          <w:color w:val="FFFFFF"/>
          <w:sz w:val="2"/>
          <w:szCs w:val="2"/>
          <w:rtl/>
        </w:rPr>
      </w:pPr>
      <w:r w:rsidRPr="001E1542">
        <w:rPr>
          <w:color w:val="FFFFFF"/>
          <w:sz w:val="2"/>
          <w:szCs w:val="2"/>
          <w:rtl/>
        </w:rPr>
        <w:t>5129371</w:t>
      </w:r>
    </w:p>
    <w:p w14:paraId="0BDED9D9" w14:textId="77777777" w:rsidR="001E1542" w:rsidRPr="001E1542" w:rsidRDefault="001E1542" w:rsidP="001E1542">
      <w:pPr>
        <w:keepNext/>
        <w:spacing w:line="360" w:lineRule="auto"/>
        <w:rPr>
          <w:color w:val="000000"/>
          <w:sz w:val="22"/>
          <w:szCs w:val="22"/>
          <w:rtl/>
        </w:rPr>
      </w:pPr>
    </w:p>
    <w:p w14:paraId="7F580C7B" w14:textId="77777777" w:rsidR="001E1542" w:rsidRPr="001E1542" w:rsidRDefault="001E1542" w:rsidP="001E1542">
      <w:pPr>
        <w:keepNext/>
        <w:spacing w:line="360" w:lineRule="auto"/>
        <w:rPr>
          <w:color w:val="000000"/>
          <w:sz w:val="22"/>
          <w:szCs w:val="22"/>
          <w:rtl/>
        </w:rPr>
      </w:pPr>
      <w:r w:rsidRPr="001E1542">
        <w:rPr>
          <w:color w:val="000000"/>
          <w:sz w:val="22"/>
          <w:szCs w:val="22"/>
          <w:rtl/>
        </w:rPr>
        <w:t>דבורה עטר 54678313</w:t>
      </w:r>
    </w:p>
    <w:p w14:paraId="6FE3C2CB" w14:textId="77777777" w:rsidR="00A1112F" w:rsidRDefault="001E1542">
      <w:pPr>
        <w:spacing w:line="360" w:lineRule="auto"/>
        <w:jc w:val="both"/>
        <w:rPr>
          <w:sz w:val="6"/>
          <w:szCs w:val="6"/>
          <w:rtl/>
        </w:rPr>
      </w:pPr>
      <w:r w:rsidRPr="001E1542">
        <w:rPr>
          <w:color w:val="FFFFFF"/>
          <w:sz w:val="2"/>
          <w:szCs w:val="2"/>
          <w:rtl/>
        </w:rPr>
        <w:t>54678313</w:t>
      </w:r>
      <w:r>
        <w:rPr>
          <w:sz w:val="6"/>
          <w:szCs w:val="6"/>
          <w:rtl/>
        </w:rPr>
        <w:t>&lt;#7#&gt;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1112F" w14:paraId="2523A3DC" w14:textId="77777777">
        <w:trPr>
          <w:trHeight w:val="364"/>
          <w:jc w:val="right"/>
        </w:trPr>
        <w:tc>
          <w:tcPr>
            <w:tcW w:w="3708" w:type="dxa"/>
            <w:shd w:val="clear" w:color="auto" w:fill="auto"/>
          </w:tcPr>
          <w:p w14:paraId="0FB4C62F" w14:textId="77777777" w:rsidR="00A1112F" w:rsidRDefault="001E1542" w:rsidP="00216FC3">
            <w:pPr>
              <w:jc w:val="center"/>
              <w:rPr>
                <w:rtl/>
              </w:rPr>
            </w:pPr>
            <w:r w:rsidRPr="00216FC3">
              <w:rPr>
                <w:b/>
                <w:bCs/>
                <w:rtl/>
              </w:rPr>
              <w:t xml:space="preserve">ניתנה והודעה היום כ"ח אלול תשע"א, 27/09/2011 במעמד הנוכחים.  </w:t>
            </w:r>
          </w:p>
        </w:tc>
      </w:tr>
      <w:tr w:rsidR="00A1112F" w14:paraId="5B862543" w14:textId="77777777">
        <w:trPr>
          <w:trHeight w:val="415"/>
          <w:jc w:val="right"/>
        </w:trPr>
        <w:tc>
          <w:tcPr>
            <w:tcW w:w="3708" w:type="dxa"/>
            <w:shd w:val="clear" w:color="auto" w:fill="auto"/>
          </w:tcPr>
          <w:p w14:paraId="6351FDE5" w14:textId="77777777" w:rsidR="00A1112F" w:rsidRPr="00216FC3" w:rsidRDefault="001E1542" w:rsidP="00216FC3">
            <w:pPr>
              <w:jc w:val="center"/>
              <w:rPr>
                <w:b/>
                <w:bCs/>
                <w:rtl/>
              </w:rPr>
            </w:pPr>
            <w:r w:rsidRPr="00216FC3">
              <w:rPr>
                <w:b/>
                <w:bCs/>
                <w:rtl/>
              </w:rPr>
              <w:t>דבורה</w:t>
            </w:r>
            <w:r w:rsidRPr="00216FC3">
              <w:rPr>
                <w:rFonts w:hint="cs"/>
                <w:b/>
                <w:bCs/>
                <w:rtl/>
              </w:rPr>
              <w:t xml:space="preserve"> </w:t>
            </w:r>
            <w:r w:rsidRPr="00216FC3">
              <w:rPr>
                <w:b/>
                <w:bCs/>
                <w:rtl/>
              </w:rPr>
              <w:t>עטר</w:t>
            </w:r>
            <w:r w:rsidRPr="00216FC3">
              <w:rPr>
                <w:rFonts w:hint="cs"/>
                <w:b/>
                <w:bCs/>
                <w:rtl/>
              </w:rPr>
              <w:t xml:space="preserve">, </w:t>
            </w:r>
            <w:r w:rsidRPr="00216FC3">
              <w:rPr>
                <w:b/>
                <w:bCs/>
                <w:rtl/>
              </w:rPr>
              <w:t>שופטת</w:t>
            </w:r>
          </w:p>
        </w:tc>
      </w:tr>
    </w:tbl>
    <w:p w14:paraId="44506AD5" w14:textId="77777777" w:rsidR="00A1112F" w:rsidRDefault="001E1542">
      <w:pPr>
        <w:spacing w:line="360" w:lineRule="auto"/>
        <w:jc w:val="both"/>
        <w:rPr>
          <w:rtl/>
        </w:rPr>
      </w:pPr>
      <w:r>
        <w:rPr>
          <w:rtl/>
        </w:rPr>
        <w:t xml:space="preserve">  </w:t>
      </w:r>
    </w:p>
    <w:p w14:paraId="5C1F5202" w14:textId="77777777" w:rsidR="001E1542" w:rsidRDefault="001E1542" w:rsidP="001E1542">
      <w:r w:rsidRPr="001E1542">
        <w:rPr>
          <w:color w:val="000000"/>
          <w:rtl/>
        </w:rPr>
        <w:t>נוסח מסמך זה כפוף לשינויי ניסוח ועריכה</w:t>
      </w:r>
    </w:p>
    <w:p w14:paraId="3899EE65" w14:textId="77777777" w:rsidR="001E1542" w:rsidRDefault="001E1542" w:rsidP="001E1542">
      <w:pPr>
        <w:rPr>
          <w:rtl/>
        </w:rPr>
      </w:pPr>
    </w:p>
    <w:p w14:paraId="045B601A" w14:textId="77777777" w:rsidR="001E1542" w:rsidRDefault="001E1542" w:rsidP="001E1542">
      <w:pPr>
        <w:jc w:val="center"/>
        <w:rPr>
          <w:color w:val="0000FF"/>
          <w:u w:val="single"/>
        </w:rPr>
      </w:pPr>
      <w:r w:rsidRPr="0036788F">
        <w:rPr>
          <w:color w:val="000000"/>
          <w:rtl/>
        </w:rPr>
        <w:t>בעניין עריכה ושינויים במסמכי פסיקה, חקיקה ועוד באתר נבו – הקש כאן</w:t>
      </w:r>
    </w:p>
    <w:p w14:paraId="40827CE4" w14:textId="77777777" w:rsidR="00A1112F" w:rsidRPr="001E1542" w:rsidRDefault="00A1112F" w:rsidP="001E1542">
      <w:pPr>
        <w:jc w:val="center"/>
        <w:rPr>
          <w:color w:val="0000FF"/>
          <w:u w:val="single"/>
        </w:rPr>
      </w:pPr>
    </w:p>
    <w:sectPr w:rsidR="00A1112F" w:rsidRPr="001E1542" w:rsidSect="001E1542">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9F17B" w14:textId="77777777" w:rsidR="00F751C6" w:rsidRPr="00901664" w:rsidRDefault="00F751C6">
      <w:pPr>
        <w:rPr>
          <w:rFonts w:cs="Arial"/>
          <w:szCs w:val="20"/>
        </w:rPr>
      </w:pPr>
      <w:r>
        <w:separator/>
      </w:r>
    </w:p>
  </w:endnote>
  <w:endnote w:type="continuationSeparator" w:id="0">
    <w:p w14:paraId="25C673C9" w14:textId="77777777" w:rsidR="00F751C6" w:rsidRPr="00901664" w:rsidRDefault="00F751C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8D29A" w14:textId="77777777" w:rsidR="00F751C6" w:rsidRDefault="00F751C6" w:rsidP="001E154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27</w:t>
    </w:r>
    <w:r>
      <w:rPr>
        <w:rFonts w:ascii="FrankRuehl" w:hAnsi="FrankRuehl" w:cs="FrankRuehl"/>
        <w:rtl/>
      </w:rPr>
      <w:fldChar w:fldCharType="end"/>
    </w:r>
  </w:p>
  <w:p w14:paraId="68E452AE" w14:textId="77777777" w:rsidR="00F751C6" w:rsidRPr="001E1542" w:rsidRDefault="00F751C6" w:rsidP="001E1542">
    <w:pPr>
      <w:pStyle w:val="Footer"/>
      <w:pBdr>
        <w:top w:val="single" w:sz="4" w:space="1" w:color="auto"/>
        <w:between w:val="single" w:sz="4" w:space="0" w:color="auto"/>
      </w:pBdr>
      <w:spacing w:after="60"/>
      <w:jc w:val="center"/>
      <w:rPr>
        <w:rFonts w:ascii="FrankRuehl" w:hAnsi="FrankRuehl" w:cs="FrankRuehl"/>
        <w:color w:val="000000"/>
      </w:rPr>
    </w:pPr>
    <w:r w:rsidRPr="001E154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EFD2E" w14:textId="77777777" w:rsidR="00F751C6" w:rsidRDefault="00F751C6" w:rsidP="001E154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67671">
      <w:rPr>
        <w:rFonts w:ascii="FrankRuehl" w:hAnsi="FrankRuehl" w:cs="FrankRuehl"/>
        <w:noProof/>
        <w:rtl/>
      </w:rPr>
      <w:t>1</w:t>
    </w:r>
    <w:r>
      <w:rPr>
        <w:rFonts w:ascii="FrankRuehl" w:hAnsi="FrankRuehl" w:cs="FrankRuehl"/>
        <w:rtl/>
      </w:rPr>
      <w:fldChar w:fldCharType="end"/>
    </w:r>
  </w:p>
  <w:p w14:paraId="1173A71B" w14:textId="77777777" w:rsidR="00F751C6" w:rsidRPr="001E1542" w:rsidRDefault="00F751C6" w:rsidP="001E1542">
    <w:pPr>
      <w:pStyle w:val="Footer"/>
      <w:pBdr>
        <w:top w:val="single" w:sz="4" w:space="1" w:color="auto"/>
        <w:between w:val="single" w:sz="4" w:space="0" w:color="auto"/>
      </w:pBdr>
      <w:spacing w:after="60"/>
      <w:jc w:val="center"/>
      <w:rPr>
        <w:rFonts w:ascii="FrankRuehl" w:hAnsi="FrankRuehl" w:cs="FrankRuehl"/>
        <w:color w:val="000000"/>
      </w:rPr>
    </w:pPr>
    <w:r w:rsidRPr="001E1542">
      <w:rPr>
        <w:rFonts w:ascii="FrankRuehl" w:hAnsi="FrankRuehl" w:cs="FrankRuehl"/>
        <w:color w:val="000000"/>
      </w:rPr>
      <w:pict w14:anchorId="29C2C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E208D" w14:textId="77777777" w:rsidR="00F751C6" w:rsidRPr="00901664" w:rsidRDefault="00F751C6">
      <w:pPr>
        <w:rPr>
          <w:rFonts w:cs="Arial"/>
          <w:szCs w:val="20"/>
        </w:rPr>
      </w:pPr>
      <w:r>
        <w:separator/>
      </w:r>
    </w:p>
  </w:footnote>
  <w:footnote w:type="continuationSeparator" w:id="0">
    <w:p w14:paraId="708292F4" w14:textId="77777777" w:rsidR="00F751C6" w:rsidRPr="00901664" w:rsidRDefault="00F751C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3BB98" w14:textId="77777777" w:rsidR="00F751C6" w:rsidRPr="001E1542" w:rsidRDefault="00F751C6" w:rsidP="001E1542">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8652-01-09</w:t>
    </w:r>
    <w:r>
      <w:rPr>
        <w:color w:val="000000"/>
        <w:sz w:val="22"/>
        <w:szCs w:val="22"/>
        <w:rtl/>
      </w:rPr>
      <w:tab/>
      <w:t xml:space="preserve"> מדינת ישראל נ' יאשה מנייב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360" w14:textId="77777777" w:rsidR="00F751C6" w:rsidRPr="001E1542" w:rsidRDefault="00F751C6" w:rsidP="001E1542">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8652-01-09</w:t>
    </w:r>
    <w:r>
      <w:rPr>
        <w:color w:val="000000"/>
        <w:sz w:val="22"/>
        <w:szCs w:val="22"/>
        <w:rtl/>
      </w:rPr>
      <w:tab/>
      <w:t xml:space="preserve"> מדינת ישראל נ' יאשה מנייב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D18E8"/>
    <w:multiLevelType w:val="hybridMultilevel"/>
    <w:tmpl w:val="ACB067B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795411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112F"/>
    <w:rsid w:val="00006F83"/>
    <w:rsid w:val="00062EC9"/>
    <w:rsid w:val="001316CD"/>
    <w:rsid w:val="001E1542"/>
    <w:rsid w:val="00216FC3"/>
    <w:rsid w:val="002541FF"/>
    <w:rsid w:val="00335B98"/>
    <w:rsid w:val="0036788F"/>
    <w:rsid w:val="005B317F"/>
    <w:rsid w:val="007379DA"/>
    <w:rsid w:val="00784532"/>
    <w:rsid w:val="008519BF"/>
    <w:rsid w:val="00A1112F"/>
    <w:rsid w:val="00B67671"/>
    <w:rsid w:val="00E43DED"/>
    <w:rsid w:val="00F751C6"/>
    <w:rsid w:val="00FD59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0EA0D19"/>
  <w15:chartTrackingRefBased/>
  <w15:docId w15:val="{4CAA48F1-955F-4DFC-94D2-941D3D5F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12F"/>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rsid w:val="00A1112F"/>
  </w:style>
  <w:style w:type="paragraph" w:styleId="Header">
    <w:name w:val="header"/>
    <w:basedOn w:val="Normal"/>
    <w:rsid w:val="00A1112F"/>
    <w:pPr>
      <w:tabs>
        <w:tab w:val="center" w:pos="4153"/>
        <w:tab w:val="right" w:pos="8306"/>
      </w:tabs>
    </w:pPr>
  </w:style>
  <w:style w:type="paragraph" w:styleId="Footer">
    <w:name w:val="footer"/>
    <w:basedOn w:val="Normal"/>
    <w:rsid w:val="00A1112F"/>
    <w:pPr>
      <w:tabs>
        <w:tab w:val="center" w:pos="4153"/>
        <w:tab w:val="right" w:pos="8306"/>
      </w:tabs>
    </w:pPr>
  </w:style>
  <w:style w:type="table" w:styleId="TableGrid">
    <w:name w:val="Table Grid"/>
    <w:basedOn w:val="TableNormal"/>
    <w:rsid w:val="00A1112F"/>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112F"/>
  </w:style>
  <w:style w:type="character" w:customStyle="1" w:styleId="TimesNewRomanTimesNewRoman">
    <w:name w:val="סגנון (לטיני) Times New Roman (עברית ושפות אחרות) Times New Roman..."/>
    <w:rsid w:val="00A1112F"/>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Normal"/>
    <w:rsid w:val="00A1112F"/>
    <w:rPr>
      <w:rFonts w:ascii="Times New Roman" w:eastAsia="Times New Roman" w:hAnsi="Times New Roman"/>
      <w:b/>
      <w:bCs/>
      <w:u w:val="single"/>
    </w:rPr>
  </w:style>
  <w:style w:type="character" w:customStyle="1" w:styleId="normal-h">
    <w:name w:val="normal-h"/>
    <w:basedOn w:val="DefaultParagraphFont"/>
    <w:rsid w:val="00A1112F"/>
  </w:style>
  <w:style w:type="character" w:styleId="Hyperlink">
    <w:name w:val="Hyperlink"/>
    <w:rsid w:val="001E15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 TargetMode="External"/><Relationship Id="rId13" Type="http://schemas.openxmlformats.org/officeDocument/2006/relationships/hyperlink" Target="http://www.nevo.co.il/case/17920761"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case/17938169"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67038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8" TargetMode="External"/><Relationship Id="rId14" Type="http://schemas.openxmlformats.org/officeDocument/2006/relationships/hyperlink" Target="http://www.nevo.co.il/case/587331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1112</Words>
  <Characters>6343</Characters>
  <Application>Microsoft Office Word</Application>
  <DocSecurity>0</DocSecurity>
  <Lines>52</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7441</CharactersWithSpaces>
  <SharedDoc>false</SharedDoc>
  <HLinks>
    <vt:vector size="48" baseType="variant">
      <vt:variant>
        <vt:i4>3670142</vt:i4>
      </vt:variant>
      <vt:variant>
        <vt:i4>21</vt:i4>
      </vt:variant>
      <vt:variant>
        <vt:i4>0</vt:i4>
      </vt:variant>
      <vt:variant>
        <vt:i4>5</vt:i4>
      </vt:variant>
      <vt:variant>
        <vt:lpwstr>http://www.nevo.co.il/case/5873319</vt:lpwstr>
      </vt:variant>
      <vt:variant>
        <vt:lpwstr/>
      </vt:variant>
      <vt:variant>
        <vt:i4>4063350</vt:i4>
      </vt:variant>
      <vt:variant>
        <vt:i4>18</vt:i4>
      </vt:variant>
      <vt:variant>
        <vt:i4>0</vt:i4>
      </vt:variant>
      <vt:variant>
        <vt:i4>5</vt:i4>
      </vt:variant>
      <vt:variant>
        <vt:lpwstr>http://www.nevo.co.il/case/17920761</vt:lpwstr>
      </vt:variant>
      <vt:variant>
        <vt:lpwstr/>
      </vt:variant>
      <vt:variant>
        <vt:i4>3539057</vt:i4>
      </vt:variant>
      <vt:variant>
        <vt:i4>15</vt:i4>
      </vt:variant>
      <vt:variant>
        <vt:i4>0</vt:i4>
      </vt:variant>
      <vt:variant>
        <vt:i4>5</vt:i4>
      </vt:variant>
      <vt:variant>
        <vt:lpwstr>http://www.nevo.co.il/case/17938169</vt:lpwstr>
      </vt:variant>
      <vt:variant>
        <vt:lpwstr/>
      </vt:variant>
      <vt:variant>
        <vt:i4>3342458</vt:i4>
      </vt:variant>
      <vt:variant>
        <vt:i4>12</vt:i4>
      </vt:variant>
      <vt:variant>
        <vt:i4>0</vt:i4>
      </vt:variant>
      <vt:variant>
        <vt:i4>5</vt:i4>
      </vt:variant>
      <vt:variant>
        <vt:lpwstr>http://www.nevo.co.il/case/5670382</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6357094</vt:i4>
      </vt:variant>
      <vt:variant>
        <vt:i4>6</vt:i4>
      </vt:variant>
      <vt:variant>
        <vt:i4>0</vt:i4>
      </vt:variant>
      <vt:variant>
        <vt:i4>5</vt:i4>
      </vt:variant>
      <vt:variant>
        <vt:lpwstr>http://www.nevo.co.il/law/70301/348</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2022-05-24T10:35:00Z</dcterms:created>
  <dcterms:modified xsi:type="dcterms:W3CDTF">2022-05-24T10:35:00Z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8652</vt:lpwstr>
  </property>
  <property fmtid="{D5CDD505-2E9C-101B-9397-08002B2CF9AE}" pid="6" name="NEWPARTB">
    <vt:lpwstr>01</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יאשה מנייב</vt:lpwstr>
  </property>
  <property fmtid="{D5CDD505-2E9C-101B-9397-08002B2CF9AE}" pid="10" name="LAWYER">
    <vt:lpwstr>עליזה שירן;גיא גור</vt:lpwstr>
  </property>
  <property fmtid="{D5CDD505-2E9C-101B-9397-08002B2CF9AE}" pid="11" name="JUDGE">
    <vt:lpwstr>דבורה עטר</vt:lpwstr>
  </property>
  <property fmtid="{D5CDD505-2E9C-101B-9397-08002B2CF9AE}" pid="12" name="CITY">
    <vt:lpwstr>פ"ת</vt:lpwstr>
  </property>
  <property fmtid="{D5CDD505-2E9C-101B-9397-08002B2CF9AE}" pid="13" name="DATE">
    <vt:lpwstr>20110927</vt:lpwstr>
  </property>
  <property fmtid="{D5CDD505-2E9C-101B-9397-08002B2CF9AE}" pid="14" name="TYPE_N_DATE">
    <vt:lpwstr>38020110927</vt:lpwstr>
  </property>
  <property fmtid="{D5CDD505-2E9C-101B-9397-08002B2CF9AE}" pid="15" name="WORDNUMPAGES">
    <vt:lpwstr>6</vt:lpwstr>
  </property>
  <property fmtid="{D5CDD505-2E9C-101B-9397-08002B2CF9AE}" pid="16" name="TYPE_ABS_DATE">
    <vt:lpwstr>380020110927</vt:lpwstr>
  </property>
  <property fmtid="{D5CDD505-2E9C-101B-9397-08002B2CF9AE}" pid="17" name="ISABSTRACT">
    <vt:lpwstr>Y</vt:lpwstr>
  </property>
  <property fmtid="{D5CDD505-2E9C-101B-9397-08002B2CF9AE}" pid="18" name="CASESLISTTMP1">
    <vt:lpwstr>5670382;17938169;17920761;5873319</vt:lpwstr>
  </property>
  <property fmtid="{D5CDD505-2E9C-101B-9397-08002B2CF9AE}" pid="19" name="CASENOTES1">
    <vt:lpwstr>ProcID=147&amp;PartA=8152&amp;PartC=10</vt:lpwstr>
  </property>
  <property fmtid="{D5CDD505-2E9C-101B-9397-08002B2CF9AE}" pid="20" name="CASENOTES2">
    <vt:lpwstr>ProcID=147&amp;PartA=85220&amp;PartC=11</vt:lpwstr>
  </property>
  <property fmtid="{D5CDD505-2E9C-101B-9397-08002B2CF9AE}" pid="21" name="LAWLISTTMP1">
    <vt:lpwstr>70301/348</vt:lpwstr>
  </property>
</Properties>
</file>