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9A0D33" w:rsidRPr="000F10AB" w14:paraId="692C68DD" w14:textId="77777777">
        <w:trPr>
          <w:trHeight w:hRule="exact" w:val="418"/>
          <w:jc w:val="center"/>
        </w:trPr>
        <w:tc>
          <w:tcPr>
            <w:tcW w:w="8720" w:type="dxa"/>
            <w:gridSpan w:val="3"/>
          </w:tcPr>
          <w:p w14:paraId="1D47DE6B" w14:textId="77777777" w:rsidR="009A0D33" w:rsidRPr="000F10AB" w:rsidRDefault="000F10AB">
            <w:pPr>
              <w:pStyle w:val="Header"/>
              <w:tabs>
                <w:tab w:val="clear" w:pos="8306"/>
              </w:tabs>
              <w:jc w:val="center"/>
              <w:rPr>
                <w:rFonts w:ascii="Tahoma" w:hAnsi="Tahoma" w:cs="Tahoma"/>
                <w:b/>
                <w:bCs/>
                <w:color w:val="000080"/>
                <w:sz w:val="20"/>
                <w:szCs w:val="20"/>
                <w:rtl/>
              </w:rPr>
            </w:pPr>
            <w:bookmarkStart w:id="0" w:name="LastJudge"/>
            <w:r w:rsidRPr="000F10AB">
              <w:rPr>
                <w:rFonts w:ascii="Tahoma" w:hAnsi="Tahoma" w:cs="Tahoma"/>
                <w:b/>
                <w:bCs/>
                <w:color w:val="000080"/>
                <w:sz w:val="20"/>
                <w:szCs w:val="20"/>
                <w:rtl/>
              </w:rPr>
              <w:t>בית משפט השלום בנצרת</w:t>
            </w:r>
          </w:p>
        </w:tc>
      </w:tr>
      <w:tr w:rsidR="009A0D33" w:rsidRPr="000F10AB" w14:paraId="696B9975" w14:textId="77777777">
        <w:trPr>
          <w:trHeight w:val="337"/>
          <w:jc w:val="center"/>
        </w:trPr>
        <w:tc>
          <w:tcPr>
            <w:tcW w:w="3973" w:type="dxa"/>
          </w:tcPr>
          <w:p w14:paraId="67BFD6C0" w14:textId="77777777" w:rsidR="009A0D33" w:rsidRPr="000F10AB" w:rsidRDefault="000F10AB">
            <w:pPr>
              <w:rPr>
                <w:b/>
                <w:bCs/>
                <w:sz w:val="26"/>
                <w:szCs w:val="26"/>
                <w:rtl/>
              </w:rPr>
            </w:pPr>
            <w:r w:rsidRPr="000F10AB">
              <w:rPr>
                <w:b/>
                <w:bCs/>
                <w:sz w:val="26"/>
                <w:szCs w:val="26"/>
                <w:rtl/>
              </w:rPr>
              <w:t>ת"פ</w:t>
            </w:r>
            <w:r w:rsidRPr="000F10AB">
              <w:rPr>
                <w:rFonts w:hint="cs"/>
                <w:b/>
                <w:bCs/>
                <w:sz w:val="26"/>
                <w:szCs w:val="26"/>
                <w:rtl/>
              </w:rPr>
              <w:t xml:space="preserve"> </w:t>
            </w:r>
            <w:r w:rsidRPr="000F10AB">
              <w:rPr>
                <w:b/>
                <w:bCs/>
                <w:sz w:val="26"/>
                <w:szCs w:val="26"/>
                <w:rtl/>
              </w:rPr>
              <w:t>20485-09-09</w:t>
            </w:r>
            <w:r w:rsidRPr="000F10AB">
              <w:rPr>
                <w:rFonts w:hint="cs"/>
                <w:b/>
                <w:bCs/>
                <w:sz w:val="26"/>
                <w:szCs w:val="26"/>
                <w:rtl/>
              </w:rPr>
              <w:t xml:space="preserve"> </w:t>
            </w:r>
            <w:r w:rsidRPr="000F10AB">
              <w:rPr>
                <w:b/>
                <w:bCs/>
                <w:sz w:val="26"/>
                <w:szCs w:val="26"/>
                <w:rtl/>
              </w:rPr>
              <w:t>מדינת ישראל נ' פריחי</w:t>
            </w:r>
          </w:p>
        </w:tc>
        <w:tc>
          <w:tcPr>
            <w:tcW w:w="1068" w:type="dxa"/>
          </w:tcPr>
          <w:p w14:paraId="459E763E" w14:textId="77777777" w:rsidR="009A0D33" w:rsidRPr="000F10AB" w:rsidRDefault="009A0D33">
            <w:pPr>
              <w:pStyle w:val="Header"/>
              <w:jc w:val="right"/>
              <w:rPr>
                <w:b/>
                <w:bCs/>
                <w:sz w:val="26"/>
                <w:szCs w:val="26"/>
                <w:rtl/>
              </w:rPr>
            </w:pPr>
          </w:p>
        </w:tc>
        <w:tc>
          <w:tcPr>
            <w:tcW w:w="3679" w:type="dxa"/>
          </w:tcPr>
          <w:p w14:paraId="6B2AF0FA" w14:textId="77777777" w:rsidR="009A0D33" w:rsidRPr="000F10AB" w:rsidRDefault="000F10AB">
            <w:pPr>
              <w:pStyle w:val="Header"/>
              <w:tabs>
                <w:tab w:val="clear" w:pos="4153"/>
              </w:tabs>
              <w:jc w:val="right"/>
              <w:rPr>
                <w:b/>
                <w:bCs/>
                <w:sz w:val="26"/>
                <w:szCs w:val="26"/>
                <w:rtl/>
              </w:rPr>
            </w:pPr>
            <w:r w:rsidRPr="000F10AB">
              <w:rPr>
                <w:b/>
                <w:bCs/>
                <w:sz w:val="26"/>
                <w:szCs w:val="26"/>
                <w:rtl/>
              </w:rPr>
              <w:t>05 ינואר 2011</w:t>
            </w:r>
          </w:p>
        </w:tc>
      </w:tr>
    </w:tbl>
    <w:p w14:paraId="5FEB1A68" w14:textId="77777777" w:rsidR="009A0D33" w:rsidRPr="000F10AB" w:rsidRDefault="009A0D3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9A0D33" w:rsidRPr="000F10AB" w14:paraId="794E4DCB" w14:textId="77777777">
        <w:trPr>
          <w:gridAfter w:val="1"/>
          <w:wAfter w:w="55" w:type="dxa"/>
        </w:trPr>
        <w:tc>
          <w:tcPr>
            <w:tcW w:w="8719" w:type="dxa"/>
            <w:gridSpan w:val="2"/>
            <w:shd w:val="clear" w:color="auto" w:fill="auto"/>
          </w:tcPr>
          <w:p w14:paraId="5961001D" w14:textId="77777777" w:rsidR="009A0D33" w:rsidRPr="00FF33B8" w:rsidRDefault="000F10AB" w:rsidP="00FF33B8">
            <w:pPr>
              <w:spacing w:line="360" w:lineRule="auto"/>
              <w:jc w:val="both"/>
              <w:rPr>
                <w:b/>
                <w:bCs/>
                <w:sz w:val="26"/>
                <w:szCs w:val="26"/>
                <w:rtl/>
              </w:rPr>
            </w:pPr>
            <w:r w:rsidRPr="00FF33B8">
              <w:rPr>
                <w:rFonts w:hint="cs"/>
                <w:b/>
                <w:bCs/>
                <w:sz w:val="26"/>
                <w:szCs w:val="26"/>
                <w:rtl/>
              </w:rPr>
              <w:t>בפני כב' ה</w:t>
            </w:r>
            <w:r w:rsidRPr="00FF33B8">
              <w:rPr>
                <w:b/>
                <w:bCs/>
                <w:sz w:val="26"/>
                <w:szCs w:val="26"/>
                <w:rtl/>
              </w:rPr>
              <w:t>שופט דורון פורת</w:t>
            </w:r>
            <w:r w:rsidRPr="000F10AB">
              <w:rPr>
                <w:rStyle w:val="TimesNewRomanTimesNewRoman"/>
                <w:rtl/>
              </w:rPr>
              <w:t xml:space="preserve"> </w:t>
            </w:r>
          </w:p>
        </w:tc>
      </w:tr>
      <w:tr w:rsidR="009A0D33" w:rsidRPr="000F10AB" w14:paraId="1563F847" w14:textId="77777777">
        <w:tc>
          <w:tcPr>
            <w:tcW w:w="2880" w:type="dxa"/>
            <w:shd w:val="clear" w:color="auto" w:fill="auto"/>
          </w:tcPr>
          <w:p w14:paraId="4C0B6F37" w14:textId="77777777" w:rsidR="009A0D33" w:rsidRPr="00FF33B8" w:rsidRDefault="000F10AB" w:rsidP="00FF33B8">
            <w:pPr>
              <w:ind w:left="26"/>
              <w:rPr>
                <w:b/>
                <w:bCs/>
                <w:sz w:val="26"/>
                <w:szCs w:val="26"/>
                <w:rtl/>
              </w:rPr>
            </w:pPr>
            <w:bookmarkStart w:id="1" w:name="FirstAppellant"/>
            <w:r w:rsidRPr="00FF33B8">
              <w:rPr>
                <w:rFonts w:hint="cs"/>
                <w:b/>
                <w:bCs/>
                <w:sz w:val="26"/>
                <w:szCs w:val="26"/>
                <w:rtl/>
              </w:rPr>
              <w:t>ה</w:t>
            </w:r>
            <w:r w:rsidRPr="00FF33B8">
              <w:rPr>
                <w:b/>
                <w:bCs/>
                <w:sz w:val="26"/>
                <w:szCs w:val="26"/>
                <w:rtl/>
              </w:rPr>
              <w:t>מאשימה</w:t>
            </w:r>
          </w:p>
        </w:tc>
        <w:tc>
          <w:tcPr>
            <w:tcW w:w="5922" w:type="dxa"/>
            <w:gridSpan w:val="2"/>
            <w:shd w:val="clear" w:color="auto" w:fill="auto"/>
          </w:tcPr>
          <w:p w14:paraId="6DB65E3B" w14:textId="77777777" w:rsidR="009A0D33" w:rsidRPr="00FF33B8" w:rsidRDefault="000F10AB">
            <w:pPr>
              <w:rPr>
                <w:b/>
                <w:bCs/>
                <w:sz w:val="26"/>
                <w:szCs w:val="26"/>
                <w:rtl/>
              </w:rPr>
            </w:pPr>
            <w:r w:rsidRPr="00FF33B8">
              <w:rPr>
                <w:rFonts w:hint="cs"/>
                <w:b/>
                <w:bCs/>
                <w:sz w:val="26"/>
                <w:szCs w:val="26"/>
                <w:rtl/>
              </w:rPr>
              <w:t xml:space="preserve"> </w:t>
            </w:r>
            <w:r w:rsidRPr="00FF33B8">
              <w:rPr>
                <w:b/>
                <w:bCs/>
                <w:sz w:val="26"/>
                <w:szCs w:val="26"/>
                <w:rtl/>
              </w:rPr>
              <w:t>מדינת ישראל</w:t>
            </w:r>
            <w:r w:rsidRPr="00FF33B8">
              <w:rPr>
                <w:rFonts w:hint="cs"/>
                <w:b/>
                <w:bCs/>
                <w:sz w:val="26"/>
                <w:szCs w:val="26"/>
                <w:rtl/>
              </w:rPr>
              <w:t xml:space="preserve"> </w:t>
            </w:r>
            <w:r w:rsidRPr="00FF33B8">
              <w:rPr>
                <w:b/>
                <w:bCs/>
                <w:sz w:val="26"/>
                <w:szCs w:val="26"/>
                <w:rtl/>
              </w:rPr>
              <w:t>–</w:t>
            </w:r>
            <w:r w:rsidRPr="00FF33B8">
              <w:rPr>
                <w:rFonts w:hint="cs"/>
                <w:b/>
                <w:bCs/>
                <w:sz w:val="26"/>
                <w:szCs w:val="26"/>
                <w:rtl/>
              </w:rPr>
              <w:t xml:space="preserve"> פמ"צ</w:t>
            </w:r>
          </w:p>
          <w:p w14:paraId="0849E1B1" w14:textId="77777777" w:rsidR="009A0D33" w:rsidRPr="00FF33B8" w:rsidRDefault="009A0D33">
            <w:pPr>
              <w:rPr>
                <w:b/>
                <w:bCs/>
                <w:sz w:val="26"/>
                <w:szCs w:val="26"/>
                <w:rtl/>
              </w:rPr>
            </w:pPr>
          </w:p>
        </w:tc>
      </w:tr>
      <w:bookmarkEnd w:id="1"/>
      <w:tr w:rsidR="009A0D33" w:rsidRPr="000F10AB" w14:paraId="382BAB8B" w14:textId="77777777">
        <w:tc>
          <w:tcPr>
            <w:tcW w:w="8802" w:type="dxa"/>
            <w:gridSpan w:val="3"/>
            <w:shd w:val="clear" w:color="auto" w:fill="auto"/>
          </w:tcPr>
          <w:p w14:paraId="37387F61" w14:textId="77777777" w:rsidR="009A0D33" w:rsidRPr="00FF33B8" w:rsidRDefault="009A0D33" w:rsidP="00FF33B8">
            <w:pPr>
              <w:jc w:val="both"/>
              <w:rPr>
                <w:rFonts w:ascii="Arial" w:hAnsi="Arial"/>
                <w:b/>
                <w:bCs/>
                <w:sz w:val="26"/>
                <w:szCs w:val="26"/>
                <w:rtl/>
              </w:rPr>
            </w:pPr>
          </w:p>
          <w:p w14:paraId="0D7B7FF0" w14:textId="77777777" w:rsidR="009A0D33" w:rsidRPr="00FF33B8" w:rsidRDefault="000F10AB" w:rsidP="00FF33B8">
            <w:pPr>
              <w:jc w:val="center"/>
              <w:rPr>
                <w:rFonts w:ascii="Arial" w:hAnsi="Arial"/>
                <w:b/>
                <w:bCs/>
                <w:sz w:val="26"/>
                <w:szCs w:val="26"/>
                <w:rtl/>
              </w:rPr>
            </w:pPr>
            <w:r w:rsidRPr="00FF33B8">
              <w:rPr>
                <w:rFonts w:ascii="Arial" w:hAnsi="Arial"/>
                <w:b/>
                <w:bCs/>
                <w:sz w:val="26"/>
                <w:szCs w:val="26"/>
                <w:rtl/>
              </w:rPr>
              <w:t>נגד</w:t>
            </w:r>
          </w:p>
          <w:p w14:paraId="55E7C98B" w14:textId="77777777" w:rsidR="009A0D33" w:rsidRPr="00FF33B8" w:rsidRDefault="009A0D33" w:rsidP="00FF33B8">
            <w:pPr>
              <w:jc w:val="center"/>
              <w:rPr>
                <w:rFonts w:ascii="Arial" w:hAnsi="Arial"/>
                <w:b/>
                <w:bCs/>
                <w:sz w:val="26"/>
                <w:szCs w:val="26"/>
              </w:rPr>
            </w:pPr>
          </w:p>
        </w:tc>
      </w:tr>
      <w:tr w:rsidR="009A0D33" w:rsidRPr="000F10AB" w14:paraId="0594B368" w14:textId="77777777">
        <w:tc>
          <w:tcPr>
            <w:tcW w:w="2880" w:type="dxa"/>
            <w:shd w:val="clear" w:color="auto" w:fill="auto"/>
          </w:tcPr>
          <w:p w14:paraId="7E60C95C" w14:textId="77777777" w:rsidR="009A0D33" w:rsidRPr="00FF33B8" w:rsidRDefault="000F10AB" w:rsidP="00FF33B8">
            <w:pPr>
              <w:ind w:left="26"/>
              <w:rPr>
                <w:b/>
                <w:bCs/>
                <w:sz w:val="26"/>
                <w:szCs w:val="26"/>
                <w:rtl/>
              </w:rPr>
            </w:pPr>
            <w:r w:rsidRPr="00FF33B8">
              <w:rPr>
                <w:rFonts w:hint="cs"/>
                <w:b/>
                <w:bCs/>
                <w:sz w:val="26"/>
                <w:szCs w:val="26"/>
                <w:rtl/>
              </w:rPr>
              <w:t>ה</w:t>
            </w:r>
            <w:r w:rsidRPr="00FF33B8">
              <w:rPr>
                <w:b/>
                <w:bCs/>
                <w:sz w:val="26"/>
                <w:szCs w:val="26"/>
                <w:rtl/>
              </w:rPr>
              <w:t>נאשם</w:t>
            </w:r>
          </w:p>
        </w:tc>
        <w:tc>
          <w:tcPr>
            <w:tcW w:w="5922" w:type="dxa"/>
            <w:gridSpan w:val="2"/>
            <w:shd w:val="clear" w:color="auto" w:fill="auto"/>
          </w:tcPr>
          <w:p w14:paraId="6219D4C4" w14:textId="77777777" w:rsidR="009A0D33" w:rsidRPr="00FF33B8" w:rsidRDefault="000F10AB">
            <w:pPr>
              <w:rPr>
                <w:b/>
                <w:bCs/>
                <w:sz w:val="26"/>
                <w:szCs w:val="26"/>
                <w:rtl/>
              </w:rPr>
            </w:pPr>
            <w:r w:rsidRPr="00FF33B8">
              <w:rPr>
                <w:b/>
                <w:bCs/>
                <w:sz w:val="26"/>
                <w:szCs w:val="26"/>
                <w:rtl/>
              </w:rPr>
              <w:t>עומר פריחי</w:t>
            </w:r>
          </w:p>
          <w:p w14:paraId="14045745" w14:textId="77777777" w:rsidR="009A0D33" w:rsidRPr="00FF33B8" w:rsidRDefault="009A0D33">
            <w:pPr>
              <w:rPr>
                <w:b/>
                <w:bCs/>
                <w:sz w:val="26"/>
                <w:szCs w:val="26"/>
                <w:rtl/>
              </w:rPr>
            </w:pPr>
          </w:p>
        </w:tc>
      </w:tr>
    </w:tbl>
    <w:p w14:paraId="34B35F3E" w14:textId="77777777" w:rsidR="009A0D33" w:rsidRPr="000F10AB" w:rsidRDefault="000F10AB">
      <w:pPr>
        <w:spacing w:line="360" w:lineRule="auto"/>
        <w:jc w:val="both"/>
        <w:rPr>
          <w:sz w:val="6"/>
          <w:szCs w:val="6"/>
          <w:rtl/>
        </w:rPr>
      </w:pPr>
      <w:r w:rsidRPr="000F10AB">
        <w:rPr>
          <w:sz w:val="6"/>
          <w:szCs w:val="6"/>
          <w:rtl/>
        </w:rPr>
        <w:t>&lt;#2#&gt;</w:t>
      </w:r>
    </w:p>
    <w:p w14:paraId="6059ABC8" w14:textId="77777777" w:rsidR="009A0D33" w:rsidRPr="000F10AB" w:rsidRDefault="000F10AB">
      <w:pPr>
        <w:pStyle w:val="12"/>
        <w:rPr>
          <w:u w:val="none"/>
          <w:rtl/>
        </w:rPr>
      </w:pPr>
      <w:r w:rsidRPr="000F10AB">
        <w:rPr>
          <w:rFonts w:hint="cs"/>
          <w:u w:val="none"/>
          <w:rtl/>
        </w:rPr>
        <w:t>נוכחים:</w:t>
      </w:r>
    </w:p>
    <w:p w14:paraId="6B2004D3" w14:textId="77777777" w:rsidR="009A0D33" w:rsidRPr="000F10AB" w:rsidRDefault="000F10AB">
      <w:pPr>
        <w:pStyle w:val="12"/>
        <w:rPr>
          <w:b w:val="0"/>
          <w:bCs w:val="0"/>
          <w:u w:val="none"/>
          <w:rtl/>
        </w:rPr>
      </w:pPr>
      <w:r w:rsidRPr="000F10AB">
        <w:rPr>
          <w:rFonts w:hint="cs"/>
          <w:b w:val="0"/>
          <w:bCs w:val="0"/>
          <w:u w:val="none"/>
          <w:rtl/>
        </w:rPr>
        <w:t xml:space="preserve">מטעם המאשימה  </w:t>
      </w:r>
      <w:r w:rsidRPr="000F10AB">
        <w:rPr>
          <w:b w:val="0"/>
          <w:bCs w:val="0"/>
          <w:u w:val="none"/>
          <w:rtl/>
        </w:rPr>
        <w:t>–</w:t>
      </w:r>
      <w:r w:rsidRPr="000F10AB">
        <w:rPr>
          <w:rFonts w:hint="cs"/>
          <w:b w:val="0"/>
          <w:bCs w:val="0"/>
          <w:u w:val="none"/>
          <w:rtl/>
        </w:rPr>
        <w:t xml:space="preserve"> המתמחה שגיא בוסנינו </w:t>
      </w:r>
    </w:p>
    <w:p w14:paraId="46660571" w14:textId="77777777" w:rsidR="00A351D6" w:rsidRDefault="000F10AB">
      <w:pPr>
        <w:pStyle w:val="12"/>
        <w:rPr>
          <w:b w:val="0"/>
          <w:bCs w:val="0"/>
          <w:u w:val="none"/>
          <w:rtl/>
        </w:rPr>
      </w:pPr>
      <w:r w:rsidRPr="000F10AB">
        <w:rPr>
          <w:rFonts w:hint="cs"/>
          <w:b w:val="0"/>
          <w:bCs w:val="0"/>
          <w:u w:val="none"/>
          <w:rtl/>
        </w:rPr>
        <w:t>הנאשם בעצמו ו</w:t>
      </w:r>
      <w:bookmarkStart w:id="2" w:name="FirstLawyer"/>
      <w:r w:rsidRPr="000F10AB">
        <w:rPr>
          <w:rFonts w:hint="cs"/>
          <w:b w:val="0"/>
          <w:bCs w:val="0"/>
          <w:u w:val="none"/>
          <w:rtl/>
        </w:rPr>
        <w:t>ב"כ</w:t>
      </w:r>
      <w:bookmarkEnd w:id="2"/>
      <w:r w:rsidRPr="000F10AB">
        <w:rPr>
          <w:rFonts w:hint="cs"/>
          <w:b w:val="0"/>
          <w:bCs w:val="0"/>
          <w:u w:val="none"/>
          <w:rtl/>
        </w:rPr>
        <w:t xml:space="preserve"> עו"ד </w:t>
      </w:r>
      <w:r w:rsidRPr="000F10AB">
        <w:rPr>
          <w:b w:val="0"/>
          <w:bCs w:val="0"/>
          <w:u w:val="none"/>
          <w:rtl/>
        </w:rPr>
        <w:t>שלמה</w:t>
      </w:r>
      <w:r w:rsidRPr="000F10AB">
        <w:rPr>
          <w:rFonts w:hint="cs"/>
          <w:b w:val="0"/>
          <w:bCs w:val="0"/>
          <w:u w:val="none"/>
          <w:rtl/>
        </w:rPr>
        <w:t xml:space="preserve"> </w:t>
      </w:r>
      <w:r w:rsidRPr="000F10AB">
        <w:rPr>
          <w:b w:val="0"/>
          <w:bCs w:val="0"/>
          <w:u w:val="none"/>
          <w:rtl/>
        </w:rPr>
        <w:t>אלכביר</w:t>
      </w:r>
      <w:r w:rsidRPr="000F10AB">
        <w:rPr>
          <w:rFonts w:hint="cs"/>
          <w:b w:val="0"/>
          <w:bCs w:val="0"/>
          <w:u w:val="none"/>
          <w:rtl/>
        </w:rPr>
        <w:t xml:space="preserve">  </w:t>
      </w:r>
      <w:bookmarkStart w:id="3" w:name="LawTable"/>
      <w:bookmarkEnd w:id="3"/>
    </w:p>
    <w:p w14:paraId="52EBA461" w14:textId="77777777" w:rsidR="00A351D6" w:rsidRPr="00A351D6" w:rsidRDefault="00A351D6" w:rsidP="00A351D6">
      <w:pPr>
        <w:pStyle w:val="12"/>
        <w:spacing w:after="120" w:line="240" w:lineRule="exact"/>
        <w:ind w:left="283" w:hanging="283"/>
        <w:jc w:val="both"/>
        <w:rPr>
          <w:rFonts w:ascii="FrankRuehl" w:hAnsi="FrankRuehl" w:cs="FrankRuehl"/>
          <w:b w:val="0"/>
          <w:bCs w:val="0"/>
          <w:u w:val="none"/>
          <w:rtl/>
        </w:rPr>
      </w:pPr>
    </w:p>
    <w:p w14:paraId="350DFF65" w14:textId="77777777" w:rsidR="00A351D6" w:rsidRPr="00A351D6" w:rsidRDefault="00A351D6" w:rsidP="00A351D6">
      <w:pPr>
        <w:pStyle w:val="12"/>
        <w:spacing w:after="120" w:line="240" w:lineRule="exact"/>
        <w:ind w:left="283" w:hanging="283"/>
        <w:jc w:val="both"/>
        <w:rPr>
          <w:rFonts w:ascii="FrankRuehl" w:hAnsi="FrankRuehl" w:cs="FrankRuehl"/>
          <w:b w:val="0"/>
          <w:bCs w:val="0"/>
          <w:u w:val="none"/>
          <w:rtl/>
        </w:rPr>
      </w:pPr>
      <w:r w:rsidRPr="00A351D6">
        <w:rPr>
          <w:rFonts w:ascii="FrankRuehl" w:hAnsi="FrankRuehl" w:cs="FrankRuehl"/>
          <w:b w:val="0"/>
          <w:bCs w:val="0"/>
          <w:u w:val="none"/>
          <w:rtl/>
        </w:rPr>
        <w:t xml:space="preserve">חקיקה שאוזכרה: </w:t>
      </w:r>
    </w:p>
    <w:p w14:paraId="750B9D94" w14:textId="77777777" w:rsidR="00A351D6" w:rsidRPr="00A351D6" w:rsidRDefault="00A351D6" w:rsidP="00A351D6">
      <w:pPr>
        <w:pStyle w:val="12"/>
        <w:spacing w:after="120" w:line="240" w:lineRule="exact"/>
        <w:ind w:left="283" w:hanging="283"/>
        <w:jc w:val="both"/>
        <w:rPr>
          <w:rFonts w:ascii="FrankRuehl" w:hAnsi="FrankRuehl" w:cs="FrankRuehl"/>
          <w:b w:val="0"/>
          <w:bCs w:val="0"/>
          <w:u w:val="none"/>
          <w:rtl/>
        </w:rPr>
      </w:pPr>
      <w:hyperlink r:id="rId6" w:history="1">
        <w:r w:rsidRPr="00A351D6">
          <w:rPr>
            <w:rFonts w:ascii="FrankRuehl" w:hAnsi="FrankRuehl" w:cs="FrankRuehl"/>
            <w:b w:val="0"/>
            <w:bCs w:val="0"/>
            <w:color w:val="0000FF"/>
            <w:rtl/>
          </w:rPr>
          <w:t>חוק העונשין, תשל"ז-1977</w:t>
        </w:r>
      </w:hyperlink>
      <w:r w:rsidRPr="00A351D6">
        <w:rPr>
          <w:rFonts w:ascii="FrankRuehl" w:hAnsi="FrankRuehl" w:cs="FrankRuehl"/>
          <w:b w:val="0"/>
          <w:bCs w:val="0"/>
          <w:u w:val="none"/>
          <w:rtl/>
        </w:rPr>
        <w:t xml:space="preserve">: סע'  </w:t>
      </w:r>
      <w:hyperlink r:id="rId7" w:history="1">
        <w:r w:rsidRPr="00A351D6">
          <w:rPr>
            <w:rFonts w:ascii="FrankRuehl" w:hAnsi="FrankRuehl" w:cs="FrankRuehl"/>
            <w:b w:val="0"/>
            <w:bCs w:val="0"/>
            <w:color w:val="0000FF"/>
            <w:rtl/>
          </w:rPr>
          <w:t>348 (ד)(1)</w:t>
        </w:r>
      </w:hyperlink>
    </w:p>
    <w:p w14:paraId="59A93970" w14:textId="77777777" w:rsidR="00A351D6" w:rsidRPr="00A351D6" w:rsidRDefault="00A351D6" w:rsidP="00A351D6">
      <w:pPr>
        <w:pStyle w:val="12"/>
        <w:spacing w:after="120" w:line="240" w:lineRule="exact"/>
        <w:ind w:left="283" w:hanging="283"/>
        <w:jc w:val="both"/>
        <w:rPr>
          <w:rFonts w:ascii="FrankRuehl" w:hAnsi="FrankRuehl" w:cs="FrankRuehl"/>
          <w:b w:val="0"/>
          <w:bCs w:val="0"/>
          <w:u w:val="none"/>
          <w:rtl/>
        </w:rPr>
      </w:pPr>
    </w:p>
    <w:p w14:paraId="4C0D757F" w14:textId="77777777" w:rsidR="00A351D6" w:rsidRPr="00A351D6" w:rsidRDefault="00A351D6">
      <w:pPr>
        <w:pStyle w:val="12"/>
        <w:rPr>
          <w:b w:val="0"/>
          <w:bCs w:val="0"/>
          <w:u w:val="none"/>
          <w:rtl/>
        </w:rPr>
      </w:pPr>
      <w:bookmarkStart w:id="4" w:name="LawTable_End"/>
      <w:bookmarkEnd w:id="4"/>
    </w:p>
    <w:p w14:paraId="3B6173FC" w14:textId="77777777" w:rsidR="00A351D6" w:rsidRPr="00A351D6" w:rsidRDefault="00A351D6">
      <w:pPr>
        <w:pStyle w:val="12"/>
        <w:rPr>
          <w:b w:val="0"/>
          <w:bCs w:val="0"/>
          <w:u w:val="none"/>
          <w:rtl/>
        </w:rPr>
      </w:pPr>
    </w:p>
    <w:p w14:paraId="24AB6523" w14:textId="77777777" w:rsidR="009A0D33" w:rsidRPr="00A351D6" w:rsidRDefault="009A0D33">
      <w:pPr>
        <w:pStyle w:val="12"/>
        <w:rPr>
          <w:b w:val="0"/>
          <w:bCs w:val="0"/>
          <w:u w:val="none"/>
          <w:rtl/>
        </w:rPr>
      </w:pPr>
    </w:p>
    <w:p w14:paraId="5E53BA58" w14:textId="77777777" w:rsidR="00A351D6" w:rsidRPr="00A351D6" w:rsidRDefault="00A351D6">
      <w:pPr>
        <w:pStyle w:val="12"/>
        <w:rPr>
          <w:b w:val="0"/>
          <w:bCs w:val="0"/>
          <w:u w:val="none"/>
          <w:rtl/>
        </w:rPr>
      </w:pPr>
    </w:p>
    <w:p w14:paraId="4D209883" w14:textId="77777777" w:rsidR="00A351D6" w:rsidRPr="00A351D6" w:rsidRDefault="00A351D6">
      <w:pPr>
        <w:pStyle w:val="12"/>
        <w:rPr>
          <w:b w:val="0"/>
          <w:bCs w:val="0"/>
          <w:u w:val="none"/>
          <w:rtl/>
        </w:rPr>
      </w:pPr>
    </w:p>
    <w:p w14:paraId="7687AB8F" w14:textId="77777777" w:rsidR="009A0D33" w:rsidRPr="00A351D6" w:rsidRDefault="009A0D33">
      <w:pPr>
        <w:pStyle w:val="12"/>
        <w:rPr>
          <w:b w:val="0"/>
          <w:bCs w:val="0"/>
          <w:u w:val="none"/>
          <w:rtl/>
        </w:rPr>
      </w:pPr>
    </w:p>
    <w:p w14:paraId="4DCD8236" w14:textId="77777777" w:rsidR="00E31140" w:rsidRPr="00E31140" w:rsidRDefault="00E31140">
      <w:pPr>
        <w:autoSpaceDE w:val="0"/>
        <w:autoSpaceDN w:val="0"/>
        <w:adjustRightInd w:val="0"/>
        <w:spacing w:line="360" w:lineRule="auto"/>
        <w:jc w:val="both"/>
        <w:rPr>
          <w:rFonts w:ascii="Arial (W1)" w:hAnsi="Arial (W1)"/>
          <w:rtl/>
        </w:rPr>
      </w:pPr>
    </w:p>
    <w:p w14:paraId="600935CB" w14:textId="77777777" w:rsidR="00E31140" w:rsidRPr="00E31140" w:rsidRDefault="00E31140">
      <w:pPr>
        <w:autoSpaceDE w:val="0"/>
        <w:autoSpaceDN w:val="0"/>
        <w:adjustRightInd w:val="0"/>
        <w:spacing w:line="360" w:lineRule="auto"/>
        <w:jc w:val="both"/>
        <w:rPr>
          <w:rFonts w:ascii="Arial (W1)" w:hAnsi="Arial (W1)"/>
          <w:b/>
          <w:bCs/>
          <w:rtl/>
        </w:rPr>
      </w:pPr>
    </w:p>
    <w:p w14:paraId="5C61A754" w14:textId="77777777" w:rsidR="009A0D33" w:rsidRPr="00E31140" w:rsidRDefault="009A0D33">
      <w:pPr>
        <w:autoSpaceDE w:val="0"/>
        <w:autoSpaceDN w:val="0"/>
        <w:adjustRightInd w:val="0"/>
        <w:spacing w:line="360" w:lineRule="auto"/>
        <w:jc w:val="both"/>
        <w:rPr>
          <w:rFonts w:ascii="Arial (W1)" w:hAnsi="Arial (W1)"/>
          <w:b/>
          <w:bCs/>
          <w:rtl/>
        </w:rPr>
      </w:pPr>
    </w:p>
    <w:p w14:paraId="295D21A6" w14:textId="77777777" w:rsidR="009A0D33" w:rsidRPr="000F10AB" w:rsidRDefault="000F10AB">
      <w:pPr>
        <w:spacing w:line="360" w:lineRule="auto"/>
        <w:jc w:val="center"/>
        <w:rPr>
          <w:rFonts w:ascii="Arial" w:hAnsi="Arial"/>
          <w:b/>
          <w:bCs/>
          <w:sz w:val="32"/>
          <w:szCs w:val="32"/>
          <w:rtl/>
        </w:rPr>
      </w:pPr>
      <w:bookmarkStart w:id="5" w:name="PsakDin"/>
      <w:r w:rsidRPr="000F10AB">
        <w:rPr>
          <w:rFonts w:ascii="Arial" w:hAnsi="Arial" w:hint="cs"/>
          <w:b/>
          <w:bCs/>
          <w:sz w:val="32"/>
          <w:szCs w:val="32"/>
          <w:rtl/>
        </w:rPr>
        <w:t>הכרעת דין וגזר דין</w:t>
      </w:r>
    </w:p>
    <w:bookmarkEnd w:id="5"/>
    <w:p w14:paraId="74E0B8DD" w14:textId="77777777" w:rsidR="009A0D33" w:rsidRPr="000F10AB" w:rsidRDefault="009A0D33">
      <w:pPr>
        <w:autoSpaceDE w:val="0"/>
        <w:autoSpaceDN w:val="0"/>
        <w:adjustRightInd w:val="0"/>
        <w:spacing w:line="360" w:lineRule="auto"/>
        <w:jc w:val="both"/>
        <w:rPr>
          <w:b/>
          <w:bCs/>
          <w:rtl/>
        </w:rPr>
      </w:pPr>
    </w:p>
    <w:p w14:paraId="6C20F523" w14:textId="77777777" w:rsidR="009A0D33" w:rsidRPr="000F10AB" w:rsidRDefault="000F10AB">
      <w:pPr>
        <w:autoSpaceDE w:val="0"/>
        <w:autoSpaceDN w:val="0"/>
        <w:adjustRightInd w:val="0"/>
        <w:spacing w:line="360" w:lineRule="auto"/>
        <w:jc w:val="both"/>
        <w:rPr>
          <w:rFonts w:ascii="Times New Roman-Normal-1255"/>
          <w:rtl/>
        </w:rPr>
      </w:pPr>
      <w:bookmarkStart w:id="6" w:name="ABSTRACT_START"/>
      <w:bookmarkEnd w:id="6"/>
      <w:r w:rsidRPr="000F10AB">
        <w:rPr>
          <w:rFonts w:hint="cs"/>
          <w:rtl/>
        </w:rPr>
        <w:t xml:space="preserve">הנאשם הודה, אך לא הורשע, בעבירה אשר יוחסה לו בכתב האישום המתוקן. עבירה של </w:t>
      </w:r>
      <w:r w:rsidRPr="000F10AB">
        <w:rPr>
          <w:rFonts w:ascii="Times New Roman-Normal-1255" w:hint="cs"/>
          <w:b/>
          <w:bCs/>
          <w:rtl/>
        </w:rPr>
        <w:t>מעשה</w:t>
      </w:r>
      <w:r w:rsidRPr="000F10AB">
        <w:rPr>
          <w:rFonts w:ascii="Times New Roman-Normal-1255" w:hint="cs"/>
          <w:b/>
          <w:bCs/>
        </w:rPr>
        <w:t xml:space="preserve"> </w:t>
      </w:r>
      <w:r w:rsidRPr="000F10AB">
        <w:rPr>
          <w:rFonts w:ascii="Times New Roman-Normal-1255" w:hint="cs"/>
          <w:b/>
          <w:bCs/>
          <w:rtl/>
        </w:rPr>
        <w:t>מגונה</w:t>
      </w:r>
      <w:r w:rsidRPr="000F10AB">
        <w:rPr>
          <w:rFonts w:ascii="Times New Roman-Normal-1255" w:hint="cs"/>
          <w:rtl/>
        </w:rPr>
        <w:t>, עבירה</w:t>
      </w:r>
      <w:r w:rsidRPr="000F10AB">
        <w:rPr>
          <w:rFonts w:ascii="Times New Roman-Normal-1255" w:hint="cs"/>
        </w:rPr>
        <w:t xml:space="preserve"> </w:t>
      </w:r>
      <w:r w:rsidRPr="000F10AB">
        <w:rPr>
          <w:rFonts w:ascii="Times New Roman-Normal-1255" w:hint="cs"/>
          <w:rtl/>
        </w:rPr>
        <w:t>לפי</w:t>
      </w:r>
      <w:r w:rsidRPr="000F10AB">
        <w:rPr>
          <w:rFonts w:ascii="Times New Roman-Normal-1255" w:hint="cs"/>
        </w:rPr>
        <w:t xml:space="preserve"> </w:t>
      </w:r>
      <w:hyperlink r:id="rId8" w:history="1">
        <w:r w:rsidR="00A351D6" w:rsidRPr="00A351D6">
          <w:rPr>
            <w:rFonts w:ascii="Times New Roman-Normal-1255"/>
            <w:color w:val="0000FF"/>
            <w:u w:val="single"/>
            <w:rtl/>
          </w:rPr>
          <w:t>סעיף 348 (ד)(1)</w:t>
        </w:r>
      </w:hyperlink>
      <w:r w:rsidRPr="000F10AB">
        <w:rPr>
          <w:rFonts w:ascii="Times New Roman-Normal-1255" w:hint="cs"/>
        </w:rPr>
        <w:t xml:space="preserve"> </w:t>
      </w:r>
      <w:r w:rsidRPr="000F10AB">
        <w:rPr>
          <w:rFonts w:ascii="Times New Roman-Normal-1255" w:hint="cs"/>
          <w:rtl/>
        </w:rPr>
        <w:t>ל</w:t>
      </w:r>
      <w:hyperlink r:id="rId9" w:history="1">
        <w:r w:rsidR="00E31140" w:rsidRPr="00E31140">
          <w:rPr>
            <w:rStyle w:val="Hyperlink"/>
            <w:rFonts w:ascii="Times New Roman-Normal-1255"/>
            <w:rtl/>
          </w:rPr>
          <w:t>חוק העונשין</w:t>
        </w:r>
      </w:hyperlink>
      <w:r w:rsidRPr="000F10AB">
        <w:rPr>
          <w:rFonts w:ascii="Times New Roman-Normal-1255" w:hint="cs"/>
          <w:rtl/>
        </w:rPr>
        <w:t>,</w:t>
      </w:r>
      <w:r w:rsidRPr="000F10AB">
        <w:rPr>
          <w:rFonts w:ascii="Times New Roman-Normal-1255" w:hint="cs"/>
        </w:rPr>
        <w:t xml:space="preserve"> </w:t>
      </w:r>
      <w:r w:rsidRPr="000F10AB">
        <w:rPr>
          <w:rFonts w:ascii="Times New Roman-Normal-1255" w:hint="cs"/>
          <w:rtl/>
        </w:rPr>
        <w:t xml:space="preserve">התשל"ז- 1977. </w:t>
      </w:r>
    </w:p>
    <w:p w14:paraId="47692D7C" w14:textId="77777777" w:rsidR="009A0D33" w:rsidRPr="000F10AB" w:rsidRDefault="009A0D33">
      <w:pPr>
        <w:autoSpaceDE w:val="0"/>
        <w:autoSpaceDN w:val="0"/>
        <w:adjustRightInd w:val="0"/>
        <w:spacing w:line="360" w:lineRule="auto"/>
        <w:jc w:val="both"/>
        <w:rPr>
          <w:rFonts w:ascii="Times New Roman-Normal-1255"/>
          <w:rtl/>
        </w:rPr>
      </w:pPr>
      <w:bookmarkStart w:id="7" w:name="ABSTRACT_END"/>
      <w:bookmarkEnd w:id="7"/>
    </w:p>
    <w:p w14:paraId="2902CBEF" w14:textId="77777777" w:rsidR="009A0D33" w:rsidRPr="000F10AB" w:rsidRDefault="000F10AB">
      <w:pPr>
        <w:autoSpaceDE w:val="0"/>
        <w:autoSpaceDN w:val="0"/>
        <w:adjustRightInd w:val="0"/>
        <w:spacing w:line="360" w:lineRule="auto"/>
        <w:jc w:val="both"/>
        <w:rPr>
          <w:rFonts w:ascii="Times New Roman-Normal-1255"/>
          <w:rtl/>
        </w:rPr>
      </w:pPr>
      <w:r w:rsidRPr="000F10AB">
        <w:rPr>
          <w:rFonts w:ascii="Times New Roman-Normal-1255" w:hint="cs"/>
          <w:rtl/>
        </w:rPr>
        <w:t xml:space="preserve">עובדות המקרה פורטו בהרחבה בכתב האישום. בקליפת האגוז יאמר, כי במהלך השנים 2006-2007 </w:t>
      </w:r>
    </w:p>
    <w:p w14:paraId="6B565A27" w14:textId="77777777" w:rsidR="009A0D33" w:rsidRPr="000F10AB" w:rsidRDefault="000F10AB">
      <w:pPr>
        <w:autoSpaceDE w:val="0"/>
        <w:autoSpaceDN w:val="0"/>
        <w:adjustRightInd w:val="0"/>
        <w:spacing w:line="360" w:lineRule="auto"/>
        <w:jc w:val="both"/>
        <w:rPr>
          <w:rFonts w:ascii="Arial (W1)"/>
          <w:rtl/>
        </w:rPr>
      </w:pPr>
      <w:r w:rsidRPr="000F10AB">
        <w:rPr>
          <w:rFonts w:hint="cs"/>
          <w:rtl/>
        </w:rPr>
        <w:t>עבד הנאשם כמנהל חדר אוכל בבית מלון בטבריה. הקטינה מ.ר (להלן:"</w:t>
      </w:r>
      <w:r w:rsidRPr="000F10AB">
        <w:rPr>
          <w:rFonts w:hint="cs"/>
          <w:b/>
          <w:bCs/>
          <w:rtl/>
        </w:rPr>
        <w:t>המתלוננת</w:t>
      </w:r>
      <w:r w:rsidRPr="000F10AB">
        <w:rPr>
          <w:rFonts w:hint="cs"/>
          <w:rtl/>
        </w:rPr>
        <w:t xml:space="preserve">") הועסקה תחת פיקוחו בבית המלון. </w:t>
      </w:r>
    </w:p>
    <w:p w14:paraId="6ACD6B33" w14:textId="77777777" w:rsidR="009A0D33" w:rsidRPr="000F10AB" w:rsidRDefault="009A0D33">
      <w:pPr>
        <w:autoSpaceDE w:val="0"/>
        <w:autoSpaceDN w:val="0"/>
        <w:adjustRightInd w:val="0"/>
        <w:spacing w:line="360" w:lineRule="auto"/>
        <w:jc w:val="both"/>
        <w:rPr>
          <w:rFonts w:ascii="Times New Roman"/>
          <w:rtl/>
        </w:rPr>
      </w:pPr>
    </w:p>
    <w:p w14:paraId="6596660E" w14:textId="77777777" w:rsidR="009A0D33" w:rsidRPr="000F10AB" w:rsidRDefault="000F10AB">
      <w:pPr>
        <w:autoSpaceDE w:val="0"/>
        <w:autoSpaceDN w:val="0"/>
        <w:adjustRightInd w:val="0"/>
        <w:spacing w:line="360" w:lineRule="auto"/>
        <w:jc w:val="both"/>
        <w:rPr>
          <w:rFonts w:ascii="Times New Roman-Normal-1255"/>
        </w:rPr>
      </w:pPr>
      <w:r w:rsidRPr="000F10AB">
        <w:rPr>
          <w:rFonts w:ascii="Times New Roman-Normal-1255" w:hint="cs"/>
          <w:rtl/>
        </w:rPr>
        <w:t>בהזדמנויות שונות, הטריד הנאשם את המתלוננת באמירות</w:t>
      </w:r>
      <w:r w:rsidRPr="000F10AB">
        <w:rPr>
          <w:rFonts w:ascii="Times New Roman-Normal-1255" w:hint="cs"/>
        </w:rPr>
        <w:t xml:space="preserve"> </w:t>
      </w:r>
      <w:r w:rsidRPr="000F10AB">
        <w:rPr>
          <w:rFonts w:ascii="Times New Roman-Normal-1255" w:hint="cs"/>
          <w:rtl/>
        </w:rPr>
        <w:t>בעלות</w:t>
      </w:r>
      <w:r w:rsidRPr="000F10AB">
        <w:rPr>
          <w:rFonts w:ascii="Times New Roman-Normal-1255" w:hint="cs"/>
        </w:rPr>
        <w:t xml:space="preserve"> </w:t>
      </w:r>
      <w:r w:rsidRPr="000F10AB">
        <w:rPr>
          <w:rFonts w:ascii="Times New Roman-Normal-1255" w:hint="cs"/>
          <w:rtl/>
        </w:rPr>
        <w:t>גוון מיני.</w:t>
      </w:r>
      <w:r w:rsidRPr="000F10AB">
        <w:rPr>
          <w:rFonts w:ascii="Times New Roman-Normal-1255" w:hint="cs"/>
        </w:rPr>
        <w:t xml:space="preserve"> </w:t>
      </w:r>
      <w:r w:rsidRPr="000F10AB">
        <w:rPr>
          <w:rFonts w:ascii="Times New Roman-Normal-1255" w:hint="cs"/>
          <w:rtl/>
        </w:rPr>
        <w:t>המתייחסות</w:t>
      </w:r>
      <w:r w:rsidRPr="000F10AB">
        <w:rPr>
          <w:rFonts w:ascii="Times New Roman-Normal-1255" w:hint="cs"/>
        </w:rPr>
        <w:t xml:space="preserve"> </w:t>
      </w:r>
      <w:r w:rsidRPr="000F10AB">
        <w:rPr>
          <w:rFonts w:ascii="Times New Roman-Normal-1255" w:hint="cs"/>
          <w:rtl/>
        </w:rPr>
        <w:t>לגופה</w:t>
      </w:r>
      <w:r w:rsidRPr="000F10AB">
        <w:rPr>
          <w:rFonts w:ascii="Times New Roman-Normal-1255" w:hint="cs"/>
        </w:rPr>
        <w:t xml:space="preserve"> </w:t>
      </w:r>
      <w:r w:rsidRPr="000F10AB">
        <w:rPr>
          <w:rFonts w:ascii="Times New Roman-Normal-1255" w:hint="cs"/>
          <w:rtl/>
        </w:rPr>
        <w:t>ובמקרה</w:t>
      </w:r>
      <w:r w:rsidRPr="000F10AB">
        <w:rPr>
          <w:rFonts w:ascii="Times New Roman-Normal-1255" w:hint="cs"/>
        </w:rPr>
        <w:t xml:space="preserve"> </w:t>
      </w:r>
      <w:r w:rsidRPr="000F10AB">
        <w:rPr>
          <w:rFonts w:ascii="Times New Roman-Normal-1255" w:hint="cs"/>
          <w:rtl/>
        </w:rPr>
        <w:t>אחד</w:t>
      </w:r>
      <w:r w:rsidRPr="000F10AB">
        <w:rPr>
          <w:rFonts w:ascii="Times New Roman-Normal-1255" w:hint="cs"/>
        </w:rPr>
        <w:t xml:space="preserve"> </w:t>
      </w:r>
      <w:r w:rsidRPr="000F10AB">
        <w:rPr>
          <w:rFonts w:ascii="Times New Roman-Normal-1255" w:hint="cs"/>
          <w:rtl/>
        </w:rPr>
        <w:t>אף</w:t>
      </w:r>
      <w:r w:rsidRPr="000F10AB">
        <w:rPr>
          <w:rFonts w:ascii="Times New Roman-Normal-1255" w:hint="cs"/>
        </w:rPr>
        <w:t xml:space="preserve"> </w:t>
      </w:r>
      <w:r w:rsidRPr="000F10AB">
        <w:rPr>
          <w:rFonts w:ascii="Times New Roman-Normal-1255" w:hint="cs"/>
          <w:rtl/>
        </w:rPr>
        <w:t>נשק</w:t>
      </w:r>
      <w:r w:rsidRPr="000F10AB">
        <w:rPr>
          <w:rFonts w:ascii="Times New Roman-Normal-1255" w:hint="cs"/>
        </w:rPr>
        <w:t xml:space="preserve"> </w:t>
      </w:r>
      <w:r w:rsidRPr="000F10AB">
        <w:rPr>
          <w:rFonts w:ascii="Times New Roman-Normal-1255" w:hint="cs"/>
          <w:rtl/>
        </w:rPr>
        <w:t>לה</w:t>
      </w:r>
      <w:r w:rsidRPr="000F10AB">
        <w:rPr>
          <w:rFonts w:ascii="Times New Roman-Normal-1255" w:hint="cs"/>
        </w:rPr>
        <w:t xml:space="preserve"> </w:t>
      </w:r>
      <w:r w:rsidRPr="000F10AB">
        <w:rPr>
          <w:rFonts w:ascii="Times New Roman-Normal-1255" w:hint="cs"/>
          <w:rtl/>
        </w:rPr>
        <w:t>בפיה</w:t>
      </w:r>
      <w:r w:rsidRPr="000F10AB">
        <w:rPr>
          <w:rFonts w:hint="cs"/>
          <w:rtl/>
        </w:rPr>
        <w:t xml:space="preserve">. הנאשם הטריד באמירות בעלת גוון מיני את המתלוננת, הצמיד אותה </w:t>
      </w:r>
      <w:r w:rsidRPr="000F10AB">
        <w:rPr>
          <w:rFonts w:ascii="Times New Roman-Normal-1255" w:hint="cs"/>
          <w:rtl/>
        </w:rPr>
        <w:t>אליו חיבק אותה, נגע</w:t>
      </w:r>
      <w:r w:rsidRPr="000F10AB">
        <w:rPr>
          <w:rFonts w:ascii="Times New Roman-Normal-1255" w:hint="cs"/>
        </w:rPr>
        <w:t xml:space="preserve"> </w:t>
      </w:r>
      <w:r w:rsidRPr="000F10AB">
        <w:rPr>
          <w:rFonts w:ascii="Times New Roman-Normal-1255" w:hint="cs"/>
          <w:rtl/>
        </w:rPr>
        <w:t>בידיה</w:t>
      </w:r>
      <w:r w:rsidRPr="000F10AB">
        <w:rPr>
          <w:rFonts w:ascii="Times New Roman-Normal-1255" w:hint="cs"/>
        </w:rPr>
        <w:t xml:space="preserve"> </w:t>
      </w:r>
      <w:r w:rsidRPr="000F10AB">
        <w:rPr>
          <w:rFonts w:ascii="Times New Roman-Normal-1255" w:hint="cs"/>
          <w:rtl/>
        </w:rPr>
        <w:t>ובמתניה</w:t>
      </w:r>
      <w:r w:rsidRPr="000F10AB">
        <w:rPr>
          <w:rFonts w:hint="cs"/>
        </w:rPr>
        <w:t xml:space="preserve"> </w:t>
      </w:r>
      <w:r w:rsidRPr="000F10AB">
        <w:rPr>
          <w:rFonts w:ascii="Times New Roman-Normal-1255" w:hint="cs"/>
          <w:rtl/>
        </w:rPr>
        <w:t>תוך</w:t>
      </w:r>
      <w:r w:rsidRPr="000F10AB">
        <w:rPr>
          <w:rFonts w:ascii="Times New Roman-Normal-1255" w:hint="cs"/>
        </w:rPr>
        <w:t xml:space="preserve"> </w:t>
      </w:r>
      <w:r w:rsidRPr="000F10AB">
        <w:rPr>
          <w:rFonts w:ascii="Times New Roman-Normal-1255" w:hint="cs"/>
          <w:rtl/>
        </w:rPr>
        <w:t>שהוא</w:t>
      </w:r>
      <w:r w:rsidRPr="000F10AB">
        <w:rPr>
          <w:rFonts w:ascii="Times New Roman-Normal-1255" w:hint="cs"/>
        </w:rPr>
        <w:t xml:space="preserve"> </w:t>
      </w:r>
      <w:r w:rsidRPr="000F10AB">
        <w:rPr>
          <w:rFonts w:ascii="Times New Roman-Normal-1255" w:hint="cs"/>
          <w:rtl/>
        </w:rPr>
        <w:t>אוחז בה</w:t>
      </w:r>
      <w:r w:rsidRPr="000F10AB">
        <w:rPr>
          <w:rFonts w:ascii="Times New Roman-Normal-1255" w:hint="cs"/>
        </w:rPr>
        <w:t xml:space="preserve"> </w:t>
      </w:r>
      <w:r w:rsidRPr="000F10AB">
        <w:rPr>
          <w:rFonts w:ascii="Times New Roman-Normal-1255" w:hint="cs"/>
          <w:rtl/>
        </w:rPr>
        <w:t>בניגוד</w:t>
      </w:r>
      <w:r w:rsidRPr="000F10AB">
        <w:rPr>
          <w:rFonts w:ascii="Times New Roman-Normal-1255" w:hint="cs"/>
        </w:rPr>
        <w:t xml:space="preserve"> </w:t>
      </w:r>
      <w:r w:rsidRPr="000F10AB">
        <w:rPr>
          <w:rFonts w:ascii="Times New Roman-Normal-1255" w:hint="cs"/>
          <w:rtl/>
        </w:rPr>
        <w:t>לרצונה</w:t>
      </w:r>
      <w:r w:rsidRPr="000F10AB">
        <w:rPr>
          <w:rFonts w:ascii="Times New Roman-Normal-1255" w:hint="cs"/>
        </w:rPr>
        <w:t xml:space="preserve"> </w:t>
      </w:r>
      <w:r w:rsidRPr="000F10AB">
        <w:rPr>
          <w:rFonts w:ascii="Times New Roman-Normal-1255" w:hint="cs"/>
          <w:rtl/>
        </w:rPr>
        <w:t>והכל</w:t>
      </w:r>
      <w:r w:rsidRPr="000F10AB">
        <w:rPr>
          <w:rFonts w:ascii="Times New Roman-Normal-1255" w:hint="cs"/>
        </w:rPr>
        <w:t xml:space="preserve"> </w:t>
      </w:r>
      <w:r w:rsidRPr="000F10AB">
        <w:rPr>
          <w:rFonts w:ascii="Times New Roman-Normal-1255" w:hint="cs"/>
          <w:rtl/>
        </w:rPr>
        <w:t>לשם</w:t>
      </w:r>
      <w:r w:rsidRPr="000F10AB">
        <w:rPr>
          <w:rFonts w:ascii="Times New Roman-Normal-1255" w:hint="cs"/>
        </w:rPr>
        <w:t xml:space="preserve"> </w:t>
      </w:r>
      <w:r w:rsidRPr="000F10AB">
        <w:rPr>
          <w:rFonts w:ascii="Times New Roman-Normal-1255" w:hint="cs"/>
          <w:rtl/>
        </w:rPr>
        <w:t>גירוי,</w:t>
      </w:r>
      <w:r w:rsidRPr="000F10AB">
        <w:rPr>
          <w:rFonts w:ascii="Times New Roman-Normal-1255" w:hint="cs"/>
        </w:rPr>
        <w:t xml:space="preserve"> </w:t>
      </w:r>
      <w:r w:rsidRPr="000F10AB">
        <w:rPr>
          <w:rFonts w:ascii="Times New Roman-Normal-1255" w:hint="cs"/>
          <w:rtl/>
        </w:rPr>
        <w:t>סיפוק</w:t>
      </w:r>
      <w:r w:rsidRPr="000F10AB">
        <w:rPr>
          <w:rFonts w:ascii="Times New Roman-Normal-1255" w:hint="cs"/>
        </w:rPr>
        <w:t xml:space="preserve"> </w:t>
      </w:r>
      <w:r w:rsidRPr="000F10AB">
        <w:rPr>
          <w:rFonts w:ascii="Times New Roman-Normal-1255" w:hint="cs"/>
          <w:rtl/>
        </w:rPr>
        <w:t>וביזוי</w:t>
      </w:r>
      <w:r w:rsidRPr="000F10AB">
        <w:rPr>
          <w:rFonts w:ascii="Times New Roman-Normal-1255" w:hint="cs"/>
        </w:rPr>
        <w:t xml:space="preserve"> </w:t>
      </w:r>
      <w:r w:rsidRPr="000F10AB">
        <w:rPr>
          <w:rFonts w:ascii="Times New Roman-Normal-1255" w:hint="cs"/>
          <w:rtl/>
        </w:rPr>
        <w:t>מיניים</w:t>
      </w:r>
      <w:r w:rsidRPr="000F10AB">
        <w:rPr>
          <w:rFonts w:ascii="Times New Roman-Normal-1255" w:hint="cs"/>
        </w:rPr>
        <w:t>.</w:t>
      </w:r>
    </w:p>
    <w:p w14:paraId="55D621E4" w14:textId="77777777" w:rsidR="009A0D33" w:rsidRPr="000F10AB" w:rsidRDefault="009A0D33">
      <w:pPr>
        <w:autoSpaceDE w:val="0"/>
        <w:autoSpaceDN w:val="0"/>
        <w:adjustRightInd w:val="0"/>
        <w:spacing w:line="360" w:lineRule="auto"/>
        <w:jc w:val="both"/>
        <w:rPr>
          <w:rFonts w:ascii="Times New Roman-Normal-1255"/>
          <w:rtl/>
        </w:rPr>
      </w:pPr>
    </w:p>
    <w:p w14:paraId="12DF1CDF" w14:textId="77777777" w:rsidR="009A0D33" w:rsidRPr="000F10AB" w:rsidRDefault="000F10AB">
      <w:pPr>
        <w:autoSpaceDE w:val="0"/>
        <w:autoSpaceDN w:val="0"/>
        <w:adjustRightInd w:val="0"/>
        <w:spacing w:line="360" w:lineRule="auto"/>
        <w:jc w:val="both"/>
        <w:rPr>
          <w:rFonts w:ascii="Times New Roman-Normal-1255"/>
          <w:b/>
          <w:bCs/>
          <w:rtl/>
        </w:rPr>
      </w:pPr>
      <w:r w:rsidRPr="000F10AB">
        <w:rPr>
          <w:rFonts w:ascii="Times New Roman-Normal-1255" w:hint="cs"/>
          <w:b/>
          <w:bCs/>
          <w:rtl/>
        </w:rPr>
        <w:lastRenderedPageBreak/>
        <w:t>טיעונים לעונש מטעם הצדדים:</w:t>
      </w:r>
    </w:p>
    <w:p w14:paraId="14633FDA" w14:textId="77777777" w:rsidR="009A0D33" w:rsidRPr="000F10AB" w:rsidRDefault="000F10AB">
      <w:pPr>
        <w:autoSpaceDE w:val="0"/>
        <w:autoSpaceDN w:val="0"/>
        <w:adjustRightInd w:val="0"/>
        <w:spacing w:line="360" w:lineRule="auto"/>
        <w:jc w:val="both"/>
        <w:rPr>
          <w:rFonts w:ascii="Times New Roman-Normal-1255"/>
          <w:b/>
          <w:bCs/>
          <w:rtl/>
        </w:rPr>
      </w:pPr>
      <w:r w:rsidRPr="000F10AB">
        <w:rPr>
          <w:rFonts w:ascii="Times New Roman-Normal-1255" w:hint="cs"/>
          <w:b/>
          <w:bCs/>
          <w:rtl/>
        </w:rPr>
        <w:t>טיעונים לעונש מטעם התביעה:</w:t>
      </w:r>
    </w:p>
    <w:bookmarkEnd w:id="0"/>
    <w:p w14:paraId="3E954172" w14:textId="77777777" w:rsidR="009A0D33" w:rsidRDefault="000F10AB">
      <w:pPr>
        <w:spacing w:line="360" w:lineRule="auto"/>
        <w:jc w:val="both"/>
        <w:rPr>
          <w:rFonts w:ascii="Times New Roman"/>
          <w:rtl/>
        </w:rPr>
      </w:pPr>
      <w:r>
        <w:rPr>
          <w:rFonts w:hint="cs"/>
          <w:rtl/>
        </w:rPr>
        <w:t xml:space="preserve">התביעה הדגישה את חומרת העבירה, במיוחד שהיא בוצעה בהזדמנויות שונות ותוך ניצול יחסי מרות. </w:t>
      </w:r>
    </w:p>
    <w:p w14:paraId="7EFC958A" w14:textId="77777777" w:rsidR="009A0D33" w:rsidRDefault="009A0D33">
      <w:pPr>
        <w:spacing w:line="360" w:lineRule="auto"/>
        <w:jc w:val="both"/>
        <w:rPr>
          <w:rtl/>
        </w:rPr>
      </w:pPr>
    </w:p>
    <w:p w14:paraId="3B01DB40" w14:textId="77777777" w:rsidR="009A0D33" w:rsidRDefault="000F10AB">
      <w:pPr>
        <w:spacing w:line="360" w:lineRule="auto"/>
        <w:jc w:val="both"/>
        <w:rPr>
          <w:rFonts w:ascii="Arial (W1)"/>
          <w:rtl/>
        </w:rPr>
      </w:pPr>
      <w:r>
        <w:rPr>
          <w:rFonts w:hint="cs"/>
          <w:rtl/>
        </w:rPr>
        <w:t xml:space="preserve">התביעה הפנתה לאמור בהערכת מסוכנות של הנאשם, לפיה הוא לא לוקח אחריות על מעשיו ואין לו מודעות לבעייתיות שבהתנהגותו. </w:t>
      </w:r>
    </w:p>
    <w:p w14:paraId="5144F380" w14:textId="77777777" w:rsidR="009A0D33" w:rsidRDefault="009A0D33">
      <w:pPr>
        <w:spacing w:line="360" w:lineRule="auto"/>
        <w:jc w:val="both"/>
        <w:rPr>
          <w:rFonts w:ascii="Arial (W1)"/>
          <w:rtl/>
        </w:rPr>
      </w:pPr>
    </w:p>
    <w:p w14:paraId="5D3E59C1" w14:textId="77777777" w:rsidR="009A0D33" w:rsidRDefault="000F10AB">
      <w:pPr>
        <w:spacing w:line="360" w:lineRule="auto"/>
        <w:jc w:val="both"/>
        <w:rPr>
          <w:rtl/>
        </w:rPr>
      </w:pPr>
      <w:r>
        <w:rPr>
          <w:rFonts w:hint="cs"/>
          <w:rtl/>
        </w:rPr>
        <w:t xml:space="preserve">התביעה הפנתה לאמור בתסקיר שירות המבחן ועתרה להרשעתו, נוכח גילה הצעיר של המתלוננת, ובהתחשב באופייה של העבירה וחומרתה. </w:t>
      </w:r>
    </w:p>
    <w:p w14:paraId="3C061C4D" w14:textId="77777777" w:rsidR="009A0D33" w:rsidRDefault="009A0D33">
      <w:pPr>
        <w:spacing w:line="360" w:lineRule="auto"/>
        <w:jc w:val="both"/>
        <w:rPr>
          <w:rtl/>
        </w:rPr>
      </w:pPr>
    </w:p>
    <w:p w14:paraId="517891FC" w14:textId="77777777" w:rsidR="009A0D33" w:rsidRDefault="000F10AB">
      <w:pPr>
        <w:spacing w:line="360" w:lineRule="auto"/>
        <w:jc w:val="both"/>
        <w:rPr>
          <w:rtl/>
        </w:rPr>
      </w:pPr>
      <w:r>
        <w:rPr>
          <w:rFonts w:hint="cs"/>
          <w:rtl/>
        </w:rPr>
        <w:t xml:space="preserve">התביעה עתרה להטלת עונש של 6 חודשי מאסר, אשר ירוצו בעבודות שירות, מאסר על תנאי, פיצוי למתלוננת וקנס. </w:t>
      </w:r>
    </w:p>
    <w:p w14:paraId="19854C7D" w14:textId="77777777" w:rsidR="009A0D33" w:rsidRDefault="009A0D33">
      <w:pPr>
        <w:autoSpaceDE w:val="0"/>
        <w:autoSpaceDN w:val="0"/>
        <w:adjustRightInd w:val="0"/>
        <w:spacing w:line="360" w:lineRule="auto"/>
        <w:jc w:val="both"/>
        <w:rPr>
          <w:rFonts w:ascii="Times New Roman-Normal-1255"/>
          <w:b/>
          <w:bCs/>
          <w:u w:val="single"/>
          <w:rtl/>
        </w:rPr>
      </w:pPr>
    </w:p>
    <w:p w14:paraId="29D40604" w14:textId="77777777" w:rsidR="009A0D33" w:rsidRDefault="000F10AB">
      <w:pPr>
        <w:autoSpaceDE w:val="0"/>
        <w:autoSpaceDN w:val="0"/>
        <w:adjustRightInd w:val="0"/>
        <w:spacing w:line="360" w:lineRule="auto"/>
        <w:jc w:val="both"/>
        <w:rPr>
          <w:rFonts w:ascii="Times New Roman-Normal-1255"/>
          <w:b/>
          <w:bCs/>
          <w:u w:val="single"/>
          <w:rtl/>
        </w:rPr>
      </w:pPr>
      <w:r>
        <w:rPr>
          <w:rFonts w:ascii="Times New Roman-Normal-1255" w:hint="cs"/>
          <w:b/>
          <w:bCs/>
          <w:u w:val="single"/>
          <w:rtl/>
        </w:rPr>
        <w:t>טיעונים לעונש מטעם ההגנה:</w:t>
      </w:r>
    </w:p>
    <w:p w14:paraId="45F7A08B" w14:textId="77777777" w:rsidR="009A0D33" w:rsidRDefault="000F10AB">
      <w:pPr>
        <w:spacing w:line="360" w:lineRule="auto"/>
        <w:jc w:val="both"/>
        <w:rPr>
          <w:rFonts w:ascii="Times New Roman"/>
          <w:rtl/>
        </w:rPr>
      </w:pPr>
      <w:r>
        <w:rPr>
          <w:rFonts w:hint="cs"/>
          <w:rtl/>
        </w:rPr>
        <w:t xml:space="preserve">הסנגור טען, כי העבירה שבה הודה הנאשם, נמצאת ברף התחתון של עבירת מעשה מגונה. </w:t>
      </w:r>
    </w:p>
    <w:p w14:paraId="47D6CD36" w14:textId="77777777" w:rsidR="009A0D33" w:rsidRDefault="009A0D33">
      <w:pPr>
        <w:spacing w:line="360" w:lineRule="auto"/>
        <w:jc w:val="both"/>
        <w:rPr>
          <w:rFonts w:ascii="Arial (W1)"/>
          <w:rtl/>
        </w:rPr>
      </w:pPr>
    </w:p>
    <w:p w14:paraId="168B6CDB" w14:textId="77777777" w:rsidR="009A0D33" w:rsidRDefault="000F10AB">
      <w:pPr>
        <w:spacing w:line="360" w:lineRule="auto"/>
        <w:jc w:val="both"/>
        <w:rPr>
          <w:rtl/>
        </w:rPr>
      </w:pPr>
      <w:r>
        <w:rPr>
          <w:rFonts w:hint="cs"/>
          <w:rtl/>
        </w:rPr>
        <w:t>הסנגור הפנה לתסקיר שירות המבחן ולדו"ח הערכת מסוכנות לפיו לא מדובר בנאשם שסובל מסטייה מינית.</w:t>
      </w:r>
    </w:p>
    <w:p w14:paraId="7DDBD809" w14:textId="77777777" w:rsidR="009A0D33" w:rsidRDefault="009A0D33">
      <w:pPr>
        <w:spacing w:line="360" w:lineRule="auto"/>
        <w:jc w:val="both"/>
        <w:rPr>
          <w:rtl/>
        </w:rPr>
      </w:pPr>
    </w:p>
    <w:p w14:paraId="75FBC03C" w14:textId="77777777" w:rsidR="009A0D33" w:rsidRDefault="000F10AB">
      <w:pPr>
        <w:spacing w:line="360" w:lineRule="auto"/>
        <w:jc w:val="both"/>
        <w:rPr>
          <w:rtl/>
        </w:rPr>
      </w:pPr>
      <w:r>
        <w:rPr>
          <w:rFonts w:hint="cs"/>
          <w:rtl/>
        </w:rPr>
        <w:t xml:space="preserve">הסנגור טען כי הנאשם עובד מזה 35 שנה ואירוע זה הביא לפיטוריו. הנאשם אדם נורמטיבי, ללא דפוסי התנהגות עבריינים. הנאשם ביצע את המעשה על רק אווירה חופשית ששררה בין עובדי המלון. </w:t>
      </w:r>
    </w:p>
    <w:p w14:paraId="560ABE73" w14:textId="77777777" w:rsidR="009A0D33" w:rsidRDefault="009A0D33">
      <w:pPr>
        <w:spacing w:line="360" w:lineRule="auto"/>
        <w:jc w:val="both"/>
        <w:rPr>
          <w:rtl/>
        </w:rPr>
      </w:pPr>
    </w:p>
    <w:p w14:paraId="753916F8" w14:textId="77777777" w:rsidR="009A0D33" w:rsidRDefault="000F10AB">
      <w:pPr>
        <w:spacing w:line="360" w:lineRule="auto"/>
        <w:jc w:val="both"/>
        <w:rPr>
          <w:rtl/>
        </w:rPr>
      </w:pPr>
      <w:r>
        <w:rPr>
          <w:rFonts w:hint="cs"/>
          <w:rtl/>
        </w:rPr>
        <w:t>הסנגור טען, כי הרשעת הנאשם תגרום לפיטוריו מעבודתו הנוכחית. הנאשם פוטר מבית המלון בעקבות האירוע ולא ימצא בית מלון שיהיה מוכן לקבלו באם יורשע.</w:t>
      </w:r>
    </w:p>
    <w:p w14:paraId="2A331617" w14:textId="77777777" w:rsidR="009A0D33" w:rsidRDefault="009A0D33">
      <w:pPr>
        <w:spacing w:line="360" w:lineRule="auto"/>
        <w:jc w:val="both"/>
        <w:rPr>
          <w:rtl/>
        </w:rPr>
      </w:pPr>
    </w:p>
    <w:p w14:paraId="04E33CB6" w14:textId="77777777" w:rsidR="009A0D33" w:rsidRDefault="000F10AB">
      <w:pPr>
        <w:spacing w:line="360" w:lineRule="auto"/>
        <w:jc w:val="both"/>
        <w:rPr>
          <w:rtl/>
        </w:rPr>
      </w:pPr>
      <w:r>
        <w:rPr>
          <w:rFonts w:hint="cs"/>
          <w:rtl/>
        </w:rPr>
        <w:t xml:space="preserve">הסנגור ביקש שלא להרשיע את הנאשם, בהתחשב בעברו הנקי, נסיבותיו האישיות, הודאתו והבעת החרטה. לחילופין, ביקש הסנגור להסתפק בעונש של מאסר מותנה, במידה ובית המשפט ירשיע את הנאשם. </w:t>
      </w:r>
    </w:p>
    <w:p w14:paraId="1C9CC91E" w14:textId="77777777" w:rsidR="009A0D33" w:rsidRDefault="000F10AB">
      <w:pPr>
        <w:spacing w:before="100" w:beforeAutospacing="1" w:after="100" w:afterAutospacing="1" w:line="360" w:lineRule="auto"/>
        <w:rPr>
          <w:b/>
          <w:bCs/>
          <w:u w:val="single"/>
          <w:rtl/>
        </w:rPr>
      </w:pPr>
      <w:r>
        <w:rPr>
          <w:rFonts w:hint="cs"/>
          <w:b/>
          <w:bCs/>
          <w:u w:val="single"/>
          <w:rtl/>
        </w:rPr>
        <w:t>דברי הנאשם :</w:t>
      </w:r>
    </w:p>
    <w:p w14:paraId="45DC43D0" w14:textId="77777777" w:rsidR="009A0D33" w:rsidRDefault="000F10AB">
      <w:pPr>
        <w:spacing w:before="100" w:beforeAutospacing="1" w:after="100" w:afterAutospacing="1" w:line="360" w:lineRule="auto"/>
        <w:jc w:val="both"/>
        <w:rPr>
          <w:rtl/>
        </w:rPr>
      </w:pPr>
      <w:r>
        <w:rPr>
          <w:rFonts w:hint="cs"/>
          <w:rtl/>
        </w:rPr>
        <w:t>הנאשם הביע חרטה על מעשיו והתחייב לא לחזור עליהם. הנאשם טען, כי הייתה אוירה נעימה במלון והוא פעל בשיקול דעת מוטעה.</w:t>
      </w:r>
    </w:p>
    <w:p w14:paraId="2E225A15" w14:textId="77777777" w:rsidR="009A0D33" w:rsidRDefault="009A0D33">
      <w:pPr>
        <w:spacing w:line="360" w:lineRule="auto"/>
        <w:jc w:val="both"/>
        <w:rPr>
          <w:rtl/>
        </w:rPr>
      </w:pPr>
    </w:p>
    <w:p w14:paraId="76E69119" w14:textId="77777777" w:rsidR="009A0D33" w:rsidRDefault="00E31140">
      <w:pPr>
        <w:spacing w:line="360" w:lineRule="auto"/>
        <w:jc w:val="both"/>
        <w:rPr>
          <w:b/>
          <w:bCs/>
          <w:u w:val="single"/>
          <w:rtl/>
        </w:rPr>
      </w:pPr>
      <w:r>
        <w:rPr>
          <w:rFonts w:hint="cs"/>
          <w:rtl/>
        </w:rPr>
        <w:t xml:space="preserve"> </w:t>
      </w:r>
      <w:r w:rsidR="000F10AB">
        <w:rPr>
          <w:rFonts w:hint="cs"/>
          <w:b/>
          <w:bCs/>
          <w:u w:val="single"/>
          <w:rtl/>
        </w:rPr>
        <w:t>דיון:</w:t>
      </w:r>
    </w:p>
    <w:p w14:paraId="06595223" w14:textId="77777777" w:rsidR="009A0D33" w:rsidRDefault="000F10AB">
      <w:pPr>
        <w:spacing w:before="100" w:beforeAutospacing="1" w:after="100" w:afterAutospacing="1" w:line="360" w:lineRule="auto"/>
        <w:jc w:val="both"/>
        <w:rPr>
          <w:rtl/>
        </w:rPr>
      </w:pPr>
      <w:r>
        <w:rPr>
          <w:rFonts w:hint="cs"/>
          <w:rtl/>
        </w:rPr>
        <w:lastRenderedPageBreak/>
        <w:t xml:space="preserve">הנאשם הודה אך לא הורשע בעבירה של מעשה מגונה. ב"כ הנאשם עתר לאי הרשעתו. הכלל, הוא  מי שהובא לדין ונמצא אשם, יורשע בעבירות שיוחסו לו, סיום ההליך ללא הרשעה הוא החריג לכלל. </w:t>
      </w:r>
    </w:p>
    <w:p w14:paraId="2BB0CB7A" w14:textId="77777777" w:rsidR="009A0D33" w:rsidRDefault="000F10AB">
      <w:pPr>
        <w:pStyle w:val="BodyText"/>
        <w:rPr>
          <w:rtl/>
        </w:rPr>
      </w:pPr>
      <w:r>
        <w:rPr>
          <w:rFonts w:hint="cs"/>
          <w:rtl/>
        </w:rPr>
        <w:t xml:space="preserve">בהתאם לפסיקה הימנעות מהרשעה או ביטול הרשעה יעשו בהצטבר שני גורמים וזאת כדבריה של כב' </w:t>
      </w:r>
      <w:r>
        <w:rPr>
          <w:rFonts w:hint="cs"/>
          <w:color w:val="000000"/>
          <w:rtl/>
        </w:rPr>
        <w:t>השופטת דורנר ב</w:t>
      </w:r>
      <w:hyperlink r:id="rId10" w:history="1">
        <w:r w:rsidR="00E31140" w:rsidRPr="00E31140">
          <w:rPr>
            <w:rStyle w:val="Hyperlink"/>
            <w:rtl/>
          </w:rPr>
          <w:t>ע.פ. 2083/96, תמר כתב נ' מ"י ,פ"ד נב</w:t>
        </w:r>
      </w:hyperlink>
      <w:r>
        <w:rPr>
          <w:rFonts w:hint="cs"/>
          <w:color w:val="000000"/>
          <w:rtl/>
        </w:rPr>
        <w:t>(3) 337</w:t>
      </w:r>
      <w:r>
        <w:rPr>
          <w:rFonts w:hint="cs"/>
          <w:rtl/>
        </w:rPr>
        <w:t>:</w:t>
      </w:r>
    </w:p>
    <w:p w14:paraId="387ADB17" w14:textId="77777777" w:rsidR="009A0D33" w:rsidRDefault="000F10AB">
      <w:pPr>
        <w:pStyle w:val="BodyText"/>
        <w:ind w:left="1440" w:right="1260"/>
        <w:rPr>
          <w:rtl/>
        </w:rPr>
      </w:pPr>
      <w:r>
        <w:rPr>
          <w:rFonts w:hint="cs"/>
          <w:rtl/>
        </w:rPr>
        <w:t>"</w:t>
      </w:r>
      <w:r>
        <w:rPr>
          <w:rFonts w:hint="cs"/>
          <w:b/>
          <w:bCs/>
          <w:rtl/>
        </w:rPr>
        <w:t>הימנעות מהרשעה אפשרית איפא בהצטבר שני גורמים: ראשית על ההרשעה לפגוע פגיעה חמורה בשיקום הנאשם ושנית סוג העבירה מאפשר לוותר בנסיבות המקרה המסויים על ההרשעה מבלי לפגוע באופן מהותי בשיקולי הענישה האחרים</w:t>
      </w:r>
      <w:r>
        <w:rPr>
          <w:rFonts w:hint="cs"/>
          <w:rtl/>
        </w:rPr>
        <w:t>".</w:t>
      </w:r>
    </w:p>
    <w:p w14:paraId="5C33DE0A" w14:textId="77777777" w:rsidR="009A0D33" w:rsidRDefault="009A0D33">
      <w:pPr>
        <w:pStyle w:val="Ruller5"/>
        <w:spacing w:line="360" w:lineRule="auto"/>
        <w:ind w:left="33" w:right="0"/>
        <w:rPr>
          <w:rFonts w:ascii="Times New Roman" w:hAnsi="Times New Roman" w:cs="David"/>
          <w:color w:val="000000"/>
          <w:spacing w:val="0"/>
          <w:sz w:val="24"/>
          <w:szCs w:val="24"/>
          <w:rtl/>
        </w:rPr>
      </w:pPr>
    </w:p>
    <w:p w14:paraId="4CDA19EC" w14:textId="77777777" w:rsidR="009A0D33" w:rsidRDefault="000F10AB">
      <w:pPr>
        <w:pStyle w:val="Ruller5"/>
        <w:spacing w:line="360" w:lineRule="auto"/>
        <w:ind w:left="33" w:right="0"/>
        <w:rPr>
          <w:rFonts w:ascii="Times New Roman" w:hAnsi="Times New Roman" w:cs="David"/>
          <w:color w:val="000000"/>
          <w:spacing w:val="0"/>
          <w:sz w:val="24"/>
          <w:szCs w:val="24"/>
          <w:rtl/>
        </w:rPr>
      </w:pPr>
      <w:r>
        <w:rPr>
          <w:rFonts w:ascii="Times New Roman" w:hAnsi="Times New Roman" w:cs="David" w:hint="cs"/>
          <w:color w:val="000000"/>
          <w:spacing w:val="0"/>
          <w:sz w:val="24"/>
          <w:szCs w:val="24"/>
          <w:rtl/>
        </w:rPr>
        <w:t>בהלכת "</w:t>
      </w:r>
      <w:r>
        <w:rPr>
          <w:rFonts w:ascii="Times New Roman" w:hAnsi="Times New Roman" w:cs="David" w:hint="cs"/>
          <w:b/>
          <w:bCs/>
          <w:color w:val="000000"/>
          <w:spacing w:val="0"/>
          <w:sz w:val="24"/>
          <w:szCs w:val="24"/>
          <w:rtl/>
        </w:rPr>
        <w:t>תמר כתב</w:t>
      </w:r>
      <w:r>
        <w:rPr>
          <w:rFonts w:ascii="Times New Roman" w:hAnsi="Times New Roman" w:cs="David" w:hint="cs"/>
          <w:color w:val="000000"/>
          <w:spacing w:val="0"/>
          <w:sz w:val="24"/>
          <w:szCs w:val="24"/>
          <w:rtl/>
        </w:rPr>
        <w:t>" דלעיל, ציין כב' השופט ש' לוין קווים מנחים לבחינת שאלת הרשעה או אי</w:t>
      </w:r>
    </w:p>
    <w:p w14:paraId="662148FA" w14:textId="77777777" w:rsidR="009A0D33" w:rsidRDefault="000F10AB">
      <w:pPr>
        <w:pStyle w:val="Ruller5"/>
        <w:spacing w:line="360" w:lineRule="auto"/>
        <w:ind w:left="33" w:right="0"/>
        <w:rPr>
          <w:rFonts w:ascii="Times New Roman" w:hAnsi="Times New Roman" w:cs="David"/>
          <w:color w:val="000000"/>
          <w:spacing w:val="0"/>
          <w:sz w:val="24"/>
          <w:szCs w:val="24"/>
          <w:rtl/>
        </w:rPr>
      </w:pPr>
      <w:r>
        <w:rPr>
          <w:rFonts w:ascii="Times New Roman" w:hAnsi="Times New Roman" w:cs="David" w:hint="cs"/>
          <w:color w:val="000000"/>
          <w:spacing w:val="0"/>
          <w:sz w:val="24"/>
          <w:szCs w:val="24"/>
          <w:rtl/>
        </w:rPr>
        <w:t xml:space="preserve">הרשעה של נאשמים: </w:t>
      </w:r>
    </w:p>
    <w:p w14:paraId="25F97B49" w14:textId="77777777" w:rsidR="009A0D33" w:rsidRDefault="000F10AB">
      <w:pPr>
        <w:pStyle w:val="Ruller5"/>
        <w:spacing w:line="360" w:lineRule="auto"/>
        <w:ind w:left="1440" w:right="1281"/>
        <w:rPr>
          <w:rFonts w:cs="David"/>
          <w:color w:val="000000"/>
          <w:sz w:val="24"/>
          <w:szCs w:val="24"/>
          <w:rtl/>
        </w:rPr>
      </w:pPr>
      <w:r>
        <w:rPr>
          <w:rFonts w:ascii="Times New Roman" w:hAnsi="Times New Roman" w:cs="David" w:hint="cs"/>
          <w:b/>
          <w:bCs/>
          <w:color w:val="000000"/>
          <w:spacing w:val="0"/>
          <w:sz w:val="24"/>
          <w:szCs w:val="24"/>
          <w:rtl/>
        </w:rPr>
        <w:t>"השאלה אימתי ובאלו נסיבות רשאי בית המשפט לחייב נאשם בשירות לתועלת הציבור ללא הרשעה אינה יכולה להיות מוכרעת לפי שיקולים הרמטיים. עם זאת רשאי בית המשפט לקבוע קווים מנחים ,((</w:t>
      </w:r>
      <w:r>
        <w:rPr>
          <w:rFonts w:ascii="Times New Roman" w:hAnsi="Times New Roman" w:cs="David"/>
          <w:b/>
          <w:bCs/>
          <w:color w:val="000000"/>
          <w:spacing w:val="0"/>
          <w:sz w:val="24"/>
          <w:szCs w:val="24"/>
        </w:rPr>
        <w:t>Guide lines</w:t>
      </w:r>
      <w:r>
        <w:rPr>
          <w:rFonts w:ascii="Times New Roman" w:hAnsi="Times New Roman" w:cs="David" w:hint="cs"/>
          <w:b/>
          <w:bCs/>
          <w:color w:val="000000"/>
          <w:spacing w:val="0"/>
          <w:sz w:val="24"/>
          <w:szCs w:val="24"/>
          <w:rtl/>
        </w:rPr>
        <w:t xml:space="preserve"> שבלי להיות ממצים, יש בהם כדי להדריך את בתי המשפט בענין זה. שיקולים אלה הם שיקולים של שיקום מחד ושיקולים של אינטרס הציבור מאידך</w:t>
      </w:r>
      <w:r>
        <w:rPr>
          <w:rFonts w:cs="David" w:hint="cs"/>
          <w:color w:val="000000"/>
          <w:sz w:val="24"/>
          <w:szCs w:val="24"/>
          <w:rtl/>
        </w:rPr>
        <w:t xml:space="preserve">. </w:t>
      </w:r>
    </w:p>
    <w:p w14:paraId="6EFB588A"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הזמנו את גב' פלאי, ראש שירות המבחן לטעון לפנינו; גב' פלאי הציגה לפנינו את שיקולי השירות להמליץ על שירות לתועלת הציבור ללא הרשעה, שהם בעיקרם שיקולי שיקום: </w:t>
      </w:r>
    </w:p>
    <w:p w14:paraId="3B8088BD"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א) האם מדובר בעבירה ראשונה או יחידה של הנאשם? </w:t>
      </w:r>
    </w:p>
    <w:p w14:paraId="4D0A95FF"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ב) מהי חומרת העבירה והנסיבות שבהן בוצעה? </w:t>
      </w:r>
    </w:p>
    <w:p w14:paraId="2A294196"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ג) מעמדו ותפקידו של הנאשם והקשר בין העבירה למעמד</w:t>
      </w:r>
    </w:p>
    <w:p w14:paraId="0BC5EB31"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    ולתפקיד; </w:t>
      </w:r>
    </w:p>
    <w:p w14:paraId="42DC6628"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ד) מידת הפגיעה של העבירה באחרים; </w:t>
      </w:r>
    </w:p>
    <w:p w14:paraId="1C47DE95"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ה) הסבירות שהנאשם יעבור עבירות נוספות; </w:t>
      </w:r>
    </w:p>
    <w:p w14:paraId="0C32A9A3"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ו) האם ביצוע העבירה על ידי הנאשם משקף דפוס של התנהגות</w:t>
      </w:r>
    </w:p>
    <w:p w14:paraId="0EA28BD7"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    כרונית, או המדובר בהתנהגות מקרית? </w:t>
      </w:r>
    </w:p>
    <w:p w14:paraId="0CDB5E5F"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ז) יחסו של הנאשם לעבירה, האם נוטל הוא אחריות לביצועה?</w:t>
      </w:r>
    </w:p>
    <w:p w14:paraId="56C01CE1"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    האם הוא מתחרט עליה? </w:t>
      </w:r>
    </w:p>
    <w:p w14:paraId="2320D0B0"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ח) משמעות ההרשעה על הדימוי העצמי של הנאשם? </w:t>
      </w:r>
    </w:p>
    <w:p w14:paraId="3CF2A776"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ט) השפעת ההרשעה על תחומי פעילותו של הנאשם. שיקולים</w:t>
      </w:r>
    </w:p>
    <w:p w14:paraId="440F2432"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     אלה, מבלי שיהיו ממצים, מקובלים עלי, כאחד הגורמים</w:t>
      </w:r>
    </w:p>
    <w:p w14:paraId="13EC7333" w14:textId="77777777" w:rsidR="009A0D33" w:rsidRDefault="000F10AB">
      <w:pPr>
        <w:pStyle w:val="Ruller5"/>
        <w:spacing w:line="360" w:lineRule="auto"/>
        <w:ind w:left="1440" w:right="1281"/>
        <w:rPr>
          <w:rFonts w:ascii="Times New Roman" w:hAnsi="Times New Roman" w:cs="David"/>
          <w:b/>
          <w:bCs/>
          <w:color w:val="000000"/>
          <w:spacing w:val="0"/>
          <w:sz w:val="24"/>
          <w:szCs w:val="24"/>
          <w:rtl/>
        </w:rPr>
      </w:pPr>
      <w:r>
        <w:rPr>
          <w:rFonts w:ascii="Times New Roman" w:hAnsi="Times New Roman" w:cs="David" w:hint="cs"/>
          <w:b/>
          <w:bCs/>
          <w:color w:val="000000"/>
          <w:spacing w:val="0"/>
          <w:sz w:val="24"/>
          <w:szCs w:val="24"/>
          <w:rtl/>
        </w:rPr>
        <w:t xml:space="preserve">     שיש להביאם בחשבון בהחלטה בדבר תוצאות ההרשעה".</w:t>
      </w:r>
    </w:p>
    <w:p w14:paraId="710C279E" w14:textId="77777777" w:rsidR="009A0D33" w:rsidRDefault="009A0D33">
      <w:pPr>
        <w:pStyle w:val="BodyText"/>
        <w:tabs>
          <w:tab w:val="num" w:pos="573"/>
        </w:tabs>
        <w:ind w:left="33"/>
        <w:rPr>
          <w:rtl/>
        </w:rPr>
      </w:pPr>
    </w:p>
    <w:p w14:paraId="7A58CC29" w14:textId="77777777" w:rsidR="009A0D33" w:rsidRDefault="000F10AB">
      <w:pPr>
        <w:pStyle w:val="BodyText"/>
        <w:tabs>
          <w:tab w:val="num" w:pos="573"/>
        </w:tabs>
        <w:ind w:left="33"/>
        <w:rPr>
          <w:b/>
          <w:bCs/>
          <w:u w:val="single"/>
          <w:rtl/>
        </w:rPr>
      </w:pPr>
      <w:r>
        <w:rPr>
          <w:rFonts w:hint="cs"/>
          <w:b/>
          <w:bCs/>
          <w:u w:val="single"/>
          <w:rtl/>
        </w:rPr>
        <w:t xml:space="preserve">מן הפרט אל הכלל: </w:t>
      </w:r>
    </w:p>
    <w:p w14:paraId="3B9D3329" w14:textId="77777777" w:rsidR="009A0D33" w:rsidRDefault="000F10AB">
      <w:pPr>
        <w:pStyle w:val="BodyText"/>
        <w:tabs>
          <w:tab w:val="num" w:pos="573"/>
        </w:tabs>
        <w:ind w:left="33"/>
        <w:rPr>
          <w:color w:val="000000"/>
          <w:rtl/>
        </w:rPr>
      </w:pPr>
      <w:r>
        <w:rPr>
          <w:rFonts w:hint="cs"/>
          <w:color w:val="000000"/>
          <w:rtl/>
        </w:rPr>
        <w:lastRenderedPageBreak/>
        <w:t xml:space="preserve">לאחר שבחנתי את נסיבות ביצוע העבירה ואת נסיבותיו האישיות של הנאשם, כפי שפורטו בתסקיר שירות המבחן לעיל, לא מצאתי כי יש מקום להורות על אי הרשעת הנאשם, זאת כפי שיפורט להלן. </w:t>
      </w:r>
    </w:p>
    <w:p w14:paraId="18C085E3" w14:textId="77777777" w:rsidR="009A0D33" w:rsidRDefault="009A0D33">
      <w:pPr>
        <w:autoSpaceDE w:val="0"/>
        <w:autoSpaceDN w:val="0"/>
        <w:adjustRightInd w:val="0"/>
        <w:spacing w:line="360" w:lineRule="auto"/>
        <w:jc w:val="both"/>
        <w:rPr>
          <w:color w:val="000000"/>
          <w:rtl/>
          <w:lang w:eastAsia="he-IL"/>
        </w:rPr>
      </w:pPr>
    </w:p>
    <w:p w14:paraId="2CDD0EB6" w14:textId="77777777" w:rsidR="009A0D33" w:rsidRDefault="000F10AB">
      <w:pPr>
        <w:spacing w:line="360" w:lineRule="auto"/>
        <w:ind w:left="720" w:hanging="720"/>
        <w:jc w:val="both"/>
        <w:rPr>
          <w:color w:val="000000"/>
          <w:rtl/>
          <w:lang w:eastAsia="he-IL"/>
        </w:rPr>
      </w:pPr>
      <w:r>
        <w:rPr>
          <w:rFonts w:hint="cs"/>
          <w:color w:val="000000"/>
          <w:rtl/>
          <w:lang w:eastAsia="he-IL"/>
        </w:rPr>
        <w:t xml:space="preserve">הנאשם הודה בביצוע עבירה חמורה, במספר הזדמנויות שונות,  עת היה מנהל והמתלוננת הייתה </w:t>
      </w:r>
    </w:p>
    <w:p w14:paraId="378A2D44" w14:textId="77777777" w:rsidR="009A0D33" w:rsidRDefault="000F10AB">
      <w:pPr>
        <w:spacing w:line="360" w:lineRule="auto"/>
        <w:ind w:left="720" w:hanging="720"/>
        <w:jc w:val="both"/>
        <w:rPr>
          <w:color w:val="000000"/>
          <w:rtl/>
          <w:lang w:eastAsia="he-IL"/>
        </w:rPr>
      </w:pPr>
      <w:r>
        <w:rPr>
          <w:rFonts w:hint="cs"/>
          <w:color w:val="000000"/>
          <w:rtl/>
          <w:lang w:eastAsia="he-IL"/>
        </w:rPr>
        <w:t xml:space="preserve">קטינה שעבדה תחת מרותו. </w:t>
      </w:r>
    </w:p>
    <w:p w14:paraId="4AF758AD" w14:textId="77777777" w:rsidR="009A0D33" w:rsidRDefault="009A0D33">
      <w:pPr>
        <w:spacing w:line="360" w:lineRule="auto"/>
        <w:jc w:val="both"/>
        <w:rPr>
          <w:color w:val="000000"/>
          <w:rtl/>
          <w:lang w:eastAsia="he-IL"/>
        </w:rPr>
      </w:pPr>
    </w:p>
    <w:p w14:paraId="0E11CFEC" w14:textId="77777777" w:rsidR="009A0D33" w:rsidRDefault="000F10AB">
      <w:pPr>
        <w:spacing w:line="360" w:lineRule="auto"/>
        <w:jc w:val="both"/>
        <w:rPr>
          <w:rtl/>
        </w:rPr>
      </w:pPr>
      <w:r>
        <w:rPr>
          <w:rFonts w:hint="cs"/>
          <w:color w:val="000000"/>
          <w:rtl/>
          <w:lang w:eastAsia="he-IL"/>
        </w:rPr>
        <w:t xml:space="preserve">לא אחת נקבע, כי </w:t>
      </w:r>
      <w:r>
        <w:rPr>
          <w:rFonts w:hint="cs"/>
          <w:rtl/>
        </w:rPr>
        <w:t xml:space="preserve">הקריטריונים שנקבעו בהלכה לבחינת אי הרשעת נאשמים,  אינם מבודדים את סוג העבירה כשיקול בלעדי להחלטה האם ניתן להסתפק באי הרשעה, מבלי לפגוע באופן חמור באינטרס הציבורי. בית המשפט שוקל את סוג העבירה, חומרתה ונסיבותיה (ראה </w:t>
      </w:r>
      <w:hyperlink r:id="rId11" w:history="1">
        <w:r w:rsidR="00E31140" w:rsidRPr="00E31140">
          <w:rPr>
            <w:rStyle w:val="Hyperlink"/>
            <w:b/>
            <w:bCs/>
            <w:rtl/>
          </w:rPr>
          <w:t>רע"פ 9982/09</w:t>
        </w:r>
      </w:hyperlink>
      <w:r>
        <w:rPr>
          <w:rFonts w:hint="cs"/>
          <w:color w:val="000000"/>
          <w:rtl/>
        </w:rPr>
        <w:t xml:space="preserve"> </w:t>
      </w:r>
      <w:r>
        <w:rPr>
          <w:rFonts w:hint="cs"/>
          <w:b/>
          <w:bCs/>
          <w:color w:val="000000"/>
          <w:rtl/>
        </w:rPr>
        <w:t>אסף</w:t>
      </w:r>
      <w:r>
        <w:rPr>
          <w:rFonts w:hint="cs"/>
          <w:b/>
          <w:bCs/>
          <w:rtl/>
        </w:rPr>
        <w:t xml:space="preserve"> בוסקילה-בר נ' מדינת ישראל</w:t>
      </w:r>
      <w:r>
        <w:rPr>
          <w:rFonts w:hint="cs"/>
          <w:rtl/>
        </w:rPr>
        <w:t>).</w:t>
      </w:r>
    </w:p>
    <w:p w14:paraId="5C6259DD" w14:textId="77777777" w:rsidR="009A0D33" w:rsidRDefault="009A0D33">
      <w:pPr>
        <w:autoSpaceDE w:val="0"/>
        <w:autoSpaceDN w:val="0"/>
        <w:adjustRightInd w:val="0"/>
        <w:spacing w:line="360" w:lineRule="auto"/>
        <w:jc w:val="both"/>
        <w:rPr>
          <w:color w:val="000000"/>
          <w:rtl/>
          <w:lang w:eastAsia="he-IL"/>
        </w:rPr>
      </w:pPr>
    </w:p>
    <w:p w14:paraId="441E57EA" w14:textId="77777777" w:rsidR="009A0D33" w:rsidRDefault="000F10AB">
      <w:pPr>
        <w:autoSpaceDE w:val="0"/>
        <w:autoSpaceDN w:val="0"/>
        <w:adjustRightInd w:val="0"/>
        <w:spacing w:line="360" w:lineRule="auto"/>
        <w:jc w:val="both"/>
        <w:rPr>
          <w:color w:val="000000"/>
          <w:rtl/>
          <w:lang w:eastAsia="he-IL"/>
        </w:rPr>
      </w:pPr>
      <w:r>
        <w:rPr>
          <w:rFonts w:hint="cs"/>
          <w:color w:val="000000"/>
          <w:rtl/>
          <w:lang w:eastAsia="he-IL"/>
        </w:rPr>
        <w:t>בחנתי את טענת הסנגור, לפיה מדובר בעבירה במדרג הנמוך של עבירת מעשה מגונה. אין המדובר במעשה קל ערך, הנאשם נשק על שפתיה של הקטינה וכן נגע בגופה במספר הזדמנויות. מעשיו של הנאשם הם חמורים, ומדובר בעבירה חמורה. אי הרשעת הנאשם, יש בה כדי לפגוע באינטרס ציבורי מהותי וחשוב של העברת מסר חד וברור, כי אין לבצע מעשים מגונים כפי שביצע הנאשם. קיים אינטרס ציבורי מובהק, של הגדרת  המותר והאסור. אי הרשעת הנאשם, תעביר מסר מוטעה לציבור.</w:t>
      </w:r>
    </w:p>
    <w:p w14:paraId="5B1F83AC" w14:textId="77777777" w:rsidR="009A0D33" w:rsidRDefault="009A0D33">
      <w:pPr>
        <w:autoSpaceDE w:val="0"/>
        <w:autoSpaceDN w:val="0"/>
        <w:adjustRightInd w:val="0"/>
        <w:spacing w:line="360" w:lineRule="auto"/>
        <w:jc w:val="both"/>
        <w:rPr>
          <w:color w:val="000000"/>
          <w:u w:val="single"/>
          <w:rtl/>
          <w:lang w:eastAsia="he-IL"/>
        </w:rPr>
      </w:pPr>
    </w:p>
    <w:p w14:paraId="630B4B41"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באשר לטענה כי הרשעת הנאשם יש בה כדי לפגוע בפרנסתו, לא שוכנעתי כי כך הם פני הדברים. לא מצאתי כי יסודות הלכת כתב מתקיימים במקרה שבפנינו. שירות המבחן בחן את שאלת הרשעתו של הנאשם, ומצא כי הרשעתו לא תפגע בו בצורה חריגה. שירות המבחן נמנע ממתן המלצה לאי הרשעה בשים לב לחומרת העבירה המיוחסת לו, אופייה והתייחסותו של הנאשם אליה. </w:t>
      </w:r>
    </w:p>
    <w:p w14:paraId="4352DA6C" w14:textId="77777777" w:rsidR="009A0D33" w:rsidRDefault="009A0D33">
      <w:pPr>
        <w:autoSpaceDE w:val="0"/>
        <w:autoSpaceDN w:val="0"/>
        <w:adjustRightInd w:val="0"/>
        <w:spacing w:line="360" w:lineRule="auto"/>
        <w:jc w:val="both"/>
        <w:rPr>
          <w:rFonts w:ascii="Times New Roman-Normal-1255"/>
          <w:rtl/>
        </w:rPr>
      </w:pPr>
    </w:p>
    <w:p w14:paraId="5C924AF5"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מתסקיר שירות המבחן, עולה כי הנאשם כבן 53 שנים, אב לשמונה ילדים. שירות המבחן התרשם, כי הנאשם שמר לאורך השנים על רמת תפקוד תעסוקתי מקובלת. שירות המבחן התרשם כי לא קיימת סטייה מינית אצל הנאשם, אלא מדובר בחציית גבולות ביחסים עם האחר, תוך ניצול מרות וסמכות. </w:t>
      </w:r>
    </w:p>
    <w:p w14:paraId="73527E27" w14:textId="77777777" w:rsidR="009A0D33" w:rsidRDefault="009A0D33">
      <w:pPr>
        <w:autoSpaceDE w:val="0"/>
        <w:autoSpaceDN w:val="0"/>
        <w:adjustRightInd w:val="0"/>
        <w:spacing w:line="360" w:lineRule="auto"/>
        <w:jc w:val="both"/>
        <w:rPr>
          <w:rFonts w:ascii="Times New Roman-Normal-1255"/>
          <w:rtl/>
        </w:rPr>
      </w:pPr>
    </w:p>
    <w:p w14:paraId="3EBEA69D" w14:textId="77777777" w:rsidR="009A0D33" w:rsidRDefault="000F10AB">
      <w:pPr>
        <w:autoSpaceDE w:val="0"/>
        <w:autoSpaceDN w:val="0"/>
        <w:adjustRightInd w:val="0"/>
        <w:spacing w:line="360" w:lineRule="auto"/>
        <w:jc w:val="both"/>
        <w:rPr>
          <w:rFonts w:ascii="Times New Roman-Normal-1255"/>
          <w:rtl/>
        </w:rPr>
      </w:pPr>
      <w:r>
        <w:rPr>
          <w:rFonts w:hint="cs"/>
          <w:rtl/>
        </w:rPr>
        <w:t xml:space="preserve">שירות המבחן התייחס להערכת מסוכנות, שנדרשה על פי </w:t>
      </w:r>
      <w:r w:rsidRPr="00B14876">
        <w:rPr>
          <w:color w:val="000000"/>
          <w:rtl/>
        </w:rPr>
        <w:t>חוק הגנה על הציבור מפני עברייני מין</w:t>
      </w:r>
      <w:r>
        <w:rPr>
          <w:rFonts w:hint="cs"/>
          <w:color w:val="000000"/>
          <w:rtl/>
        </w:rPr>
        <w:t>,</w:t>
      </w:r>
      <w:r>
        <w:rPr>
          <w:rFonts w:hint="cs"/>
          <w:rtl/>
        </w:rPr>
        <w:t xml:space="preserve"> התשס"א– 2006, לפיה </w:t>
      </w:r>
      <w:r>
        <w:rPr>
          <w:rFonts w:ascii="Times New Roman-Normal-1255" w:hint="cs"/>
          <w:rtl/>
        </w:rPr>
        <w:t>רמת מסוכנתו המינית הינה נמוכה – בינונית.</w:t>
      </w:r>
    </w:p>
    <w:p w14:paraId="330AA609" w14:textId="77777777" w:rsidR="009A0D33" w:rsidRDefault="009A0D33">
      <w:pPr>
        <w:autoSpaceDE w:val="0"/>
        <w:autoSpaceDN w:val="0"/>
        <w:adjustRightInd w:val="0"/>
        <w:spacing w:line="360" w:lineRule="auto"/>
        <w:jc w:val="both"/>
        <w:rPr>
          <w:rFonts w:ascii="Times New Roman-Normal-1255"/>
          <w:rtl/>
        </w:rPr>
      </w:pPr>
    </w:p>
    <w:p w14:paraId="3A90684F"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שירות המבחן ציין כי הנאשם הסכים להשתתף בקבוצה טיפולית לעברייני מין. שירות המבחן התרשם כי מוכנות זו באה מתוך שיקולים של רווח והפסד ולא מתוך הכרה בבעייתיות. </w:t>
      </w:r>
    </w:p>
    <w:p w14:paraId="50FE6BA6" w14:textId="77777777" w:rsidR="009A0D33" w:rsidRDefault="009A0D33">
      <w:pPr>
        <w:autoSpaceDE w:val="0"/>
        <w:autoSpaceDN w:val="0"/>
        <w:adjustRightInd w:val="0"/>
        <w:spacing w:line="360" w:lineRule="auto"/>
        <w:jc w:val="both"/>
        <w:rPr>
          <w:rFonts w:ascii="Times New Roman-Normal-1255"/>
          <w:rtl/>
        </w:rPr>
      </w:pPr>
    </w:p>
    <w:p w14:paraId="4B74AE0C"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שירות המבחן המליץ על ענישה במסגרת מאסר שירוצה בעבודות שירות, מאסר על תנאי ופיצוי למתלוננת. </w:t>
      </w:r>
    </w:p>
    <w:p w14:paraId="5645EE08" w14:textId="77777777" w:rsidR="009A0D33" w:rsidRDefault="009A0D33">
      <w:pPr>
        <w:autoSpaceDE w:val="0"/>
        <w:autoSpaceDN w:val="0"/>
        <w:adjustRightInd w:val="0"/>
        <w:spacing w:line="360" w:lineRule="auto"/>
        <w:jc w:val="both"/>
        <w:rPr>
          <w:rFonts w:ascii="Times New Roman-Normal-1255"/>
          <w:rtl/>
        </w:rPr>
      </w:pPr>
    </w:p>
    <w:p w14:paraId="53C9836B"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לאחר ששקלתי את טיעוני הצדדים, מצאתי להרשיע את הנאשם. </w:t>
      </w:r>
    </w:p>
    <w:p w14:paraId="74C389E4" w14:textId="77777777" w:rsidR="009A0D33" w:rsidRDefault="009A0D33">
      <w:pPr>
        <w:autoSpaceDE w:val="0"/>
        <w:autoSpaceDN w:val="0"/>
        <w:adjustRightInd w:val="0"/>
        <w:spacing w:line="360" w:lineRule="auto"/>
        <w:jc w:val="both"/>
        <w:rPr>
          <w:rFonts w:ascii="Times New Roman-Normal-1255"/>
          <w:rtl/>
        </w:rPr>
      </w:pPr>
    </w:p>
    <w:p w14:paraId="0C8DF0DC" w14:textId="77777777" w:rsidR="009A0D33" w:rsidRDefault="000F10AB">
      <w:pPr>
        <w:autoSpaceDE w:val="0"/>
        <w:autoSpaceDN w:val="0"/>
        <w:adjustRightInd w:val="0"/>
        <w:spacing w:line="360" w:lineRule="auto"/>
        <w:jc w:val="both"/>
        <w:rPr>
          <w:rFonts w:ascii="Times New Roman-Normal-1255"/>
          <w:b/>
          <w:bCs/>
          <w:u w:val="single"/>
          <w:rtl/>
        </w:rPr>
      </w:pPr>
      <w:r>
        <w:rPr>
          <w:rFonts w:ascii="Times New Roman-Normal-1255" w:hint="cs"/>
          <w:b/>
          <w:bCs/>
          <w:u w:val="single"/>
          <w:rtl/>
        </w:rPr>
        <w:t>אני מורה על הרשעת הנאשם בעבירה של מעשה</w:t>
      </w:r>
      <w:r>
        <w:rPr>
          <w:rFonts w:ascii="Times New Roman-Normal-1255" w:hint="cs"/>
          <w:b/>
          <w:bCs/>
          <w:u w:val="single"/>
        </w:rPr>
        <w:t xml:space="preserve"> </w:t>
      </w:r>
      <w:r>
        <w:rPr>
          <w:rFonts w:ascii="Times New Roman-Normal-1255" w:hint="cs"/>
          <w:b/>
          <w:bCs/>
          <w:u w:val="single"/>
          <w:rtl/>
        </w:rPr>
        <w:t>מגונה, עבירה</w:t>
      </w:r>
      <w:r>
        <w:rPr>
          <w:rFonts w:ascii="Times New Roman-Normal-1255" w:hint="cs"/>
          <w:b/>
          <w:bCs/>
          <w:u w:val="single"/>
        </w:rPr>
        <w:t xml:space="preserve"> </w:t>
      </w:r>
      <w:r>
        <w:rPr>
          <w:rFonts w:ascii="Times New Roman-Normal-1255" w:hint="cs"/>
          <w:b/>
          <w:bCs/>
          <w:u w:val="single"/>
          <w:rtl/>
        </w:rPr>
        <w:t>לפי</w:t>
      </w:r>
      <w:r>
        <w:rPr>
          <w:rFonts w:ascii="Times New Roman-Normal-1255" w:hint="cs"/>
          <w:b/>
          <w:bCs/>
          <w:u w:val="single"/>
        </w:rPr>
        <w:t xml:space="preserve"> </w:t>
      </w:r>
      <w:hyperlink r:id="rId12" w:history="1">
        <w:r w:rsidR="00A351D6" w:rsidRPr="00A351D6">
          <w:rPr>
            <w:rFonts w:ascii="Times New Roman-Normal-1255"/>
            <w:b/>
            <w:bCs/>
            <w:color w:val="0000FF"/>
            <w:u w:val="single"/>
            <w:rtl/>
          </w:rPr>
          <w:t>סעיף 348 (ד)(1)</w:t>
        </w:r>
      </w:hyperlink>
      <w:r>
        <w:rPr>
          <w:rFonts w:ascii="Times New Roman-Normal-1255" w:hint="cs"/>
          <w:b/>
          <w:bCs/>
          <w:u w:val="single"/>
        </w:rPr>
        <w:t xml:space="preserve"> </w:t>
      </w:r>
      <w:r>
        <w:rPr>
          <w:rFonts w:ascii="Times New Roman-Normal-1255" w:hint="cs"/>
          <w:b/>
          <w:bCs/>
          <w:u w:val="single"/>
          <w:rtl/>
        </w:rPr>
        <w:t>ל</w:t>
      </w:r>
      <w:hyperlink r:id="rId13" w:history="1">
        <w:r w:rsidR="00E31140" w:rsidRPr="00E31140">
          <w:rPr>
            <w:rStyle w:val="Hyperlink"/>
            <w:rFonts w:ascii="Times New Roman-Normal-1255"/>
            <w:b/>
            <w:bCs/>
            <w:rtl/>
          </w:rPr>
          <w:t>חוק העונשין</w:t>
        </w:r>
      </w:hyperlink>
      <w:r>
        <w:rPr>
          <w:rFonts w:ascii="Times New Roman-Normal-1255" w:hint="cs"/>
          <w:b/>
          <w:bCs/>
          <w:u w:val="single"/>
          <w:rtl/>
        </w:rPr>
        <w:t>,</w:t>
      </w:r>
      <w:r>
        <w:rPr>
          <w:rFonts w:ascii="Times New Roman-Normal-1255" w:hint="cs"/>
          <w:b/>
          <w:bCs/>
          <w:u w:val="single"/>
        </w:rPr>
        <w:t xml:space="preserve"> </w:t>
      </w:r>
      <w:r>
        <w:rPr>
          <w:rFonts w:ascii="Times New Roman-Normal-1255" w:hint="cs"/>
          <w:b/>
          <w:bCs/>
          <w:u w:val="single"/>
          <w:rtl/>
        </w:rPr>
        <w:t xml:space="preserve">התשל"ז- 1977. </w:t>
      </w:r>
    </w:p>
    <w:p w14:paraId="3C5DD34E" w14:textId="77777777" w:rsidR="009A0D33" w:rsidRDefault="009A0D33">
      <w:pPr>
        <w:autoSpaceDE w:val="0"/>
        <w:autoSpaceDN w:val="0"/>
        <w:adjustRightInd w:val="0"/>
        <w:spacing w:line="360" w:lineRule="auto"/>
        <w:jc w:val="both"/>
        <w:rPr>
          <w:rFonts w:ascii="Times New Roman-Normal-1255"/>
          <w:rtl/>
        </w:rPr>
      </w:pPr>
    </w:p>
    <w:p w14:paraId="768037B1" w14:textId="77777777" w:rsidR="009A0D33" w:rsidRDefault="000F10AB">
      <w:pPr>
        <w:autoSpaceDE w:val="0"/>
        <w:autoSpaceDN w:val="0"/>
        <w:adjustRightInd w:val="0"/>
        <w:spacing w:line="360" w:lineRule="auto"/>
        <w:jc w:val="both"/>
        <w:rPr>
          <w:rFonts w:ascii="Times New Roman-Normal-1255"/>
          <w:rtl/>
        </w:rPr>
      </w:pPr>
      <w:r>
        <w:rPr>
          <w:rFonts w:hint="cs"/>
          <w:rtl/>
        </w:rPr>
        <w:t>הפסיקה התייחסה לעבירת "</w:t>
      </w:r>
      <w:r>
        <w:rPr>
          <w:rFonts w:hint="cs"/>
          <w:b/>
          <w:bCs/>
          <w:rtl/>
        </w:rPr>
        <w:t>מעשה מגונה באדם ללא הסכמתו</w:t>
      </w:r>
      <w:r>
        <w:rPr>
          <w:rFonts w:hint="cs"/>
          <w:rtl/>
        </w:rPr>
        <w:t>" במשנה חומרה. עשיית מעשה מגונה באישה ללא הסכמתה, יש בו פגיעה חריפה בערך של שמירה על כבוד האישה והאוטונומיה על גופה אשר מוגנים על-ידי החוק</w:t>
      </w:r>
      <w:r>
        <w:rPr>
          <w:rFonts w:ascii="Times New Roman-Normal-1255" w:hint="cs"/>
          <w:rtl/>
        </w:rPr>
        <w:t>. על אחת כמה וכמה, חומרה יתרה יש כאשר מדובר בקורבן שהיא  קטינה, הנתונה למרותו של נאשם שהוא מנהל במקום עבודתה.</w:t>
      </w:r>
    </w:p>
    <w:p w14:paraId="2FE571C5" w14:textId="77777777" w:rsidR="009A0D33" w:rsidRDefault="009A0D33">
      <w:pPr>
        <w:autoSpaceDE w:val="0"/>
        <w:autoSpaceDN w:val="0"/>
        <w:adjustRightInd w:val="0"/>
        <w:spacing w:line="360" w:lineRule="auto"/>
        <w:jc w:val="both"/>
        <w:rPr>
          <w:rFonts w:ascii="Times New Roman-Normal-1255"/>
          <w:rtl/>
        </w:rPr>
      </w:pPr>
    </w:p>
    <w:p w14:paraId="104A5EC6"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 xml:space="preserve">נתתי דעתי לכך כי לנאשם אין עבר פלילי וזוהי אם כן מעידתו הראשונה. </w:t>
      </w:r>
    </w:p>
    <w:p w14:paraId="10227AFE" w14:textId="77777777" w:rsidR="009A0D33" w:rsidRDefault="009A0D33">
      <w:pPr>
        <w:autoSpaceDE w:val="0"/>
        <w:autoSpaceDN w:val="0"/>
        <w:adjustRightInd w:val="0"/>
        <w:spacing w:line="360" w:lineRule="auto"/>
        <w:jc w:val="both"/>
        <w:rPr>
          <w:rFonts w:ascii="Times New Roman-Normal-1255"/>
          <w:rtl/>
        </w:rPr>
      </w:pPr>
    </w:p>
    <w:p w14:paraId="15D52A6F" w14:textId="77777777" w:rsidR="009A0D33" w:rsidRDefault="000F10AB">
      <w:pPr>
        <w:spacing w:line="360" w:lineRule="auto"/>
        <w:jc w:val="both"/>
        <w:rPr>
          <w:rFonts w:ascii="Times New Roman"/>
          <w:rtl/>
        </w:rPr>
      </w:pPr>
      <w:r>
        <w:rPr>
          <w:rFonts w:hint="cs"/>
          <w:rtl/>
        </w:rPr>
        <w:t xml:space="preserve">נתתי דעתי להודאת הנאשם בהזדמנות הראשונה  ולהבעת החרטה. </w:t>
      </w:r>
    </w:p>
    <w:p w14:paraId="2DC994BB" w14:textId="77777777" w:rsidR="009A0D33" w:rsidRDefault="009A0D33">
      <w:pPr>
        <w:autoSpaceDE w:val="0"/>
        <w:autoSpaceDN w:val="0"/>
        <w:adjustRightInd w:val="0"/>
        <w:spacing w:line="360" w:lineRule="auto"/>
        <w:jc w:val="both"/>
        <w:rPr>
          <w:rFonts w:ascii="Times New Roman-Normal-1255"/>
          <w:rtl/>
        </w:rPr>
      </w:pPr>
    </w:p>
    <w:p w14:paraId="295B8A73" w14:textId="77777777" w:rsidR="009A0D33" w:rsidRDefault="009A0D33">
      <w:pPr>
        <w:autoSpaceDE w:val="0"/>
        <w:autoSpaceDN w:val="0"/>
        <w:adjustRightInd w:val="0"/>
        <w:spacing w:line="360" w:lineRule="auto"/>
        <w:jc w:val="both"/>
        <w:rPr>
          <w:rFonts w:ascii="Times New Roman-Normal-1255"/>
          <w:rtl/>
        </w:rPr>
      </w:pPr>
    </w:p>
    <w:p w14:paraId="37DB2051" w14:textId="77777777" w:rsidR="009A0D33" w:rsidRDefault="009A0D33">
      <w:pPr>
        <w:pStyle w:val="BodyText"/>
        <w:rPr>
          <w:b/>
          <w:bCs/>
          <w:u w:val="single"/>
          <w:rtl/>
        </w:rPr>
      </w:pPr>
    </w:p>
    <w:p w14:paraId="6C73824A" w14:textId="77777777" w:rsidR="009A0D33" w:rsidRDefault="000F10AB">
      <w:pPr>
        <w:pStyle w:val="BodyText"/>
        <w:rPr>
          <w:b/>
          <w:bCs/>
          <w:rtl/>
        </w:rPr>
      </w:pPr>
      <w:r>
        <w:rPr>
          <w:rFonts w:hint="cs"/>
          <w:b/>
          <w:bCs/>
          <w:u w:val="single"/>
          <w:rtl/>
        </w:rPr>
        <w:t>בהתחשב בטיעוני שני הצדדים לעונש, אני דן את הנאשם לעונשים הבאים</w:t>
      </w:r>
      <w:r>
        <w:rPr>
          <w:rFonts w:hint="cs"/>
          <w:b/>
          <w:bCs/>
          <w:rtl/>
        </w:rPr>
        <w:t>:</w:t>
      </w:r>
    </w:p>
    <w:p w14:paraId="265A39EF" w14:textId="77777777" w:rsidR="009A0D33" w:rsidRDefault="009A0D33">
      <w:pPr>
        <w:pStyle w:val="BodyText2"/>
        <w:spacing w:line="360" w:lineRule="auto"/>
        <w:jc w:val="both"/>
        <w:rPr>
          <w:rFonts w:cs="David"/>
          <w:rtl/>
        </w:rPr>
      </w:pPr>
    </w:p>
    <w:p w14:paraId="6E6D52C6" w14:textId="77777777" w:rsidR="009A0D33" w:rsidRDefault="000F10AB">
      <w:pPr>
        <w:pStyle w:val="BodyText2"/>
        <w:spacing w:line="360" w:lineRule="auto"/>
        <w:ind w:left="720" w:hanging="720"/>
        <w:jc w:val="both"/>
        <w:rPr>
          <w:rFonts w:cs="David"/>
          <w:rtl/>
        </w:rPr>
      </w:pPr>
      <w:r>
        <w:rPr>
          <w:rFonts w:cs="David" w:hint="cs"/>
          <w:rtl/>
        </w:rPr>
        <w:t xml:space="preserve">א. </w:t>
      </w:r>
      <w:r>
        <w:rPr>
          <w:rFonts w:cs="David" w:hint="cs"/>
          <w:rtl/>
        </w:rPr>
        <w:tab/>
        <w:t xml:space="preserve">אני מטיל על הנאשם מאסר לתקופה של 18 חודשים, מהם  5 חודשים בפועל והיתרה על תנאי, למשך 3 שנים החל מהיום, והתנאי שלא יעבור ויורשע על העבירה בה הורשע בכתב אישום זה ו/או כל עבירת מין. </w:t>
      </w:r>
    </w:p>
    <w:p w14:paraId="730D64AC" w14:textId="77777777" w:rsidR="009A0D33" w:rsidRDefault="009A0D33">
      <w:pPr>
        <w:spacing w:line="360" w:lineRule="auto"/>
        <w:ind w:left="720"/>
        <w:jc w:val="both"/>
        <w:rPr>
          <w:rtl/>
        </w:rPr>
      </w:pPr>
    </w:p>
    <w:p w14:paraId="63DC064E" w14:textId="77777777" w:rsidR="009A0D33" w:rsidRDefault="000F10AB">
      <w:pPr>
        <w:pStyle w:val="BodyText"/>
        <w:ind w:left="720" w:hanging="720"/>
        <w:rPr>
          <w:rFonts w:ascii="Times New Roman-Normal-1255"/>
          <w:rtl/>
        </w:rPr>
      </w:pPr>
      <w:r>
        <w:rPr>
          <w:rFonts w:hint="cs"/>
          <w:rtl/>
        </w:rPr>
        <w:t xml:space="preserve">ב. </w:t>
      </w:r>
      <w:r>
        <w:rPr>
          <w:rFonts w:hint="cs"/>
          <w:rtl/>
        </w:rPr>
        <w:tab/>
        <w:t xml:space="preserve">הנאשם ישלם פיצוי למתלוננת בסך 5,000 ₪. הפיצוי ישולם באמצעות קופת בית המשפט וזאת תוך 60 ימים מהיום. </w:t>
      </w:r>
    </w:p>
    <w:p w14:paraId="0AEAC6DD" w14:textId="77777777" w:rsidR="009A0D33" w:rsidRDefault="009A0D33">
      <w:pPr>
        <w:pStyle w:val="BodyText"/>
        <w:ind w:left="720" w:hanging="720"/>
        <w:rPr>
          <w:rFonts w:ascii="Times New Roman-Normal-1255"/>
          <w:rtl/>
        </w:rPr>
      </w:pPr>
    </w:p>
    <w:p w14:paraId="6BDBCEAB" w14:textId="77777777" w:rsidR="009A0D33" w:rsidRDefault="000F10AB">
      <w:pPr>
        <w:pStyle w:val="BodyText"/>
        <w:ind w:left="720" w:hanging="720"/>
        <w:rPr>
          <w:rFonts w:ascii="Times New Roman-Normal-1255"/>
          <w:rtl/>
        </w:rPr>
      </w:pPr>
      <w:r>
        <w:rPr>
          <w:rFonts w:ascii="Times New Roman-Normal-1255" w:hint="cs"/>
          <w:rtl/>
        </w:rPr>
        <w:t>ג.</w:t>
      </w:r>
      <w:r>
        <w:rPr>
          <w:rFonts w:ascii="Times New Roman-Normal-1255" w:hint="cs"/>
          <w:rtl/>
        </w:rPr>
        <w:tab/>
        <w:t>הנאשם ישלם קנס בסך 2,000 ₪ או 50 ימי מאסר תמורתו. הקנס ישולם בתוך 90 יום מהיום.  כל סכום שישולם, ייזקף תחילה על חשבון הפיצויים.</w:t>
      </w:r>
    </w:p>
    <w:p w14:paraId="6A9473C6" w14:textId="77777777" w:rsidR="009A0D33" w:rsidRDefault="009A0D33">
      <w:pPr>
        <w:pStyle w:val="BodyText"/>
        <w:ind w:left="720" w:hanging="720"/>
        <w:rPr>
          <w:rFonts w:ascii="Times New Roman-Normal-1255"/>
          <w:rtl/>
        </w:rPr>
      </w:pPr>
    </w:p>
    <w:p w14:paraId="5C2A644B" w14:textId="77777777" w:rsidR="009A0D33" w:rsidRDefault="000F10AB">
      <w:pPr>
        <w:autoSpaceDE w:val="0"/>
        <w:autoSpaceDN w:val="0"/>
        <w:adjustRightInd w:val="0"/>
        <w:spacing w:line="360" w:lineRule="auto"/>
        <w:jc w:val="both"/>
        <w:rPr>
          <w:rFonts w:ascii="Times New Roman-Normal-1255"/>
          <w:rtl/>
        </w:rPr>
      </w:pPr>
      <w:r>
        <w:rPr>
          <w:rFonts w:ascii="Times New Roman-Normal-1255" w:hint="cs"/>
          <w:rtl/>
        </w:rPr>
        <w:t>ד.</w:t>
      </w:r>
      <w:r>
        <w:rPr>
          <w:rFonts w:ascii="Times New Roman-Normal-1255" w:hint="cs"/>
          <w:rtl/>
        </w:rPr>
        <w:tab/>
        <w:t xml:space="preserve">הנאשם ירצה את עונש המאסר בעבודות שירות, כאמור בחוות דעת הממונה על עבודות </w:t>
      </w:r>
      <w:r>
        <w:rPr>
          <w:rFonts w:ascii="Times New Roman-Normal-1255" w:hint="cs"/>
          <w:rtl/>
        </w:rPr>
        <w:tab/>
        <w:t xml:space="preserve">שירות, במפעל חיים בטבריה, מועד תחילת ריצוי המאסר ביום </w:t>
      </w:r>
      <w:r>
        <w:rPr>
          <w:rFonts w:ascii="Times New Roman-Normal-1255" w:hint="cs"/>
          <w:b/>
          <w:bCs/>
          <w:rtl/>
        </w:rPr>
        <w:t>17.1.11</w:t>
      </w:r>
      <w:r>
        <w:rPr>
          <w:rFonts w:ascii="Times New Roman-Normal-1255" w:hint="cs"/>
          <w:rtl/>
        </w:rPr>
        <w:t xml:space="preserve">. </w:t>
      </w:r>
      <w:r>
        <w:rPr>
          <w:rFonts w:ascii="Times New Roman-Normal-1255" w:hint="cs"/>
          <w:rtl/>
        </w:rPr>
        <w:tab/>
        <w:t xml:space="preserve"> </w:t>
      </w:r>
    </w:p>
    <w:p w14:paraId="61568AA1" w14:textId="77777777" w:rsidR="009A0D33" w:rsidRDefault="009A0D33">
      <w:pPr>
        <w:rPr>
          <w:rtl/>
        </w:rPr>
      </w:pPr>
    </w:p>
    <w:p w14:paraId="50112638" w14:textId="77777777" w:rsidR="009A0D33" w:rsidRDefault="009A0D33">
      <w:pPr>
        <w:rPr>
          <w:b/>
          <w:bCs/>
          <w:u w:val="single"/>
          <w:rtl/>
        </w:rPr>
      </w:pPr>
    </w:p>
    <w:p w14:paraId="3CF4031E" w14:textId="77777777" w:rsidR="009A0D33" w:rsidRDefault="000F10AB">
      <w:pPr>
        <w:rPr>
          <w:rtl/>
        </w:rPr>
      </w:pPr>
      <w:r>
        <w:rPr>
          <w:rFonts w:hint="cs"/>
          <w:b/>
          <w:bCs/>
          <w:u w:val="single"/>
          <w:rtl/>
        </w:rPr>
        <w:t>המזכירות תמציא העתק לממונה על עבודות שירות</w:t>
      </w:r>
      <w:r>
        <w:rPr>
          <w:rFonts w:hint="cs"/>
          <w:rtl/>
        </w:rPr>
        <w:t>.</w:t>
      </w:r>
    </w:p>
    <w:p w14:paraId="78286864" w14:textId="77777777" w:rsidR="009A0D33" w:rsidRDefault="009A0D33">
      <w:pPr>
        <w:rPr>
          <w:rtl/>
        </w:rPr>
      </w:pPr>
    </w:p>
    <w:p w14:paraId="4139C402" w14:textId="77777777" w:rsidR="009A0D33" w:rsidRDefault="009A0D33">
      <w:pPr>
        <w:rPr>
          <w:rtl/>
        </w:rPr>
      </w:pPr>
    </w:p>
    <w:p w14:paraId="602147FB" w14:textId="77777777" w:rsidR="009A0D33" w:rsidRDefault="000F10AB">
      <w:pPr>
        <w:rPr>
          <w:b/>
          <w:bCs/>
          <w:u w:val="single"/>
          <w:rtl/>
        </w:rPr>
      </w:pPr>
      <w:r>
        <w:rPr>
          <w:rFonts w:hint="cs"/>
          <w:b/>
          <w:bCs/>
          <w:u w:val="single"/>
          <w:rtl/>
        </w:rPr>
        <w:t>זכות ערעור לבית המשפט המחוזי תוך 45 יום מהיום.</w:t>
      </w:r>
    </w:p>
    <w:p w14:paraId="77D35E6B" w14:textId="77777777" w:rsidR="009A0D33" w:rsidRDefault="009A0D33">
      <w:pPr>
        <w:rPr>
          <w:rtl/>
        </w:rPr>
      </w:pPr>
    </w:p>
    <w:p w14:paraId="02DA20D7" w14:textId="77777777" w:rsidR="009A0D33" w:rsidRDefault="009A0D33">
      <w:pPr>
        <w:rPr>
          <w:rtl/>
        </w:rPr>
      </w:pPr>
    </w:p>
    <w:p w14:paraId="052A963A" w14:textId="77777777" w:rsidR="009A0D33" w:rsidRDefault="000F10AB">
      <w:pPr>
        <w:rPr>
          <w:sz w:val="6"/>
          <w:szCs w:val="6"/>
          <w:rtl/>
        </w:rPr>
      </w:pPr>
      <w:r>
        <w:rPr>
          <w:sz w:val="6"/>
          <w:szCs w:val="6"/>
          <w:rtl/>
        </w:rPr>
        <w:t>&lt;#3#&gt;</w:t>
      </w:r>
    </w:p>
    <w:p w14:paraId="4DD1D270" w14:textId="77777777" w:rsidR="009A0D33" w:rsidRDefault="000F10AB">
      <w:pPr>
        <w:spacing w:line="360" w:lineRule="auto"/>
        <w:jc w:val="both"/>
        <w:rPr>
          <w:rtl/>
        </w:rPr>
      </w:pPr>
      <w:r>
        <w:rPr>
          <w:b/>
          <w:bCs/>
          <w:rtl/>
        </w:rPr>
        <w:t xml:space="preserve">ניתנה והודעה היום כ"ט טבת תשע"א, 05/01/2011 במעמד הנוכחים.  </w:t>
      </w:r>
      <w:r>
        <w:rPr>
          <w:rtl/>
        </w:rPr>
        <w:t xml:space="preserve"> </w:t>
      </w:r>
    </w:p>
    <w:p w14:paraId="0582F955" w14:textId="77777777" w:rsidR="000F10AB" w:rsidRPr="000F10AB" w:rsidRDefault="000F10AB">
      <w:pPr>
        <w:jc w:val="both"/>
        <w:rPr>
          <w:color w:val="FFFFFF"/>
          <w:sz w:val="2"/>
          <w:szCs w:val="2"/>
          <w:rtl/>
        </w:rPr>
      </w:pPr>
    </w:p>
    <w:p w14:paraId="0CA3F697" w14:textId="77777777" w:rsidR="000F10AB" w:rsidRPr="000F10AB" w:rsidRDefault="000F10AB">
      <w:pPr>
        <w:jc w:val="both"/>
        <w:rPr>
          <w:color w:val="FFFFFF"/>
          <w:sz w:val="2"/>
          <w:szCs w:val="2"/>
          <w:rtl/>
        </w:rPr>
      </w:pPr>
      <w:r w:rsidRPr="000F10AB">
        <w:rPr>
          <w:color w:val="FFFFFF"/>
          <w:sz w:val="2"/>
          <w:szCs w:val="2"/>
          <w:rtl/>
        </w:rPr>
        <w:t>5129371</w:t>
      </w:r>
    </w:p>
    <w:p w14:paraId="0937C7FD" w14:textId="77777777" w:rsidR="000F10AB" w:rsidRPr="000F10AB" w:rsidRDefault="000F10AB" w:rsidP="000F10AB">
      <w:pPr>
        <w:keepNext/>
        <w:rPr>
          <w:color w:val="000000"/>
          <w:sz w:val="22"/>
          <w:szCs w:val="22"/>
          <w:rtl/>
        </w:rPr>
      </w:pPr>
    </w:p>
    <w:p w14:paraId="3BFFF32D" w14:textId="77777777" w:rsidR="0083119F" w:rsidRPr="0083119F" w:rsidRDefault="0083119F" w:rsidP="0083119F">
      <w:pPr>
        <w:keepNext/>
        <w:rPr>
          <w:rFonts w:hint="cs"/>
          <w:color w:val="000000"/>
          <w:sz w:val="22"/>
          <w:szCs w:val="22"/>
          <w:rtl/>
        </w:rPr>
      </w:pPr>
    </w:p>
    <w:p w14:paraId="6520DD03" w14:textId="77777777" w:rsidR="0083119F" w:rsidRPr="0083119F" w:rsidRDefault="0083119F" w:rsidP="0083119F">
      <w:pPr>
        <w:keepNext/>
        <w:rPr>
          <w:color w:val="000000"/>
          <w:sz w:val="22"/>
          <w:szCs w:val="22"/>
          <w:rtl/>
        </w:rPr>
      </w:pPr>
      <w:r w:rsidRPr="0083119F">
        <w:rPr>
          <w:color w:val="000000"/>
          <w:sz w:val="22"/>
          <w:szCs w:val="22"/>
          <w:rtl/>
        </w:rPr>
        <w:t>דורון פורת 54678313-/</w:t>
      </w:r>
    </w:p>
    <w:p w14:paraId="38CBA9DC" w14:textId="77777777" w:rsidR="009A0D33" w:rsidRDefault="000F10AB">
      <w:pPr>
        <w:jc w:val="both"/>
        <w:rPr>
          <w:rtl/>
        </w:rPr>
      </w:pPr>
      <w:r w:rsidRPr="000F10AB">
        <w:rPr>
          <w:color w:val="FFFFFF"/>
          <w:sz w:val="2"/>
          <w:szCs w:val="2"/>
          <w:rtl/>
        </w:rPr>
        <w:t>54678313</w:t>
      </w:r>
      <w:r>
        <w:rPr>
          <w:rtl/>
        </w:rPr>
        <w:t xml:space="preserve"> </w:t>
      </w:r>
    </w:p>
    <w:tbl>
      <w:tblPr>
        <w:bidiVisual/>
        <w:tblW w:w="3420" w:type="dxa"/>
        <w:tblInd w:w="5354" w:type="dxa"/>
        <w:tblLook w:val="01E0" w:firstRow="1" w:lastRow="1" w:firstColumn="1" w:lastColumn="1" w:noHBand="0" w:noVBand="0"/>
      </w:tblPr>
      <w:tblGrid>
        <w:gridCol w:w="3420"/>
      </w:tblGrid>
      <w:tr w:rsidR="009A0D33" w14:paraId="27BE6F43" w14:textId="77777777">
        <w:trPr>
          <w:cantSplit/>
        </w:trPr>
        <w:tc>
          <w:tcPr>
            <w:tcW w:w="3420" w:type="dxa"/>
            <w:tcBorders>
              <w:bottom w:val="single" w:sz="4" w:space="0" w:color="auto"/>
            </w:tcBorders>
            <w:shd w:val="clear" w:color="auto" w:fill="auto"/>
          </w:tcPr>
          <w:p w14:paraId="78403ABB" w14:textId="77777777" w:rsidR="009A0D33" w:rsidRPr="00FF33B8" w:rsidRDefault="009A0D33" w:rsidP="00FF33B8">
            <w:pPr>
              <w:spacing w:line="360" w:lineRule="auto"/>
              <w:jc w:val="center"/>
              <w:rPr>
                <w:rFonts w:cs="FrankRuehl"/>
                <w:rtl/>
              </w:rPr>
            </w:pPr>
          </w:p>
          <w:p w14:paraId="531A01A8" w14:textId="77777777" w:rsidR="009A0D33" w:rsidRPr="00FF33B8" w:rsidRDefault="009A0D33" w:rsidP="00FF33B8">
            <w:pPr>
              <w:spacing w:line="360" w:lineRule="auto"/>
              <w:jc w:val="center"/>
              <w:rPr>
                <w:rFonts w:cs="FrankRuehl"/>
                <w:rtl/>
              </w:rPr>
            </w:pPr>
          </w:p>
        </w:tc>
      </w:tr>
      <w:tr w:rsidR="009A0D33" w14:paraId="723C7957" w14:textId="77777777">
        <w:tc>
          <w:tcPr>
            <w:tcW w:w="3420" w:type="dxa"/>
            <w:tcBorders>
              <w:top w:val="single" w:sz="4" w:space="0" w:color="auto"/>
            </w:tcBorders>
            <w:shd w:val="clear" w:color="auto" w:fill="auto"/>
          </w:tcPr>
          <w:p w14:paraId="4FBF2007" w14:textId="77777777" w:rsidR="009A0D33" w:rsidRPr="00FF33B8" w:rsidRDefault="000F10AB" w:rsidP="00FF33B8">
            <w:pPr>
              <w:spacing w:line="360" w:lineRule="auto"/>
              <w:jc w:val="center"/>
              <w:rPr>
                <w:b/>
                <w:bCs/>
                <w:rtl/>
              </w:rPr>
            </w:pPr>
            <w:r w:rsidRPr="00FF33B8">
              <w:rPr>
                <w:b/>
                <w:bCs/>
                <w:rtl/>
              </w:rPr>
              <w:t>דורון</w:t>
            </w:r>
            <w:r w:rsidRPr="00FF33B8">
              <w:rPr>
                <w:rFonts w:hint="cs"/>
                <w:b/>
                <w:bCs/>
                <w:rtl/>
              </w:rPr>
              <w:t xml:space="preserve"> </w:t>
            </w:r>
            <w:r w:rsidRPr="00FF33B8">
              <w:rPr>
                <w:b/>
                <w:bCs/>
                <w:rtl/>
              </w:rPr>
              <w:t>פורת</w:t>
            </w:r>
            <w:r w:rsidRPr="00FF33B8">
              <w:rPr>
                <w:rFonts w:hint="cs"/>
                <w:b/>
                <w:bCs/>
                <w:rtl/>
              </w:rPr>
              <w:t xml:space="preserve">, </w:t>
            </w:r>
            <w:r w:rsidRPr="00FF33B8">
              <w:rPr>
                <w:b/>
                <w:bCs/>
                <w:rtl/>
              </w:rPr>
              <w:t>שופט</w:t>
            </w:r>
          </w:p>
        </w:tc>
      </w:tr>
    </w:tbl>
    <w:p w14:paraId="150805C7" w14:textId="77777777" w:rsidR="009A0D33" w:rsidRDefault="009A0D33">
      <w:pPr>
        <w:jc w:val="right"/>
        <w:rPr>
          <w:rtl/>
        </w:rPr>
      </w:pPr>
    </w:p>
    <w:p w14:paraId="6FD270D7" w14:textId="77777777" w:rsidR="009A0D33" w:rsidRDefault="009A0D33">
      <w:pPr>
        <w:rPr>
          <w:rtl/>
        </w:rPr>
      </w:pPr>
    </w:p>
    <w:p w14:paraId="773FE83B" w14:textId="77777777" w:rsidR="0083119F" w:rsidRPr="0083119F" w:rsidRDefault="0083119F">
      <w:pPr>
        <w:rPr>
          <w:color w:val="FFFFFF"/>
          <w:sz w:val="2"/>
          <w:szCs w:val="2"/>
          <w:rtl/>
        </w:rPr>
      </w:pPr>
    </w:p>
    <w:p w14:paraId="69BD10A6" w14:textId="77777777" w:rsidR="0083119F" w:rsidRPr="0083119F" w:rsidRDefault="0083119F">
      <w:pPr>
        <w:rPr>
          <w:color w:val="FFFFFF"/>
          <w:sz w:val="2"/>
          <w:szCs w:val="2"/>
          <w:rtl/>
        </w:rPr>
      </w:pPr>
      <w:r w:rsidRPr="0083119F">
        <w:rPr>
          <w:color w:val="FFFFFF"/>
          <w:sz w:val="2"/>
          <w:szCs w:val="2"/>
          <w:rtl/>
        </w:rPr>
        <w:t>5129371</w:t>
      </w:r>
    </w:p>
    <w:p w14:paraId="15349BD4" w14:textId="77777777" w:rsidR="009A0D33" w:rsidRDefault="0083119F">
      <w:pPr>
        <w:rPr>
          <w:rtl/>
        </w:rPr>
      </w:pPr>
      <w:r w:rsidRPr="0083119F">
        <w:rPr>
          <w:color w:val="FFFFFF"/>
          <w:sz w:val="2"/>
          <w:szCs w:val="2"/>
          <w:rtl/>
        </w:rPr>
        <w:t>54678313</w:t>
      </w:r>
    </w:p>
    <w:p w14:paraId="1E4AE098" w14:textId="77777777" w:rsidR="009A0D33" w:rsidRDefault="009A0D33">
      <w:pPr>
        <w:jc w:val="center"/>
        <w:rPr>
          <w:rtl/>
        </w:rPr>
      </w:pPr>
    </w:p>
    <w:p w14:paraId="3996F31F" w14:textId="77777777" w:rsidR="009A0D33" w:rsidRDefault="000F10AB">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אורית מור</w:t>
      </w:r>
    </w:p>
    <w:p w14:paraId="6EF9C62C" w14:textId="77777777" w:rsidR="000F10AB" w:rsidRDefault="000F10AB" w:rsidP="000F10AB">
      <w:r w:rsidRPr="000F10AB">
        <w:rPr>
          <w:color w:val="000000"/>
          <w:rtl/>
        </w:rPr>
        <w:t>נוסח מסמך זה כפוף לשינויי ניסוח ועריכה</w:t>
      </w:r>
    </w:p>
    <w:p w14:paraId="7F3484FC" w14:textId="77777777" w:rsidR="000F10AB" w:rsidRDefault="000F10AB" w:rsidP="000F10AB">
      <w:pPr>
        <w:rPr>
          <w:rtl/>
        </w:rPr>
      </w:pPr>
    </w:p>
    <w:p w14:paraId="1CDEB342" w14:textId="77777777" w:rsidR="000F10AB" w:rsidRDefault="000F10AB" w:rsidP="000F10AB">
      <w:pPr>
        <w:jc w:val="center"/>
        <w:rPr>
          <w:color w:val="0000FF"/>
          <w:u w:val="single"/>
        </w:rPr>
      </w:pPr>
      <w:r w:rsidRPr="00B14876">
        <w:rPr>
          <w:color w:val="000000"/>
          <w:rtl/>
        </w:rPr>
        <w:t>בעניין עריכה ושינויים במסמכי פסיקה, חקיקה ועוד באתר נבו – הקש כאן</w:t>
      </w:r>
    </w:p>
    <w:sectPr w:rsidR="000F10AB" w:rsidSect="0083119F">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91A9C" w14:textId="77777777" w:rsidR="00FF33B8" w:rsidRPr="009B2C3A" w:rsidRDefault="00FF33B8">
      <w:pPr>
        <w:rPr>
          <w:rFonts w:cs="Arial"/>
          <w:szCs w:val="20"/>
        </w:rPr>
      </w:pPr>
      <w:r>
        <w:separator/>
      </w:r>
    </w:p>
  </w:endnote>
  <w:endnote w:type="continuationSeparator" w:id="0">
    <w:p w14:paraId="7D10816C" w14:textId="77777777" w:rsidR="00FF33B8" w:rsidRPr="009B2C3A" w:rsidRDefault="00FF33B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Normal-1255">
    <w:altName w:val="Times New Roman"/>
    <w:panose1 w:val="00000000000000000000"/>
    <w:charset w:val="B1"/>
    <w:family w:val="roman"/>
    <w:notTrueType/>
    <w:pitch w:val="default"/>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5820" w14:textId="77777777" w:rsidR="008977E1" w:rsidRDefault="008977E1" w:rsidP="0083119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33AE8C" w14:textId="77777777" w:rsidR="008977E1" w:rsidRPr="0083119F" w:rsidRDefault="008977E1" w:rsidP="0083119F">
    <w:pPr>
      <w:pStyle w:val="Footer"/>
      <w:pBdr>
        <w:top w:val="single" w:sz="4" w:space="1" w:color="auto"/>
        <w:between w:val="single" w:sz="4" w:space="0" w:color="auto"/>
      </w:pBdr>
      <w:spacing w:after="60"/>
      <w:jc w:val="center"/>
      <w:rPr>
        <w:rFonts w:ascii="FrankRuehl" w:hAnsi="FrankRuehl" w:cs="FrankRuehl"/>
        <w:color w:val="000000"/>
      </w:rPr>
    </w:pPr>
    <w:r w:rsidRPr="008311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3940" w14:textId="77777777" w:rsidR="008977E1" w:rsidRDefault="008977E1" w:rsidP="0083119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0923">
      <w:rPr>
        <w:rFonts w:ascii="FrankRuehl" w:hAnsi="FrankRuehl" w:cs="FrankRuehl"/>
        <w:noProof/>
        <w:rtl/>
      </w:rPr>
      <w:t>1</w:t>
    </w:r>
    <w:r>
      <w:rPr>
        <w:rFonts w:ascii="FrankRuehl" w:hAnsi="FrankRuehl" w:cs="FrankRuehl"/>
        <w:rtl/>
      </w:rPr>
      <w:fldChar w:fldCharType="end"/>
    </w:r>
  </w:p>
  <w:p w14:paraId="4D871F0C" w14:textId="77777777" w:rsidR="008977E1" w:rsidRPr="0083119F" w:rsidRDefault="008977E1" w:rsidP="0083119F">
    <w:pPr>
      <w:pStyle w:val="Footer"/>
      <w:pBdr>
        <w:top w:val="single" w:sz="4" w:space="1" w:color="auto"/>
        <w:between w:val="single" w:sz="4" w:space="0" w:color="auto"/>
      </w:pBdr>
      <w:spacing w:after="60"/>
      <w:jc w:val="center"/>
      <w:rPr>
        <w:rFonts w:ascii="FrankRuehl" w:hAnsi="FrankRuehl" w:cs="FrankRuehl"/>
        <w:color w:val="000000"/>
      </w:rPr>
    </w:pPr>
    <w:r w:rsidRPr="0083119F">
      <w:rPr>
        <w:rFonts w:ascii="FrankRuehl" w:hAnsi="FrankRuehl" w:cs="FrankRuehl"/>
        <w:color w:val="000000"/>
      </w:rPr>
      <w:pict w14:anchorId="70F37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F9A42" w14:textId="77777777" w:rsidR="00FF33B8" w:rsidRPr="009B2C3A" w:rsidRDefault="00FF33B8">
      <w:pPr>
        <w:rPr>
          <w:rFonts w:cs="Arial"/>
          <w:szCs w:val="20"/>
        </w:rPr>
      </w:pPr>
      <w:r>
        <w:separator/>
      </w:r>
    </w:p>
  </w:footnote>
  <w:footnote w:type="continuationSeparator" w:id="0">
    <w:p w14:paraId="01B87014" w14:textId="77777777" w:rsidR="00FF33B8" w:rsidRPr="009B2C3A" w:rsidRDefault="00FF33B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7DA" w14:textId="77777777" w:rsidR="008977E1" w:rsidRPr="0083119F" w:rsidRDefault="008977E1" w:rsidP="0083119F">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20485-09-09</w:t>
    </w:r>
    <w:r>
      <w:rPr>
        <w:color w:val="000000"/>
        <w:sz w:val="22"/>
        <w:szCs w:val="22"/>
        <w:rtl/>
      </w:rPr>
      <w:tab/>
      <w:t xml:space="preserve"> מדינת ישראל פמ"צ נ' עומר פריחי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B525" w14:textId="77777777" w:rsidR="008977E1" w:rsidRPr="0083119F" w:rsidRDefault="008977E1" w:rsidP="0083119F">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20485-09-09</w:t>
    </w:r>
    <w:r>
      <w:rPr>
        <w:color w:val="000000"/>
        <w:sz w:val="22"/>
        <w:szCs w:val="22"/>
        <w:rtl/>
      </w:rPr>
      <w:tab/>
      <w:t xml:space="preserve"> מדינת ישראל פמ"צ נ' עומר פריחי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0D33"/>
    <w:rsid w:val="000C69A4"/>
    <w:rsid w:val="000F051D"/>
    <w:rsid w:val="000F10AB"/>
    <w:rsid w:val="005501E0"/>
    <w:rsid w:val="00664A11"/>
    <w:rsid w:val="007F0923"/>
    <w:rsid w:val="0083119F"/>
    <w:rsid w:val="008977E1"/>
    <w:rsid w:val="009830CC"/>
    <w:rsid w:val="009A0D33"/>
    <w:rsid w:val="00A351D6"/>
    <w:rsid w:val="00B14876"/>
    <w:rsid w:val="00E31140"/>
    <w:rsid w:val="00F80F35"/>
    <w:rsid w:val="00FF33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6AD15F"/>
  <w15:chartTrackingRefBased/>
  <w15:docId w15:val="{F214D56F-998A-4E1A-BDB6-5783B0B2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0D3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0D33"/>
    <w:pPr>
      <w:tabs>
        <w:tab w:val="center" w:pos="4153"/>
        <w:tab w:val="right" w:pos="8306"/>
      </w:tabs>
    </w:pPr>
  </w:style>
  <w:style w:type="paragraph" w:styleId="Footer">
    <w:name w:val="footer"/>
    <w:basedOn w:val="Normal"/>
    <w:rsid w:val="009A0D33"/>
    <w:pPr>
      <w:tabs>
        <w:tab w:val="center" w:pos="4153"/>
        <w:tab w:val="right" w:pos="8306"/>
      </w:tabs>
    </w:pPr>
  </w:style>
  <w:style w:type="table" w:styleId="TableGrid">
    <w:name w:val="Table Grid"/>
    <w:basedOn w:val="TableNormal"/>
    <w:rsid w:val="009A0D3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A0D33"/>
  </w:style>
  <w:style w:type="character" w:customStyle="1" w:styleId="TimesNewRomanTimesNewRoman">
    <w:name w:val="סגנון (לטיני) Times New Roman (עברית ושפות אחרות) Times New Roman..."/>
    <w:rsid w:val="009A0D3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9A0D33"/>
    <w:rPr>
      <w:rFonts w:ascii="Times New Roman" w:eastAsia="Times New Roman" w:hAnsi="Times New Roman"/>
      <w:b/>
      <w:bCs/>
      <w:u w:val="single"/>
    </w:rPr>
  </w:style>
  <w:style w:type="paragraph" w:styleId="BodyText">
    <w:name w:val="Body Text"/>
    <w:basedOn w:val="Normal"/>
    <w:rsid w:val="009A0D33"/>
    <w:pPr>
      <w:spacing w:line="360" w:lineRule="auto"/>
      <w:jc w:val="both"/>
    </w:pPr>
    <w:rPr>
      <w:rFonts w:ascii="Times New Roman" w:eastAsia="Times New Roman" w:hAnsi="Times New Roman"/>
      <w:lang w:eastAsia="he-IL"/>
    </w:rPr>
  </w:style>
  <w:style w:type="paragraph" w:styleId="BodyText2">
    <w:name w:val="Body Text 2"/>
    <w:basedOn w:val="Normal"/>
    <w:rsid w:val="009A0D33"/>
    <w:pPr>
      <w:spacing w:after="120" w:line="480" w:lineRule="auto"/>
    </w:pPr>
    <w:rPr>
      <w:rFonts w:ascii="Times New Roman" w:eastAsia="Times New Roman" w:hAnsi="Times New Roman" w:cs="Times New Roman"/>
    </w:rPr>
  </w:style>
  <w:style w:type="paragraph" w:customStyle="1" w:styleId="Ruller5">
    <w:name w:val="Ruller5"/>
    <w:basedOn w:val="Normal"/>
    <w:rsid w:val="009A0D33"/>
    <w:pPr>
      <w:overflowPunct w:val="0"/>
      <w:autoSpaceDE w:val="0"/>
      <w:autoSpaceDN w:val="0"/>
      <w:adjustRightInd w:val="0"/>
      <w:ind w:left="1642" w:right="1282"/>
      <w:jc w:val="both"/>
    </w:pPr>
    <w:rPr>
      <w:rFonts w:ascii="Arial TUR" w:eastAsia="Times New Roman" w:hAnsi="Arial TUR" w:cs="FrankRuehl"/>
      <w:spacing w:val="10"/>
      <w:sz w:val="22"/>
      <w:szCs w:val="28"/>
      <w:lang w:eastAsia="he-IL"/>
    </w:rPr>
  </w:style>
  <w:style w:type="character" w:styleId="LineNumber">
    <w:name w:val="line number"/>
    <w:basedOn w:val="DefaultParagraphFont"/>
    <w:rsid w:val="009A0D33"/>
  </w:style>
  <w:style w:type="character" w:styleId="Hyperlink">
    <w:name w:val="Hyperlink"/>
    <w:rsid w:val="000F1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d.1"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d.1" TargetMode="External"/><Relationship Id="rId12" Type="http://schemas.openxmlformats.org/officeDocument/2006/relationships/hyperlink" Target="http://www.nevo.co.il/law/70301/348.d.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63070"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581078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6725</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7889</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6357050</vt:i4>
      </vt:variant>
      <vt:variant>
        <vt:i4>18</vt:i4>
      </vt:variant>
      <vt:variant>
        <vt:i4>0</vt:i4>
      </vt:variant>
      <vt:variant>
        <vt:i4>5</vt:i4>
      </vt:variant>
      <vt:variant>
        <vt:lpwstr>http://www.nevo.co.il/law/70301/348.d.1</vt:lpwstr>
      </vt:variant>
      <vt:variant>
        <vt:lpwstr/>
      </vt:variant>
      <vt:variant>
        <vt:i4>3145841</vt:i4>
      </vt:variant>
      <vt:variant>
        <vt:i4>15</vt:i4>
      </vt:variant>
      <vt:variant>
        <vt:i4>0</vt:i4>
      </vt:variant>
      <vt:variant>
        <vt:i4>5</vt:i4>
      </vt:variant>
      <vt:variant>
        <vt:lpwstr>http://www.nevo.co.il/case/6163070</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6357050</vt:i4>
      </vt:variant>
      <vt:variant>
        <vt:i4>6</vt:i4>
      </vt:variant>
      <vt:variant>
        <vt:i4>0</vt:i4>
      </vt:variant>
      <vt:variant>
        <vt:i4>5</vt:i4>
      </vt:variant>
      <vt:variant>
        <vt:lpwstr>http://www.nevo.co.il/law/70301/348.d.1</vt:lpwstr>
      </vt:variant>
      <vt:variant>
        <vt:lpwstr/>
      </vt:variant>
      <vt:variant>
        <vt:i4>6357050</vt:i4>
      </vt:variant>
      <vt:variant>
        <vt:i4>3</vt:i4>
      </vt:variant>
      <vt:variant>
        <vt:i4>0</vt:i4>
      </vt:variant>
      <vt:variant>
        <vt:i4>5</vt:i4>
      </vt:variant>
      <vt:variant>
        <vt:lpwstr>http://www.nevo.co.il/law/70301/348.d.1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20485</vt:lpwstr>
  </property>
  <property fmtid="{D5CDD505-2E9C-101B-9397-08002B2CF9AE}" pid="6" name="NEWPARTB">
    <vt:lpwstr>09</vt:lpwstr>
  </property>
  <property fmtid="{D5CDD505-2E9C-101B-9397-08002B2CF9AE}" pid="7" name="NEWPARTC">
    <vt:lpwstr>09</vt:lpwstr>
  </property>
  <property fmtid="{D5CDD505-2E9C-101B-9397-08002B2CF9AE}" pid="8" name="APPELLANT">
    <vt:lpwstr>מדינת ישראל פמ#צ</vt:lpwstr>
  </property>
  <property fmtid="{D5CDD505-2E9C-101B-9397-08002B2CF9AE}" pid="9" name="APPELLEE">
    <vt:lpwstr>עומר פריחי</vt:lpwstr>
  </property>
  <property fmtid="{D5CDD505-2E9C-101B-9397-08002B2CF9AE}" pid="10" name="LAWYER">
    <vt:lpwstr>שלמה אלכביר;שגיא בוסנינו</vt:lpwstr>
  </property>
  <property fmtid="{D5CDD505-2E9C-101B-9397-08002B2CF9AE}" pid="11" name="JUDGE">
    <vt:lpwstr>דורון פורת</vt:lpwstr>
  </property>
  <property fmtid="{D5CDD505-2E9C-101B-9397-08002B2CF9AE}" pid="12" name="CITY">
    <vt:lpwstr>נצ'</vt:lpwstr>
  </property>
  <property fmtid="{D5CDD505-2E9C-101B-9397-08002B2CF9AE}" pid="13" name="DATE">
    <vt:lpwstr>20110105</vt:lpwstr>
  </property>
  <property fmtid="{D5CDD505-2E9C-101B-9397-08002B2CF9AE}" pid="14" name="TYPE_N_DATE">
    <vt:lpwstr>38020110105</vt:lpwstr>
  </property>
  <property fmtid="{D5CDD505-2E9C-101B-9397-08002B2CF9AE}" pid="15" name="WORDNUMPAGES">
    <vt:lpwstr>6</vt:lpwstr>
  </property>
  <property fmtid="{D5CDD505-2E9C-101B-9397-08002B2CF9AE}" pid="16" name="TYPE_ABS_DATE">
    <vt:lpwstr>380020110105</vt:lpwstr>
  </property>
  <property fmtid="{D5CDD505-2E9C-101B-9397-08002B2CF9AE}" pid="17" name="RemarkFileName">
    <vt:lpwstr>shalom sh 09 09 20485 553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5810781;6163070</vt:lpwstr>
  </property>
  <property fmtid="{D5CDD505-2E9C-101B-9397-08002B2CF9AE}" pid="40" name="LAWLISTTMP1">
    <vt:lpwstr>70301/348.d.1:2</vt:lpwstr>
  </property>
</Properties>
</file>