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39"/>
        <w:gridCol w:w="3708"/>
      </w:tblGrid>
      <w:tr w:rsidR="005D6FC4" w:rsidRPr="00504339" w14:paraId="0E1C6B36" w14:textId="77777777">
        <w:trPr>
          <w:trHeight w:hRule="exact" w:val="418"/>
          <w:jc w:val="center"/>
        </w:trPr>
        <w:tc>
          <w:tcPr>
            <w:tcW w:w="8720" w:type="dxa"/>
            <w:gridSpan w:val="3"/>
          </w:tcPr>
          <w:p w14:paraId="623E6102" w14:textId="77777777" w:rsidR="005D6FC4" w:rsidRPr="00504339" w:rsidRDefault="00504339">
            <w:pPr>
              <w:pStyle w:val="Header"/>
              <w:tabs>
                <w:tab w:val="clear" w:pos="8306"/>
              </w:tabs>
              <w:jc w:val="center"/>
              <w:rPr>
                <w:rFonts w:ascii="Tahoma" w:hAnsi="Tahoma" w:cs="Tahoma"/>
                <w:b/>
                <w:bCs/>
                <w:color w:val="000080"/>
                <w:rtl/>
              </w:rPr>
            </w:pPr>
            <w:bookmarkStart w:id="0" w:name="LastJudge"/>
            <w:r w:rsidRPr="00504339">
              <w:rPr>
                <w:rFonts w:ascii="Tahoma" w:hAnsi="Tahoma" w:cs="Tahoma"/>
                <w:b/>
                <w:bCs/>
                <w:color w:val="000080"/>
                <w:rtl/>
              </w:rPr>
              <w:t>בית משפט השלום בצפת</w:t>
            </w:r>
          </w:p>
        </w:tc>
      </w:tr>
      <w:tr w:rsidR="005D6FC4" w:rsidRPr="00504339" w14:paraId="08499EAA" w14:textId="77777777">
        <w:trPr>
          <w:trHeight w:val="337"/>
          <w:jc w:val="center"/>
        </w:trPr>
        <w:tc>
          <w:tcPr>
            <w:tcW w:w="3973" w:type="dxa"/>
          </w:tcPr>
          <w:p w14:paraId="7349B627" w14:textId="77777777" w:rsidR="005D6FC4" w:rsidRPr="00504339" w:rsidRDefault="00504339">
            <w:pPr>
              <w:rPr>
                <w:b/>
                <w:bCs/>
                <w:rtl/>
              </w:rPr>
            </w:pPr>
            <w:r w:rsidRPr="00504339">
              <w:rPr>
                <w:rFonts w:hint="cs"/>
                <w:b/>
                <w:bCs/>
                <w:rtl/>
              </w:rPr>
              <w:t>בפני כב' סגן הנשיא סאאב דבור</w:t>
            </w:r>
          </w:p>
        </w:tc>
        <w:tc>
          <w:tcPr>
            <w:tcW w:w="1039" w:type="dxa"/>
          </w:tcPr>
          <w:p w14:paraId="6DDDF791" w14:textId="77777777" w:rsidR="005D6FC4" w:rsidRPr="00504339" w:rsidRDefault="005D6FC4">
            <w:pPr>
              <w:pStyle w:val="Header"/>
              <w:jc w:val="right"/>
              <w:rPr>
                <w:rtl/>
              </w:rPr>
            </w:pPr>
          </w:p>
        </w:tc>
        <w:tc>
          <w:tcPr>
            <w:tcW w:w="3708" w:type="dxa"/>
          </w:tcPr>
          <w:p w14:paraId="776F6A30" w14:textId="77777777" w:rsidR="005D6FC4" w:rsidRPr="00504339" w:rsidRDefault="00504339">
            <w:pPr>
              <w:jc w:val="right"/>
              <w:rPr>
                <w:rtl/>
              </w:rPr>
            </w:pPr>
            <w:r w:rsidRPr="00504339">
              <w:rPr>
                <w:rtl/>
              </w:rPr>
              <w:t>ת"פ</w:t>
            </w:r>
            <w:r w:rsidRPr="00504339">
              <w:rPr>
                <w:rFonts w:hint="cs"/>
                <w:rtl/>
              </w:rPr>
              <w:t xml:space="preserve"> </w:t>
            </w:r>
            <w:r w:rsidRPr="00504339">
              <w:rPr>
                <w:rtl/>
              </w:rPr>
              <w:t>27052-10-09</w:t>
            </w:r>
            <w:r w:rsidRPr="00504339">
              <w:rPr>
                <w:rFonts w:hint="cs"/>
                <w:rtl/>
              </w:rPr>
              <w:t xml:space="preserve"> </w:t>
            </w:r>
          </w:p>
        </w:tc>
      </w:tr>
      <w:tr w:rsidR="005D6FC4" w:rsidRPr="00504339" w14:paraId="75A7B478" w14:textId="77777777">
        <w:trPr>
          <w:trHeight w:val="337"/>
          <w:jc w:val="center"/>
        </w:trPr>
        <w:tc>
          <w:tcPr>
            <w:tcW w:w="3973" w:type="dxa"/>
          </w:tcPr>
          <w:p w14:paraId="0B58908A" w14:textId="77777777" w:rsidR="005D6FC4" w:rsidRPr="00504339" w:rsidRDefault="005D6FC4">
            <w:pPr>
              <w:rPr>
                <w:rtl/>
              </w:rPr>
            </w:pPr>
          </w:p>
        </w:tc>
        <w:tc>
          <w:tcPr>
            <w:tcW w:w="1039" w:type="dxa"/>
          </w:tcPr>
          <w:p w14:paraId="5FADBB1F" w14:textId="77777777" w:rsidR="005D6FC4" w:rsidRPr="00504339" w:rsidRDefault="005D6FC4">
            <w:pPr>
              <w:pStyle w:val="Header"/>
              <w:jc w:val="right"/>
              <w:rPr>
                <w:rtl/>
              </w:rPr>
            </w:pPr>
          </w:p>
        </w:tc>
        <w:tc>
          <w:tcPr>
            <w:tcW w:w="3708" w:type="dxa"/>
          </w:tcPr>
          <w:p w14:paraId="26F08EEC" w14:textId="77777777" w:rsidR="005D6FC4" w:rsidRPr="00504339" w:rsidRDefault="00504339">
            <w:pPr>
              <w:jc w:val="right"/>
              <w:rPr>
                <w:rtl/>
              </w:rPr>
            </w:pPr>
            <w:r w:rsidRPr="00504339">
              <w:rPr>
                <w:rtl/>
              </w:rPr>
              <w:t>25 אוקטובר 2010</w:t>
            </w:r>
          </w:p>
        </w:tc>
      </w:tr>
    </w:tbl>
    <w:p w14:paraId="3DC35D66" w14:textId="77777777" w:rsidR="005D6FC4" w:rsidRPr="00504339" w:rsidRDefault="005D6FC4">
      <w:pPr>
        <w:rPr>
          <w:rtl/>
        </w:rPr>
      </w:pPr>
    </w:p>
    <w:tbl>
      <w:tblPr>
        <w:bidiVisual/>
        <w:tblW w:w="8574" w:type="dxa"/>
        <w:tblInd w:w="-28" w:type="dxa"/>
        <w:tblLayout w:type="fixed"/>
        <w:tblLook w:val="01E0" w:firstRow="1" w:lastRow="1" w:firstColumn="1" w:lastColumn="1" w:noHBand="0" w:noVBand="0"/>
      </w:tblPr>
      <w:tblGrid>
        <w:gridCol w:w="5040"/>
        <w:gridCol w:w="3534"/>
      </w:tblGrid>
      <w:tr w:rsidR="005D6FC4" w:rsidRPr="00504339" w14:paraId="5711FCA3" w14:textId="77777777">
        <w:tc>
          <w:tcPr>
            <w:tcW w:w="5040" w:type="dxa"/>
            <w:shd w:val="clear" w:color="auto" w:fill="auto"/>
          </w:tcPr>
          <w:p w14:paraId="0AE2EB00" w14:textId="77777777" w:rsidR="005D6FC4" w:rsidRPr="00504339" w:rsidRDefault="00504339" w:rsidP="006D7D71">
            <w:pPr>
              <w:spacing w:line="360" w:lineRule="auto"/>
              <w:jc w:val="both"/>
            </w:pPr>
            <w:bookmarkStart w:id="1" w:name="FirstAppellant"/>
            <w:r w:rsidRPr="006D7D71">
              <w:rPr>
                <w:b/>
                <w:bCs/>
                <w:rtl/>
              </w:rPr>
              <w:t xml:space="preserve"> מדינת ישראל</w:t>
            </w:r>
          </w:p>
          <w:p w14:paraId="3E5E036A" w14:textId="77777777" w:rsidR="005D6FC4" w:rsidRPr="006D7D71" w:rsidRDefault="005D6FC4">
            <w:pPr>
              <w:rPr>
                <w:b/>
                <w:bCs/>
                <w:rtl/>
              </w:rPr>
            </w:pPr>
          </w:p>
        </w:tc>
        <w:tc>
          <w:tcPr>
            <w:tcW w:w="3534" w:type="dxa"/>
            <w:shd w:val="clear" w:color="auto" w:fill="auto"/>
          </w:tcPr>
          <w:p w14:paraId="37B5DDFD" w14:textId="77777777" w:rsidR="005D6FC4" w:rsidRPr="006D7D71" w:rsidRDefault="00504339" w:rsidP="006D7D71">
            <w:pPr>
              <w:jc w:val="right"/>
              <w:rPr>
                <w:b/>
                <w:bCs/>
                <w:rtl/>
              </w:rPr>
            </w:pPr>
            <w:r w:rsidRPr="006D7D71">
              <w:rPr>
                <w:rFonts w:hint="cs"/>
                <w:b/>
                <w:bCs/>
                <w:rtl/>
              </w:rPr>
              <w:t>ה</w:t>
            </w:r>
            <w:r w:rsidRPr="006D7D71">
              <w:rPr>
                <w:b/>
                <w:bCs/>
                <w:rtl/>
              </w:rPr>
              <w:t>מאשימה</w:t>
            </w:r>
          </w:p>
        </w:tc>
      </w:tr>
      <w:bookmarkEnd w:id="1"/>
      <w:tr w:rsidR="005D6FC4" w:rsidRPr="00504339" w14:paraId="2C876122" w14:textId="77777777">
        <w:tc>
          <w:tcPr>
            <w:tcW w:w="8574" w:type="dxa"/>
            <w:gridSpan w:val="2"/>
            <w:shd w:val="clear" w:color="auto" w:fill="auto"/>
          </w:tcPr>
          <w:p w14:paraId="6815EF3A" w14:textId="77777777" w:rsidR="005D6FC4" w:rsidRPr="006D7D71" w:rsidRDefault="00504339" w:rsidP="006D7D71">
            <w:pPr>
              <w:jc w:val="center"/>
              <w:rPr>
                <w:rFonts w:ascii="Arial" w:hAnsi="Arial"/>
                <w:b/>
                <w:bCs/>
              </w:rPr>
            </w:pPr>
            <w:r w:rsidRPr="006D7D71">
              <w:rPr>
                <w:rFonts w:ascii="Arial" w:hAnsi="Arial" w:hint="cs"/>
                <w:b/>
                <w:bCs/>
                <w:rtl/>
              </w:rPr>
              <w:t xml:space="preserve">- </w:t>
            </w:r>
            <w:r w:rsidRPr="006D7D71">
              <w:rPr>
                <w:rFonts w:ascii="Arial" w:hAnsi="Arial"/>
                <w:b/>
                <w:bCs/>
                <w:rtl/>
              </w:rPr>
              <w:t>נ</w:t>
            </w:r>
            <w:r w:rsidRPr="006D7D71">
              <w:rPr>
                <w:rFonts w:ascii="Arial" w:hAnsi="Arial" w:hint="cs"/>
                <w:b/>
                <w:bCs/>
                <w:rtl/>
              </w:rPr>
              <w:t xml:space="preserve"> </w:t>
            </w:r>
            <w:r w:rsidRPr="006D7D71">
              <w:rPr>
                <w:rFonts w:ascii="Arial" w:hAnsi="Arial"/>
                <w:b/>
                <w:bCs/>
                <w:rtl/>
              </w:rPr>
              <w:t>ג</w:t>
            </w:r>
            <w:r w:rsidRPr="006D7D71">
              <w:rPr>
                <w:rFonts w:ascii="Arial" w:hAnsi="Arial" w:hint="cs"/>
                <w:b/>
                <w:bCs/>
                <w:rtl/>
              </w:rPr>
              <w:t xml:space="preserve"> </w:t>
            </w:r>
            <w:r w:rsidRPr="006D7D71">
              <w:rPr>
                <w:rFonts w:ascii="Arial" w:hAnsi="Arial"/>
                <w:b/>
                <w:bCs/>
                <w:rtl/>
              </w:rPr>
              <w:t>ד</w:t>
            </w:r>
            <w:r w:rsidRPr="006D7D71">
              <w:rPr>
                <w:rFonts w:ascii="Arial" w:hAnsi="Arial" w:hint="cs"/>
                <w:b/>
                <w:bCs/>
                <w:rtl/>
              </w:rPr>
              <w:t xml:space="preserve"> -</w:t>
            </w:r>
          </w:p>
        </w:tc>
      </w:tr>
      <w:tr w:rsidR="005D6FC4" w:rsidRPr="00504339" w14:paraId="1844E5CA" w14:textId="77777777">
        <w:tc>
          <w:tcPr>
            <w:tcW w:w="5040" w:type="dxa"/>
            <w:shd w:val="clear" w:color="auto" w:fill="auto"/>
          </w:tcPr>
          <w:p w14:paraId="60A61FC1" w14:textId="77777777" w:rsidR="005D6FC4" w:rsidRPr="00504339" w:rsidRDefault="00504339">
            <w:r w:rsidRPr="006D7D71">
              <w:rPr>
                <w:b/>
                <w:bCs/>
                <w:rtl/>
              </w:rPr>
              <w:t>אלדד דוד</w:t>
            </w:r>
          </w:p>
          <w:p w14:paraId="601D171D" w14:textId="77777777" w:rsidR="005D6FC4" w:rsidRPr="006D7D71" w:rsidRDefault="005D6FC4" w:rsidP="006D7D71">
            <w:pPr>
              <w:ind w:left="26"/>
              <w:rPr>
                <w:b/>
                <w:bCs/>
                <w:rtl/>
              </w:rPr>
            </w:pPr>
          </w:p>
        </w:tc>
        <w:tc>
          <w:tcPr>
            <w:tcW w:w="3534" w:type="dxa"/>
            <w:shd w:val="clear" w:color="auto" w:fill="auto"/>
          </w:tcPr>
          <w:p w14:paraId="570C91DE" w14:textId="77777777" w:rsidR="005D6FC4" w:rsidRPr="006D7D71" w:rsidRDefault="00504339" w:rsidP="006D7D71">
            <w:pPr>
              <w:jc w:val="right"/>
              <w:rPr>
                <w:b/>
                <w:bCs/>
                <w:rtl/>
              </w:rPr>
            </w:pPr>
            <w:r w:rsidRPr="006D7D71">
              <w:rPr>
                <w:rFonts w:hint="cs"/>
                <w:b/>
                <w:bCs/>
                <w:rtl/>
              </w:rPr>
              <w:t>הנאשם</w:t>
            </w:r>
          </w:p>
        </w:tc>
      </w:tr>
    </w:tbl>
    <w:p w14:paraId="26303EB1" w14:textId="77777777" w:rsidR="005D6FC4" w:rsidRPr="00504339" w:rsidRDefault="005D6FC4">
      <w:pPr>
        <w:rPr>
          <w:rtl/>
        </w:rPr>
      </w:pPr>
    </w:p>
    <w:p w14:paraId="23E1CAA5" w14:textId="77777777" w:rsidR="005D6FC4" w:rsidRPr="00504339" w:rsidRDefault="00504339">
      <w:pPr>
        <w:suppressLineNumbers/>
        <w:spacing w:line="360" w:lineRule="auto"/>
        <w:jc w:val="both"/>
        <w:rPr>
          <w:sz w:val="6"/>
          <w:szCs w:val="6"/>
          <w:rtl/>
        </w:rPr>
      </w:pPr>
      <w:r w:rsidRPr="00504339">
        <w:rPr>
          <w:sz w:val="6"/>
          <w:szCs w:val="6"/>
          <w:rtl/>
        </w:rPr>
        <w:t>&lt;#2#&gt;</w:t>
      </w:r>
    </w:p>
    <w:p w14:paraId="2827D437" w14:textId="77777777" w:rsidR="005D6FC4" w:rsidRPr="00504339" w:rsidRDefault="00504339">
      <w:pPr>
        <w:pStyle w:val="12"/>
        <w:rPr>
          <w:u w:val="none"/>
          <w:rtl/>
        </w:rPr>
      </w:pPr>
      <w:r w:rsidRPr="00504339">
        <w:rPr>
          <w:rFonts w:hint="cs"/>
          <w:u w:val="none"/>
          <w:rtl/>
        </w:rPr>
        <w:t>נוכחים:</w:t>
      </w:r>
    </w:p>
    <w:p w14:paraId="1B050545" w14:textId="77777777" w:rsidR="005D6FC4" w:rsidRPr="00504339" w:rsidRDefault="00504339">
      <w:pPr>
        <w:pStyle w:val="12"/>
        <w:rPr>
          <w:u w:val="none"/>
          <w:rtl/>
        </w:rPr>
      </w:pPr>
      <w:bookmarkStart w:id="2" w:name="FirstLawyer"/>
      <w:r w:rsidRPr="00504339">
        <w:rPr>
          <w:rFonts w:hint="cs"/>
          <w:u w:val="none"/>
          <w:rtl/>
        </w:rPr>
        <w:t>ב"כ</w:t>
      </w:r>
      <w:bookmarkEnd w:id="2"/>
      <w:r w:rsidRPr="00504339">
        <w:rPr>
          <w:rFonts w:hint="cs"/>
          <w:u w:val="none"/>
          <w:rtl/>
        </w:rPr>
        <w:t xml:space="preserve"> המאשימה: עו"ד וסים בדר</w:t>
      </w:r>
    </w:p>
    <w:p w14:paraId="2AA7DFE4" w14:textId="77777777" w:rsidR="007B0F9C" w:rsidRDefault="00504339">
      <w:pPr>
        <w:pStyle w:val="12"/>
        <w:rPr>
          <w:b w:val="0"/>
          <w:bCs w:val="0"/>
          <w:u w:val="none"/>
          <w:rtl/>
        </w:rPr>
      </w:pPr>
      <w:r w:rsidRPr="00504339">
        <w:rPr>
          <w:rFonts w:hint="cs"/>
          <w:u w:val="none"/>
          <w:rtl/>
        </w:rPr>
        <w:t xml:space="preserve">הנאשם: בעצמו ועל ידי ב"כ עו"ד </w:t>
      </w:r>
      <w:r w:rsidRPr="00504339">
        <w:rPr>
          <w:u w:val="none"/>
          <w:rtl/>
        </w:rPr>
        <w:t>שלמה</w:t>
      </w:r>
      <w:r w:rsidRPr="00504339">
        <w:rPr>
          <w:rFonts w:hint="cs"/>
          <w:u w:val="none"/>
          <w:rtl/>
        </w:rPr>
        <w:t xml:space="preserve"> </w:t>
      </w:r>
      <w:r w:rsidRPr="00504339">
        <w:rPr>
          <w:u w:val="none"/>
          <w:rtl/>
        </w:rPr>
        <w:t>אלכביר</w:t>
      </w:r>
      <w:r w:rsidRPr="00504339">
        <w:rPr>
          <w:rFonts w:hint="cs"/>
          <w:u w:val="none"/>
          <w:rtl/>
        </w:rPr>
        <w:t xml:space="preserve"> </w:t>
      </w:r>
      <w:bookmarkStart w:id="3" w:name="LawTable"/>
      <w:bookmarkEnd w:id="3"/>
    </w:p>
    <w:p w14:paraId="0544EDAC" w14:textId="77777777" w:rsidR="007B0F9C" w:rsidRDefault="007B0F9C" w:rsidP="007B0F9C">
      <w:pPr>
        <w:pStyle w:val="12"/>
        <w:spacing w:after="120" w:line="240" w:lineRule="exact"/>
        <w:ind w:left="283" w:hanging="283"/>
        <w:jc w:val="both"/>
        <w:rPr>
          <w:rFonts w:ascii="FrankRuehl" w:hAnsi="FrankRuehl" w:cs="FrankRuehl"/>
          <w:b w:val="0"/>
          <w:bCs w:val="0"/>
          <w:u w:val="none"/>
          <w:rtl/>
        </w:rPr>
      </w:pPr>
    </w:p>
    <w:p w14:paraId="405E89AB" w14:textId="77777777" w:rsidR="007B0F9C" w:rsidRPr="007B0F9C" w:rsidRDefault="007B0F9C" w:rsidP="007B0F9C">
      <w:pPr>
        <w:pStyle w:val="12"/>
        <w:spacing w:after="120" w:line="240" w:lineRule="exact"/>
        <w:ind w:left="283" w:hanging="283"/>
        <w:jc w:val="both"/>
        <w:rPr>
          <w:rFonts w:ascii="FrankRuehl" w:hAnsi="FrankRuehl" w:cs="FrankRuehl"/>
          <w:b w:val="0"/>
          <w:bCs w:val="0"/>
          <w:u w:val="none"/>
          <w:rtl/>
        </w:rPr>
      </w:pPr>
    </w:p>
    <w:p w14:paraId="05D44914" w14:textId="77777777" w:rsidR="007B0F9C" w:rsidRPr="007B0F9C" w:rsidRDefault="007B0F9C" w:rsidP="007B0F9C">
      <w:pPr>
        <w:pStyle w:val="12"/>
        <w:spacing w:after="120" w:line="240" w:lineRule="exact"/>
        <w:ind w:left="283" w:hanging="283"/>
        <w:jc w:val="both"/>
        <w:rPr>
          <w:rFonts w:ascii="FrankRuehl" w:hAnsi="FrankRuehl" w:cs="FrankRuehl"/>
          <w:b w:val="0"/>
          <w:bCs w:val="0"/>
          <w:u w:val="none"/>
          <w:rtl/>
        </w:rPr>
      </w:pPr>
      <w:r w:rsidRPr="007B0F9C">
        <w:rPr>
          <w:rFonts w:ascii="FrankRuehl" w:hAnsi="FrankRuehl" w:cs="FrankRuehl"/>
          <w:b w:val="0"/>
          <w:bCs w:val="0"/>
          <w:u w:val="none"/>
          <w:rtl/>
        </w:rPr>
        <w:t xml:space="preserve">חקיקה שאוזכרה: </w:t>
      </w:r>
    </w:p>
    <w:p w14:paraId="3C044395" w14:textId="77777777" w:rsidR="007B0F9C" w:rsidRPr="007B0F9C" w:rsidRDefault="007B0F9C" w:rsidP="007B0F9C">
      <w:pPr>
        <w:pStyle w:val="12"/>
        <w:spacing w:after="120" w:line="240" w:lineRule="exact"/>
        <w:ind w:left="283" w:hanging="283"/>
        <w:jc w:val="both"/>
        <w:rPr>
          <w:rFonts w:ascii="FrankRuehl" w:hAnsi="FrankRuehl" w:cs="FrankRuehl"/>
          <w:b w:val="0"/>
          <w:bCs w:val="0"/>
          <w:u w:val="none"/>
          <w:rtl/>
        </w:rPr>
      </w:pPr>
      <w:hyperlink r:id="rId6" w:history="1">
        <w:r w:rsidRPr="007B0F9C">
          <w:rPr>
            <w:rFonts w:ascii="FrankRuehl" w:hAnsi="FrankRuehl" w:cs="FrankRuehl"/>
            <w:b w:val="0"/>
            <w:bCs w:val="0"/>
            <w:color w:val="0000FF"/>
            <w:rtl/>
          </w:rPr>
          <w:t>חוק העונשין, תשל"ז-1977</w:t>
        </w:r>
      </w:hyperlink>
      <w:r w:rsidRPr="007B0F9C">
        <w:rPr>
          <w:rFonts w:ascii="FrankRuehl" w:hAnsi="FrankRuehl" w:cs="FrankRuehl"/>
          <w:b w:val="0"/>
          <w:bCs w:val="0"/>
          <w:u w:val="none"/>
          <w:rtl/>
        </w:rPr>
        <w:t xml:space="preserve">: סע'  </w:t>
      </w:r>
      <w:hyperlink r:id="rId7" w:history="1">
        <w:r w:rsidRPr="007B0F9C">
          <w:rPr>
            <w:rFonts w:ascii="FrankRuehl" w:hAnsi="FrankRuehl" w:cs="FrankRuehl"/>
            <w:b w:val="0"/>
            <w:bCs w:val="0"/>
            <w:color w:val="0000FF"/>
            <w:rtl/>
          </w:rPr>
          <w:t>348 (ג)</w:t>
        </w:r>
      </w:hyperlink>
      <w:r w:rsidRPr="007B0F9C">
        <w:rPr>
          <w:rFonts w:ascii="FrankRuehl" w:hAnsi="FrankRuehl" w:cs="FrankRuehl"/>
          <w:b w:val="0"/>
          <w:bCs w:val="0"/>
          <w:u w:val="none"/>
          <w:rtl/>
        </w:rPr>
        <w:t xml:space="preserve">, </w:t>
      </w:r>
      <w:hyperlink r:id="rId8" w:history="1">
        <w:r w:rsidRPr="007B0F9C">
          <w:rPr>
            <w:rFonts w:ascii="FrankRuehl" w:hAnsi="FrankRuehl" w:cs="FrankRuehl"/>
            <w:b w:val="0"/>
            <w:bCs w:val="0"/>
            <w:color w:val="0000FF"/>
            <w:rtl/>
          </w:rPr>
          <w:t>ב ה' לפרק י'</w:t>
        </w:r>
      </w:hyperlink>
    </w:p>
    <w:p w14:paraId="0AA17144" w14:textId="77777777" w:rsidR="007B0F9C" w:rsidRPr="007B0F9C" w:rsidRDefault="007B0F9C" w:rsidP="007B0F9C">
      <w:pPr>
        <w:pStyle w:val="12"/>
        <w:spacing w:after="120" w:line="240" w:lineRule="exact"/>
        <w:ind w:left="283" w:hanging="283"/>
        <w:jc w:val="both"/>
        <w:rPr>
          <w:rFonts w:ascii="FrankRuehl" w:hAnsi="FrankRuehl" w:cs="FrankRuehl"/>
          <w:b w:val="0"/>
          <w:bCs w:val="0"/>
          <w:u w:val="none"/>
          <w:rtl/>
        </w:rPr>
      </w:pPr>
      <w:hyperlink r:id="rId9" w:history="1">
        <w:r w:rsidRPr="007B0F9C">
          <w:rPr>
            <w:rFonts w:ascii="FrankRuehl" w:hAnsi="FrankRuehl" w:cs="FrankRuehl"/>
            <w:b w:val="0"/>
            <w:bCs w:val="0"/>
            <w:color w:val="0000FF"/>
            <w:rtl/>
          </w:rPr>
          <w:t>חוק סדר הדין הפלילי [נוסח משולב], תשמ"ב-1982</w:t>
        </w:r>
      </w:hyperlink>
      <w:r w:rsidRPr="007B0F9C">
        <w:rPr>
          <w:rFonts w:ascii="FrankRuehl" w:hAnsi="FrankRuehl" w:cs="FrankRuehl"/>
          <w:b w:val="0"/>
          <w:bCs w:val="0"/>
          <w:u w:val="none"/>
          <w:rtl/>
        </w:rPr>
        <w:t xml:space="preserve">: סע'  </w:t>
      </w:r>
      <w:hyperlink r:id="rId10" w:history="1">
        <w:r w:rsidRPr="007B0F9C">
          <w:rPr>
            <w:rFonts w:ascii="FrankRuehl" w:hAnsi="FrankRuehl" w:cs="FrankRuehl"/>
            <w:b w:val="0"/>
            <w:bCs w:val="0"/>
            <w:color w:val="0000FF"/>
            <w:rtl/>
          </w:rPr>
          <w:t>182</w:t>
        </w:r>
      </w:hyperlink>
    </w:p>
    <w:p w14:paraId="6E82F1C7" w14:textId="77777777" w:rsidR="007B0F9C" w:rsidRPr="007B0F9C" w:rsidRDefault="007B0F9C" w:rsidP="007B0F9C">
      <w:pPr>
        <w:pStyle w:val="12"/>
        <w:spacing w:after="120" w:line="240" w:lineRule="exact"/>
        <w:ind w:left="283" w:hanging="283"/>
        <w:jc w:val="both"/>
        <w:rPr>
          <w:rFonts w:ascii="FrankRuehl" w:hAnsi="FrankRuehl" w:cs="FrankRuehl"/>
          <w:b w:val="0"/>
          <w:bCs w:val="0"/>
          <w:u w:val="none"/>
          <w:rtl/>
        </w:rPr>
      </w:pPr>
    </w:p>
    <w:p w14:paraId="30824259" w14:textId="77777777" w:rsidR="00504339" w:rsidRPr="00047BFA" w:rsidRDefault="00504339">
      <w:pPr>
        <w:spacing w:line="360" w:lineRule="auto"/>
        <w:jc w:val="center"/>
        <w:rPr>
          <w:rFonts w:ascii="Arial" w:hAnsi="Arial"/>
          <w:b/>
          <w:bCs/>
          <w:sz w:val="28"/>
          <w:szCs w:val="28"/>
          <w:rtl/>
        </w:rPr>
      </w:pPr>
      <w:bookmarkStart w:id="4" w:name="LawTable_End"/>
      <w:bookmarkEnd w:id="4"/>
    </w:p>
    <w:p w14:paraId="10382F45" w14:textId="77777777" w:rsidR="00504339" w:rsidRPr="00504339" w:rsidRDefault="00504339" w:rsidP="00504339">
      <w:pPr>
        <w:spacing w:line="360" w:lineRule="auto"/>
        <w:jc w:val="center"/>
        <w:rPr>
          <w:rFonts w:ascii="Arial" w:hAnsi="Arial"/>
          <w:b/>
          <w:bCs/>
          <w:sz w:val="28"/>
          <w:szCs w:val="28"/>
          <w:u w:val="single"/>
          <w:rtl/>
        </w:rPr>
      </w:pPr>
      <w:bookmarkStart w:id="5" w:name="PsakDin"/>
      <w:bookmarkEnd w:id="0"/>
      <w:r w:rsidRPr="00504339">
        <w:rPr>
          <w:rFonts w:ascii="Arial" w:hAnsi="Arial"/>
          <w:b/>
          <w:bCs/>
          <w:sz w:val="28"/>
          <w:szCs w:val="28"/>
          <w:u w:val="single"/>
          <w:rtl/>
        </w:rPr>
        <w:t>הכרעת דין</w:t>
      </w:r>
    </w:p>
    <w:bookmarkEnd w:id="5"/>
    <w:p w14:paraId="567A22DC" w14:textId="77777777" w:rsidR="005D6FC4" w:rsidRDefault="005D6FC4">
      <w:pPr>
        <w:spacing w:line="360" w:lineRule="auto"/>
        <w:jc w:val="both"/>
        <w:rPr>
          <w:rtl/>
        </w:rPr>
      </w:pPr>
    </w:p>
    <w:p w14:paraId="269845FD" w14:textId="77777777" w:rsidR="005D6FC4" w:rsidRDefault="00504339">
      <w:pPr>
        <w:spacing w:line="360" w:lineRule="auto"/>
        <w:jc w:val="both"/>
        <w:rPr>
          <w:rFonts w:ascii="Arial" w:hAnsi="Arial"/>
          <w:b/>
          <w:bCs/>
          <w:u w:val="single"/>
        </w:rPr>
      </w:pPr>
      <w:r>
        <w:rPr>
          <w:rFonts w:ascii="Arial" w:hAnsi="Arial" w:hint="cs"/>
          <w:b/>
          <w:bCs/>
          <w:u w:val="single"/>
          <w:rtl/>
        </w:rPr>
        <w:t>מבוא:</w:t>
      </w:r>
    </w:p>
    <w:p w14:paraId="3AC1BC40" w14:textId="77777777" w:rsidR="005D6FC4" w:rsidRDefault="005D6FC4">
      <w:pPr>
        <w:spacing w:line="360" w:lineRule="auto"/>
        <w:jc w:val="both"/>
        <w:rPr>
          <w:rFonts w:ascii="Arial" w:hAnsi="Arial"/>
          <w:b/>
          <w:bCs/>
          <w:u w:val="single"/>
          <w:rtl/>
        </w:rPr>
      </w:pPr>
    </w:p>
    <w:p w14:paraId="355FA5B6" w14:textId="77777777" w:rsidR="005D6FC4" w:rsidRDefault="00504339">
      <w:pPr>
        <w:spacing w:line="360" w:lineRule="auto"/>
        <w:jc w:val="both"/>
        <w:rPr>
          <w:rFonts w:ascii="Arial" w:hAnsi="Arial"/>
          <w:rtl/>
        </w:rPr>
      </w:pPr>
      <w:bookmarkStart w:id="6" w:name="ABSTRACT_START"/>
      <w:bookmarkEnd w:id="6"/>
      <w:r>
        <w:rPr>
          <w:rFonts w:ascii="Arial" w:hAnsi="Arial" w:hint="cs"/>
          <w:rtl/>
        </w:rPr>
        <w:t>הצדדים הגיעו לידי הסדר דיוני לפיו הנאשם הודה בעובדות המיוחסות לו בכתב האישום המתוקן, ובטרם הרשעה הוגש בעניינו תסקיר מטעם שירות המבחן.</w:t>
      </w:r>
    </w:p>
    <w:p w14:paraId="31651561" w14:textId="77777777" w:rsidR="005D6FC4" w:rsidRDefault="00504339">
      <w:pPr>
        <w:spacing w:line="360" w:lineRule="auto"/>
        <w:jc w:val="both"/>
        <w:rPr>
          <w:rFonts w:ascii="Arial" w:hAnsi="Arial"/>
          <w:rtl/>
        </w:rPr>
      </w:pPr>
      <w:r>
        <w:rPr>
          <w:rFonts w:ascii="Arial" w:hAnsi="Arial" w:hint="cs"/>
          <w:rtl/>
        </w:rPr>
        <w:t xml:space="preserve">לפי עובדות כתב האישום המתוקן, בזמן הרלוונטי </w:t>
      </w:r>
      <w:bookmarkStart w:id="7" w:name="ABSTRACT_END"/>
      <w:bookmarkEnd w:id="7"/>
      <w:r>
        <w:rPr>
          <w:rFonts w:ascii="Arial" w:hAnsi="Arial" w:hint="cs"/>
          <w:rtl/>
        </w:rPr>
        <w:t>לביצוע המעשים המיוחסים לו שימש הנאשם כסוכן מטעם חברת "</w:t>
      </w:r>
      <w:r>
        <w:rPr>
          <w:rFonts w:ascii="Arial" w:hAnsi="Arial"/>
          <w:sz w:val="18"/>
          <w:szCs w:val="18"/>
        </w:rPr>
        <w:t>YES</w:t>
      </w:r>
      <w:r>
        <w:rPr>
          <w:rFonts w:ascii="Arial" w:hAnsi="Arial" w:hint="cs"/>
          <w:rtl/>
        </w:rPr>
        <w:t>".</w:t>
      </w:r>
    </w:p>
    <w:p w14:paraId="0DF1F10D" w14:textId="77777777" w:rsidR="005D6FC4" w:rsidRDefault="00504339">
      <w:pPr>
        <w:spacing w:line="360" w:lineRule="auto"/>
        <w:jc w:val="both"/>
        <w:rPr>
          <w:rFonts w:ascii="Arial" w:hAnsi="Arial"/>
          <w:rtl/>
        </w:rPr>
      </w:pPr>
      <w:r>
        <w:rPr>
          <w:rFonts w:ascii="Arial" w:hAnsi="Arial" w:hint="cs"/>
          <w:rtl/>
        </w:rPr>
        <w:t xml:space="preserve">ביום 9.9.09 ביצע הנאשם מעשה מגונה באדם בהתאם להוראות </w:t>
      </w:r>
      <w:hyperlink r:id="rId11" w:history="1">
        <w:r w:rsidR="007B0F9C" w:rsidRPr="007B0F9C">
          <w:rPr>
            <w:rFonts w:ascii="Arial" w:hAnsi="Arial"/>
            <w:color w:val="0000FF"/>
            <w:u w:val="single"/>
            <w:rtl/>
          </w:rPr>
          <w:t>סעיף 348 (ג)</w:t>
        </w:r>
      </w:hyperlink>
      <w:r>
        <w:rPr>
          <w:rFonts w:ascii="Arial" w:hAnsi="Arial" w:hint="cs"/>
          <w:rtl/>
        </w:rPr>
        <w:t xml:space="preserve"> ל</w:t>
      </w:r>
      <w:hyperlink r:id="rId12" w:history="1">
        <w:r w:rsidR="00047BFA" w:rsidRPr="00047BFA">
          <w:rPr>
            <w:rStyle w:val="Hyperlink"/>
            <w:rFonts w:ascii="Arial" w:hAnsi="Arial"/>
            <w:rtl/>
          </w:rPr>
          <w:t>חוק העונשין</w:t>
        </w:r>
      </w:hyperlink>
      <w:r>
        <w:rPr>
          <w:rFonts w:ascii="Arial" w:hAnsi="Arial" w:hint="cs"/>
          <w:rtl/>
        </w:rPr>
        <w:t xml:space="preserve">, תשל"ז-1977 והכל כפי המפורט בעובדות כתב האישום המתוקן. </w:t>
      </w:r>
    </w:p>
    <w:p w14:paraId="15B925CA" w14:textId="77777777" w:rsidR="005D6FC4" w:rsidRDefault="005D6FC4">
      <w:pPr>
        <w:spacing w:line="360" w:lineRule="auto"/>
        <w:jc w:val="both"/>
        <w:rPr>
          <w:rFonts w:ascii="Arial" w:hAnsi="Arial"/>
          <w:rtl/>
        </w:rPr>
      </w:pPr>
    </w:p>
    <w:p w14:paraId="7AEB7458" w14:textId="77777777" w:rsidR="005D6FC4" w:rsidRDefault="00504339">
      <w:pPr>
        <w:spacing w:line="360" w:lineRule="auto"/>
        <w:jc w:val="both"/>
        <w:rPr>
          <w:rFonts w:ascii="Arial" w:hAnsi="Arial"/>
          <w:b/>
          <w:bCs/>
          <w:u w:val="single"/>
          <w:rtl/>
        </w:rPr>
      </w:pPr>
      <w:r>
        <w:rPr>
          <w:rFonts w:ascii="Arial" w:hAnsi="Arial" w:hint="cs"/>
          <w:b/>
          <w:bCs/>
          <w:u w:val="single"/>
          <w:rtl/>
        </w:rPr>
        <w:t>תסקיר שירות המבחן:</w:t>
      </w:r>
    </w:p>
    <w:p w14:paraId="35DB5C7D" w14:textId="77777777" w:rsidR="005D6FC4" w:rsidRDefault="005D6FC4">
      <w:pPr>
        <w:spacing w:line="360" w:lineRule="auto"/>
        <w:jc w:val="both"/>
        <w:rPr>
          <w:rFonts w:ascii="Arial" w:hAnsi="Arial"/>
          <w:b/>
          <w:bCs/>
          <w:u w:val="single"/>
          <w:rtl/>
        </w:rPr>
      </w:pPr>
    </w:p>
    <w:p w14:paraId="3B77FF74" w14:textId="77777777" w:rsidR="005D6FC4" w:rsidRDefault="00504339">
      <w:pPr>
        <w:spacing w:line="360" w:lineRule="auto"/>
        <w:jc w:val="both"/>
        <w:rPr>
          <w:rFonts w:ascii="Arial" w:hAnsi="Arial"/>
          <w:rtl/>
        </w:rPr>
      </w:pPr>
      <w:r>
        <w:rPr>
          <w:rFonts w:ascii="Arial" w:hAnsi="Arial" w:hint="cs"/>
          <w:rtl/>
        </w:rPr>
        <w:t xml:space="preserve">בעניינו של הנאשם הוגש תסקיר שירות המבחן ממנו עולה, כי הנאשם בן 30, רווק, המתגורר עם אימו בטבריה. בארבע השנים האחרונות עבד בחברת </w:t>
      </w:r>
      <w:r>
        <w:rPr>
          <w:rFonts w:ascii="Arial" w:hAnsi="Arial"/>
          <w:sz w:val="20"/>
          <w:szCs w:val="20"/>
        </w:rPr>
        <w:t>YES</w:t>
      </w:r>
      <w:r>
        <w:rPr>
          <w:rFonts w:ascii="Arial" w:hAnsi="Arial" w:hint="cs"/>
          <w:rtl/>
        </w:rPr>
        <w:t xml:space="preserve">. </w:t>
      </w:r>
    </w:p>
    <w:p w14:paraId="058FC908" w14:textId="77777777" w:rsidR="005D6FC4" w:rsidRDefault="005D6FC4">
      <w:pPr>
        <w:spacing w:line="360" w:lineRule="auto"/>
        <w:jc w:val="both"/>
        <w:rPr>
          <w:rFonts w:ascii="Arial" w:hAnsi="Arial"/>
          <w:rtl/>
        </w:rPr>
      </w:pPr>
    </w:p>
    <w:p w14:paraId="781FDABF" w14:textId="77777777" w:rsidR="005D6FC4" w:rsidRDefault="00504339">
      <w:pPr>
        <w:spacing w:line="360" w:lineRule="auto"/>
        <w:jc w:val="both"/>
        <w:rPr>
          <w:rFonts w:ascii="Arial" w:hAnsi="Arial"/>
          <w:rtl/>
        </w:rPr>
      </w:pPr>
      <w:r>
        <w:rPr>
          <w:rFonts w:ascii="Arial" w:hAnsi="Arial" w:hint="cs"/>
          <w:rtl/>
        </w:rPr>
        <w:t>המדובר באדם אשר סיים 12 שנות לימוד בטבריה בבית ספר עמל, במגמת מנהל עסקים, עם תעודת בגרות מלאה. הנאשם לא התגייס לצבא עקב מצבו הבריאותי, והעובדה כי בגיל 13 חלה במחלה הפוגעת בשרירי הגוף וגרמה לחולשה ועייפות.</w:t>
      </w:r>
    </w:p>
    <w:p w14:paraId="7917BCFB" w14:textId="77777777" w:rsidR="005D6FC4" w:rsidRDefault="00504339">
      <w:pPr>
        <w:spacing w:line="360" w:lineRule="auto"/>
        <w:jc w:val="both"/>
        <w:rPr>
          <w:rFonts w:ascii="Arial" w:hAnsi="Arial"/>
          <w:rtl/>
        </w:rPr>
      </w:pPr>
      <w:r>
        <w:rPr>
          <w:rFonts w:ascii="Arial" w:hAnsi="Arial" w:hint="cs"/>
          <w:rtl/>
        </w:rPr>
        <w:t xml:space="preserve">למרות היותו פטור משירות צבאי בחר הנאשם להתנדב מתוך רצון לתרום למדינה. </w:t>
      </w:r>
    </w:p>
    <w:p w14:paraId="1EB9E318" w14:textId="77777777" w:rsidR="005D6FC4" w:rsidRDefault="00504339">
      <w:pPr>
        <w:spacing w:line="360" w:lineRule="auto"/>
        <w:jc w:val="both"/>
        <w:rPr>
          <w:rFonts w:ascii="Arial" w:hAnsi="Arial"/>
          <w:rtl/>
        </w:rPr>
      </w:pPr>
      <w:r>
        <w:rPr>
          <w:rFonts w:ascii="Arial" w:hAnsi="Arial" w:hint="cs"/>
          <w:rtl/>
        </w:rPr>
        <w:lastRenderedPageBreak/>
        <w:t xml:space="preserve">לאחר שהנאשם סיים את תקופת ההתנדבות למד במכללת עמק הירדן לתקופה של שנתיים וחצי, וקיבל תעודת הנדסאי. </w:t>
      </w:r>
    </w:p>
    <w:p w14:paraId="5C49D793" w14:textId="77777777" w:rsidR="005D6FC4" w:rsidRDefault="005D6FC4">
      <w:pPr>
        <w:spacing w:line="360" w:lineRule="auto"/>
        <w:jc w:val="both"/>
        <w:rPr>
          <w:rFonts w:ascii="Arial" w:hAnsi="Arial"/>
          <w:rtl/>
        </w:rPr>
      </w:pPr>
    </w:p>
    <w:p w14:paraId="17E003A9" w14:textId="77777777" w:rsidR="005D6FC4" w:rsidRDefault="00504339">
      <w:pPr>
        <w:spacing w:line="360" w:lineRule="auto"/>
        <w:jc w:val="both"/>
        <w:rPr>
          <w:rFonts w:ascii="Arial" w:hAnsi="Arial"/>
          <w:rtl/>
        </w:rPr>
      </w:pPr>
      <w:r>
        <w:rPr>
          <w:rFonts w:ascii="Arial" w:hAnsi="Arial" w:hint="cs"/>
          <w:rtl/>
        </w:rPr>
        <w:t xml:space="preserve">יצוין כי, אין לחובתו של הנאשם הרשעות קודמות. </w:t>
      </w:r>
    </w:p>
    <w:p w14:paraId="07F93B65" w14:textId="77777777" w:rsidR="005D6FC4" w:rsidRDefault="005D6FC4">
      <w:pPr>
        <w:spacing w:line="360" w:lineRule="auto"/>
        <w:jc w:val="both"/>
        <w:rPr>
          <w:rFonts w:ascii="Arial" w:hAnsi="Arial"/>
          <w:rtl/>
        </w:rPr>
      </w:pPr>
    </w:p>
    <w:p w14:paraId="7F6852BA" w14:textId="77777777" w:rsidR="005D6FC4" w:rsidRDefault="00504339">
      <w:pPr>
        <w:spacing w:line="360" w:lineRule="auto"/>
        <w:jc w:val="both"/>
        <w:rPr>
          <w:rFonts w:ascii="Arial" w:hAnsi="Arial"/>
          <w:rtl/>
        </w:rPr>
      </w:pPr>
      <w:r>
        <w:rPr>
          <w:rFonts w:ascii="Arial" w:hAnsi="Arial" w:hint="cs"/>
          <w:rtl/>
        </w:rPr>
        <w:t xml:space="preserve">לגבי העבירה המיוחסת לו בכתב האישום, ציין הנאשם בפני שירות המבחן, כי הוא נוטל על עצמו אחריות לביצועה, ואף ציין כי סבר שהמתלוננת בגירה ומעוניינת בקשר עימו. </w:t>
      </w:r>
    </w:p>
    <w:p w14:paraId="603A9CE2" w14:textId="77777777" w:rsidR="005D6FC4" w:rsidRDefault="005D6FC4">
      <w:pPr>
        <w:spacing w:line="360" w:lineRule="auto"/>
        <w:jc w:val="both"/>
        <w:rPr>
          <w:rFonts w:ascii="Arial" w:hAnsi="Arial"/>
          <w:rtl/>
        </w:rPr>
      </w:pPr>
    </w:p>
    <w:p w14:paraId="43A178EC" w14:textId="77777777" w:rsidR="005D6FC4" w:rsidRDefault="00504339">
      <w:pPr>
        <w:spacing w:line="360" w:lineRule="auto"/>
        <w:jc w:val="both"/>
        <w:rPr>
          <w:rFonts w:ascii="Arial" w:hAnsi="Arial"/>
          <w:rtl/>
        </w:rPr>
      </w:pPr>
      <w:r>
        <w:rPr>
          <w:rFonts w:ascii="Arial" w:hAnsi="Arial" w:hint="cs"/>
          <w:rtl/>
        </w:rPr>
        <w:t xml:space="preserve">שירות המבחן לא התרשם, כי קיימת אצל הנאשם כל סטייה מינית או פתלוגיה בתחום תפקודו המיני. </w:t>
      </w:r>
    </w:p>
    <w:p w14:paraId="24A8C203" w14:textId="77777777" w:rsidR="005D6FC4" w:rsidRDefault="005D6FC4">
      <w:pPr>
        <w:spacing w:line="360" w:lineRule="auto"/>
        <w:jc w:val="both"/>
        <w:rPr>
          <w:rFonts w:ascii="Arial" w:hAnsi="Arial"/>
          <w:rtl/>
        </w:rPr>
      </w:pPr>
    </w:p>
    <w:p w14:paraId="7927C37B" w14:textId="77777777" w:rsidR="005D6FC4" w:rsidRDefault="00504339">
      <w:pPr>
        <w:spacing w:line="360" w:lineRule="auto"/>
        <w:jc w:val="both"/>
        <w:rPr>
          <w:rFonts w:ascii="Arial" w:hAnsi="Arial"/>
          <w:rtl/>
        </w:rPr>
      </w:pPr>
      <w:r>
        <w:rPr>
          <w:rFonts w:ascii="Arial" w:hAnsi="Arial" w:hint="cs"/>
          <w:rtl/>
        </w:rPr>
        <w:t xml:space="preserve">שירות המבחן פנה לנאשם והציע כי יש לבדוק אפשרות שילובו בקבוצה טיפולית ייעודית לעברייני מין, המתקיימת בשירות המבחן וזאת בהסתמך על ממצאי הערכת המסוכנות, הקובעת, כי הסיכון אשר נשקף מהנאשם להישנות עבירות המין הינו ברמה הבינונית. בעניינו של הנאשם הוגש תסקיר משלים ממנו עולה כי, הנאשם הגיע באופן יציב ורציף לקבוצה, ואף גילה מוטיבציה ונטל חלק פעיל במסגרת הטיפול. </w:t>
      </w:r>
    </w:p>
    <w:p w14:paraId="05833016" w14:textId="77777777" w:rsidR="005D6FC4" w:rsidRDefault="005D6FC4">
      <w:pPr>
        <w:spacing w:line="360" w:lineRule="auto"/>
        <w:jc w:val="both"/>
        <w:rPr>
          <w:rFonts w:ascii="Arial" w:hAnsi="Arial"/>
          <w:rtl/>
        </w:rPr>
      </w:pPr>
    </w:p>
    <w:p w14:paraId="14D86CC6" w14:textId="77777777" w:rsidR="005D6FC4" w:rsidRDefault="00504339">
      <w:pPr>
        <w:spacing w:line="360" w:lineRule="auto"/>
        <w:jc w:val="both"/>
        <w:rPr>
          <w:rFonts w:ascii="Arial" w:hAnsi="Arial"/>
          <w:rtl/>
        </w:rPr>
      </w:pPr>
      <w:r>
        <w:rPr>
          <w:rFonts w:ascii="Arial" w:hAnsi="Arial" w:hint="cs"/>
          <w:rtl/>
        </w:rPr>
        <w:t xml:space="preserve">המלצת שירות המבחן הינה,  כי הנאשם ימשיך בהליך טיפולי בו הוא החל בקבוצה ייעודית לעברייני מין וזאת במסגרת צו מבחן אשר יוטל עליו למשך 18 חודשים, זאת בנוסף לתשלום פיצויים למתלוננת. </w:t>
      </w:r>
    </w:p>
    <w:p w14:paraId="4DD1A4EC" w14:textId="77777777" w:rsidR="005D6FC4" w:rsidRDefault="00504339">
      <w:pPr>
        <w:spacing w:line="360" w:lineRule="auto"/>
        <w:jc w:val="both"/>
        <w:rPr>
          <w:rFonts w:ascii="Arial" w:hAnsi="Arial"/>
          <w:rtl/>
        </w:rPr>
      </w:pPr>
      <w:r>
        <w:rPr>
          <w:rFonts w:ascii="Arial" w:hAnsi="Arial" w:hint="cs"/>
          <w:rtl/>
        </w:rPr>
        <w:t xml:space="preserve">לגבי עניין אי ההרשעה, שירות המבחן לא נקט כל עמדה.  </w:t>
      </w:r>
    </w:p>
    <w:p w14:paraId="7EB0C606" w14:textId="77777777" w:rsidR="005D6FC4" w:rsidRDefault="005D6FC4">
      <w:pPr>
        <w:spacing w:line="360" w:lineRule="auto"/>
        <w:jc w:val="both"/>
        <w:rPr>
          <w:rFonts w:ascii="Arial" w:hAnsi="Arial"/>
          <w:rtl/>
        </w:rPr>
      </w:pPr>
    </w:p>
    <w:p w14:paraId="5EA9E1A5" w14:textId="77777777" w:rsidR="005D6FC4" w:rsidRDefault="00504339">
      <w:pPr>
        <w:spacing w:line="360" w:lineRule="auto"/>
        <w:jc w:val="both"/>
        <w:rPr>
          <w:rFonts w:ascii="Arial" w:hAnsi="Arial"/>
          <w:b/>
          <w:bCs/>
          <w:u w:val="single"/>
          <w:rtl/>
        </w:rPr>
      </w:pPr>
      <w:r>
        <w:rPr>
          <w:rFonts w:ascii="Arial" w:hAnsi="Arial" w:hint="cs"/>
          <w:b/>
          <w:bCs/>
          <w:u w:val="single"/>
          <w:rtl/>
        </w:rPr>
        <w:t>הוראות החוק והפסיקה</w:t>
      </w:r>
    </w:p>
    <w:p w14:paraId="36424E62" w14:textId="77777777" w:rsidR="005D6FC4" w:rsidRDefault="005D6FC4">
      <w:pPr>
        <w:spacing w:line="360" w:lineRule="auto"/>
        <w:jc w:val="both"/>
        <w:rPr>
          <w:rFonts w:ascii="Arial" w:hAnsi="Arial"/>
          <w:b/>
          <w:bCs/>
          <w:u w:val="single"/>
          <w:rtl/>
        </w:rPr>
      </w:pPr>
    </w:p>
    <w:p w14:paraId="28C5DE78" w14:textId="77777777" w:rsidR="005D6FC4" w:rsidRDefault="00504339">
      <w:pPr>
        <w:spacing w:line="360" w:lineRule="auto"/>
        <w:jc w:val="both"/>
        <w:rPr>
          <w:rFonts w:ascii="Times New Roman" w:hAnsi="Times New Roman"/>
          <w:rtl/>
        </w:rPr>
      </w:pPr>
      <w:r>
        <w:rPr>
          <w:rFonts w:hint="cs"/>
          <w:rtl/>
        </w:rPr>
        <w:t xml:space="preserve">כללי החוק והפסיקה בעניין סוגית ההרשעה ידועים. בקצירת האומר יצויין, כי הן על פי </w:t>
      </w:r>
      <w:hyperlink r:id="rId13" w:history="1">
        <w:r w:rsidR="00047BFA" w:rsidRPr="00047BFA">
          <w:rPr>
            <w:rStyle w:val="Hyperlink"/>
            <w:rFonts w:hint="eastAsia"/>
            <w:rtl/>
          </w:rPr>
          <w:t>חוק</w:t>
        </w:r>
        <w:r w:rsidR="00047BFA" w:rsidRPr="00047BFA">
          <w:rPr>
            <w:rStyle w:val="Hyperlink"/>
            <w:rtl/>
          </w:rPr>
          <w:t xml:space="preserve"> סדר הדין הפלילי</w:t>
        </w:r>
      </w:hyperlink>
      <w:r>
        <w:rPr>
          <w:rFonts w:hint="cs"/>
          <w:rtl/>
        </w:rPr>
        <w:t xml:space="preserve"> [נ"מ] תשמ"ב- 1982 </w:t>
      </w:r>
      <w:hyperlink r:id="rId14" w:history="1">
        <w:r w:rsidR="007B0F9C" w:rsidRPr="007B0F9C">
          <w:rPr>
            <w:color w:val="0000FF"/>
            <w:u w:val="single"/>
            <w:rtl/>
          </w:rPr>
          <w:t>בסעיף 182</w:t>
        </w:r>
      </w:hyperlink>
      <w:r>
        <w:rPr>
          <w:rFonts w:hint="cs"/>
          <w:rtl/>
        </w:rPr>
        <w:t xml:space="preserve"> העוסק בענין זה, והן על פי הפסיקה, ובראשה פסקי הדין המנחים בעניין </w:t>
      </w:r>
      <w:r>
        <w:rPr>
          <w:rFonts w:hint="cs"/>
          <w:b/>
          <w:bCs/>
          <w:rtl/>
        </w:rPr>
        <w:t>רומנו</w:t>
      </w:r>
      <w:r>
        <w:rPr>
          <w:rFonts w:hint="cs"/>
          <w:rtl/>
        </w:rPr>
        <w:t xml:space="preserve"> (</w:t>
      </w:r>
      <w:hyperlink r:id="rId15" w:history="1">
        <w:r w:rsidR="007B0F9C" w:rsidRPr="007B0F9C">
          <w:rPr>
            <w:color w:val="0000FF"/>
            <w:u w:val="single"/>
            <w:rtl/>
          </w:rPr>
          <w:t>רע"פ 432/85</w:t>
        </w:r>
      </w:hyperlink>
      <w:r>
        <w:rPr>
          <w:rFonts w:hint="cs"/>
          <w:b/>
          <w:bCs/>
          <w:rtl/>
        </w:rPr>
        <w:t xml:space="preserve"> גדעון רומנו נגד מדינת ישראל </w:t>
      </w:r>
      <w:r>
        <w:rPr>
          <w:rFonts w:hint="cs"/>
          <w:rtl/>
        </w:rPr>
        <w:t xml:space="preserve">תק' על' 85 (3) 737), בענין </w:t>
      </w:r>
      <w:r>
        <w:rPr>
          <w:rFonts w:hint="cs"/>
          <w:b/>
          <w:bCs/>
          <w:rtl/>
        </w:rPr>
        <w:t>כתב</w:t>
      </w:r>
      <w:r>
        <w:rPr>
          <w:rFonts w:hint="cs"/>
          <w:rtl/>
        </w:rPr>
        <w:t xml:space="preserve"> (</w:t>
      </w:r>
      <w:hyperlink r:id="rId16" w:history="1">
        <w:r w:rsidR="00047BFA" w:rsidRPr="00047BFA">
          <w:rPr>
            <w:rStyle w:val="Hyperlink"/>
            <w:rtl/>
          </w:rPr>
          <w:t>ע"פ 2083/96 - תמר כתב נ' מדינת ישראל  פ"ד נב</w:t>
        </w:r>
      </w:hyperlink>
      <w:r>
        <w:rPr>
          <w:rFonts w:hint="cs"/>
          <w:rtl/>
        </w:rPr>
        <w:t>' (3), 337)</w:t>
      </w:r>
      <w:r>
        <w:rPr>
          <w:rFonts w:hint="cs"/>
          <w:b/>
          <w:bCs/>
          <w:rtl/>
        </w:rPr>
        <w:t xml:space="preserve"> </w:t>
      </w:r>
      <w:r>
        <w:rPr>
          <w:rFonts w:hint="cs"/>
          <w:rtl/>
        </w:rPr>
        <w:t>ובענין</w:t>
      </w:r>
      <w:r>
        <w:rPr>
          <w:rFonts w:hint="cs"/>
          <w:b/>
          <w:bCs/>
          <w:rtl/>
        </w:rPr>
        <w:t xml:space="preserve"> שמש </w:t>
      </w:r>
      <w:r>
        <w:rPr>
          <w:rFonts w:hint="cs"/>
          <w:rtl/>
        </w:rPr>
        <w:t>(</w:t>
      </w:r>
      <w:hyperlink r:id="rId17" w:history="1">
        <w:r w:rsidR="00047BFA" w:rsidRPr="00047BFA">
          <w:rPr>
            <w:rStyle w:val="Hyperlink"/>
            <w:rtl/>
          </w:rPr>
          <w:t>ע"פ 2513/96 מדינת ישראל נגד ויקטור שמש ואח', פ"ד נ</w:t>
        </w:r>
      </w:hyperlink>
      <w:r>
        <w:rPr>
          <w:rFonts w:hint="cs"/>
          <w:rtl/>
        </w:rPr>
        <w:t>' (3) 682),"ברירת המחדל" הינה הרשעה, ואי הרשעה הינו חריג לכלל ונקבע בנסיבות יוצאות דופן, בהן אין יחס סביר בין הנזק הצפוי מן ההרשעה בדין לבין חומרתה של העבירה.</w:t>
      </w:r>
    </w:p>
    <w:p w14:paraId="49F46567" w14:textId="77777777" w:rsidR="005D6FC4" w:rsidRDefault="005D6FC4">
      <w:pPr>
        <w:spacing w:line="360" w:lineRule="auto"/>
        <w:jc w:val="both"/>
        <w:rPr>
          <w:rtl/>
        </w:rPr>
      </w:pPr>
    </w:p>
    <w:p w14:paraId="3FE30905" w14:textId="77777777" w:rsidR="005D6FC4" w:rsidRDefault="00504339">
      <w:pPr>
        <w:spacing w:line="360" w:lineRule="auto"/>
        <w:jc w:val="both"/>
        <w:rPr>
          <w:rFonts w:eastAsia="MS Mincho"/>
          <w:rtl/>
        </w:rPr>
      </w:pPr>
      <w:r>
        <w:rPr>
          <w:rFonts w:eastAsia="MS Mincho" w:hint="cs"/>
          <w:rtl/>
        </w:rPr>
        <w:t xml:space="preserve">יצוין כי חד פעמיות של העבירה, והתנהגות נאשם לפני ואחרי ביצוע העבירה הוכרו אף הם בפסיקה כטעם ונסיבה מיוחדת המצדיקה לעיתים אי הרשעה. (ראו </w:t>
      </w:r>
      <w:hyperlink r:id="rId18" w:history="1">
        <w:r w:rsidR="007B0F9C" w:rsidRPr="007B0F9C">
          <w:rPr>
            <w:rFonts w:eastAsia="MS Mincho"/>
            <w:color w:val="0000FF"/>
            <w:u w:val="single"/>
            <w:rtl/>
          </w:rPr>
          <w:t>2611/90</w:t>
        </w:r>
      </w:hyperlink>
      <w:r>
        <w:rPr>
          <w:rFonts w:eastAsia="MS Mincho" w:hint="cs"/>
          <w:rtl/>
        </w:rPr>
        <w:t xml:space="preserve"> </w:t>
      </w:r>
      <w:r>
        <w:rPr>
          <w:rFonts w:eastAsia="MS Mincho" w:hint="cs"/>
          <w:b/>
          <w:bCs/>
          <w:rtl/>
        </w:rPr>
        <w:t>פלוני נ' מדינת ישראל</w:t>
      </w:r>
      <w:r>
        <w:rPr>
          <w:rFonts w:eastAsia="MS Mincho" w:hint="cs"/>
          <w:rtl/>
        </w:rPr>
        <w:t>, פ"ד מה(1), 120).</w:t>
      </w:r>
    </w:p>
    <w:p w14:paraId="03DDCE2D" w14:textId="77777777" w:rsidR="005D6FC4" w:rsidRDefault="00504339">
      <w:pPr>
        <w:spacing w:line="360" w:lineRule="auto"/>
        <w:jc w:val="both"/>
        <w:rPr>
          <w:rFonts w:eastAsia="MS Mincho"/>
          <w:rtl/>
        </w:rPr>
      </w:pPr>
      <w:r>
        <w:rPr>
          <w:rFonts w:eastAsia="MS Mincho" w:hint="cs"/>
          <w:rtl/>
        </w:rPr>
        <w:t xml:space="preserve"> </w:t>
      </w:r>
    </w:p>
    <w:p w14:paraId="6F3B4127" w14:textId="77777777" w:rsidR="005D6FC4" w:rsidRDefault="00504339">
      <w:pPr>
        <w:spacing w:line="360" w:lineRule="auto"/>
        <w:jc w:val="both"/>
        <w:rPr>
          <w:rFonts w:eastAsia="MS Mincho"/>
          <w:rtl/>
        </w:rPr>
      </w:pPr>
      <w:r>
        <w:rPr>
          <w:rFonts w:eastAsia="MS Mincho" w:hint="cs"/>
          <w:rtl/>
        </w:rPr>
        <w:t>כן, ככל שחומרתה של העבירה רבה כן יגבר האינטרס הציבורי ויטו כפות המאזניים לכיוון הרשעה.</w:t>
      </w:r>
    </w:p>
    <w:p w14:paraId="4F3F66D5" w14:textId="77777777" w:rsidR="005D6FC4" w:rsidRDefault="00504339">
      <w:pPr>
        <w:spacing w:line="360" w:lineRule="auto"/>
        <w:jc w:val="both"/>
        <w:rPr>
          <w:rFonts w:eastAsia="MS Mincho"/>
          <w:rtl/>
        </w:rPr>
      </w:pPr>
      <w:r>
        <w:rPr>
          <w:rFonts w:eastAsia="MS Mincho" w:hint="cs"/>
          <w:rtl/>
        </w:rPr>
        <w:lastRenderedPageBreak/>
        <w:t>על המאזן הנדרש עמד ביהמ"ש ב</w:t>
      </w:r>
      <w:hyperlink r:id="rId19" w:history="1">
        <w:r w:rsidR="00047BFA" w:rsidRPr="00047BFA">
          <w:rPr>
            <w:rStyle w:val="Hyperlink"/>
            <w:rFonts w:eastAsia="MS Mincho"/>
            <w:rtl/>
          </w:rPr>
          <w:t>ע"פ 2669/00 מדינת ישראל נ' פלוני פ"ד נ"ד</w:t>
        </w:r>
      </w:hyperlink>
      <w:r>
        <w:rPr>
          <w:rFonts w:eastAsia="MS Mincho" w:hint="cs"/>
          <w:rtl/>
        </w:rPr>
        <w:t xml:space="preserve"> (3) 685:</w:t>
      </w:r>
    </w:p>
    <w:p w14:paraId="4E58E859" w14:textId="77777777" w:rsidR="005D6FC4" w:rsidRDefault="005D6FC4">
      <w:pPr>
        <w:spacing w:line="360" w:lineRule="auto"/>
        <w:ind w:left="720"/>
        <w:jc w:val="both"/>
        <w:rPr>
          <w:rFonts w:eastAsia="MS Mincho"/>
          <w:rtl/>
        </w:rPr>
      </w:pPr>
    </w:p>
    <w:p w14:paraId="43D6788C" w14:textId="77777777" w:rsidR="005D6FC4" w:rsidRDefault="00504339">
      <w:pPr>
        <w:spacing w:line="360" w:lineRule="auto"/>
        <w:ind w:left="720" w:right="1620"/>
        <w:jc w:val="both"/>
        <w:rPr>
          <w:rFonts w:eastAsia="MS Mincho"/>
          <w:rtl/>
        </w:rPr>
      </w:pPr>
      <w:r>
        <w:rPr>
          <w:rFonts w:eastAsia="MS Mincho" w:hint="cs"/>
          <w:rtl/>
        </w:rPr>
        <w:t>"</w:t>
      </w:r>
      <w:r>
        <w:rPr>
          <w:rFonts w:eastAsia="MS Mincho" w:hint="cs"/>
          <w:b/>
          <w:bCs/>
          <w:rtl/>
        </w:rPr>
        <w:t>משהתבקש ביהמ"ש לשקול אימתי יחיל את הכלל המדבר בחובת הרשעה, ומתי יחיל את החריג בדבר הימנעות מהרשעה, נדרש איזון שיקולים המעמיד את האינטרס הציבורי אל מול נסיבותיו האינדיוידואליות של הנאשם. בראיה כוללת נשקל... הצורך במיצויו של ההליך הפלילי בדרך של שעת העבריין כדי להשיג בכך בין היתר, את גורם ההרתעה והאכיפה השוויונית של החוק. שיקול ציבורי זה פועל במשנה תוקף ככל שחומרת העבירה גדולה יותר, והנזקים לפרט מביצועה - גוברים. כנגד השיקול הציבורי נשקל עניינו של הפרט - הנאשם... באשר לנאשמים בגירים, במאזן השיקולים האמור, גובר בדרך כלל השיקול הציבורי, ורק נסיבות מיוחדות, חריגות ויוצאות דופן ביותר תצדקנה סטייה מחובת מיצוי הדין בדרך הרשעת העבריין</w:t>
      </w:r>
      <w:r>
        <w:rPr>
          <w:rFonts w:eastAsia="MS Mincho" w:hint="cs"/>
          <w:rtl/>
        </w:rPr>
        <w:t>".</w:t>
      </w:r>
    </w:p>
    <w:p w14:paraId="15DB6103" w14:textId="77777777" w:rsidR="005D6FC4" w:rsidRDefault="005D6FC4">
      <w:pPr>
        <w:spacing w:line="360" w:lineRule="auto"/>
        <w:jc w:val="both"/>
        <w:rPr>
          <w:rFonts w:eastAsia="Times New Roman"/>
          <w:rtl/>
        </w:rPr>
      </w:pPr>
    </w:p>
    <w:p w14:paraId="1C2574E0" w14:textId="77777777" w:rsidR="005D6FC4" w:rsidRDefault="00504339">
      <w:pPr>
        <w:pStyle w:val="BlockText"/>
        <w:ind w:right="0"/>
        <w:rPr>
          <w:rtl/>
        </w:rPr>
      </w:pPr>
      <w:r>
        <w:rPr>
          <w:rFonts w:hint="cs"/>
          <w:rtl/>
        </w:rPr>
        <w:t xml:space="preserve">עיננו הרואות , כי המדובר הוא בעבירה חמורה שעניינה מעשה מגונה אשר בוצע בקטינה.  קיימים מספר נימוקים המצדיקים את הרשעתו של הנאשם בדין והם: סוג העבירה וחומרתה, העובדה כי המדובר הוא ברמת מסוכנות בינונית וזאת כפי שהדבר בא לידי ביטוי בתסקיר שירות המבחן, העובדה, כי המעשה המיוחס בוצע במתלוננת קטינה, העובדה, כי שירות המבחן לא המליץ על הימנעות מהרשעת הנאשם בדין וכן העובדה, כי לא הוכח בפניי שהרשעתו של הנאשם בדין יכולה להביא לגדיעת מקור פרנסתו ו/או לנזק קיצוני בהשוואה לאינטרס הציבורי המחייב בענייננו את הרשעת הנאשם בדין. </w:t>
      </w:r>
    </w:p>
    <w:p w14:paraId="64018579" w14:textId="77777777" w:rsidR="005D6FC4" w:rsidRDefault="005D6FC4">
      <w:pPr>
        <w:pStyle w:val="BlockText"/>
        <w:ind w:right="0"/>
        <w:rPr>
          <w:rtl/>
        </w:rPr>
      </w:pPr>
    </w:p>
    <w:p w14:paraId="296A5377" w14:textId="77777777" w:rsidR="005D6FC4" w:rsidRDefault="00504339">
      <w:pPr>
        <w:pStyle w:val="BlockText"/>
        <w:ind w:right="0"/>
        <w:rPr>
          <w:rtl/>
        </w:rPr>
      </w:pPr>
      <w:r>
        <w:rPr>
          <w:rFonts w:hint="cs"/>
          <w:rtl/>
        </w:rPr>
        <w:t xml:space="preserve">עיינתי בפסיקה אשר הוגשה מטעם הסניגור המלומד אולם, קיים שוני בין המקרים אשר נדונו שם לבין המקרה נשוא הליך זה.  לא הוכח מה נזק ייגרם לנאשם במידה ויורשע בדין. לא הוכח, כי רמת המסוכנות הנשקפת ממנו הינה נמוכה ואין סיכוי להישנות מקרים דומים בעתיד. </w:t>
      </w:r>
    </w:p>
    <w:p w14:paraId="6F10D445" w14:textId="77777777" w:rsidR="005D6FC4" w:rsidRDefault="005D6FC4">
      <w:pPr>
        <w:pStyle w:val="BlockText"/>
        <w:ind w:right="0"/>
        <w:rPr>
          <w:rtl/>
        </w:rPr>
      </w:pPr>
    </w:p>
    <w:p w14:paraId="73AC4550" w14:textId="77777777" w:rsidR="005D6FC4" w:rsidRDefault="00504339">
      <w:pPr>
        <w:pStyle w:val="BlockText"/>
        <w:ind w:right="0"/>
        <w:rPr>
          <w:rtl/>
        </w:rPr>
      </w:pPr>
      <w:r>
        <w:rPr>
          <w:rFonts w:hint="cs"/>
          <w:rtl/>
        </w:rPr>
        <w:t xml:space="preserve">ער אני לעובדה, כי הנאשם הודה וחסך זמן שיפוטי יקר וכן כי אין לחובתו כל הרשעות קודמות אך שיקולים אלה מקומם יפה בשלב של גזר הדין ולא לעניין הימנעות מהרשעתו וזאת בשים לב לנסיבות האופפות את ההתרחשות העובדתית, רמת המסוכנות והמלצת שירות המבחן. </w:t>
      </w:r>
    </w:p>
    <w:p w14:paraId="32EBFDC8" w14:textId="77777777" w:rsidR="005D6FC4" w:rsidRDefault="00504339">
      <w:pPr>
        <w:pStyle w:val="BlockText"/>
        <w:ind w:right="0"/>
        <w:rPr>
          <w:rtl/>
        </w:rPr>
      </w:pPr>
      <w:r>
        <w:rPr>
          <w:rFonts w:hint="cs"/>
          <w:rtl/>
        </w:rPr>
        <w:t xml:space="preserve">משכך, הנני מרשיע את הנאשם בעבירות המיוחסות לו בכתב האישום המתוקן. </w:t>
      </w:r>
    </w:p>
    <w:p w14:paraId="2273B4E7" w14:textId="77777777" w:rsidR="005D6FC4" w:rsidRDefault="005D6FC4">
      <w:pPr>
        <w:pStyle w:val="BlockText"/>
        <w:ind w:right="0"/>
        <w:rPr>
          <w:rtl/>
        </w:rPr>
      </w:pPr>
    </w:p>
    <w:p w14:paraId="4BEFD430" w14:textId="77777777" w:rsidR="005D6FC4" w:rsidRDefault="00504339">
      <w:pPr>
        <w:pStyle w:val="BlockText"/>
        <w:ind w:right="0"/>
        <w:rPr>
          <w:sz w:val="6"/>
          <w:szCs w:val="6"/>
          <w:rtl/>
        </w:rPr>
      </w:pPr>
      <w:r>
        <w:rPr>
          <w:sz w:val="6"/>
          <w:szCs w:val="6"/>
          <w:rtl/>
        </w:rPr>
        <w:t>&lt;#5#&gt;</w:t>
      </w:r>
    </w:p>
    <w:p w14:paraId="4AAC2036" w14:textId="77777777" w:rsidR="005D6FC4" w:rsidRDefault="005D6FC4">
      <w:pPr>
        <w:jc w:val="right"/>
        <w:rPr>
          <w:rtl/>
        </w:rPr>
      </w:pPr>
    </w:p>
    <w:p w14:paraId="485C8B3D" w14:textId="77777777" w:rsidR="005D6FC4" w:rsidRDefault="00504339">
      <w:pPr>
        <w:spacing w:line="360" w:lineRule="auto"/>
        <w:jc w:val="both"/>
        <w:rPr>
          <w:rtl/>
        </w:rPr>
      </w:pPr>
      <w:r>
        <w:rPr>
          <w:rFonts w:hint="cs"/>
          <w:b/>
          <w:bCs/>
          <w:rtl/>
        </w:rPr>
        <w:t xml:space="preserve">ניתנה והודעה היום </w:t>
      </w:r>
      <w:r>
        <w:rPr>
          <w:b/>
          <w:bCs/>
          <w:rtl/>
        </w:rPr>
        <w:t>י"ז חשון תשע"א</w:t>
      </w:r>
      <w:r>
        <w:rPr>
          <w:rFonts w:hint="cs"/>
          <w:b/>
          <w:bCs/>
          <w:rtl/>
        </w:rPr>
        <w:t xml:space="preserve">, </w:t>
      </w:r>
      <w:r>
        <w:rPr>
          <w:b/>
          <w:bCs/>
          <w:rtl/>
        </w:rPr>
        <w:t>25/10/2010</w:t>
      </w:r>
      <w:r>
        <w:rPr>
          <w:rFonts w:hint="cs"/>
          <w:b/>
          <w:bCs/>
          <w:rtl/>
        </w:rPr>
        <w:t xml:space="preserve"> במעמד הנוכחים.</w:t>
      </w:r>
      <w:r>
        <w:rPr>
          <w:rtl/>
        </w:rPr>
        <w:t xml:space="preserve"> </w:t>
      </w:r>
    </w:p>
    <w:p w14:paraId="215671E9" w14:textId="77777777" w:rsidR="005D6FC4" w:rsidRDefault="00504339">
      <w:pPr>
        <w:jc w:val="both"/>
        <w:rPr>
          <w:rtl/>
        </w:rPr>
      </w:pPr>
      <w:r>
        <w:rPr>
          <w:rtl/>
        </w:rPr>
        <w:t xml:space="preserve"> </w:t>
      </w:r>
    </w:p>
    <w:p w14:paraId="0C5CCDD1" w14:textId="77777777" w:rsidR="005D6FC4" w:rsidRDefault="005D6FC4">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D6FC4" w14:paraId="2D674E98" w14:textId="77777777">
        <w:trPr>
          <w:trHeight w:val="364"/>
          <w:jc w:val="right"/>
        </w:trPr>
        <w:tc>
          <w:tcPr>
            <w:tcW w:w="3708" w:type="dxa"/>
            <w:shd w:val="clear" w:color="auto" w:fill="auto"/>
          </w:tcPr>
          <w:p w14:paraId="5F507A0E" w14:textId="77777777" w:rsidR="005D6FC4" w:rsidRDefault="005D6FC4" w:rsidP="006D7D71">
            <w:pPr>
              <w:jc w:val="center"/>
              <w:rPr>
                <w:rtl/>
              </w:rPr>
            </w:pPr>
          </w:p>
        </w:tc>
      </w:tr>
      <w:tr w:rsidR="005D6FC4" w14:paraId="591AFFDA" w14:textId="77777777">
        <w:trPr>
          <w:trHeight w:val="415"/>
          <w:jc w:val="right"/>
        </w:trPr>
        <w:tc>
          <w:tcPr>
            <w:tcW w:w="3708" w:type="dxa"/>
            <w:shd w:val="clear" w:color="auto" w:fill="auto"/>
          </w:tcPr>
          <w:p w14:paraId="6F3ED915" w14:textId="77777777" w:rsidR="005D6FC4" w:rsidRPr="006D7D71" w:rsidRDefault="00504339" w:rsidP="006D7D71">
            <w:pPr>
              <w:jc w:val="center"/>
              <w:rPr>
                <w:b/>
                <w:bCs/>
                <w:rtl/>
              </w:rPr>
            </w:pPr>
            <w:r w:rsidRPr="006D7D71">
              <w:rPr>
                <w:b/>
                <w:bCs/>
                <w:rtl/>
              </w:rPr>
              <w:t>סאאב</w:t>
            </w:r>
            <w:r w:rsidRPr="006D7D71">
              <w:rPr>
                <w:rFonts w:hint="cs"/>
                <w:b/>
                <w:bCs/>
                <w:rtl/>
              </w:rPr>
              <w:t xml:space="preserve"> </w:t>
            </w:r>
            <w:r w:rsidRPr="006D7D71">
              <w:rPr>
                <w:b/>
                <w:bCs/>
                <w:rtl/>
              </w:rPr>
              <w:t>דבור</w:t>
            </w:r>
            <w:r w:rsidRPr="006D7D71">
              <w:rPr>
                <w:rFonts w:hint="cs"/>
                <w:b/>
                <w:bCs/>
                <w:rtl/>
              </w:rPr>
              <w:t xml:space="preserve">, </w:t>
            </w:r>
            <w:r w:rsidRPr="006D7D71">
              <w:rPr>
                <w:b/>
                <w:bCs/>
                <w:rtl/>
              </w:rPr>
              <w:t>סגן נשיא</w:t>
            </w:r>
          </w:p>
        </w:tc>
      </w:tr>
    </w:tbl>
    <w:p w14:paraId="7BD62688" w14:textId="77777777" w:rsidR="005D6FC4" w:rsidRDefault="005D6FC4">
      <w:pPr>
        <w:jc w:val="right"/>
        <w:rPr>
          <w:rtl/>
        </w:rPr>
      </w:pPr>
    </w:p>
    <w:p w14:paraId="61913587" w14:textId="77777777" w:rsidR="005D6FC4" w:rsidRDefault="00504339">
      <w:pPr>
        <w:pStyle w:val="BlockText"/>
        <w:ind w:right="0"/>
        <w:rPr>
          <w:sz w:val="6"/>
          <w:szCs w:val="6"/>
          <w:rtl/>
        </w:rPr>
      </w:pPr>
      <w:r>
        <w:rPr>
          <w:sz w:val="6"/>
          <w:szCs w:val="6"/>
          <w:rtl/>
        </w:rPr>
        <w:t>&lt;#4#&gt;</w:t>
      </w:r>
    </w:p>
    <w:p w14:paraId="1ABF5B48" w14:textId="77777777" w:rsidR="005D6FC4" w:rsidRDefault="00504339">
      <w:pPr>
        <w:spacing w:line="360" w:lineRule="auto"/>
        <w:jc w:val="center"/>
        <w:rPr>
          <w:rFonts w:ascii="Arial" w:hAnsi="Arial"/>
          <w:b/>
          <w:bCs/>
          <w:sz w:val="28"/>
          <w:szCs w:val="28"/>
          <w:u w:val="single"/>
          <w:rtl/>
        </w:rPr>
      </w:pPr>
      <w:r>
        <w:rPr>
          <w:rFonts w:ascii="Arial" w:hAnsi="Arial" w:hint="cs"/>
          <w:b/>
          <w:bCs/>
          <w:sz w:val="28"/>
          <w:szCs w:val="28"/>
          <w:u w:val="single"/>
          <w:rtl/>
        </w:rPr>
        <w:lastRenderedPageBreak/>
        <w:t>גזר דין</w:t>
      </w:r>
    </w:p>
    <w:p w14:paraId="3A1D8776" w14:textId="77777777" w:rsidR="005D6FC4" w:rsidRDefault="005D6FC4">
      <w:pPr>
        <w:pStyle w:val="BlockText"/>
        <w:bidi w:val="0"/>
        <w:ind w:right="0"/>
        <w:jc w:val="right"/>
        <w:rPr>
          <w:b/>
          <w:bCs/>
        </w:rPr>
      </w:pPr>
    </w:p>
    <w:p w14:paraId="19E29D73" w14:textId="77777777" w:rsidR="005D6FC4" w:rsidRDefault="00504339">
      <w:pPr>
        <w:pStyle w:val="BlockText"/>
        <w:bidi w:val="0"/>
        <w:ind w:right="0"/>
        <w:jc w:val="right"/>
        <w:rPr>
          <w:b/>
          <w:bCs/>
          <w:rtl/>
        </w:rPr>
      </w:pPr>
      <w:r>
        <w:rPr>
          <w:rFonts w:hint="cs"/>
          <w:b/>
          <w:bCs/>
          <w:rtl/>
        </w:rPr>
        <w:t>הנני מטיל על הנאשם את העונשים כדלקמן:</w:t>
      </w:r>
    </w:p>
    <w:p w14:paraId="25BF079E" w14:textId="77777777" w:rsidR="005D6FC4" w:rsidRDefault="005D6FC4">
      <w:pPr>
        <w:pStyle w:val="BlockText"/>
        <w:ind w:right="0"/>
        <w:rPr>
          <w:rFonts w:hint="cs"/>
          <w:rtl/>
        </w:rPr>
      </w:pPr>
    </w:p>
    <w:p w14:paraId="2C93ECC6" w14:textId="77777777" w:rsidR="005D6FC4" w:rsidRDefault="00504339">
      <w:pPr>
        <w:pStyle w:val="BodyText"/>
        <w:rPr>
          <w:sz w:val="24"/>
          <w:szCs w:val="24"/>
          <w:rtl/>
        </w:rPr>
      </w:pPr>
      <w:r>
        <w:rPr>
          <w:rFonts w:hint="cs"/>
          <w:sz w:val="24"/>
          <w:szCs w:val="24"/>
          <w:rtl/>
        </w:rPr>
        <w:t xml:space="preserve">בהתאם להמלצת שירות המבחן ניתן בזה צו מבחן לתקופה של שנה וחצי וזאת כדי לאפשר לנאשם להמשיך בהליך הטיפולי בו החל. על הנאשם לבצע כל הוראה ולהתייצב לכל מפגש ולמלא אחר כל דרישה של שירות המבחן. </w:t>
      </w:r>
    </w:p>
    <w:p w14:paraId="41EF407F" w14:textId="77777777" w:rsidR="005D6FC4" w:rsidRDefault="00504339">
      <w:pPr>
        <w:pStyle w:val="BodyText2"/>
        <w:rPr>
          <w:sz w:val="24"/>
          <w:szCs w:val="24"/>
        </w:rPr>
      </w:pPr>
      <w:r>
        <w:rPr>
          <w:rFonts w:hint="cs"/>
          <w:sz w:val="24"/>
          <w:szCs w:val="24"/>
          <w:rtl/>
        </w:rPr>
        <w:t xml:space="preserve">הוסבר לנאשם, כי במידה ולא יעמוד בתנאי צו המבחן יוכל בית המשפט להפקיע את המבחן ולהטיל עליו עונש אחר שייראה לו כנכון בנסיבות העניין. </w:t>
      </w:r>
    </w:p>
    <w:p w14:paraId="128A1671" w14:textId="77777777" w:rsidR="005D6FC4" w:rsidRDefault="005D6FC4">
      <w:pPr>
        <w:pStyle w:val="BlockText"/>
        <w:ind w:right="0"/>
      </w:pPr>
    </w:p>
    <w:p w14:paraId="568B9968" w14:textId="77777777" w:rsidR="005D6FC4" w:rsidRDefault="00504339">
      <w:pPr>
        <w:pStyle w:val="BlockText"/>
        <w:ind w:right="0"/>
        <w:rPr>
          <w:rtl/>
        </w:rPr>
      </w:pPr>
      <w:r>
        <w:rPr>
          <w:rFonts w:hint="cs"/>
          <w:rtl/>
        </w:rPr>
        <w:t xml:space="preserve">בנוסף, הנני מחייב את הנאשם לשלם פיצויים למתלוננת בסך 2000 ש"ח עד ליום 1.12.10 . הפיצוי יופקד במזכירות בית המשפט וזו האחרונה תדאג להעבירו למתלוננת אשר פרטיה יימסרו על ידי המאשימה. </w:t>
      </w:r>
    </w:p>
    <w:p w14:paraId="44891900" w14:textId="77777777" w:rsidR="005D6FC4" w:rsidRDefault="005D6FC4">
      <w:pPr>
        <w:spacing w:line="360" w:lineRule="auto"/>
        <w:jc w:val="both"/>
        <w:rPr>
          <w:rtl/>
        </w:rPr>
      </w:pPr>
    </w:p>
    <w:p w14:paraId="5A90F641" w14:textId="77777777" w:rsidR="005D6FC4" w:rsidRDefault="00504339">
      <w:pPr>
        <w:spacing w:line="360" w:lineRule="auto"/>
        <w:jc w:val="both"/>
        <w:rPr>
          <w:rtl/>
        </w:rPr>
      </w:pPr>
      <w:r>
        <w:rPr>
          <w:rFonts w:hint="cs"/>
          <w:rtl/>
        </w:rPr>
        <w:t xml:space="preserve">אני מחייב את הנאשם לבצע עבודות שירות לתועלת הציבור (צו של"צ) בהתאם להמלצת שירות המבחן בהיקף של  שעות. צו השל"צ, היקפו , תנאיו ייקבעו על ידי שירות המבחן אשר יגיש תוכנית מגובשת בנוגע לצו השל"צ תוך 30 יום מהיום. </w:t>
      </w:r>
    </w:p>
    <w:p w14:paraId="064412FA" w14:textId="77777777" w:rsidR="005D6FC4" w:rsidRDefault="005D6FC4">
      <w:pPr>
        <w:spacing w:line="360" w:lineRule="auto"/>
        <w:jc w:val="both"/>
        <w:rPr>
          <w:rtl/>
        </w:rPr>
      </w:pPr>
    </w:p>
    <w:p w14:paraId="7C98C1DB" w14:textId="77777777" w:rsidR="005D6FC4" w:rsidRDefault="00504339">
      <w:pPr>
        <w:spacing w:line="360" w:lineRule="auto"/>
        <w:jc w:val="both"/>
        <w:rPr>
          <w:rtl/>
        </w:rPr>
      </w:pPr>
      <w:r>
        <w:rPr>
          <w:rFonts w:hint="cs"/>
          <w:rtl/>
        </w:rPr>
        <w:t xml:space="preserve">אני גוזר על הנאשם 5 חודשי מאסר ואולם הנאשם לא יישא בעונש זה אלא אם יעבור תוך תקופה של שנתיים מהיום על אחת מן העבירות המנויות </w:t>
      </w:r>
      <w:hyperlink r:id="rId20" w:history="1">
        <w:r w:rsidR="007B0F9C" w:rsidRPr="007B0F9C">
          <w:rPr>
            <w:color w:val="0000FF"/>
            <w:u w:val="single"/>
            <w:rtl/>
          </w:rPr>
          <w:t>בסימן ה' לפרק י'</w:t>
        </w:r>
      </w:hyperlink>
      <w:r>
        <w:rPr>
          <w:rFonts w:hint="cs"/>
          <w:rtl/>
        </w:rPr>
        <w:t xml:space="preserve"> ל</w:t>
      </w:r>
      <w:hyperlink r:id="rId21" w:history="1">
        <w:r w:rsidR="00047BFA" w:rsidRPr="00047BFA">
          <w:rPr>
            <w:rStyle w:val="Hyperlink"/>
            <w:rtl/>
          </w:rPr>
          <w:t>חוק העונשין</w:t>
        </w:r>
      </w:hyperlink>
      <w:r>
        <w:rPr>
          <w:rFonts w:hint="cs"/>
          <w:rtl/>
        </w:rPr>
        <w:t xml:space="preserve"> התשל"ז- 1977 ויורשע בה תוך תקופת התנאי או לאחר מכן.</w:t>
      </w:r>
    </w:p>
    <w:p w14:paraId="0B51E1E0" w14:textId="77777777" w:rsidR="005D6FC4" w:rsidRDefault="005D6FC4">
      <w:pPr>
        <w:spacing w:line="360" w:lineRule="auto"/>
        <w:jc w:val="both"/>
        <w:rPr>
          <w:rtl/>
        </w:rPr>
      </w:pPr>
    </w:p>
    <w:p w14:paraId="5F5316D4" w14:textId="77777777" w:rsidR="005D6FC4" w:rsidRDefault="00504339">
      <w:pPr>
        <w:spacing w:line="360" w:lineRule="auto"/>
        <w:jc w:val="both"/>
        <w:rPr>
          <w:rFonts w:ascii="Arial" w:hAnsi="Arial"/>
          <w:b/>
          <w:bCs/>
          <w:u w:val="single"/>
          <w:rtl/>
        </w:rPr>
      </w:pPr>
      <w:r>
        <w:rPr>
          <w:rFonts w:ascii="Arial" w:hAnsi="Arial" w:hint="cs"/>
          <w:b/>
          <w:bCs/>
          <w:u w:val="single"/>
          <w:rtl/>
        </w:rPr>
        <w:t xml:space="preserve">זכות ערעור תוך 45 יום מהיום לבית משפט המחוזי בנצרת. </w:t>
      </w:r>
    </w:p>
    <w:p w14:paraId="119FB5A9" w14:textId="77777777" w:rsidR="005D6FC4" w:rsidRDefault="00504339">
      <w:pPr>
        <w:spacing w:line="360" w:lineRule="auto"/>
        <w:jc w:val="both"/>
        <w:rPr>
          <w:rFonts w:ascii="Arial" w:hAnsi="Arial"/>
          <w:noProof/>
          <w:sz w:val="6"/>
          <w:szCs w:val="6"/>
          <w:rtl/>
        </w:rPr>
      </w:pPr>
      <w:r>
        <w:rPr>
          <w:rFonts w:ascii="Arial" w:hAnsi="Arial"/>
          <w:noProof/>
          <w:sz w:val="6"/>
          <w:szCs w:val="6"/>
          <w:rtl/>
        </w:rPr>
        <w:t>&lt;#6#&gt;</w:t>
      </w:r>
    </w:p>
    <w:p w14:paraId="3708C46D" w14:textId="77777777" w:rsidR="005D6FC4" w:rsidRDefault="005D6FC4">
      <w:pPr>
        <w:jc w:val="right"/>
        <w:rPr>
          <w:rtl/>
        </w:rPr>
      </w:pPr>
    </w:p>
    <w:p w14:paraId="66644DA1" w14:textId="77777777" w:rsidR="005D6FC4" w:rsidRDefault="00504339">
      <w:pPr>
        <w:jc w:val="both"/>
        <w:rPr>
          <w:rtl/>
        </w:rPr>
      </w:pPr>
      <w:r>
        <w:rPr>
          <w:b/>
          <w:bCs/>
          <w:rtl/>
        </w:rPr>
        <w:t xml:space="preserve">ניתן והודע היום י"ז חשון תשע"א, 25/10/2010 במעמד הנוכחים.  </w:t>
      </w:r>
      <w:r>
        <w:rPr>
          <w:rtl/>
        </w:rPr>
        <w:t xml:space="preserve"> </w:t>
      </w:r>
    </w:p>
    <w:p w14:paraId="310316FF" w14:textId="77777777" w:rsidR="00504339" w:rsidRPr="00504339" w:rsidRDefault="00504339">
      <w:pPr>
        <w:jc w:val="center"/>
        <w:rPr>
          <w:color w:val="FFFFFF"/>
          <w:sz w:val="2"/>
          <w:szCs w:val="2"/>
          <w:rtl/>
        </w:rPr>
      </w:pPr>
    </w:p>
    <w:p w14:paraId="5E95F1A0" w14:textId="77777777" w:rsidR="00504339" w:rsidRPr="00504339" w:rsidRDefault="00504339">
      <w:pPr>
        <w:jc w:val="center"/>
        <w:rPr>
          <w:color w:val="FFFFFF"/>
          <w:sz w:val="2"/>
          <w:szCs w:val="2"/>
          <w:rtl/>
        </w:rPr>
      </w:pPr>
      <w:r w:rsidRPr="00504339">
        <w:rPr>
          <w:color w:val="FFFFFF"/>
          <w:sz w:val="2"/>
          <w:szCs w:val="2"/>
          <w:rtl/>
        </w:rPr>
        <w:t>5129371</w:t>
      </w:r>
    </w:p>
    <w:p w14:paraId="396381C9" w14:textId="77777777" w:rsidR="00504339" w:rsidRPr="00504339" w:rsidRDefault="00504339" w:rsidP="00504339">
      <w:pPr>
        <w:keepNext/>
        <w:rPr>
          <w:color w:val="000000"/>
          <w:sz w:val="22"/>
          <w:szCs w:val="22"/>
          <w:rtl/>
        </w:rPr>
      </w:pPr>
    </w:p>
    <w:p w14:paraId="3976BCC2" w14:textId="77777777" w:rsidR="00504339" w:rsidRPr="00504339" w:rsidRDefault="00504339" w:rsidP="00504339">
      <w:pPr>
        <w:keepNext/>
        <w:rPr>
          <w:color w:val="000000"/>
          <w:sz w:val="22"/>
          <w:szCs w:val="22"/>
          <w:rtl/>
        </w:rPr>
      </w:pPr>
      <w:r w:rsidRPr="00504339">
        <w:rPr>
          <w:color w:val="000000"/>
          <w:sz w:val="22"/>
          <w:szCs w:val="22"/>
          <w:rtl/>
        </w:rPr>
        <w:t>סאאב דבור 54678313</w:t>
      </w:r>
    </w:p>
    <w:p w14:paraId="1B3435EC" w14:textId="77777777" w:rsidR="005D6FC4" w:rsidRDefault="00504339">
      <w:pPr>
        <w:jc w:val="center"/>
        <w:rPr>
          <w:rtl/>
        </w:rPr>
      </w:pPr>
      <w:r w:rsidRPr="00504339">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D6FC4" w14:paraId="100A54F9" w14:textId="77777777">
        <w:trPr>
          <w:trHeight w:val="364"/>
          <w:jc w:val="right"/>
        </w:trPr>
        <w:tc>
          <w:tcPr>
            <w:tcW w:w="3708" w:type="dxa"/>
            <w:shd w:val="clear" w:color="auto" w:fill="auto"/>
          </w:tcPr>
          <w:p w14:paraId="3D05513D" w14:textId="77777777" w:rsidR="005D6FC4" w:rsidRDefault="005D6FC4" w:rsidP="006D7D71">
            <w:pPr>
              <w:jc w:val="center"/>
              <w:rPr>
                <w:rtl/>
              </w:rPr>
            </w:pPr>
          </w:p>
        </w:tc>
      </w:tr>
      <w:tr w:rsidR="005D6FC4" w14:paraId="4F23F405" w14:textId="77777777">
        <w:trPr>
          <w:trHeight w:val="415"/>
          <w:jc w:val="right"/>
        </w:trPr>
        <w:tc>
          <w:tcPr>
            <w:tcW w:w="3708" w:type="dxa"/>
            <w:shd w:val="clear" w:color="auto" w:fill="auto"/>
          </w:tcPr>
          <w:p w14:paraId="776A96B1" w14:textId="77777777" w:rsidR="005D6FC4" w:rsidRPr="006D7D71" w:rsidRDefault="00504339" w:rsidP="006D7D71">
            <w:pPr>
              <w:jc w:val="center"/>
              <w:rPr>
                <w:b/>
                <w:bCs/>
                <w:rtl/>
              </w:rPr>
            </w:pPr>
            <w:r w:rsidRPr="006D7D71">
              <w:rPr>
                <w:b/>
                <w:bCs/>
                <w:rtl/>
              </w:rPr>
              <w:t>סאאב</w:t>
            </w:r>
            <w:r w:rsidRPr="006D7D71">
              <w:rPr>
                <w:rFonts w:hint="cs"/>
                <w:b/>
                <w:bCs/>
                <w:rtl/>
              </w:rPr>
              <w:t xml:space="preserve"> </w:t>
            </w:r>
            <w:r w:rsidRPr="006D7D71">
              <w:rPr>
                <w:b/>
                <w:bCs/>
                <w:rtl/>
              </w:rPr>
              <w:t>דבור</w:t>
            </w:r>
            <w:r w:rsidRPr="006D7D71">
              <w:rPr>
                <w:rFonts w:hint="cs"/>
                <w:b/>
                <w:bCs/>
                <w:rtl/>
              </w:rPr>
              <w:t xml:space="preserve">, </w:t>
            </w:r>
            <w:r w:rsidRPr="006D7D71">
              <w:rPr>
                <w:b/>
                <w:bCs/>
                <w:rtl/>
              </w:rPr>
              <w:t>סגן נשיא</w:t>
            </w:r>
          </w:p>
        </w:tc>
      </w:tr>
    </w:tbl>
    <w:p w14:paraId="31553710" w14:textId="77777777" w:rsidR="005D6FC4" w:rsidRDefault="00504339">
      <w:pPr>
        <w:jc w:val="both"/>
        <w:rPr>
          <w:rtl/>
        </w:rPr>
      </w:pPr>
      <w:r>
        <w:rPr>
          <w:rtl/>
        </w:rPr>
        <w:t xml:space="preserve"> </w:t>
      </w:r>
    </w:p>
    <w:p w14:paraId="2D2E3316" w14:textId="77777777" w:rsidR="005D6FC4" w:rsidRDefault="00504339">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שרית כהן</w:t>
      </w:r>
    </w:p>
    <w:p w14:paraId="606A9766" w14:textId="77777777" w:rsidR="007B0F9C" w:rsidRDefault="007B0F9C" w:rsidP="00504339">
      <w:pPr>
        <w:rPr>
          <w:color w:val="000000"/>
          <w:rtl/>
        </w:rPr>
      </w:pPr>
    </w:p>
    <w:p w14:paraId="743F1E09" w14:textId="77777777" w:rsidR="00504339" w:rsidRDefault="00504339" w:rsidP="00504339">
      <w:r w:rsidRPr="00504339">
        <w:rPr>
          <w:color w:val="000000"/>
          <w:rtl/>
        </w:rPr>
        <w:t>נוסח מסמך זה כפוף לשינויי ניסוח ועריכה</w:t>
      </w:r>
    </w:p>
    <w:p w14:paraId="34703462" w14:textId="77777777" w:rsidR="00504339" w:rsidRDefault="00504339" w:rsidP="00504339">
      <w:pPr>
        <w:rPr>
          <w:rtl/>
        </w:rPr>
      </w:pPr>
    </w:p>
    <w:p w14:paraId="4F9669D8" w14:textId="77777777" w:rsidR="00504339" w:rsidRDefault="00504339" w:rsidP="00504339">
      <w:pPr>
        <w:jc w:val="center"/>
        <w:rPr>
          <w:color w:val="0000FF"/>
          <w:u w:val="single"/>
        </w:rPr>
      </w:pPr>
      <w:r w:rsidRPr="00857E3F">
        <w:rPr>
          <w:color w:val="000000"/>
          <w:rtl/>
        </w:rPr>
        <w:t>בעניין עריכה ושינויים במסמכי פסיקה, חקיקה ועוד באתר נבו – הקש כאן</w:t>
      </w:r>
    </w:p>
    <w:p w14:paraId="58675FEE" w14:textId="77777777" w:rsidR="005D6FC4" w:rsidRPr="00504339" w:rsidRDefault="005D6FC4" w:rsidP="00504339">
      <w:pPr>
        <w:jc w:val="center"/>
        <w:rPr>
          <w:color w:val="0000FF"/>
          <w:u w:val="single"/>
        </w:rPr>
      </w:pPr>
    </w:p>
    <w:sectPr w:rsidR="005D6FC4" w:rsidRPr="00504339" w:rsidSect="00504339">
      <w:headerReference w:type="even" r:id="rId22"/>
      <w:headerReference w:type="default" r:id="rId23"/>
      <w:footerReference w:type="even" r:id="rId24"/>
      <w:footerReference w:type="default" r:id="rId2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080DD" w14:textId="77777777" w:rsidR="006D7D71" w:rsidRPr="002A33D5" w:rsidRDefault="006D7D71">
      <w:pPr>
        <w:rPr>
          <w:rFonts w:cs="Arial"/>
          <w:szCs w:val="20"/>
        </w:rPr>
      </w:pPr>
      <w:r>
        <w:separator/>
      </w:r>
    </w:p>
  </w:endnote>
  <w:endnote w:type="continuationSeparator" w:id="0">
    <w:p w14:paraId="11DADA33" w14:textId="77777777" w:rsidR="006D7D71" w:rsidRPr="002A33D5" w:rsidRDefault="006D7D7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679C2" w14:textId="77777777" w:rsidR="00EB0A09" w:rsidRDefault="00EB0A09" w:rsidP="0050433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5009F40C" w14:textId="77777777" w:rsidR="00EB0A09" w:rsidRPr="00504339" w:rsidRDefault="00EB0A09" w:rsidP="00504339">
    <w:pPr>
      <w:pStyle w:val="Footer"/>
      <w:pBdr>
        <w:top w:val="single" w:sz="4" w:space="1" w:color="auto"/>
        <w:between w:val="single" w:sz="4" w:space="0" w:color="auto"/>
      </w:pBdr>
      <w:spacing w:after="60"/>
      <w:jc w:val="center"/>
      <w:rPr>
        <w:rFonts w:ascii="FrankRuehl" w:hAnsi="FrankRuehl" w:cs="FrankRuehl"/>
        <w:color w:val="000000"/>
      </w:rPr>
    </w:pPr>
    <w:r w:rsidRPr="0050433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AB23" w14:textId="77777777" w:rsidR="00EB0A09" w:rsidRDefault="00EB0A09" w:rsidP="0050433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1C6B">
      <w:rPr>
        <w:rFonts w:ascii="FrankRuehl" w:hAnsi="FrankRuehl" w:cs="FrankRuehl"/>
        <w:noProof/>
        <w:rtl/>
      </w:rPr>
      <w:t>1</w:t>
    </w:r>
    <w:r>
      <w:rPr>
        <w:rFonts w:ascii="FrankRuehl" w:hAnsi="FrankRuehl" w:cs="FrankRuehl"/>
        <w:rtl/>
      </w:rPr>
      <w:fldChar w:fldCharType="end"/>
    </w:r>
  </w:p>
  <w:p w14:paraId="58AF3CDF" w14:textId="77777777" w:rsidR="00EB0A09" w:rsidRPr="00504339" w:rsidRDefault="00EB0A09" w:rsidP="00504339">
    <w:pPr>
      <w:pStyle w:val="Footer"/>
      <w:pBdr>
        <w:top w:val="single" w:sz="4" w:space="1" w:color="auto"/>
        <w:between w:val="single" w:sz="4" w:space="0" w:color="auto"/>
      </w:pBdr>
      <w:spacing w:after="60"/>
      <w:jc w:val="center"/>
      <w:rPr>
        <w:rFonts w:ascii="FrankRuehl" w:hAnsi="FrankRuehl" w:cs="FrankRuehl"/>
        <w:color w:val="000000"/>
      </w:rPr>
    </w:pPr>
    <w:r w:rsidRPr="00504339">
      <w:rPr>
        <w:rFonts w:ascii="FrankRuehl" w:hAnsi="FrankRuehl" w:cs="FrankRuehl"/>
        <w:color w:val="000000"/>
      </w:rPr>
      <w:pict w14:anchorId="51347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80CD9" w14:textId="77777777" w:rsidR="006D7D71" w:rsidRPr="002A33D5" w:rsidRDefault="006D7D71">
      <w:pPr>
        <w:rPr>
          <w:rFonts w:cs="Arial"/>
          <w:szCs w:val="20"/>
        </w:rPr>
      </w:pPr>
      <w:r>
        <w:separator/>
      </w:r>
    </w:p>
  </w:footnote>
  <w:footnote w:type="continuationSeparator" w:id="0">
    <w:p w14:paraId="60A3BD3D" w14:textId="77777777" w:rsidR="006D7D71" w:rsidRPr="002A33D5" w:rsidRDefault="006D7D7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FC0E4" w14:textId="77777777" w:rsidR="00EB0A09" w:rsidRPr="00504339" w:rsidRDefault="00EB0A09" w:rsidP="00504339">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(צפת) 27052-10-09</w:t>
    </w:r>
    <w:r>
      <w:rPr>
        <w:color w:val="000000"/>
        <w:sz w:val="22"/>
        <w:szCs w:val="22"/>
        <w:rtl/>
      </w:rPr>
      <w:tab/>
      <w:t xml:space="preserve"> מדינת ישראל נ' אלדד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C1AE0" w14:textId="77777777" w:rsidR="00EB0A09" w:rsidRPr="00504339" w:rsidRDefault="00EB0A09" w:rsidP="00504339">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(צפת) 27052-10-09</w:t>
    </w:r>
    <w:r>
      <w:rPr>
        <w:color w:val="000000"/>
        <w:sz w:val="22"/>
        <w:szCs w:val="22"/>
        <w:rtl/>
      </w:rPr>
      <w:tab/>
      <w:t xml:space="preserve"> מדינת ישראל נ' אלדד דוד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D6FC4"/>
    <w:rsid w:val="000453DE"/>
    <w:rsid w:val="00047BFA"/>
    <w:rsid w:val="000F1C6B"/>
    <w:rsid w:val="00157212"/>
    <w:rsid w:val="001D3CB3"/>
    <w:rsid w:val="00393EED"/>
    <w:rsid w:val="00504339"/>
    <w:rsid w:val="005C7795"/>
    <w:rsid w:val="005D6FC4"/>
    <w:rsid w:val="006D7D71"/>
    <w:rsid w:val="007B0F9C"/>
    <w:rsid w:val="00857E3F"/>
    <w:rsid w:val="008762F8"/>
    <w:rsid w:val="00EB0A09"/>
    <w:rsid w:val="00FE0D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3F39D4"/>
  <w15:chartTrackingRefBased/>
  <w15:docId w15:val="{D0F7607B-0966-4DC0-8C21-6E7F61ED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FC4"/>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FC4"/>
    <w:pPr>
      <w:tabs>
        <w:tab w:val="center" w:pos="4153"/>
        <w:tab w:val="right" w:pos="8306"/>
      </w:tabs>
    </w:pPr>
  </w:style>
  <w:style w:type="paragraph" w:styleId="Footer">
    <w:name w:val="footer"/>
    <w:basedOn w:val="Normal"/>
    <w:rsid w:val="005D6FC4"/>
    <w:pPr>
      <w:tabs>
        <w:tab w:val="center" w:pos="4153"/>
        <w:tab w:val="right" w:pos="8306"/>
      </w:tabs>
    </w:pPr>
  </w:style>
  <w:style w:type="table" w:styleId="TableGrid">
    <w:name w:val="Table Grid"/>
    <w:basedOn w:val="TableNormal"/>
    <w:rsid w:val="005D6FC4"/>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D6FC4"/>
  </w:style>
  <w:style w:type="paragraph" w:customStyle="1" w:styleId="12">
    <w:name w:val="רגיל + ‏12 נק'"/>
    <w:aliases w:val="מיושר לשני הצדדים,מרווח בין שורות:  שורה וחצי"/>
    <w:basedOn w:val="Normal"/>
    <w:rsid w:val="005D6FC4"/>
    <w:rPr>
      <w:rFonts w:ascii="Times New Roman" w:eastAsia="Times New Roman" w:hAnsi="Times New Roman"/>
      <w:b/>
      <w:bCs/>
      <w:u w:val="single"/>
    </w:rPr>
  </w:style>
  <w:style w:type="paragraph" w:styleId="BodyText">
    <w:name w:val="Body Text"/>
    <w:basedOn w:val="Normal"/>
    <w:rsid w:val="005D6FC4"/>
    <w:pPr>
      <w:snapToGrid w:val="0"/>
      <w:spacing w:line="360" w:lineRule="auto"/>
      <w:jc w:val="both"/>
    </w:pPr>
    <w:rPr>
      <w:rFonts w:ascii="Times New Roman" w:eastAsia="Times New Roman" w:hAnsi="Times New Roman"/>
      <w:sz w:val="30"/>
      <w:szCs w:val="28"/>
      <w:lang w:eastAsia="he-IL"/>
    </w:rPr>
  </w:style>
  <w:style w:type="paragraph" w:styleId="BodyText2">
    <w:name w:val="Body Text 2"/>
    <w:basedOn w:val="Normal"/>
    <w:rsid w:val="005D6FC4"/>
    <w:pPr>
      <w:snapToGrid w:val="0"/>
      <w:spacing w:line="360" w:lineRule="auto"/>
      <w:jc w:val="both"/>
    </w:pPr>
    <w:rPr>
      <w:rFonts w:ascii="Times New Roman" w:eastAsia="Times New Roman" w:hAnsi="Times New Roman"/>
      <w:sz w:val="30"/>
      <w:szCs w:val="28"/>
      <w:lang w:eastAsia="he-IL"/>
    </w:rPr>
  </w:style>
  <w:style w:type="paragraph" w:styleId="BlockText">
    <w:name w:val="Block Text"/>
    <w:basedOn w:val="Normal"/>
    <w:rsid w:val="005D6FC4"/>
    <w:pPr>
      <w:tabs>
        <w:tab w:val="left" w:pos="7766"/>
      </w:tabs>
      <w:spacing w:line="360" w:lineRule="auto"/>
      <w:ind w:left="62" w:right="540"/>
      <w:jc w:val="both"/>
    </w:pPr>
    <w:rPr>
      <w:rFonts w:ascii="Times New Roman" w:eastAsia="Times New Roman" w:hAnsi="Times New Roman"/>
    </w:rPr>
  </w:style>
  <w:style w:type="character" w:styleId="LineNumber">
    <w:name w:val="line number"/>
    <w:basedOn w:val="DefaultParagraphFont"/>
    <w:rsid w:val="005D6FC4"/>
  </w:style>
  <w:style w:type="character" w:styleId="Hyperlink">
    <w:name w:val="Hyperlink"/>
    <w:rsid w:val="005043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jCeS" TargetMode="External"/><Relationship Id="rId13" Type="http://schemas.openxmlformats.org/officeDocument/2006/relationships/hyperlink" Target="http://www.nevo.co.il/law/74903" TargetMode="External"/><Relationship Id="rId18" Type="http://schemas.openxmlformats.org/officeDocument/2006/relationships/hyperlink" Target="http://www.nevo.co.il/case/17916637"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348.c"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17916229"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5810781" TargetMode="External"/><Relationship Id="rId20" Type="http://schemas.openxmlformats.org/officeDocument/2006/relationships/hyperlink" Target="http://www.nevo.co.il/law/70301/jCeS"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17943750" TargetMode="External"/><Relationship Id="rId23" Type="http://schemas.openxmlformats.org/officeDocument/2006/relationships/header" Target="header2.xml"/><Relationship Id="rId10" Type="http://schemas.openxmlformats.org/officeDocument/2006/relationships/hyperlink" Target="http://www.nevo.co.il/law/74903/182" TargetMode="External"/><Relationship Id="rId19" Type="http://schemas.openxmlformats.org/officeDocument/2006/relationships/hyperlink" Target="http://www.nevo.co.il/case/5849797" TargetMode="External"/><Relationship Id="rId4" Type="http://schemas.openxmlformats.org/officeDocument/2006/relationships/footnotes" Target="footnotes.xml"/><Relationship Id="rId9" Type="http://schemas.openxmlformats.org/officeDocument/2006/relationships/hyperlink" Target="http://www.nevo.co.il/law/74903" TargetMode="External"/><Relationship Id="rId14" Type="http://schemas.openxmlformats.org/officeDocument/2006/relationships/hyperlink" Target="http://www.nevo.co.il/law/74903/182"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1044</Words>
  <Characters>5953</Characters>
  <Application>Microsoft Office Word</Application>
  <DocSecurity>0</DocSecurity>
  <Lines>49</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6984</CharactersWithSpaces>
  <SharedDoc>false</SharedDoc>
  <HLinks>
    <vt:vector size="96" baseType="variant">
      <vt:variant>
        <vt:i4>7995492</vt:i4>
      </vt:variant>
      <vt:variant>
        <vt:i4>45</vt:i4>
      </vt:variant>
      <vt:variant>
        <vt:i4>0</vt:i4>
      </vt:variant>
      <vt:variant>
        <vt:i4>5</vt:i4>
      </vt:variant>
      <vt:variant>
        <vt:lpwstr>http://www.nevo.co.il/law/70301</vt:lpwstr>
      </vt:variant>
      <vt:variant>
        <vt:lpwstr/>
      </vt:variant>
      <vt:variant>
        <vt:i4>4522074</vt:i4>
      </vt:variant>
      <vt:variant>
        <vt:i4>42</vt:i4>
      </vt:variant>
      <vt:variant>
        <vt:i4>0</vt:i4>
      </vt:variant>
      <vt:variant>
        <vt:i4>5</vt:i4>
      </vt:variant>
      <vt:variant>
        <vt:lpwstr>http://www.nevo.co.il/law/70301/jCeS</vt:lpwstr>
      </vt:variant>
      <vt:variant>
        <vt:lpwstr/>
      </vt:variant>
      <vt:variant>
        <vt:i4>3211388</vt:i4>
      </vt:variant>
      <vt:variant>
        <vt:i4>39</vt:i4>
      </vt:variant>
      <vt:variant>
        <vt:i4>0</vt:i4>
      </vt:variant>
      <vt:variant>
        <vt:i4>5</vt:i4>
      </vt:variant>
      <vt:variant>
        <vt:lpwstr>http://www.nevo.co.il/case/5849797</vt:lpwstr>
      </vt:variant>
      <vt:variant>
        <vt:lpwstr/>
      </vt:variant>
      <vt:variant>
        <vt:i4>3997812</vt:i4>
      </vt:variant>
      <vt:variant>
        <vt:i4>36</vt:i4>
      </vt:variant>
      <vt:variant>
        <vt:i4>0</vt:i4>
      </vt:variant>
      <vt:variant>
        <vt:i4>5</vt:i4>
      </vt:variant>
      <vt:variant>
        <vt:lpwstr>http://www.nevo.co.il/case/17916637</vt:lpwstr>
      </vt:variant>
      <vt:variant>
        <vt:lpwstr/>
      </vt:variant>
      <vt:variant>
        <vt:i4>3932272</vt:i4>
      </vt:variant>
      <vt:variant>
        <vt:i4>33</vt:i4>
      </vt:variant>
      <vt:variant>
        <vt:i4>0</vt:i4>
      </vt:variant>
      <vt:variant>
        <vt:i4>5</vt:i4>
      </vt:variant>
      <vt:variant>
        <vt:lpwstr>http://www.nevo.co.il/case/17916229</vt:lpwstr>
      </vt:variant>
      <vt:variant>
        <vt:lpwstr/>
      </vt:variant>
      <vt:variant>
        <vt:i4>3276916</vt:i4>
      </vt:variant>
      <vt:variant>
        <vt:i4>30</vt:i4>
      </vt:variant>
      <vt:variant>
        <vt:i4>0</vt:i4>
      </vt:variant>
      <vt:variant>
        <vt:i4>5</vt:i4>
      </vt:variant>
      <vt:variant>
        <vt:lpwstr>http://www.nevo.co.il/case/5810781</vt:lpwstr>
      </vt:variant>
      <vt:variant>
        <vt:lpwstr/>
      </vt:variant>
      <vt:variant>
        <vt:i4>4063344</vt:i4>
      </vt:variant>
      <vt:variant>
        <vt:i4>27</vt:i4>
      </vt:variant>
      <vt:variant>
        <vt:i4>0</vt:i4>
      </vt:variant>
      <vt:variant>
        <vt:i4>5</vt:i4>
      </vt:variant>
      <vt:variant>
        <vt:lpwstr>http://www.nevo.co.il/case/17943750</vt:lpwstr>
      </vt:variant>
      <vt:variant>
        <vt:lpwstr/>
      </vt:variant>
      <vt:variant>
        <vt:i4>6881388</vt:i4>
      </vt:variant>
      <vt:variant>
        <vt:i4>24</vt:i4>
      </vt:variant>
      <vt:variant>
        <vt:i4>0</vt:i4>
      </vt:variant>
      <vt:variant>
        <vt:i4>5</vt:i4>
      </vt:variant>
      <vt:variant>
        <vt:lpwstr>http://www.nevo.co.il/law/74903/182</vt:lpwstr>
      </vt:variant>
      <vt:variant>
        <vt:lpwstr/>
      </vt:variant>
      <vt:variant>
        <vt:i4>8257646</vt:i4>
      </vt:variant>
      <vt:variant>
        <vt:i4>21</vt:i4>
      </vt:variant>
      <vt:variant>
        <vt:i4>0</vt:i4>
      </vt:variant>
      <vt:variant>
        <vt:i4>5</vt:i4>
      </vt:variant>
      <vt:variant>
        <vt:lpwstr>http://www.nevo.co.il/law/74903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6881388</vt:i4>
      </vt:variant>
      <vt:variant>
        <vt:i4>12</vt:i4>
      </vt:variant>
      <vt:variant>
        <vt:i4>0</vt:i4>
      </vt:variant>
      <vt:variant>
        <vt:i4>5</vt:i4>
      </vt:variant>
      <vt:variant>
        <vt:lpwstr>http://www.nevo.co.il/law/74903/182</vt:lpwstr>
      </vt:variant>
      <vt:variant>
        <vt:lpwstr/>
      </vt:variant>
      <vt:variant>
        <vt:i4>8257646</vt:i4>
      </vt:variant>
      <vt:variant>
        <vt:i4>9</vt:i4>
      </vt:variant>
      <vt:variant>
        <vt:i4>0</vt:i4>
      </vt:variant>
      <vt:variant>
        <vt:i4>5</vt:i4>
      </vt:variant>
      <vt:variant>
        <vt:lpwstr>http://www.nevo.co.il/law/74903</vt:lpwstr>
      </vt:variant>
      <vt:variant>
        <vt:lpwstr/>
      </vt:variant>
      <vt:variant>
        <vt:i4>4522074</vt:i4>
      </vt:variant>
      <vt:variant>
        <vt:i4>6</vt:i4>
      </vt:variant>
      <vt:variant>
        <vt:i4>0</vt:i4>
      </vt:variant>
      <vt:variant>
        <vt:i4>5</vt:i4>
      </vt:variant>
      <vt:variant>
        <vt:lpwstr>http://www.nevo.co.il/law/70301/jCeS</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2022-05-24T10:35:00Z</dcterms:created>
  <dcterms:modified xsi:type="dcterms:W3CDTF">2022-05-24T10:35:00Z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27052</vt:lpwstr>
  </property>
  <property fmtid="{D5CDD505-2E9C-101B-9397-08002B2CF9AE}" pid="6" name="NEWPARTB">
    <vt:lpwstr>10</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אלדד דוד</vt:lpwstr>
  </property>
  <property fmtid="{D5CDD505-2E9C-101B-9397-08002B2CF9AE}" pid="10" name="LAWYER">
    <vt:lpwstr>וסים בדר;ו שלמה אלכביר</vt:lpwstr>
  </property>
  <property fmtid="{D5CDD505-2E9C-101B-9397-08002B2CF9AE}" pid="11" name="JUDGE">
    <vt:lpwstr>סאאב דבור</vt:lpwstr>
  </property>
  <property fmtid="{D5CDD505-2E9C-101B-9397-08002B2CF9AE}" pid="12" name="CITY">
    <vt:lpwstr>צפת</vt:lpwstr>
  </property>
  <property fmtid="{D5CDD505-2E9C-101B-9397-08002B2CF9AE}" pid="13" name="DATE">
    <vt:lpwstr>20101025</vt:lpwstr>
  </property>
  <property fmtid="{D5CDD505-2E9C-101B-9397-08002B2CF9AE}" pid="14" name="TYPE_N_DATE">
    <vt:lpwstr>38020101025</vt:lpwstr>
  </property>
  <property fmtid="{D5CDD505-2E9C-101B-9397-08002B2CF9AE}" pid="15" name="WORDNUMPAGES">
    <vt:lpwstr>5</vt:lpwstr>
  </property>
  <property fmtid="{D5CDD505-2E9C-101B-9397-08002B2CF9AE}" pid="16" name="TYPE_ABS_DATE">
    <vt:lpwstr>380020101025</vt:lpwstr>
  </property>
  <property fmtid="{D5CDD505-2E9C-101B-9397-08002B2CF9AE}" pid="17" name="ISABSTRACT">
    <vt:lpwstr>Y</vt:lpwstr>
  </property>
  <property fmtid="{D5CDD505-2E9C-101B-9397-08002B2CF9AE}" pid="18" name="CASESLISTTMP1">
    <vt:lpwstr>17943750;5810781;17916229;17916637;5849797</vt:lpwstr>
  </property>
  <property fmtid="{D5CDD505-2E9C-101B-9397-08002B2CF9AE}" pid="19" name="LAWLISTTMP1">
    <vt:lpwstr>70301/348.c;jCeS</vt:lpwstr>
  </property>
  <property fmtid="{D5CDD505-2E9C-101B-9397-08002B2CF9AE}" pid="20" name="LAWLISTTMP2">
    <vt:lpwstr>74903/182</vt:lpwstr>
  </property>
</Properties>
</file>