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85444F" w:rsidRPr="00FB4C79" w14:paraId="0DC09EDE" w14:textId="77777777">
        <w:trPr>
          <w:trHeight w:hRule="exact" w:val="418"/>
          <w:jc w:val="center"/>
        </w:trPr>
        <w:tc>
          <w:tcPr>
            <w:tcW w:w="8721" w:type="dxa"/>
            <w:gridSpan w:val="2"/>
          </w:tcPr>
          <w:p w14:paraId="5C42E7B9" w14:textId="77777777" w:rsidR="0085444F" w:rsidRPr="00FB4C79" w:rsidRDefault="00FB4C79">
            <w:pPr>
              <w:pStyle w:val="Header"/>
              <w:jc w:val="center"/>
              <w:rPr>
                <w:rFonts w:ascii="Tahoma" w:hAnsi="Tahoma" w:cs="Tahoma"/>
                <w:color w:val="000080"/>
                <w:rtl/>
              </w:rPr>
            </w:pPr>
            <w:bookmarkStart w:id="0" w:name="LastJudge"/>
            <w:r w:rsidRPr="00FB4C79">
              <w:rPr>
                <w:rFonts w:ascii="Tahoma" w:hAnsi="Tahoma" w:cs="Tahoma"/>
                <w:b/>
                <w:bCs/>
                <w:color w:val="000080"/>
                <w:rtl/>
              </w:rPr>
              <w:t>בית משפט השלום בירושלים</w:t>
            </w:r>
          </w:p>
        </w:tc>
      </w:tr>
      <w:tr w:rsidR="0085444F" w:rsidRPr="00FB4C79" w14:paraId="15DE4AA6" w14:textId="77777777">
        <w:trPr>
          <w:trHeight w:val="337"/>
          <w:jc w:val="center"/>
        </w:trPr>
        <w:tc>
          <w:tcPr>
            <w:tcW w:w="5047" w:type="dxa"/>
          </w:tcPr>
          <w:p w14:paraId="319B6B63" w14:textId="77777777" w:rsidR="0085444F" w:rsidRPr="00FB4C79" w:rsidRDefault="0085444F">
            <w:pPr>
              <w:pStyle w:val="Header"/>
              <w:rPr>
                <w:rFonts w:cs="FrankRuehl"/>
                <w:sz w:val="28"/>
                <w:szCs w:val="28"/>
                <w:rtl/>
              </w:rPr>
            </w:pPr>
          </w:p>
        </w:tc>
        <w:tc>
          <w:tcPr>
            <w:tcW w:w="3674" w:type="dxa"/>
          </w:tcPr>
          <w:p w14:paraId="32738C68" w14:textId="77777777" w:rsidR="0085444F" w:rsidRPr="00FB4C79" w:rsidRDefault="0085444F">
            <w:pPr>
              <w:pStyle w:val="Header"/>
              <w:jc w:val="right"/>
              <w:rPr>
                <w:rFonts w:cs="FrankRuehl"/>
                <w:sz w:val="28"/>
                <w:szCs w:val="28"/>
                <w:rtl/>
              </w:rPr>
            </w:pPr>
          </w:p>
        </w:tc>
      </w:tr>
      <w:tr w:rsidR="0085444F" w:rsidRPr="00FB4C79" w14:paraId="0BC5DB13" w14:textId="77777777">
        <w:trPr>
          <w:trHeight w:val="337"/>
          <w:jc w:val="center"/>
        </w:trPr>
        <w:tc>
          <w:tcPr>
            <w:tcW w:w="8721" w:type="dxa"/>
            <w:gridSpan w:val="2"/>
          </w:tcPr>
          <w:p w14:paraId="0BE2861E" w14:textId="77777777" w:rsidR="0085444F" w:rsidRPr="00FB4C79" w:rsidRDefault="00FB4C79">
            <w:pPr>
              <w:rPr>
                <w:rFonts w:cs="FrankRuehl"/>
                <w:sz w:val="28"/>
                <w:szCs w:val="28"/>
                <w:rtl/>
              </w:rPr>
            </w:pPr>
            <w:r w:rsidRPr="00FB4C79">
              <w:rPr>
                <w:rFonts w:cs="FrankRuehl"/>
                <w:sz w:val="28"/>
                <w:szCs w:val="28"/>
                <w:rtl/>
              </w:rPr>
              <w:t>ת"פ</w:t>
            </w:r>
            <w:r w:rsidRPr="00FB4C79">
              <w:rPr>
                <w:rFonts w:cs="FrankRuehl" w:hint="cs"/>
                <w:sz w:val="28"/>
                <w:szCs w:val="28"/>
                <w:rtl/>
              </w:rPr>
              <w:t xml:space="preserve"> </w:t>
            </w:r>
            <w:r w:rsidRPr="00FB4C79">
              <w:rPr>
                <w:rFonts w:cs="FrankRuehl"/>
                <w:sz w:val="28"/>
                <w:szCs w:val="28"/>
                <w:rtl/>
              </w:rPr>
              <w:t>2568-09</w:t>
            </w:r>
            <w:r w:rsidRPr="00FB4C79">
              <w:rPr>
                <w:rFonts w:cs="FrankRuehl" w:hint="cs"/>
                <w:sz w:val="28"/>
                <w:szCs w:val="28"/>
                <w:rtl/>
              </w:rPr>
              <w:t xml:space="preserve"> </w:t>
            </w:r>
            <w:r w:rsidRPr="00FB4C79">
              <w:rPr>
                <w:rFonts w:cs="FrankRuehl"/>
                <w:sz w:val="28"/>
                <w:szCs w:val="28"/>
                <w:rtl/>
              </w:rPr>
              <w:t>מ.י. לשכת תביעות ירושלים (פלילי) נ' קראע</w:t>
            </w:r>
          </w:p>
          <w:p w14:paraId="0C3FEF23" w14:textId="77777777" w:rsidR="0085444F" w:rsidRPr="00FB4C79" w:rsidRDefault="0085444F">
            <w:pPr>
              <w:pStyle w:val="Header"/>
              <w:rPr>
                <w:rtl/>
              </w:rPr>
            </w:pPr>
          </w:p>
        </w:tc>
      </w:tr>
    </w:tbl>
    <w:p w14:paraId="407214B6" w14:textId="77777777" w:rsidR="0085444F" w:rsidRPr="00FB4C79" w:rsidRDefault="00FB4C79" w:rsidP="00AC3BEE">
      <w:pPr>
        <w:pStyle w:val="Header"/>
        <w:rPr>
          <w:rFonts w:ascii="Arial" w:hAnsi="Arial"/>
          <w:rtl/>
        </w:rPr>
      </w:pPr>
      <w:r w:rsidRPr="00FB4C79">
        <w:rPr>
          <w:rFonts w:hint="cs"/>
          <w:rtl/>
        </w:rPr>
        <w:t xml:space="preserve"> </w:t>
      </w:r>
    </w:p>
    <w:tbl>
      <w:tblPr>
        <w:bidiVisual/>
        <w:tblW w:w="0" w:type="auto"/>
        <w:tblInd w:w="-46" w:type="dxa"/>
        <w:tblLayout w:type="fixed"/>
        <w:tblLook w:val="0000" w:firstRow="0" w:lastRow="0" w:firstColumn="0" w:lastColumn="0" w:noHBand="0" w:noVBand="0"/>
      </w:tblPr>
      <w:tblGrid>
        <w:gridCol w:w="5466"/>
        <w:gridCol w:w="1200"/>
        <w:gridCol w:w="2154"/>
      </w:tblGrid>
      <w:tr w:rsidR="0085444F" w:rsidRPr="00FB4C79" w14:paraId="0D35D00D" w14:textId="77777777">
        <w:trPr>
          <w:cantSplit/>
          <w:trHeight w:val="20"/>
        </w:trPr>
        <w:tc>
          <w:tcPr>
            <w:tcW w:w="5466" w:type="dxa"/>
            <w:vMerge w:val="restart"/>
          </w:tcPr>
          <w:p w14:paraId="7391556B" w14:textId="77777777" w:rsidR="0085444F" w:rsidRPr="00FB4C79" w:rsidRDefault="00FB4C79">
            <w:pPr>
              <w:rPr>
                <w:b/>
                <w:bCs/>
                <w:rtl/>
                <w:lang w:eastAsia="he-IL"/>
              </w:rPr>
            </w:pPr>
            <w:bookmarkStart w:id="1" w:name="זיהוי_תיק" w:colFirst="1" w:colLast="1"/>
            <w:bookmarkStart w:id="2" w:name="בית_משפט" w:colFirst="0" w:colLast="0"/>
            <w:r w:rsidRPr="00FB4C79">
              <w:rPr>
                <w:rFonts w:hint="cs"/>
                <w:b/>
                <w:bCs/>
                <w:rtl/>
              </w:rPr>
              <w:t>בית משפט השלום בירושלים</w:t>
            </w:r>
          </w:p>
          <w:p w14:paraId="2986D8C4" w14:textId="77777777" w:rsidR="0085444F" w:rsidRPr="00FB4C79" w:rsidRDefault="0085444F">
            <w:pPr>
              <w:jc w:val="both"/>
              <w:rPr>
                <w:b/>
                <w:bCs/>
                <w:lang w:eastAsia="he-IL"/>
              </w:rPr>
            </w:pPr>
          </w:p>
        </w:tc>
        <w:tc>
          <w:tcPr>
            <w:tcW w:w="3354" w:type="dxa"/>
            <w:gridSpan w:val="2"/>
          </w:tcPr>
          <w:p w14:paraId="3536AA73" w14:textId="77777777" w:rsidR="0085444F" w:rsidRPr="00FB4C79" w:rsidRDefault="00FB4C79">
            <w:pPr>
              <w:jc w:val="right"/>
              <w:rPr>
                <w:b/>
                <w:bCs/>
                <w:lang w:eastAsia="he-IL"/>
              </w:rPr>
            </w:pPr>
            <w:r w:rsidRPr="00FB4C79">
              <w:rPr>
                <w:rFonts w:hint="cs"/>
                <w:b/>
                <w:bCs/>
                <w:rtl/>
              </w:rPr>
              <w:t>פ 2568/09</w:t>
            </w:r>
          </w:p>
        </w:tc>
      </w:tr>
      <w:tr w:rsidR="0085444F" w:rsidRPr="00FB4C79" w14:paraId="0854F06D" w14:textId="77777777">
        <w:trPr>
          <w:cantSplit/>
          <w:trHeight w:val="195"/>
        </w:trPr>
        <w:tc>
          <w:tcPr>
            <w:tcW w:w="5466" w:type="dxa"/>
            <w:vMerge/>
            <w:vAlign w:val="center"/>
          </w:tcPr>
          <w:p w14:paraId="647B4721" w14:textId="77777777" w:rsidR="0085444F" w:rsidRPr="00FB4C79" w:rsidRDefault="0085444F">
            <w:pPr>
              <w:bidi w:val="0"/>
              <w:rPr>
                <w:b/>
                <w:bCs/>
                <w:lang w:eastAsia="he-IL"/>
              </w:rPr>
            </w:pPr>
            <w:bookmarkStart w:id="3" w:name="תיק_עיקרי" w:colFirst="2" w:colLast="2"/>
            <w:bookmarkEnd w:id="1"/>
            <w:bookmarkEnd w:id="2"/>
          </w:p>
        </w:tc>
        <w:tc>
          <w:tcPr>
            <w:tcW w:w="1200" w:type="dxa"/>
          </w:tcPr>
          <w:p w14:paraId="6864B6F8" w14:textId="77777777" w:rsidR="0085444F" w:rsidRPr="00FB4C79" w:rsidRDefault="0085444F">
            <w:pPr>
              <w:jc w:val="both"/>
              <w:rPr>
                <w:b/>
                <w:bCs/>
                <w:lang w:eastAsia="he-IL"/>
              </w:rPr>
            </w:pPr>
          </w:p>
        </w:tc>
        <w:tc>
          <w:tcPr>
            <w:tcW w:w="2154" w:type="dxa"/>
          </w:tcPr>
          <w:p w14:paraId="7ACC3D34" w14:textId="77777777" w:rsidR="0085444F" w:rsidRPr="00FB4C79" w:rsidRDefault="0085444F">
            <w:pPr>
              <w:jc w:val="both"/>
              <w:rPr>
                <w:b/>
                <w:bCs/>
                <w:lang w:eastAsia="he-IL"/>
              </w:rPr>
            </w:pPr>
          </w:p>
        </w:tc>
      </w:tr>
      <w:tr w:rsidR="0085444F" w:rsidRPr="00FB4C79" w14:paraId="2CB4A59E" w14:textId="77777777">
        <w:trPr>
          <w:cantSplit/>
          <w:trHeight w:val="286"/>
        </w:trPr>
        <w:tc>
          <w:tcPr>
            <w:tcW w:w="5466" w:type="dxa"/>
            <w:tcMar>
              <w:top w:w="0" w:type="dxa"/>
              <w:left w:w="28" w:type="dxa"/>
              <w:bottom w:w="0" w:type="dxa"/>
              <w:right w:w="28" w:type="dxa"/>
            </w:tcMar>
          </w:tcPr>
          <w:p w14:paraId="3D9834E1" w14:textId="77777777" w:rsidR="0085444F" w:rsidRPr="00FB4C79" w:rsidRDefault="00FB4C79">
            <w:pPr>
              <w:jc w:val="both"/>
              <w:rPr>
                <w:b/>
                <w:bCs/>
                <w:lang w:eastAsia="he-IL"/>
              </w:rPr>
            </w:pPr>
            <w:bookmarkStart w:id="4" w:name="שם_שופט" w:colFirst="0" w:colLast="0"/>
            <w:bookmarkStart w:id="5" w:name="תאריך" w:colFirst="2" w:colLast="2"/>
            <w:bookmarkEnd w:id="3"/>
            <w:r w:rsidRPr="00FB4C79">
              <w:rPr>
                <w:rFonts w:hint="cs"/>
                <w:b/>
                <w:bCs/>
                <w:rtl/>
              </w:rPr>
              <w:t xml:space="preserve"> בפני כב' השופט שמעון שטיין </w:t>
            </w:r>
          </w:p>
        </w:tc>
        <w:tc>
          <w:tcPr>
            <w:tcW w:w="1200" w:type="dxa"/>
          </w:tcPr>
          <w:p w14:paraId="133166D2" w14:textId="77777777" w:rsidR="0085444F" w:rsidRPr="00FB4C79" w:rsidRDefault="0085444F">
            <w:pPr>
              <w:jc w:val="both"/>
              <w:rPr>
                <w:b/>
                <w:bCs/>
                <w:lang w:eastAsia="he-IL"/>
              </w:rPr>
            </w:pPr>
          </w:p>
        </w:tc>
        <w:tc>
          <w:tcPr>
            <w:tcW w:w="2154" w:type="dxa"/>
          </w:tcPr>
          <w:p w14:paraId="694239EA" w14:textId="77777777" w:rsidR="0085444F" w:rsidRPr="00FB4C79" w:rsidRDefault="0085444F">
            <w:pPr>
              <w:jc w:val="both"/>
              <w:rPr>
                <w:b/>
                <w:bCs/>
                <w:lang w:eastAsia="he-IL"/>
              </w:rPr>
            </w:pPr>
          </w:p>
        </w:tc>
      </w:tr>
      <w:bookmarkEnd w:id="4"/>
      <w:bookmarkEnd w:id="5"/>
    </w:tbl>
    <w:p w14:paraId="29426F8C" w14:textId="77777777" w:rsidR="0085444F" w:rsidRPr="00FB4C79" w:rsidRDefault="0085444F">
      <w:pPr>
        <w:pStyle w:val="1"/>
        <w:rPr>
          <w:b/>
          <w:bCs/>
          <w:sz w:val="24"/>
        </w:rPr>
      </w:pPr>
    </w:p>
    <w:tbl>
      <w:tblPr>
        <w:bidiVisual/>
        <w:tblW w:w="0" w:type="auto"/>
        <w:tblLayout w:type="fixed"/>
        <w:tblCellMar>
          <w:left w:w="107" w:type="dxa"/>
          <w:right w:w="107" w:type="dxa"/>
        </w:tblCellMar>
        <w:tblLook w:val="0000" w:firstRow="0" w:lastRow="0" w:firstColumn="0" w:lastColumn="0" w:noHBand="0" w:noVBand="0"/>
      </w:tblPr>
      <w:tblGrid>
        <w:gridCol w:w="1099"/>
        <w:gridCol w:w="2076"/>
        <w:gridCol w:w="3157"/>
        <w:gridCol w:w="2315"/>
      </w:tblGrid>
      <w:tr w:rsidR="0085444F" w:rsidRPr="00FB4C79" w14:paraId="36982A39" w14:textId="77777777">
        <w:tc>
          <w:tcPr>
            <w:tcW w:w="1099" w:type="dxa"/>
          </w:tcPr>
          <w:p w14:paraId="74BE1CD5" w14:textId="77777777" w:rsidR="0085444F" w:rsidRPr="00FB4C79" w:rsidRDefault="00FB4C79" w:rsidP="00AC3BEE">
            <w:pPr>
              <w:suppressLineNumbers/>
              <w:spacing w:before="120" w:after="120" w:line="280" w:lineRule="atLeast"/>
              <w:jc w:val="both"/>
              <w:rPr>
                <w:b/>
                <w:bCs/>
                <w:lang w:eastAsia="he-IL"/>
              </w:rPr>
            </w:pPr>
            <w:r w:rsidRPr="00FB4C79">
              <w:rPr>
                <w:rFonts w:hint="cs"/>
                <w:b/>
                <w:bCs/>
                <w:rtl/>
              </w:rPr>
              <w:t>בעניין:</w:t>
            </w:r>
          </w:p>
        </w:tc>
        <w:tc>
          <w:tcPr>
            <w:tcW w:w="5233" w:type="dxa"/>
            <w:gridSpan w:val="2"/>
          </w:tcPr>
          <w:p w14:paraId="3C650274" w14:textId="77777777" w:rsidR="0085444F" w:rsidRPr="00FB4C79" w:rsidRDefault="00FB4C79" w:rsidP="00AC3BEE">
            <w:pPr>
              <w:suppressLineNumbers/>
              <w:spacing w:before="120" w:after="120" w:line="280" w:lineRule="atLeast"/>
              <w:rPr>
                <w:b/>
                <w:bCs/>
                <w:rtl/>
                <w:lang w:eastAsia="he-IL"/>
              </w:rPr>
            </w:pPr>
            <w:r w:rsidRPr="00FB4C79">
              <w:rPr>
                <w:rFonts w:hint="cs"/>
                <w:b/>
                <w:bCs/>
                <w:rtl/>
              </w:rPr>
              <w:t>מדינת ישראל</w:t>
            </w:r>
          </w:p>
          <w:p w14:paraId="0A1BE559" w14:textId="77777777" w:rsidR="0085444F" w:rsidRPr="00FB4C79" w:rsidRDefault="00FB4C79" w:rsidP="00AC3BEE">
            <w:pPr>
              <w:suppressLineNumbers/>
              <w:spacing w:before="120" w:after="120" w:line="280" w:lineRule="atLeast"/>
              <w:jc w:val="both"/>
              <w:rPr>
                <w:b/>
                <w:bCs/>
                <w:lang w:eastAsia="he-IL"/>
              </w:rPr>
            </w:pPr>
            <w:r w:rsidRPr="00FB4C79">
              <w:rPr>
                <w:rFonts w:hint="cs"/>
                <w:b/>
                <w:bCs/>
                <w:rtl/>
              </w:rPr>
              <w:t>ענף תביעות – מחוז ירושלים</w:t>
            </w:r>
          </w:p>
        </w:tc>
        <w:tc>
          <w:tcPr>
            <w:tcW w:w="2315" w:type="dxa"/>
          </w:tcPr>
          <w:p w14:paraId="6B3A4C90" w14:textId="77777777" w:rsidR="0085444F" w:rsidRPr="00FB4C79" w:rsidRDefault="0085444F" w:rsidP="00AC3BEE">
            <w:pPr>
              <w:pStyle w:val="Heading1"/>
              <w:suppressLineNumbers/>
              <w:spacing w:before="120" w:after="120" w:line="280" w:lineRule="atLeast"/>
              <w:rPr>
                <w:rFonts w:cs="David"/>
                <w:sz w:val="24"/>
                <w:szCs w:val="24"/>
                <w:lang w:eastAsia="he-IL"/>
              </w:rPr>
            </w:pPr>
          </w:p>
        </w:tc>
      </w:tr>
      <w:tr w:rsidR="0085444F" w:rsidRPr="00FB4C79" w14:paraId="6EACB26F" w14:textId="77777777">
        <w:tc>
          <w:tcPr>
            <w:tcW w:w="1099" w:type="dxa"/>
          </w:tcPr>
          <w:p w14:paraId="06989491" w14:textId="77777777" w:rsidR="0085444F" w:rsidRPr="00FB4C79" w:rsidRDefault="0085444F" w:rsidP="00AC3BEE">
            <w:pPr>
              <w:suppressLineNumbers/>
              <w:spacing w:before="120" w:after="120" w:line="280" w:lineRule="atLeast"/>
              <w:jc w:val="both"/>
              <w:rPr>
                <w:b/>
                <w:bCs/>
                <w:lang w:eastAsia="he-IL"/>
              </w:rPr>
            </w:pPr>
            <w:bookmarkStart w:id="6" w:name="בא_כוח_א" w:colFirst="2" w:colLast="2"/>
            <w:bookmarkStart w:id="7" w:name="FirstAppellant"/>
            <w:bookmarkStart w:id="8" w:name="FirstLawyer"/>
          </w:p>
        </w:tc>
        <w:tc>
          <w:tcPr>
            <w:tcW w:w="2076" w:type="dxa"/>
          </w:tcPr>
          <w:p w14:paraId="26883992" w14:textId="77777777" w:rsidR="0085444F" w:rsidRPr="00FB4C79" w:rsidRDefault="00FB4C79" w:rsidP="00AC3BEE">
            <w:pPr>
              <w:suppressLineNumbers/>
              <w:spacing w:before="120" w:after="120" w:line="280" w:lineRule="atLeast"/>
              <w:jc w:val="both"/>
              <w:rPr>
                <w:b/>
                <w:bCs/>
                <w:lang w:eastAsia="he-IL"/>
              </w:rPr>
            </w:pPr>
            <w:r w:rsidRPr="00FB4C79">
              <w:rPr>
                <w:rFonts w:hint="cs"/>
                <w:b/>
                <w:bCs/>
                <w:rtl/>
              </w:rPr>
              <w:t>ע"י ב"כ עו"ד</w:t>
            </w:r>
          </w:p>
        </w:tc>
        <w:tc>
          <w:tcPr>
            <w:tcW w:w="3157" w:type="dxa"/>
          </w:tcPr>
          <w:p w14:paraId="53156709" w14:textId="77777777" w:rsidR="0085444F" w:rsidRPr="00FB4C79" w:rsidRDefault="00FB4C79" w:rsidP="00AC3BEE">
            <w:pPr>
              <w:suppressLineNumbers/>
              <w:spacing w:before="120" w:after="120" w:line="280" w:lineRule="atLeast"/>
              <w:jc w:val="both"/>
              <w:rPr>
                <w:b/>
                <w:bCs/>
                <w:lang w:eastAsia="he-IL"/>
              </w:rPr>
            </w:pPr>
            <w:r w:rsidRPr="00FB4C79">
              <w:rPr>
                <w:rFonts w:hint="cs"/>
                <w:b/>
                <w:bCs/>
                <w:rtl/>
              </w:rPr>
              <w:t xml:space="preserve"> נילי קהלני</w:t>
            </w:r>
          </w:p>
        </w:tc>
        <w:tc>
          <w:tcPr>
            <w:tcW w:w="2315" w:type="dxa"/>
          </w:tcPr>
          <w:p w14:paraId="771EABAB" w14:textId="77777777" w:rsidR="0085444F" w:rsidRPr="00FB4C79" w:rsidRDefault="00FB4C79" w:rsidP="00AC3BEE">
            <w:pPr>
              <w:pStyle w:val="Heading2"/>
              <w:suppressLineNumbers/>
              <w:spacing w:before="120" w:after="120" w:line="280" w:lineRule="atLeast"/>
              <w:rPr>
                <w:rFonts w:cs="David"/>
                <w:i w:val="0"/>
                <w:iCs w:val="0"/>
                <w:sz w:val="24"/>
                <w:szCs w:val="24"/>
                <w:lang w:eastAsia="he-IL"/>
              </w:rPr>
            </w:pPr>
            <w:r w:rsidRPr="00FB4C79">
              <w:rPr>
                <w:rFonts w:cs="David" w:hint="cs"/>
                <w:i w:val="0"/>
                <w:iCs w:val="0"/>
                <w:sz w:val="24"/>
                <w:szCs w:val="24"/>
                <w:rtl/>
              </w:rPr>
              <w:t>המאשימה</w:t>
            </w:r>
          </w:p>
        </w:tc>
      </w:tr>
      <w:bookmarkEnd w:id="6"/>
      <w:bookmarkEnd w:id="7"/>
      <w:bookmarkEnd w:id="8"/>
      <w:tr w:rsidR="0085444F" w:rsidRPr="00FB4C79" w14:paraId="00A67744" w14:textId="77777777">
        <w:tc>
          <w:tcPr>
            <w:tcW w:w="1099" w:type="dxa"/>
          </w:tcPr>
          <w:p w14:paraId="72463B24" w14:textId="77777777" w:rsidR="0085444F" w:rsidRPr="00FB4C79" w:rsidRDefault="0085444F" w:rsidP="00AC3BEE">
            <w:pPr>
              <w:suppressLineNumbers/>
              <w:spacing w:before="120" w:after="120" w:line="280" w:lineRule="atLeast"/>
              <w:jc w:val="both"/>
              <w:rPr>
                <w:b/>
                <w:bCs/>
                <w:lang w:eastAsia="he-IL"/>
              </w:rPr>
            </w:pPr>
          </w:p>
        </w:tc>
        <w:tc>
          <w:tcPr>
            <w:tcW w:w="5233" w:type="dxa"/>
            <w:gridSpan w:val="2"/>
          </w:tcPr>
          <w:p w14:paraId="0B57C6CC" w14:textId="77777777" w:rsidR="0085444F" w:rsidRPr="00FB4C79" w:rsidRDefault="0085444F" w:rsidP="00AC3BEE">
            <w:pPr>
              <w:suppressLineNumbers/>
              <w:spacing w:before="120" w:after="120" w:line="280" w:lineRule="atLeast"/>
              <w:jc w:val="center"/>
              <w:rPr>
                <w:b/>
                <w:bCs/>
                <w:rtl/>
                <w:lang w:eastAsia="he-IL"/>
              </w:rPr>
            </w:pPr>
          </w:p>
          <w:p w14:paraId="4172372F" w14:textId="77777777" w:rsidR="0085444F" w:rsidRPr="00FB4C79" w:rsidRDefault="00FB4C79" w:rsidP="00AC3BEE">
            <w:pPr>
              <w:pStyle w:val="Heading5"/>
              <w:suppressLineNumbers/>
              <w:spacing w:before="120" w:after="120" w:line="280" w:lineRule="atLeast"/>
              <w:rPr>
                <w:i w:val="0"/>
                <w:iCs w:val="0"/>
                <w:sz w:val="24"/>
                <w:szCs w:val="24"/>
                <w:rtl/>
              </w:rPr>
            </w:pPr>
            <w:r w:rsidRPr="00FB4C79">
              <w:rPr>
                <w:rFonts w:hint="cs"/>
                <w:i w:val="0"/>
                <w:iCs w:val="0"/>
                <w:sz w:val="24"/>
                <w:szCs w:val="24"/>
                <w:rtl/>
              </w:rPr>
              <w:t>נגד</w:t>
            </w:r>
          </w:p>
          <w:p w14:paraId="55BBCCF5" w14:textId="77777777" w:rsidR="0085444F" w:rsidRPr="00FB4C79" w:rsidRDefault="0085444F" w:rsidP="00AC3BEE">
            <w:pPr>
              <w:suppressLineNumbers/>
              <w:spacing w:before="120" w:after="120" w:line="280" w:lineRule="atLeast"/>
              <w:jc w:val="center"/>
              <w:rPr>
                <w:b/>
                <w:bCs/>
                <w:lang w:eastAsia="he-IL"/>
              </w:rPr>
            </w:pPr>
          </w:p>
        </w:tc>
        <w:tc>
          <w:tcPr>
            <w:tcW w:w="2315" w:type="dxa"/>
          </w:tcPr>
          <w:p w14:paraId="20B2A667" w14:textId="77777777" w:rsidR="0085444F" w:rsidRPr="00FB4C79" w:rsidRDefault="0085444F" w:rsidP="00AC3BEE">
            <w:pPr>
              <w:suppressLineNumbers/>
              <w:spacing w:before="120" w:after="120" w:line="280" w:lineRule="atLeast"/>
              <w:jc w:val="both"/>
              <w:rPr>
                <w:b/>
                <w:bCs/>
                <w:lang w:eastAsia="he-IL"/>
              </w:rPr>
            </w:pPr>
          </w:p>
        </w:tc>
      </w:tr>
      <w:tr w:rsidR="0085444F" w:rsidRPr="00FB4C79" w14:paraId="5BE35B2B" w14:textId="77777777">
        <w:tc>
          <w:tcPr>
            <w:tcW w:w="1099" w:type="dxa"/>
          </w:tcPr>
          <w:p w14:paraId="0D3A27E0" w14:textId="77777777" w:rsidR="0085444F" w:rsidRPr="00FB4C79" w:rsidRDefault="0085444F" w:rsidP="00AC3BEE">
            <w:pPr>
              <w:suppressLineNumbers/>
              <w:spacing w:before="120" w:after="120" w:line="280" w:lineRule="atLeast"/>
              <w:jc w:val="both"/>
              <w:rPr>
                <w:b/>
                <w:bCs/>
                <w:lang w:eastAsia="he-IL"/>
              </w:rPr>
            </w:pPr>
            <w:bookmarkStart w:id="9" w:name="שם_ב" w:colFirst="1" w:colLast="1"/>
          </w:p>
        </w:tc>
        <w:tc>
          <w:tcPr>
            <w:tcW w:w="5233" w:type="dxa"/>
            <w:gridSpan w:val="2"/>
          </w:tcPr>
          <w:p w14:paraId="0B186A63" w14:textId="77777777" w:rsidR="0085444F" w:rsidRPr="00FB4C79" w:rsidRDefault="00FB4C79" w:rsidP="00AC3BEE">
            <w:pPr>
              <w:spacing w:before="120" w:after="120" w:line="280" w:lineRule="atLeast"/>
              <w:jc w:val="both"/>
              <w:rPr>
                <w:b/>
                <w:bCs/>
                <w:lang w:eastAsia="he-IL"/>
              </w:rPr>
            </w:pPr>
            <w:r w:rsidRPr="00FB4C79">
              <w:rPr>
                <w:rFonts w:hint="cs"/>
                <w:b/>
                <w:bCs/>
                <w:rtl/>
              </w:rPr>
              <w:t xml:space="preserve">האני בן סאלח קראע </w:t>
            </w:r>
          </w:p>
        </w:tc>
        <w:tc>
          <w:tcPr>
            <w:tcW w:w="2315" w:type="dxa"/>
          </w:tcPr>
          <w:p w14:paraId="42B604CF" w14:textId="77777777" w:rsidR="0085444F" w:rsidRPr="00FB4C79" w:rsidRDefault="0085444F" w:rsidP="00AC3BEE">
            <w:pPr>
              <w:pStyle w:val="Heading3"/>
              <w:suppressLineNumbers/>
              <w:spacing w:before="120" w:after="120" w:line="280" w:lineRule="atLeast"/>
              <w:jc w:val="both"/>
              <w:rPr>
                <w:rFonts w:cs="David"/>
                <w:sz w:val="24"/>
                <w:szCs w:val="24"/>
                <w:lang w:eastAsia="he-IL"/>
              </w:rPr>
            </w:pPr>
          </w:p>
        </w:tc>
      </w:tr>
      <w:tr w:rsidR="0085444F" w:rsidRPr="00FB4C79" w14:paraId="7AC89386" w14:textId="77777777">
        <w:trPr>
          <w:trHeight w:val="783"/>
        </w:trPr>
        <w:tc>
          <w:tcPr>
            <w:tcW w:w="1099" w:type="dxa"/>
          </w:tcPr>
          <w:p w14:paraId="3C2D5A3C" w14:textId="77777777" w:rsidR="0085444F" w:rsidRPr="00FB4C79" w:rsidRDefault="0085444F" w:rsidP="00AC3BEE">
            <w:pPr>
              <w:suppressLineNumbers/>
              <w:spacing w:before="120" w:after="120" w:line="280" w:lineRule="atLeast"/>
              <w:jc w:val="both"/>
              <w:rPr>
                <w:b/>
                <w:bCs/>
                <w:lang w:eastAsia="he-IL"/>
              </w:rPr>
            </w:pPr>
            <w:bookmarkStart w:id="10" w:name="בא_כוח_ב" w:colFirst="2" w:colLast="2"/>
            <w:bookmarkEnd w:id="9"/>
          </w:p>
        </w:tc>
        <w:tc>
          <w:tcPr>
            <w:tcW w:w="2076" w:type="dxa"/>
          </w:tcPr>
          <w:p w14:paraId="32EB92EE" w14:textId="77777777" w:rsidR="0085444F" w:rsidRPr="00FB4C79" w:rsidRDefault="00FB4C79" w:rsidP="00AC3BEE">
            <w:pPr>
              <w:pStyle w:val="Heading8"/>
              <w:suppressLineNumbers/>
              <w:spacing w:before="120" w:after="120" w:line="280" w:lineRule="atLeast"/>
              <w:rPr>
                <w:rFonts w:cs="David"/>
                <w:b/>
                <w:bCs/>
                <w:i w:val="0"/>
                <w:iCs w:val="0"/>
                <w:lang w:eastAsia="he-IL"/>
              </w:rPr>
            </w:pPr>
            <w:r w:rsidRPr="00FB4C79">
              <w:rPr>
                <w:rFonts w:cs="David" w:hint="cs"/>
                <w:b/>
                <w:bCs/>
                <w:i w:val="0"/>
                <w:iCs w:val="0"/>
                <w:rtl/>
              </w:rPr>
              <w:t>ע"י ב"כ עו"ד</w:t>
            </w:r>
          </w:p>
        </w:tc>
        <w:tc>
          <w:tcPr>
            <w:tcW w:w="3157" w:type="dxa"/>
          </w:tcPr>
          <w:p w14:paraId="127073DA" w14:textId="77777777" w:rsidR="0085444F" w:rsidRPr="00FB4C79" w:rsidRDefault="00FB4C79" w:rsidP="00AC3BEE">
            <w:pPr>
              <w:suppressLineNumbers/>
              <w:spacing w:before="120" w:after="120" w:line="280" w:lineRule="atLeast"/>
              <w:jc w:val="both"/>
              <w:rPr>
                <w:b/>
                <w:bCs/>
                <w:lang w:eastAsia="he-IL"/>
              </w:rPr>
            </w:pPr>
            <w:r w:rsidRPr="00FB4C79">
              <w:rPr>
                <w:rFonts w:hint="cs"/>
                <w:b/>
                <w:bCs/>
                <w:rtl/>
              </w:rPr>
              <w:t>וסים דכואר</w:t>
            </w:r>
          </w:p>
        </w:tc>
        <w:tc>
          <w:tcPr>
            <w:tcW w:w="2315" w:type="dxa"/>
          </w:tcPr>
          <w:p w14:paraId="7F193F4B" w14:textId="77777777" w:rsidR="0085444F" w:rsidRPr="00FB4C79" w:rsidRDefault="00FB4C79" w:rsidP="00AC3BEE">
            <w:pPr>
              <w:pStyle w:val="Heading4"/>
              <w:suppressLineNumbers/>
              <w:spacing w:before="120" w:after="120" w:line="280" w:lineRule="atLeast"/>
              <w:jc w:val="both"/>
              <w:rPr>
                <w:rFonts w:cs="David"/>
                <w:rtl/>
                <w:lang w:eastAsia="he-IL"/>
              </w:rPr>
            </w:pPr>
            <w:r w:rsidRPr="00FB4C79">
              <w:rPr>
                <w:rFonts w:cs="David" w:hint="cs"/>
                <w:rtl/>
              </w:rPr>
              <w:t>הנאשם</w:t>
            </w:r>
          </w:p>
          <w:p w14:paraId="069E1CEE" w14:textId="77777777" w:rsidR="0085444F" w:rsidRPr="00FB4C79" w:rsidRDefault="0085444F" w:rsidP="00AC3BEE">
            <w:pPr>
              <w:spacing w:before="120" w:after="120" w:line="280" w:lineRule="atLeast"/>
              <w:jc w:val="both"/>
              <w:rPr>
                <w:b/>
                <w:bCs/>
                <w:lang w:eastAsia="he-IL"/>
              </w:rPr>
            </w:pPr>
          </w:p>
        </w:tc>
      </w:tr>
    </w:tbl>
    <w:p w14:paraId="7BD07D4D" w14:textId="77777777" w:rsidR="002751DE" w:rsidRDefault="002751DE">
      <w:pPr>
        <w:pStyle w:val="1"/>
        <w:spacing w:line="360" w:lineRule="auto"/>
        <w:jc w:val="both"/>
        <w:rPr>
          <w:sz w:val="24"/>
          <w:rtl/>
        </w:rPr>
      </w:pPr>
      <w:bookmarkStart w:id="11" w:name="LawTable"/>
      <w:bookmarkEnd w:id="10"/>
      <w:bookmarkEnd w:id="11"/>
    </w:p>
    <w:p w14:paraId="0863FC78" w14:textId="77777777" w:rsidR="002751DE" w:rsidRPr="002751DE" w:rsidRDefault="002751DE" w:rsidP="002751DE">
      <w:pPr>
        <w:pStyle w:val="1"/>
        <w:spacing w:after="120" w:line="240" w:lineRule="exact"/>
        <w:ind w:left="283" w:hanging="283"/>
        <w:jc w:val="both"/>
        <w:rPr>
          <w:rFonts w:ascii="FrankRuehl" w:hAnsi="FrankRuehl" w:cs="FrankRuehl"/>
          <w:sz w:val="24"/>
          <w:rtl/>
        </w:rPr>
      </w:pPr>
    </w:p>
    <w:p w14:paraId="7ED9470E" w14:textId="77777777" w:rsidR="002751DE" w:rsidRPr="002751DE" w:rsidRDefault="002751DE" w:rsidP="002751DE">
      <w:pPr>
        <w:pStyle w:val="1"/>
        <w:spacing w:after="120" w:line="240" w:lineRule="exact"/>
        <w:ind w:left="283" w:hanging="283"/>
        <w:jc w:val="both"/>
        <w:rPr>
          <w:rFonts w:ascii="FrankRuehl" w:hAnsi="FrankRuehl" w:cs="FrankRuehl"/>
          <w:sz w:val="24"/>
          <w:rtl/>
        </w:rPr>
      </w:pPr>
      <w:r w:rsidRPr="002751DE">
        <w:rPr>
          <w:rFonts w:ascii="FrankRuehl" w:hAnsi="FrankRuehl" w:cs="FrankRuehl"/>
          <w:sz w:val="24"/>
          <w:rtl/>
        </w:rPr>
        <w:t xml:space="preserve">חקיקה שאוזכרה: </w:t>
      </w:r>
    </w:p>
    <w:p w14:paraId="7087DE84" w14:textId="77777777" w:rsidR="002751DE" w:rsidRPr="002751DE" w:rsidRDefault="002751DE" w:rsidP="002751DE">
      <w:pPr>
        <w:pStyle w:val="1"/>
        <w:spacing w:after="120" w:line="240" w:lineRule="exact"/>
        <w:ind w:left="283" w:hanging="283"/>
        <w:jc w:val="both"/>
        <w:rPr>
          <w:rFonts w:ascii="FrankRuehl" w:hAnsi="FrankRuehl" w:cs="FrankRuehl"/>
          <w:sz w:val="24"/>
          <w:rtl/>
        </w:rPr>
      </w:pPr>
      <w:hyperlink r:id="rId7" w:history="1">
        <w:r w:rsidRPr="002751DE">
          <w:rPr>
            <w:rFonts w:ascii="FrankRuehl" w:hAnsi="FrankRuehl" w:cs="FrankRuehl"/>
            <w:color w:val="0000FF"/>
            <w:sz w:val="24"/>
            <w:u w:val="single"/>
            <w:rtl/>
          </w:rPr>
          <w:t>חוק העונשין, תשל"ז-1977</w:t>
        </w:r>
      </w:hyperlink>
      <w:r w:rsidRPr="002751DE">
        <w:rPr>
          <w:rFonts w:ascii="FrankRuehl" w:hAnsi="FrankRuehl" w:cs="FrankRuehl"/>
          <w:sz w:val="24"/>
          <w:rtl/>
        </w:rPr>
        <w:t xml:space="preserve">: סע'  </w:t>
      </w:r>
      <w:hyperlink r:id="rId8" w:history="1">
        <w:r w:rsidRPr="002751DE">
          <w:rPr>
            <w:rFonts w:ascii="FrankRuehl" w:hAnsi="FrankRuehl" w:cs="FrankRuehl"/>
            <w:color w:val="0000FF"/>
            <w:sz w:val="24"/>
            <w:u w:val="single"/>
            <w:rtl/>
          </w:rPr>
          <w:t>348(ג)</w:t>
        </w:r>
      </w:hyperlink>
      <w:r w:rsidRPr="002751DE">
        <w:rPr>
          <w:rFonts w:ascii="FrankRuehl" w:hAnsi="FrankRuehl" w:cs="FrankRuehl"/>
          <w:sz w:val="24"/>
          <w:rtl/>
        </w:rPr>
        <w:t xml:space="preserve">, </w:t>
      </w:r>
      <w:hyperlink r:id="rId9" w:history="1">
        <w:r w:rsidRPr="002751DE">
          <w:rPr>
            <w:rFonts w:ascii="FrankRuehl" w:hAnsi="FrankRuehl" w:cs="FrankRuehl"/>
            <w:color w:val="0000FF"/>
            <w:sz w:val="24"/>
            <w:u w:val="single"/>
            <w:rtl/>
          </w:rPr>
          <w:t>348(ו)</w:t>
        </w:r>
      </w:hyperlink>
      <w:r w:rsidRPr="002751DE">
        <w:rPr>
          <w:rFonts w:ascii="FrankRuehl" w:hAnsi="FrankRuehl" w:cs="FrankRuehl"/>
          <w:sz w:val="24"/>
          <w:rtl/>
        </w:rPr>
        <w:t xml:space="preserve">, </w:t>
      </w:r>
      <w:hyperlink r:id="rId10" w:history="1">
        <w:r w:rsidRPr="002751DE">
          <w:rPr>
            <w:rFonts w:ascii="FrankRuehl" w:hAnsi="FrankRuehl" w:cs="FrankRuehl"/>
            <w:color w:val="0000FF"/>
            <w:sz w:val="24"/>
            <w:u w:val="single"/>
            <w:rtl/>
          </w:rPr>
          <w:t>ה' פרק י'</w:t>
        </w:r>
      </w:hyperlink>
    </w:p>
    <w:p w14:paraId="277066AA" w14:textId="77777777" w:rsidR="002751DE" w:rsidRPr="002751DE" w:rsidRDefault="002751DE" w:rsidP="002751DE">
      <w:pPr>
        <w:pStyle w:val="1"/>
        <w:spacing w:after="120" w:line="240" w:lineRule="exact"/>
        <w:ind w:left="283" w:hanging="283"/>
        <w:jc w:val="both"/>
        <w:rPr>
          <w:rFonts w:ascii="FrankRuehl" w:hAnsi="FrankRuehl" w:cs="FrankRuehl"/>
          <w:sz w:val="24"/>
          <w:rtl/>
        </w:rPr>
      </w:pPr>
    </w:p>
    <w:p w14:paraId="1E1F5337" w14:textId="77777777" w:rsidR="002751DE" w:rsidRPr="002751DE" w:rsidRDefault="002751DE">
      <w:pPr>
        <w:pStyle w:val="1"/>
        <w:spacing w:line="360" w:lineRule="auto"/>
        <w:jc w:val="both"/>
        <w:rPr>
          <w:sz w:val="24"/>
          <w:rtl/>
        </w:rPr>
      </w:pPr>
      <w:bookmarkStart w:id="12" w:name="LawTable_End"/>
      <w:bookmarkEnd w:id="12"/>
    </w:p>
    <w:p w14:paraId="32C81516" w14:textId="77777777" w:rsidR="002751DE" w:rsidRPr="002751DE" w:rsidRDefault="002751DE">
      <w:pPr>
        <w:pStyle w:val="1"/>
        <w:spacing w:line="360" w:lineRule="auto"/>
        <w:jc w:val="both"/>
        <w:rPr>
          <w:b/>
          <w:bCs/>
          <w:sz w:val="24"/>
          <w:rtl/>
        </w:rPr>
      </w:pPr>
    </w:p>
    <w:p w14:paraId="40DDB7FF" w14:textId="77777777" w:rsidR="0085444F" w:rsidRPr="002751DE" w:rsidRDefault="0085444F">
      <w:pPr>
        <w:pStyle w:val="1"/>
        <w:spacing w:line="360" w:lineRule="auto"/>
        <w:jc w:val="both"/>
        <w:rPr>
          <w:b/>
          <w:bCs/>
          <w:sz w:val="24"/>
          <w:rtl/>
        </w:rPr>
      </w:pPr>
    </w:p>
    <w:p w14:paraId="14E884A9" w14:textId="77777777" w:rsidR="00437DD7" w:rsidRPr="00437DD7" w:rsidRDefault="00437DD7">
      <w:pPr>
        <w:pStyle w:val="1"/>
        <w:spacing w:line="360" w:lineRule="auto"/>
        <w:jc w:val="center"/>
        <w:rPr>
          <w:sz w:val="24"/>
          <w:rtl/>
        </w:rPr>
      </w:pPr>
    </w:p>
    <w:p w14:paraId="373604C3" w14:textId="77777777" w:rsidR="00437DD7" w:rsidRPr="00437DD7" w:rsidRDefault="00437DD7">
      <w:pPr>
        <w:pStyle w:val="1"/>
        <w:spacing w:line="360" w:lineRule="auto"/>
        <w:jc w:val="center"/>
        <w:rPr>
          <w:b/>
          <w:bCs/>
          <w:sz w:val="24"/>
          <w:rtl/>
        </w:rPr>
      </w:pPr>
    </w:p>
    <w:p w14:paraId="2E617D9D" w14:textId="77777777" w:rsidR="00FB4C79" w:rsidRPr="00437DD7" w:rsidRDefault="00FB4C79">
      <w:pPr>
        <w:pStyle w:val="1"/>
        <w:spacing w:line="360" w:lineRule="auto"/>
        <w:jc w:val="center"/>
        <w:rPr>
          <w:b/>
          <w:bCs/>
          <w:sz w:val="24"/>
          <w:rtl/>
        </w:rPr>
      </w:pPr>
    </w:p>
    <w:p w14:paraId="6D1CC287" w14:textId="77777777" w:rsidR="00FB4C79" w:rsidRPr="00FB4C79" w:rsidRDefault="00FB4C79" w:rsidP="00FB4C79">
      <w:pPr>
        <w:pStyle w:val="1"/>
        <w:spacing w:line="360" w:lineRule="auto"/>
        <w:jc w:val="center"/>
        <w:rPr>
          <w:b/>
          <w:bCs/>
          <w:sz w:val="24"/>
          <w:u w:val="single"/>
          <w:rtl/>
        </w:rPr>
      </w:pPr>
      <w:bookmarkStart w:id="13" w:name="PsakDin"/>
      <w:bookmarkEnd w:id="0"/>
      <w:r w:rsidRPr="00FB4C79">
        <w:rPr>
          <w:b/>
          <w:bCs/>
          <w:sz w:val="24"/>
          <w:u w:val="single"/>
          <w:rtl/>
        </w:rPr>
        <w:t>הכרעת דין</w:t>
      </w:r>
    </w:p>
    <w:bookmarkEnd w:id="13"/>
    <w:p w14:paraId="035FB4BA" w14:textId="77777777" w:rsidR="0085444F" w:rsidRDefault="0085444F">
      <w:pPr>
        <w:pStyle w:val="1"/>
        <w:spacing w:line="360" w:lineRule="auto"/>
        <w:jc w:val="both"/>
        <w:rPr>
          <w:b/>
          <w:bCs/>
          <w:sz w:val="24"/>
          <w:u w:val="single"/>
          <w:rtl/>
        </w:rPr>
      </w:pPr>
    </w:p>
    <w:p w14:paraId="09A4E478" w14:textId="77777777" w:rsidR="0085444F" w:rsidRDefault="00FB4C79">
      <w:pPr>
        <w:pStyle w:val="1"/>
        <w:numPr>
          <w:ilvl w:val="0"/>
          <w:numId w:val="1"/>
        </w:numPr>
        <w:spacing w:line="360" w:lineRule="auto"/>
        <w:jc w:val="both"/>
        <w:rPr>
          <w:sz w:val="24"/>
          <w:rtl/>
        </w:rPr>
      </w:pPr>
      <w:bookmarkStart w:id="14" w:name="ABSTRACT_START"/>
      <w:bookmarkEnd w:id="14"/>
      <w:r>
        <w:rPr>
          <w:rFonts w:hint="cs"/>
          <w:sz w:val="24"/>
          <w:rtl/>
        </w:rPr>
        <w:lastRenderedPageBreak/>
        <w:t xml:space="preserve">העבירה המיוחסת לנאשם היא עבירה של מעשה מגונה, לפי </w:t>
      </w:r>
      <w:hyperlink r:id="rId11" w:history="1">
        <w:r w:rsidR="002751DE" w:rsidRPr="002751DE">
          <w:rPr>
            <w:color w:val="0000FF"/>
            <w:sz w:val="24"/>
            <w:u w:val="single"/>
            <w:rtl/>
          </w:rPr>
          <w:t>סעיף 348(ג)</w:t>
        </w:r>
      </w:hyperlink>
      <w:r>
        <w:rPr>
          <w:rFonts w:hint="cs"/>
          <w:sz w:val="24"/>
          <w:rtl/>
        </w:rPr>
        <w:t xml:space="preserve"> ל</w:t>
      </w:r>
      <w:hyperlink r:id="rId12" w:history="1">
        <w:r w:rsidR="00437DD7" w:rsidRPr="00437DD7">
          <w:rPr>
            <w:rStyle w:val="Hyperlink"/>
            <w:sz w:val="24"/>
            <w:rtl/>
          </w:rPr>
          <w:t>חוק העונשין</w:t>
        </w:r>
      </w:hyperlink>
      <w:r>
        <w:rPr>
          <w:rFonts w:hint="cs"/>
          <w:sz w:val="24"/>
          <w:rtl/>
        </w:rPr>
        <w:t>, תשל"ז-1977</w:t>
      </w:r>
      <w:bookmarkStart w:id="15" w:name="ABSTRACT_END"/>
      <w:bookmarkEnd w:id="15"/>
      <w:r>
        <w:rPr>
          <w:rFonts w:hint="cs"/>
          <w:sz w:val="24"/>
          <w:rtl/>
        </w:rPr>
        <w:t>.</w:t>
      </w:r>
    </w:p>
    <w:p w14:paraId="15DD791B" w14:textId="77777777" w:rsidR="0085444F" w:rsidRDefault="0085444F">
      <w:pPr>
        <w:pStyle w:val="1"/>
        <w:spacing w:line="360" w:lineRule="auto"/>
        <w:ind w:left="360"/>
        <w:jc w:val="both"/>
        <w:rPr>
          <w:sz w:val="24"/>
        </w:rPr>
      </w:pPr>
    </w:p>
    <w:p w14:paraId="6C7BCC69" w14:textId="77777777" w:rsidR="0085444F" w:rsidRDefault="00FB4C79" w:rsidP="005E1C11">
      <w:pPr>
        <w:pStyle w:val="1"/>
        <w:numPr>
          <w:ilvl w:val="0"/>
          <w:numId w:val="1"/>
        </w:numPr>
        <w:spacing w:line="360" w:lineRule="auto"/>
        <w:jc w:val="both"/>
        <w:rPr>
          <w:sz w:val="24"/>
          <w:rtl/>
        </w:rPr>
      </w:pPr>
      <w:r>
        <w:rPr>
          <w:rFonts w:hint="cs"/>
          <w:sz w:val="24"/>
          <w:rtl/>
        </w:rPr>
        <w:t xml:space="preserve">על-פי כתב האישום, ביום 23.7.2007, בשעה 12:40 או בסמוך לכך, נכנסה המתלוננת, שהיתה אז צעירה כבת 17 שנים, לבניין בו התגוררה עם משפחתה ברח' </w:t>
      </w:r>
      <w:r w:rsidR="005E1C11">
        <w:rPr>
          <w:rFonts w:hint="cs"/>
          <w:sz w:val="24"/>
          <w:rtl/>
        </w:rPr>
        <w:t>----</w:t>
      </w:r>
      <w:r>
        <w:rPr>
          <w:rFonts w:hint="cs"/>
          <w:sz w:val="24"/>
          <w:rtl/>
        </w:rPr>
        <w:t xml:space="preserve"> בירושלים, ובידיה אחזה שקיות עם מצרכים. המתלוננת הזמינה את המעלית והמתינה לה. בעת ההמתנה, חשה כי אדם שעמד מאחוריה שלח את ידו לישבנה ונגע בו.</w:t>
      </w:r>
    </w:p>
    <w:p w14:paraId="645DBC8C" w14:textId="77777777" w:rsidR="0085444F" w:rsidRDefault="0085444F">
      <w:pPr>
        <w:pStyle w:val="1"/>
        <w:spacing w:line="360" w:lineRule="auto"/>
        <w:jc w:val="both"/>
        <w:rPr>
          <w:sz w:val="24"/>
        </w:rPr>
      </w:pPr>
    </w:p>
    <w:p w14:paraId="7B172FFB" w14:textId="77777777" w:rsidR="0085444F" w:rsidRDefault="00FB4C79">
      <w:pPr>
        <w:pStyle w:val="1"/>
        <w:numPr>
          <w:ilvl w:val="0"/>
          <w:numId w:val="1"/>
        </w:numPr>
        <w:spacing w:line="360" w:lineRule="auto"/>
        <w:jc w:val="both"/>
        <w:rPr>
          <w:sz w:val="24"/>
          <w:rtl/>
        </w:rPr>
      </w:pPr>
      <w:r>
        <w:rPr>
          <w:rFonts w:hint="cs"/>
          <w:sz w:val="24"/>
          <w:rtl/>
        </w:rPr>
        <w:t>הנאשם כפר באישום, ואולם הודה כי נמצא בבניין בו התגוררה המתלוננת, אלא שהמדובר בטעות בזיהוי וכי הוא אך דומה לאדם אשר ביצע את המעשה.</w:t>
      </w:r>
    </w:p>
    <w:p w14:paraId="4398AA51" w14:textId="77777777" w:rsidR="0085444F" w:rsidRDefault="0085444F">
      <w:pPr>
        <w:pStyle w:val="1"/>
        <w:spacing w:line="360" w:lineRule="auto"/>
        <w:ind w:left="360"/>
        <w:jc w:val="both"/>
        <w:rPr>
          <w:sz w:val="24"/>
        </w:rPr>
      </w:pPr>
    </w:p>
    <w:p w14:paraId="52CAC243" w14:textId="77777777" w:rsidR="0085444F" w:rsidRDefault="00FB4C79">
      <w:pPr>
        <w:pStyle w:val="1"/>
        <w:numPr>
          <w:ilvl w:val="0"/>
          <w:numId w:val="1"/>
        </w:numPr>
        <w:spacing w:line="360" w:lineRule="auto"/>
        <w:jc w:val="both"/>
        <w:rPr>
          <w:sz w:val="24"/>
        </w:rPr>
      </w:pPr>
      <w:r>
        <w:rPr>
          <w:rFonts w:hint="cs"/>
          <w:sz w:val="24"/>
          <w:rtl/>
        </w:rPr>
        <w:t xml:space="preserve">מטעם התביעה העידו המתלוננת, אחותה ואמה, וכן שוטר ושוטרת סיור אשר היה מעורבים באירוע. מטעם ההגנה העיד הנאשם. </w:t>
      </w:r>
    </w:p>
    <w:p w14:paraId="478B6034" w14:textId="77777777" w:rsidR="0085444F" w:rsidRDefault="0085444F">
      <w:pPr>
        <w:pStyle w:val="1"/>
        <w:spacing w:line="360" w:lineRule="auto"/>
        <w:jc w:val="both"/>
        <w:rPr>
          <w:b/>
          <w:bCs/>
          <w:sz w:val="24"/>
          <w:u w:val="single"/>
        </w:rPr>
      </w:pPr>
    </w:p>
    <w:p w14:paraId="48F678E4" w14:textId="77777777" w:rsidR="0085444F" w:rsidRDefault="00FB4C79">
      <w:pPr>
        <w:pStyle w:val="1"/>
        <w:numPr>
          <w:ilvl w:val="0"/>
          <w:numId w:val="1"/>
        </w:numPr>
        <w:spacing w:line="360" w:lineRule="auto"/>
        <w:jc w:val="both"/>
        <w:rPr>
          <w:sz w:val="24"/>
        </w:rPr>
      </w:pPr>
      <w:r>
        <w:rPr>
          <w:rFonts w:hint="cs"/>
          <w:sz w:val="24"/>
          <w:rtl/>
        </w:rPr>
        <w:t>בעדותה סיפרה המתלוננת שביום האירוע נפגשה עם אביה בשעה 12:00 לערך ליד בית הכנסת והוא מסר לה שקיות עם מצרכים, במטרה שתביאן לביתם. בכניסה לבניין ראתה המתלוננת רכב מסוג טרנזיט בצבע לבן חונה בחזית הבניין. המתלוננת נכנסה לבניין, הניחה את השקיות על הרצפה והתרוממה על מנת ללחוץ על הכפתור להזמנת המעלית. בעת שהתרוממה, הרגישה שיד אדם אוחזת בישבנה לרגע. המתלוננת הסתובבה לאחור וראתה את הנאשם, אשר שאל אותה לאיזה קומה היא צריכה להגיע. משלא ענתה, שאל שוב. המתלוננת שאלה את הנאשם האם אינו מתבייש ושאם עוד פעם יעשה "דבר כזה", היא תתלונן במשטרה. המתלוננת נטלה את השקיות ועלתה במדרגות. הנאשם, אשר אחז  בידיו שני ארגזי פירות וירקות, נכנס למעלית. המתלוננת נכנסה לביתה נסערת, סיפרה לאחותה ולאמה את אשר ארע, ומחלון הדירה ראו השלוש את הנאשם נכנס לרכב הטרנזיט. המתלוננת גילתה שהמשלוח אותו נשא הנאשם הגיע למשפחת פרידמן אשר מתגוררת בבניין וניגשה לשאול את מי מבני משפחת פרידמן מהיכן הגיע המשלוח. נמסר לה שהמשלוח הגיע מחנות בשם "שוק של פירות וירקות" שכתובתו ברח' שמואל הנביא 114. המתלוננת התקשרה לחנות הירקות ואמה התקשרה למשטרה. לאחר מכן ניגשו המתלוננת ואמה לחנות, לידה ראו את אותו רכב טרנזיט בצבע לבן שראתה המתלוננת ליד ביתה (ולו סימנים ייחודיים, כגון וילונות שחורים שכיסו את השמשות האחוריות ומעין סרט ורוד שהיה תלוי) ובסמוך נמצאה ניידת משטרה. המתלוננת ואמה פנו לשוטרים אשר ישבו בניידת, והאחרונים איתרו  את הנאשם ועצרוהו. לאחר מכן נסעו המתלוננת והנאשם (בנפרד) לתחנת המשטרה, לצורך גביית עדויות.</w:t>
      </w:r>
    </w:p>
    <w:p w14:paraId="3288A00A" w14:textId="77777777" w:rsidR="0085444F" w:rsidRDefault="00FB4C79">
      <w:pPr>
        <w:pStyle w:val="1"/>
        <w:spacing w:line="360" w:lineRule="auto"/>
        <w:jc w:val="both"/>
        <w:rPr>
          <w:sz w:val="24"/>
        </w:rPr>
      </w:pPr>
      <w:r>
        <w:rPr>
          <w:rFonts w:hint="cs"/>
          <w:sz w:val="24"/>
          <w:rtl/>
        </w:rPr>
        <w:t xml:space="preserve"> </w:t>
      </w:r>
    </w:p>
    <w:p w14:paraId="3E7077F9" w14:textId="77777777" w:rsidR="0085444F" w:rsidRDefault="00FB4C79">
      <w:pPr>
        <w:pStyle w:val="1"/>
        <w:numPr>
          <w:ilvl w:val="0"/>
          <w:numId w:val="1"/>
        </w:numPr>
        <w:spacing w:line="360" w:lineRule="auto"/>
        <w:jc w:val="both"/>
        <w:rPr>
          <w:sz w:val="24"/>
          <w:rtl/>
        </w:rPr>
      </w:pPr>
      <w:r>
        <w:rPr>
          <w:rFonts w:hint="cs"/>
          <w:sz w:val="24"/>
          <w:rtl/>
        </w:rPr>
        <w:lastRenderedPageBreak/>
        <w:t>לגרסת הנאשם, עם כניסתו לבניין החלה המתלוננת לצעוק שהיא תזמין משטרה, והחלה לעלות במדרגות במעין מנוסה וזאת לשיטתו מאחר והיא "מפחדת מערבים". הנאשם לא שאל את המתלוננת מדוע היא מעוניינת להזמין משטרה ולא שאל מדוע היא צועקת ובורחת. הנאשם לא שלל את האפשרות שייתכן והיה מגע כלשהו בינו לבין המתלוננת (עמ' 15, ש' 25) או בין אחד מארגזי הירקות, לבין המתלוננת.</w:t>
      </w:r>
    </w:p>
    <w:p w14:paraId="7BB76B36" w14:textId="77777777" w:rsidR="0085444F" w:rsidRDefault="0085444F">
      <w:pPr>
        <w:pStyle w:val="1"/>
        <w:spacing w:line="360" w:lineRule="auto"/>
        <w:jc w:val="both"/>
        <w:rPr>
          <w:sz w:val="24"/>
        </w:rPr>
      </w:pPr>
    </w:p>
    <w:p w14:paraId="4698FC10" w14:textId="77777777" w:rsidR="0085444F" w:rsidRDefault="00FB4C79">
      <w:pPr>
        <w:pStyle w:val="1"/>
        <w:numPr>
          <w:ilvl w:val="0"/>
          <w:numId w:val="1"/>
        </w:numPr>
        <w:spacing w:line="360" w:lineRule="auto"/>
        <w:jc w:val="both"/>
        <w:rPr>
          <w:sz w:val="24"/>
          <w:rtl/>
        </w:rPr>
      </w:pPr>
      <w:r>
        <w:rPr>
          <w:rFonts w:hint="cs"/>
          <w:sz w:val="24"/>
          <w:rtl/>
        </w:rPr>
        <w:t>לאחר ששמעתי את עדי התביעה וכן את עדות הנאשם ולאחר שעיינתי בהודעת הנאשם (ת/4) ובתמלול העימות (ת/5), אני בוחר להעדיף את גרסת עדות התביעה.</w:t>
      </w:r>
    </w:p>
    <w:p w14:paraId="760ADEFB" w14:textId="77777777" w:rsidR="0085444F" w:rsidRDefault="0085444F">
      <w:pPr>
        <w:pStyle w:val="1"/>
        <w:spacing w:line="360" w:lineRule="auto"/>
        <w:jc w:val="both"/>
        <w:rPr>
          <w:sz w:val="24"/>
          <w:rtl/>
        </w:rPr>
      </w:pPr>
    </w:p>
    <w:p w14:paraId="1A1935FA" w14:textId="77777777" w:rsidR="0085444F" w:rsidRDefault="0085444F">
      <w:pPr>
        <w:pStyle w:val="1"/>
        <w:spacing w:line="360" w:lineRule="auto"/>
        <w:jc w:val="both"/>
        <w:rPr>
          <w:sz w:val="24"/>
          <w:rtl/>
        </w:rPr>
      </w:pPr>
    </w:p>
    <w:p w14:paraId="543875C9" w14:textId="77777777" w:rsidR="0085444F" w:rsidRDefault="0085444F">
      <w:pPr>
        <w:pStyle w:val="1"/>
        <w:spacing w:line="360" w:lineRule="auto"/>
        <w:jc w:val="both"/>
        <w:rPr>
          <w:sz w:val="24"/>
        </w:rPr>
      </w:pPr>
    </w:p>
    <w:p w14:paraId="150B822E" w14:textId="77777777" w:rsidR="0085444F" w:rsidRDefault="00FB4C79">
      <w:pPr>
        <w:pStyle w:val="1"/>
        <w:numPr>
          <w:ilvl w:val="0"/>
          <w:numId w:val="1"/>
        </w:numPr>
        <w:spacing w:line="360" w:lineRule="auto"/>
        <w:jc w:val="both"/>
        <w:rPr>
          <w:sz w:val="24"/>
          <w:rtl/>
        </w:rPr>
      </w:pPr>
      <w:r>
        <w:rPr>
          <w:rFonts w:hint="cs"/>
          <w:sz w:val="24"/>
          <w:rtl/>
        </w:rPr>
        <w:t xml:space="preserve">המתלוננת הותירה בי רושם אמין ולא מצאתי פגם או רבב בדבריה. גרסתה לא התערערה בחקירה הנגדית והיא לא ניסתה להגזים או להעצים את האירוע. גם אמה ואחותה של המתלוננת הותירו רושם אמין ואותנטי ועדויותיהן, הנסובות סביב פגישתן עמה מיד לאחר קרות האירוע, עם כניסתה לדירת המגורים, מהוות חיזוק לעדות המתלוננת. </w:t>
      </w:r>
    </w:p>
    <w:p w14:paraId="758DD03C" w14:textId="77777777" w:rsidR="0085444F" w:rsidRDefault="0085444F">
      <w:pPr>
        <w:pStyle w:val="1"/>
        <w:spacing w:line="360" w:lineRule="auto"/>
        <w:jc w:val="both"/>
        <w:rPr>
          <w:sz w:val="24"/>
        </w:rPr>
      </w:pPr>
    </w:p>
    <w:p w14:paraId="5C7A9078" w14:textId="77777777" w:rsidR="0085444F" w:rsidRDefault="00FB4C79">
      <w:pPr>
        <w:pStyle w:val="1"/>
        <w:numPr>
          <w:ilvl w:val="0"/>
          <w:numId w:val="1"/>
        </w:numPr>
        <w:spacing w:line="360" w:lineRule="auto"/>
        <w:jc w:val="both"/>
        <w:rPr>
          <w:sz w:val="24"/>
        </w:rPr>
      </w:pPr>
      <w:r>
        <w:rPr>
          <w:rFonts w:hint="cs"/>
          <w:sz w:val="24"/>
          <w:rtl/>
        </w:rPr>
        <w:t xml:space="preserve">כשנשאלה המתלוננת בחקירה הנגדית כיצד היא מזהה את הנאשם כמי שביצע את המעשה, שכן בהודעתה במשטרה אמרה שלא ראתה את פניו, השיבה שהיא מזהה אותו לפי מבנה גופו, גובהו ולפי החולצה שלבש ביום האירוע. המתלוננת ציינה, כי ראתה את הנאשם, בפעם השנייה, מחלון הדירה כשיצא מהבניין לאחר שהביא את המשלוח ליעדו. בהקשר זה יצוין שבמהלך המשפט השתנתה גרסתו של הנאשם, והוא לא טען עוד שהמדובר ב"טעות בזיהוי", אלא שהמדובר בנגיעה של קצה הארגז במתלוננת (סיכומי ב"כ הנאשם, עמ' 17, ש' 26).   </w:t>
      </w:r>
    </w:p>
    <w:p w14:paraId="65054367" w14:textId="77777777" w:rsidR="0085444F" w:rsidRDefault="0085444F">
      <w:pPr>
        <w:pStyle w:val="1"/>
        <w:spacing w:line="360" w:lineRule="auto"/>
        <w:jc w:val="both"/>
        <w:rPr>
          <w:sz w:val="24"/>
        </w:rPr>
      </w:pPr>
    </w:p>
    <w:p w14:paraId="15F7B145" w14:textId="77777777" w:rsidR="0085444F" w:rsidRDefault="00FB4C79">
      <w:pPr>
        <w:pStyle w:val="1"/>
        <w:numPr>
          <w:ilvl w:val="0"/>
          <w:numId w:val="1"/>
        </w:numPr>
        <w:spacing w:line="360" w:lineRule="auto"/>
        <w:jc w:val="both"/>
        <w:rPr>
          <w:sz w:val="24"/>
          <w:rtl/>
        </w:rPr>
      </w:pPr>
      <w:r>
        <w:rPr>
          <w:rFonts w:hint="cs"/>
          <w:sz w:val="24"/>
          <w:rtl/>
        </w:rPr>
        <w:t xml:space="preserve">עדותה של אחות המתלוננת מתיישבת עם עדותה של המתלוננת. האחות, כמו המתלוננת, ציינה שביום האירוע לבש הנאשם חולצה שחורה עם פס לבן (כפי שתיאר גם הנאשם את חולצתו בהודעתו במשטרה, ת/4) וגם היא העידה שהיא מזהה את הנאשם באולם בית המשפט, כאותו אדם שיצא מהבניין דקות לאחר קרות האירוע, אותו היא ראתה מחלון הדירה. גם לגרסת הנאשם ראתה אותו אמה של המתלוננת מחלון דירתה וצעקה לעברו שתזמין משטרה (עמ' 13, ש' 26).   </w:t>
      </w:r>
    </w:p>
    <w:p w14:paraId="5A58584A" w14:textId="77777777" w:rsidR="0085444F" w:rsidRDefault="0085444F">
      <w:pPr>
        <w:pStyle w:val="1"/>
        <w:spacing w:line="360" w:lineRule="auto"/>
        <w:jc w:val="both"/>
        <w:rPr>
          <w:sz w:val="24"/>
        </w:rPr>
      </w:pPr>
    </w:p>
    <w:p w14:paraId="0A3FFFE1" w14:textId="77777777" w:rsidR="0085444F" w:rsidRDefault="00FB4C79">
      <w:pPr>
        <w:pStyle w:val="1"/>
        <w:numPr>
          <w:ilvl w:val="0"/>
          <w:numId w:val="1"/>
        </w:numPr>
        <w:spacing w:line="360" w:lineRule="auto"/>
        <w:jc w:val="both"/>
        <w:rPr>
          <w:sz w:val="24"/>
          <w:rtl/>
        </w:rPr>
      </w:pPr>
      <w:r>
        <w:rPr>
          <w:rFonts w:hint="cs"/>
          <w:sz w:val="24"/>
          <w:rtl/>
        </w:rPr>
        <w:t>ממכלול העדויות עולה כי זהותו של הנאשם, כמי שביצע את המעשה נשוא כתב האישום, אינה מוטלת בספק.</w:t>
      </w:r>
    </w:p>
    <w:p w14:paraId="54480AEB" w14:textId="77777777" w:rsidR="0085444F" w:rsidRDefault="0085444F">
      <w:pPr>
        <w:pStyle w:val="1"/>
        <w:spacing w:line="360" w:lineRule="auto"/>
        <w:jc w:val="both"/>
        <w:rPr>
          <w:sz w:val="24"/>
        </w:rPr>
      </w:pPr>
    </w:p>
    <w:p w14:paraId="6AD7AB57" w14:textId="77777777" w:rsidR="0085444F" w:rsidRDefault="00FB4C79">
      <w:pPr>
        <w:pStyle w:val="1"/>
        <w:numPr>
          <w:ilvl w:val="0"/>
          <w:numId w:val="1"/>
        </w:numPr>
        <w:spacing w:line="360" w:lineRule="auto"/>
        <w:jc w:val="both"/>
        <w:rPr>
          <w:sz w:val="24"/>
          <w:rtl/>
        </w:rPr>
      </w:pPr>
      <w:r>
        <w:rPr>
          <w:rFonts w:hint="cs"/>
          <w:sz w:val="24"/>
          <w:rtl/>
        </w:rPr>
        <w:lastRenderedPageBreak/>
        <w:t xml:space="preserve">טענת ההגנה לפיה קצה אחד הארגזים הוא שנגע במתלוננת אינה יכולה להתקבל. מגע יד אדם אינו דומה למגעו של ארגז או קצהו וכל בר דעת יכול בנקל להבחין בין השניים. בנוסף, מקובלת עלי עדות המתלוננת לפיה הנאשם סחב את הארגזים על כתפו ותמך בהם ביד אחת, כך שידו השנייה היתה פנויה. בהקשר זה יצוין שהנאשם לא זכר באיזה אופן החזיק את הארגזים באותו יום (עמ' 16, ש' 23). </w:t>
      </w:r>
    </w:p>
    <w:p w14:paraId="6ED51DDE" w14:textId="77777777" w:rsidR="0085444F" w:rsidRDefault="0085444F">
      <w:pPr>
        <w:pStyle w:val="1"/>
        <w:spacing w:line="360" w:lineRule="auto"/>
        <w:jc w:val="both"/>
        <w:rPr>
          <w:sz w:val="24"/>
          <w:rtl/>
        </w:rPr>
      </w:pPr>
    </w:p>
    <w:p w14:paraId="00E7B1D5" w14:textId="77777777" w:rsidR="0085444F" w:rsidRDefault="0085444F">
      <w:pPr>
        <w:pStyle w:val="1"/>
        <w:spacing w:line="360" w:lineRule="auto"/>
        <w:jc w:val="both"/>
        <w:rPr>
          <w:sz w:val="24"/>
          <w:rtl/>
        </w:rPr>
      </w:pPr>
    </w:p>
    <w:p w14:paraId="539DE64F" w14:textId="77777777" w:rsidR="0085444F" w:rsidRDefault="0085444F">
      <w:pPr>
        <w:pStyle w:val="1"/>
        <w:spacing w:line="360" w:lineRule="auto"/>
        <w:jc w:val="both"/>
        <w:rPr>
          <w:sz w:val="24"/>
        </w:rPr>
      </w:pPr>
    </w:p>
    <w:p w14:paraId="6B994BCD" w14:textId="77777777" w:rsidR="0085444F" w:rsidRDefault="00FB4C79">
      <w:pPr>
        <w:pStyle w:val="1"/>
        <w:numPr>
          <w:ilvl w:val="0"/>
          <w:numId w:val="1"/>
        </w:numPr>
        <w:spacing w:line="360" w:lineRule="auto"/>
        <w:jc w:val="both"/>
        <w:rPr>
          <w:sz w:val="24"/>
          <w:rtl/>
        </w:rPr>
      </w:pPr>
      <w:r>
        <w:rPr>
          <w:rFonts w:hint="cs"/>
          <w:sz w:val="24"/>
          <w:rtl/>
        </w:rPr>
        <w:t xml:space="preserve">לא נעלמה מעיני העובדה שמדובר בהרשעה על סמך עדות יחידה של המתלוננת, אך חרף זאת מצאתי שניתן להסתפק בעדות זו לצורך הרשעה. בנוסף, עדויות האם והאחות כאמור, משמשות חיזוק לאמיתות עדות המתלוננת ולסערת הרגשות בה היתה נתונה מיד לאחר האירוע.  </w:t>
      </w:r>
    </w:p>
    <w:p w14:paraId="72FDDA60" w14:textId="77777777" w:rsidR="0085444F" w:rsidRDefault="0085444F">
      <w:pPr>
        <w:pStyle w:val="1"/>
        <w:spacing w:line="360" w:lineRule="auto"/>
        <w:jc w:val="both"/>
        <w:rPr>
          <w:sz w:val="24"/>
        </w:rPr>
      </w:pPr>
    </w:p>
    <w:p w14:paraId="0FAF8C17" w14:textId="77777777" w:rsidR="0085444F" w:rsidRDefault="00FB4C79">
      <w:pPr>
        <w:pStyle w:val="1"/>
        <w:numPr>
          <w:ilvl w:val="0"/>
          <w:numId w:val="1"/>
        </w:numPr>
        <w:spacing w:line="360" w:lineRule="auto"/>
        <w:jc w:val="both"/>
        <w:rPr>
          <w:sz w:val="24"/>
          <w:rtl/>
        </w:rPr>
      </w:pPr>
      <w:r>
        <w:rPr>
          <w:rFonts w:hint="cs"/>
          <w:sz w:val="24"/>
          <w:rtl/>
        </w:rPr>
        <w:t xml:space="preserve">העבירה בגינה הועמד הנאשם לדין קבועה </w:t>
      </w:r>
      <w:hyperlink r:id="rId13" w:history="1">
        <w:r w:rsidR="002751DE" w:rsidRPr="002751DE">
          <w:rPr>
            <w:color w:val="0000FF"/>
            <w:sz w:val="24"/>
            <w:u w:val="single"/>
            <w:rtl/>
          </w:rPr>
          <w:t>בסעיף 348(ג)</w:t>
        </w:r>
      </w:hyperlink>
      <w:r>
        <w:rPr>
          <w:rFonts w:hint="cs"/>
          <w:sz w:val="24"/>
          <w:rtl/>
        </w:rPr>
        <w:t xml:space="preserve">, </w:t>
      </w:r>
      <w:hyperlink r:id="rId14" w:history="1">
        <w:r w:rsidR="002751DE" w:rsidRPr="002751DE">
          <w:rPr>
            <w:color w:val="0000FF"/>
            <w:sz w:val="24"/>
            <w:u w:val="single"/>
            <w:rtl/>
          </w:rPr>
          <w:t>סימן ה', פרק י'</w:t>
        </w:r>
      </w:hyperlink>
      <w:r>
        <w:rPr>
          <w:rFonts w:hint="cs"/>
          <w:sz w:val="24"/>
          <w:rtl/>
        </w:rPr>
        <w:t>, ל</w:t>
      </w:r>
      <w:hyperlink r:id="rId15" w:history="1">
        <w:r w:rsidR="00437DD7" w:rsidRPr="00437DD7">
          <w:rPr>
            <w:rStyle w:val="Hyperlink"/>
            <w:sz w:val="24"/>
            <w:rtl/>
          </w:rPr>
          <w:t>חוק העונשין</w:t>
        </w:r>
      </w:hyperlink>
      <w:r>
        <w:rPr>
          <w:rFonts w:hint="cs"/>
          <w:sz w:val="24"/>
          <w:rtl/>
        </w:rPr>
        <w:t xml:space="preserve"> ועניינה עשיית מעשה מגונה באדם בלא הסכמתו. שליחת יד לאחוריה של המתלוננת ואחיזה בם, הינה עבירת מין. המדובר בעבירת התנהגות מטרתית שנועדה להשיג את אחת התכליות הקבועות </w:t>
      </w:r>
      <w:hyperlink r:id="rId16" w:history="1">
        <w:r w:rsidR="002751DE" w:rsidRPr="002751DE">
          <w:rPr>
            <w:color w:val="0000FF"/>
            <w:sz w:val="24"/>
            <w:u w:val="single"/>
            <w:rtl/>
          </w:rPr>
          <w:t>בסעיף 348(ו)</w:t>
        </w:r>
      </w:hyperlink>
      <w:r>
        <w:rPr>
          <w:rFonts w:hint="cs"/>
          <w:sz w:val="24"/>
          <w:rtl/>
        </w:rPr>
        <w:t xml:space="preserve"> ל</w:t>
      </w:r>
      <w:hyperlink r:id="rId17" w:history="1">
        <w:r w:rsidR="00437DD7" w:rsidRPr="00437DD7">
          <w:rPr>
            <w:rStyle w:val="Hyperlink"/>
            <w:sz w:val="24"/>
            <w:rtl/>
          </w:rPr>
          <w:t>חוק העונשין</w:t>
        </w:r>
      </w:hyperlink>
      <w:r>
        <w:rPr>
          <w:rFonts w:hint="cs"/>
          <w:sz w:val="24"/>
          <w:rtl/>
        </w:rPr>
        <w:t xml:space="preserve"> "מעשה לשם גירוי, סיפוק או ביזוי מיניים". היסוד הנפשי של עבירה זו הוא מודעות כלפי טיב המעשה ומאפייניו וכלפי הנסיבות ומאפייניהן. לעניין המודעות, די למעשה בקיומה של פזיזות ואין צורך בהוכחת ידיעה ממשית לגבי היעדרה של הסכמה. ר' קדמי, </w:t>
      </w:r>
      <w:r>
        <w:rPr>
          <w:rFonts w:hint="cs"/>
          <w:b/>
          <w:bCs/>
          <w:sz w:val="24"/>
          <w:rtl/>
        </w:rPr>
        <w:t>על הדין בפלילים</w:t>
      </w:r>
      <w:r>
        <w:rPr>
          <w:rFonts w:hint="cs"/>
          <w:sz w:val="24"/>
          <w:rtl/>
        </w:rPr>
        <w:t>, חלק שלישי, מהדורה מעודכנת תשס"ו-2006, עמ' 1425.</w:t>
      </w:r>
    </w:p>
    <w:p w14:paraId="5C9E0188" w14:textId="77777777" w:rsidR="0085444F" w:rsidRDefault="0085444F">
      <w:pPr>
        <w:pStyle w:val="1"/>
        <w:spacing w:line="360" w:lineRule="auto"/>
        <w:jc w:val="both"/>
        <w:rPr>
          <w:sz w:val="24"/>
        </w:rPr>
      </w:pPr>
    </w:p>
    <w:p w14:paraId="34AD9A92" w14:textId="77777777" w:rsidR="0085444F" w:rsidRDefault="00FB4C79">
      <w:pPr>
        <w:pStyle w:val="1"/>
        <w:numPr>
          <w:ilvl w:val="0"/>
          <w:numId w:val="1"/>
        </w:numPr>
        <w:spacing w:line="360" w:lineRule="auto"/>
        <w:jc w:val="both"/>
        <w:rPr>
          <w:sz w:val="24"/>
          <w:rtl/>
        </w:rPr>
      </w:pPr>
      <w:r>
        <w:rPr>
          <w:rFonts w:hint="cs"/>
          <w:sz w:val="24"/>
          <w:rtl/>
        </w:rPr>
        <w:t xml:space="preserve">אלה הוכחו כמפורט לעיל.  </w:t>
      </w:r>
    </w:p>
    <w:p w14:paraId="030F968E" w14:textId="77777777" w:rsidR="0085444F" w:rsidRDefault="0085444F">
      <w:pPr>
        <w:pStyle w:val="1"/>
        <w:spacing w:line="360" w:lineRule="auto"/>
        <w:jc w:val="both"/>
        <w:rPr>
          <w:sz w:val="24"/>
        </w:rPr>
      </w:pPr>
    </w:p>
    <w:p w14:paraId="080F6BF4" w14:textId="77777777" w:rsidR="0085444F" w:rsidRDefault="00FB4C79">
      <w:pPr>
        <w:pStyle w:val="1"/>
        <w:numPr>
          <w:ilvl w:val="0"/>
          <w:numId w:val="1"/>
        </w:numPr>
        <w:spacing w:line="360" w:lineRule="auto"/>
        <w:jc w:val="both"/>
        <w:rPr>
          <w:sz w:val="24"/>
          <w:rtl/>
        </w:rPr>
      </w:pPr>
      <w:r>
        <w:rPr>
          <w:rFonts w:hint="cs"/>
          <w:sz w:val="24"/>
          <w:rtl/>
        </w:rPr>
        <w:t>דבריו של כב' הנשיא (דאז) זילר, ב</w:t>
      </w:r>
      <w:hyperlink r:id="rId18" w:history="1">
        <w:r w:rsidR="00437DD7" w:rsidRPr="00437DD7">
          <w:rPr>
            <w:rStyle w:val="Hyperlink"/>
            <w:rtl/>
          </w:rPr>
          <w:t>ע"פ 2206/01</w:t>
        </w:r>
      </w:hyperlink>
      <w:r>
        <w:rPr>
          <w:rFonts w:hint="cs"/>
          <w:rtl/>
        </w:rPr>
        <w:t xml:space="preserve">, 2303/01 </w:t>
      </w:r>
      <w:r>
        <w:rPr>
          <w:rFonts w:hint="cs"/>
          <w:b/>
          <w:bCs/>
          <w:rtl/>
        </w:rPr>
        <w:t>מ"י נ' יצחק מרדכי</w:t>
      </w:r>
      <w:r>
        <w:rPr>
          <w:rFonts w:hint="cs"/>
          <w:rtl/>
        </w:rPr>
        <w:t xml:space="preserve">, פורסם במאגרים המשפטיים, יפים לענייננו: </w:t>
      </w:r>
    </w:p>
    <w:p w14:paraId="52AD231E" w14:textId="77777777" w:rsidR="00FB4C79" w:rsidRPr="00FB4C79" w:rsidRDefault="00FB4C79">
      <w:pPr>
        <w:pStyle w:val="1"/>
        <w:spacing w:line="360" w:lineRule="auto"/>
        <w:jc w:val="both"/>
        <w:rPr>
          <w:color w:val="FFFFFF"/>
          <w:sz w:val="2"/>
          <w:szCs w:val="2"/>
          <w:rtl/>
        </w:rPr>
      </w:pPr>
    </w:p>
    <w:p w14:paraId="57291E90" w14:textId="77777777" w:rsidR="00FB4C79" w:rsidRPr="00FB4C79" w:rsidRDefault="00FB4C79">
      <w:pPr>
        <w:pStyle w:val="1"/>
        <w:spacing w:line="360" w:lineRule="auto"/>
        <w:jc w:val="both"/>
        <w:rPr>
          <w:color w:val="FFFFFF"/>
          <w:sz w:val="2"/>
          <w:szCs w:val="2"/>
        </w:rPr>
      </w:pPr>
      <w:r w:rsidRPr="00FB4C79">
        <w:rPr>
          <w:color w:val="FFFFFF"/>
          <w:sz w:val="2"/>
          <w:szCs w:val="2"/>
          <w:rtl/>
        </w:rPr>
        <w:t>5129371</w:t>
      </w:r>
    </w:p>
    <w:p w14:paraId="5F8661B6" w14:textId="77777777" w:rsidR="0085444F" w:rsidRDefault="00FB4C79">
      <w:pPr>
        <w:pStyle w:val="1"/>
        <w:spacing w:line="360" w:lineRule="auto"/>
        <w:jc w:val="both"/>
      </w:pPr>
      <w:r w:rsidRPr="00FB4C79">
        <w:rPr>
          <w:color w:val="FFFFFF"/>
          <w:sz w:val="2"/>
          <w:szCs w:val="2"/>
          <w:rtl/>
        </w:rPr>
        <w:t>54678313</w:t>
      </w:r>
    </w:p>
    <w:p w14:paraId="415F766F" w14:textId="77777777" w:rsidR="0085444F" w:rsidRDefault="00FB4C79">
      <w:pPr>
        <w:pStyle w:val="1"/>
        <w:spacing w:line="360" w:lineRule="auto"/>
        <w:ind w:left="1814" w:right="1701"/>
        <w:jc w:val="both"/>
        <w:rPr>
          <w:sz w:val="24"/>
          <w:rtl/>
        </w:rPr>
      </w:pPr>
      <w:r>
        <w:rPr>
          <w:rFonts w:hint="cs"/>
          <w:rtl/>
        </w:rPr>
        <w:t>"עובדת היות האירוע קצר, ואפילו "קצרצר", איננה</w:t>
      </w:r>
      <w:r>
        <w:rPr>
          <w:rFonts w:hint="cs"/>
        </w:rPr>
        <w:t xml:space="preserve"> </w:t>
      </w:r>
      <w:r>
        <w:rPr>
          <w:rFonts w:hint="cs"/>
          <w:rtl/>
        </w:rPr>
        <w:t xml:space="preserve">ערובה לכך שמעשה מגונה לא יתרחש בתחום הזמן הזה. היפוכו של דבר הוא הנכון, דווקא הזמן הקצר מצביע על הפתאומיות הדרסטית והקיצונית של מעשי הנאשם". </w:t>
      </w:r>
    </w:p>
    <w:p w14:paraId="064F48B5" w14:textId="77777777" w:rsidR="0085444F" w:rsidRDefault="0085444F">
      <w:pPr>
        <w:pStyle w:val="1"/>
        <w:spacing w:line="360" w:lineRule="auto"/>
        <w:jc w:val="both"/>
        <w:rPr>
          <w:sz w:val="24"/>
        </w:rPr>
      </w:pPr>
    </w:p>
    <w:p w14:paraId="2AA50D10" w14:textId="77777777" w:rsidR="00AC3BEE" w:rsidRPr="00AC3BEE" w:rsidRDefault="00AC3BEE">
      <w:pPr>
        <w:pStyle w:val="1"/>
        <w:numPr>
          <w:ilvl w:val="0"/>
          <w:numId w:val="1"/>
        </w:numPr>
        <w:spacing w:line="360" w:lineRule="auto"/>
        <w:jc w:val="both"/>
        <w:rPr>
          <w:color w:val="FFFFFF"/>
          <w:sz w:val="2"/>
          <w:szCs w:val="2"/>
        </w:rPr>
      </w:pPr>
    </w:p>
    <w:p w14:paraId="18F2F954" w14:textId="77777777" w:rsidR="00AC3BEE" w:rsidRPr="00AC3BEE" w:rsidRDefault="00AC3BEE">
      <w:pPr>
        <w:pStyle w:val="1"/>
        <w:numPr>
          <w:ilvl w:val="0"/>
          <w:numId w:val="1"/>
        </w:numPr>
        <w:spacing w:line="360" w:lineRule="auto"/>
        <w:jc w:val="both"/>
        <w:rPr>
          <w:color w:val="FFFFFF"/>
          <w:sz w:val="2"/>
          <w:szCs w:val="2"/>
        </w:rPr>
      </w:pPr>
      <w:r w:rsidRPr="00AC3BEE">
        <w:rPr>
          <w:color w:val="FFFFFF"/>
          <w:sz w:val="2"/>
          <w:szCs w:val="2"/>
          <w:rtl/>
        </w:rPr>
        <w:t>5129371</w:t>
      </w:r>
    </w:p>
    <w:p w14:paraId="3C53CF2D" w14:textId="77777777" w:rsidR="0085444F" w:rsidRDefault="00AC3BEE">
      <w:pPr>
        <w:pStyle w:val="1"/>
        <w:numPr>
          <w:ilvl w:val="0"/>
          <w:numId w:val="1"/>
        </w:numPr>
        <w:spacing w:line="360" w:lineRule="auto"/>
        <w:jc w:val="both"/>
        <w:rPr>
          <w:sz w:val="24"/>
        </w:rPr>
      </w:pPr>
      <w:r w:rsidRPr="00AC3BEE">
        <w:rPr>
          <w:color w:val="FFFFFF"/>
          <w:sz w:val="2"/>
          <w:szCs w:val="2"/>
          <w:rtl/>
        </w:rPr>
        <w:t>54678313</w:t>
      </w:r>
      <w:r w:rsidR="00FB4C79">
        <w:rPr>
          <w:rFonts w:hint="cs"/>
          <w:sz w:val="24"/>
          <w:rtl/>
        </w:rPr>
        <w:t xml:space="preserve">לפיכך, אני מרשיע את הנאשם בעבירה המיוחסת לו בכתב האישום. </w:t>
      </w:r>
    </w:p>
    <w:p w14:paraId="763FCC02" w14:textId="77777777" w:rsidR="0085444F" w:rsidRDefault="0085444F">
      <w:pPr>
        <w:pStyle w:val="1"/>
        <w:spacing w:line="360" w:lineRule="auto"/>
        <w:jc w:val="both"/>
        <w:rPr>
          <w:sz w:val="24"/>
          <w:rtl/>
        </w:rPr>
      </w:pPr>
    </w:p>
    <w:p w14:paraId="088260B1" w14:textId="77777777" w:rsidR="0085444F" w:rsidRDefault="00FB4C79">
      <w:pPr>
        <w:pStyle w:val="1"/>
        <w:spacing w:line="360" w:lineRule="auto"/>
        <w:jc w:val="both"/>
        <w:rPr>
          <w:rtl/>
        </w:rPr>
      </w:pPr>
      <w:r>
        <w:rPr>
          <w:sz w:val="24"/>
          <w:rtl/>
        </w:rPr>
        <w:t xml:space="preserve">ניתנה היום, 9 בדצמבר 2010, במעמד הצדדים. </w:t>
      </w:r>
    </w:p>
    <w:p w14:paraId="0CC41270" w14:textId="77777777" w:rsidR="00AC3BEE" w:rsidRPr="00FB4C79" w:rsidRDefault="00AC3BEE" w:rsidP="00AC3BEE">
      <w:pPr>
        <w:pStyle w:val="1"/>
        <w:keepNext/>
        <w:spacing w:line="360" w:lineRule="auto"/>
        <w:rPr>
          <w:rFonts w:ascii="David" w:hAnsi="David"/>
          <w:color w:val="000000"/>
          <w:sz w:val="22"/>
          <w:szCs w:val="22"/>
          <w:rtl/>
        </w:rPr>
      </w:pPr>
      <w:r>
        <w:rPr>
          <w:color w:val="000000"/>
          <w:rtl/>
        </w:rPr>
        <w:br w:type="page"/>
      </w:r>
    </w:p>
    <w:p w14:paraId="590405A3" w14:textId="77777777" w:rsidR="00AC3BEE" w:rsidRPr="00AC3BEE" w:rsidRDefault="00AC3BEE" w:rsidP="00AC3BEE">
      <w:pPr>
        <w:pStyle w:val="1"/>
        <w:keepNext/>
        <w:spacing w:line="360" w:lineRule="auto"/>
        <w:rPr>
          <w:rFonts w:ascii="David" w:hAnsi="David"/>
          <w:color w:val="000000"/>
          <w:sz w:val="22"/>
          <w:szCs w:val="22"/>
          <w:rtl/>
        </w:rPr>
      </w:pPr>
    </w:p>
    <w:p w14:paraId="0A592BD7" w14:textId="77777777" w:rsidR="00AC3BEE" w:rsidRPr="00AC3BEE" w:rsidRDefault="00AC3BEE" w:rsidP="00AC3BEE">
      <w:pPr>
        <w:pStyle w:val="1"/>
        <w:keepNext/>
        <w:spacing w:line="360" w:lineRule="auto"/>
        <w:rPr>
          <w:rFonts w:ascii="David" w:hAnsi="David"/>
          <w:color w:val="000000"/>
          <w:sz w:val="22"/>
          <w:szCs w:val="22"/>
          <w:rtl/>
        </w:rPr>
      </w:pPr>
      <w:r w:rsidRPr="00AC3BEE">
        <w:rPr>
          <w:rFonts w:ascii="David" w:hAnsi="David"/>
          <w:color w:val="000000"/>
          <w:sz w:val="22"/>
          <w:szCs w:val="22"/>
          <w:rtl/>
        </w:rPr>
        <w:t>שמעון שטיין 54678313-2568/09</w:t>
      </w:r>
    </w:p>
    <w:p w14:paraId="19F3809E" w14:textId="77777777" w:rsidR="00FB4C79" w:rsidRDefault="00FB4C79" w:rsidP="00FB4C79">
      <w:r w:rsidRPr="00FB4C79">
        <w:rPr>
          <w:color w:val="000000"/>
          <w:rtl/>
        </w:rPr>
        <w:t>נוסח מסמך זה כפוף לשינויי ניסוח ועריכה</w:t>
      </w:r>
    </w:p>
    <w:p w14:paraId="2D99F901" w14:textId="77777777" w:rsidR="00FB4C79" w:rsidRDefault="00FB4C79" w:rsidP="00FB4C79">
      <w:pPr>
        <w:rPr>
          <w:rtl/>
        </w:rPr>
      </w:pPr>
    </w:p>
    <w:p w14:paraId="06F25968" w14:textId="77777777" w:rsidR="00FB4C79" w:rsidRDefault="00FB4C79" w:rsidP="00FB4C79">
      <w:pPr>
        <w:jc w:val="center"/>
        <w:rPr>
          <w:color w:val="0000FF"/>
          <w:u w:val="single"/>
        </w:rPr>
      </w:pPr>
      <w:r w:rsidRPr="00AF7EDF">
        <w:rPr>
          <w:color w:val="000000"/>
          <w:rtl/>
        </w:rPr>
        <w:t>בעניין עריכה ושינויים במסמכי פסיקה, חקיקה ועוד באתר נבו – הקש כאן</w:t>
      </w:r>
    </w:p>
    <w:sectPr w:rsidR="00FB4C79" w:rsidSect="00AC3BEE">
      <w:headerReference w:type="even" r:id="rId19"/>
      <w:headerReference w:type="default" r:id="rId20"/>
      <w:footerReference w:type="even" r:id="rId21"/>
      <w:footerReference w:type="default" r:id="rId2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C8FBA" w14:textId="77777777" w:rsidR="007773BA" w:rsidRPr="008D1DCF" w:rsidRDefault="007773BA">
      <w:pPr>
        <w:rPr>
          <w:rFonts w:cs="Arial"/>
          <w:szCs w:val="20"/>
        </w:rPr>
      </w:pPr>
      <w:r>
        <w:separator/>
      </w:r>
    </w:p>
  </w:endnote>
  <w:endnote w:type="continuationSeparator" w:id="0">
    <w:p w14:paraId="67938C67" w14:textId="77777777" w:rsidR="007773BA" w:rsidRPr="008D1DCF" w:rsidRDefault="007773B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3368E" w14:textId="77777777" w:rsidR="00565F46" w:rsidRDefault="00565F46" w:rsidP="00AC3BEE">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360D681" w14:textId="77777777" w:rsidR="00565F46" w:rsidRPr="00AC3BEE" w:rsidRDefault="00565F46" w:rsidP="00AC3BEE">
    <w:pPr>
      <w:pStyle w:val="Footer"/>
      <w:pBdr>
        <w:top w:val="single" w:sz="4" w:space="1" w:color="auto"/>
        <w:between w:val="single" w:sz="4" w:space="0" w:color="auto"/>
      </w:pBdr>
      <w:spacing w:after="60"/>
      <w:jc w:val="center"/>
      <w:rPr>
        <w:rFonts w:ascii="FrankRuehl" w:hAnsi="FrankRuehl" w:cs="FrankRuehl"/>
        <w:color w:val="000000"/>
      </w:rPr>
    </w:pPr>
    <w:r w:rsidRPr="00AC3BE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8B8C8" w14:textId="77777777" w:rsidR="00565F46" w:rsidRDefault="00565F46" w:rsidP="00AC3BEE">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9726B">
      <w:rPr>
        <w:rFonts w:ascii="FrankRuehl" w:hAnsi="FrankRuehl" w:cs="FrankRuehl"/>
        <w:noProof/>
        <w:rtl/>
      </w:rPr>
      <w:t>1</w:t>
    </w:r>
    <w:r>
      <w:rPr>
        <w:rFonts w:ascii="FrankRuehl" w:hAnsi="FrankRuehl" w:cs="FrankRuehl"/>
        <w:rtl/>
      </w:rPr>
      <w:fldChar w:fldCharType="end"/>
    </w:r>
  </w:p>
  <w:p w14:paraId="77459F2E" w14:textId="77777777" w:rsidR="00565F46" w:rsidRPr="00AC3BEE" w:rsidRDefault="00565F46" w:rsidP="00AC3BEE">
    <w:pPr>
      <w:pStyle w:val="Footer"/>
      <w:pBdr>
        <w:top w:val="single" w:sz="4" w:space="1" w:color="auto"/>
        <w:between w:val="single" w:sz="4" w:space="0" w:color="auto"/>
      </w:pBdr>
      <w:spacing w:after="60"/>
      <w:jc w:val="center"/>
      <w:rPr>
        <w:rFonts w:ascii="FrankRuehl" w:hAnsi="FrankRuehl" w:cs="FrankRuehl"/>
        <w:color w:val="000000"/>
      </w:rPr>
    </w:pPr>
    <w:r w:rsidRPr="00AC3BEE">
      <w:rPr>
        <w:rFonts w:ascii="FrankRuehl" w:hAnsi="FrankRuehl" w:cs="FrankRuehl"/>
        <w:color w:val="000000"/>
      </w:rPr>
      <w:pict w14:anchorId="206959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CAD8C" w14:textId="77777777" w:rsidR="007773BA" w:rsidRPr="008D1DCF" w:rsidRDefault="007773BA">
      <w:pPr>
        <w:rPr>
          <w:rFonts w:cs="Arial"/>
          <w:szCs w:val="20"/>
        </w:rPr>
      </w:pPr>
      <w:r>
        <w:separator/>
      </w:r>
    </w:p>
  </w:footnote>
  <w:footnote w:type="continuationSeparator" w:id="0">
    <w:p w14:paraId="26BDEA64" w14:textId="77777777" w:rsidR="007773BA" w:rsidRPr="008D1DCF" w:rsidRDefault="007773B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15D98" w14:textId="77777777" w:rsidR="00565F46" w:rsidRPr="00AC3BEE" w:rsidRDefault="00565F46" w:rsidP="00AC3BEE">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2568-09</w:t>
    </w:r>
    <w:r>
      <w:rPr>
        <w:rFonts w:ascii="David" w:hAnsi="David"/>
        <w:color w:val="000000"/>
        <w:sz w:val="22"/>
        <w:szCs w:val="22"/>
        <w:rtl/>
      </w:rPr>
      <w:tab/>
      <w:t xml:space="preserve"> מדינת ישראל נ' האני בן סאלח קראע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37415" w14:textId="77777777" w:rsidR="00565F46" w:rsidRPr="00AC3BEE" w:rsidRDefault="00565F46" w:rsidP="00AC3BEE">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2568-09</w:t>
    </w:r>
    <w:r>
      <w:rPr>
        <w:rFonts w:ascii="David" w:hAnsi="David"/>
        <w:color w:val="000000"/>
        <w:sz w:val="22"/>
        <w:szCs w:val="22"/>
        <w:rtl/>
      </w:rPr>
      <w:tab/>
      <w:t xml:space="preserve"> מדינת ישראל נ' האני בן סאלח קראע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D5132"/>
    <w:multiLevelType w:val="hybridMultilevel"/>
    <w:tmpl w:val="4C9EDB6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0381133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5444F"/>
    <w:rsid w:val="002751DE"/>
    <w:rsid w:val="00437DD7"/>
    <w:rsid w:val="0049726B"/>
    <w:rsid w:val="00565F46"/>
    <w:rsid w:val="005E1C11"/>
    <w:rsid w:val="007773BA"/>
    <w:rsid w:val="00847FDF"/>
    <w:rsid w:val="0085444F"/>
    <w:rsid w:val="009420A4"/>
    <w:rsid w:val="00AC3BEE"/>
    <w:rsid w:val="00AC6984"/>
    <w:rsid w:val="00AF7EDF"/>
    <w:rsid w:val="00EA67E7"/>
    <w:rsid w:val="00F92D8D"/>
    <w:rsid w:val="00FB4C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25CE9E8"/>
  <w15:chartTrackingRefBased/>
  <w15:docId w15:val="{DE18C33A-48BE-4BAC-83D4-7677B612B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5444F"/>
    <w:pPr>
      <w:bidi/>
    </w:pPr>
    <w:rPr>
      <w:rFonts w:ascii="Arial (W1)" w:hAnsi="Arial (W1)" w:cs="David"/>
      <w:sz w:val="24"/>
      <w:szCs w:val="24"/>
    </w:rPr>
  </w:style>
  <w:style w:type="paragraph" w:styleId="Heading1">
    <w:name w:val="heading 1"/>
    <w:basedOn w:val="Normal"/>
    <w:next w:val="Normal"/>
    <w:qFormat/>
    <w:rsid w:val="0085444F"/>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5444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5444F"/>
    <w:pPr>
      <w:keepNext/>
      <w:spacing w:before="240" w:after="60"/>
      <w:outlineLvl w:val="2"/>
    </w:pPr>
    <w:rPr>
      <w:rFonts w:ascii="Arial" w:hAnsi="Arial" w:cs="Arial"/>
      <w:b/>
      <w:bCs/>
      <w:sz w:val="26"/>
      <w:szCs w:val="26"/>
    </w:rPr>
  </w:style>
  <w:style w:type="paragraph" w:styleId="Heading4">
    <w:name w:val="heading 4"/>
    <w:basedOn w:val="Normal"/>
    <w:next w:val="Normal"/>
    <w:qFormat/>
    <w:rsid w:val="0085444F"/>
    <w:pPr>
      <w:keepNext/>
      <w:ind w:left="5760" w:firstLine="720"/>
      <w:outlineLvl w:val="3"/>
    </w:pPr>
    <w:rPr>
      <w:rFonts w:cs="Narkisim"/>
      <w:b/>
      <w:bCs/>
      <w:shadow/>
    </w:rPr>
  </w:style>
  <w:style w:type="paragraph" w:styleId="Heading5">
    <w:name w:val="heading 5"/>
    <w:basedOn w:val="Normal"/>
    <w:next w:val="Normal"/>
    <w:qFormat/>
    <w:rsid w:val="0085444F"/>
    <w:pPr>
      <w:spacing w:before="240" w:after="60"/>
      <w:outlineLvl w:val="4"/>
    </w:pPr>
    <w:rPr>
      <w:b/>
      <w:bCs/>
      <w:i/>
      <w:iCs/>
      <w:sz w:val="26"/>
      <w:szCs w:val="26"/>
    </w:rPr>
  </w:style>
  <w:style w:type="paragraph" w:styleId="Heading8">
    <w:name w:val="heading 8"/>
    <w:basedOn w:val="Normal"/>
    <w:next w:val="Normal"/>
    <w:qFormat/>
    <w:rsid w:val="0085444F"/>
    <w:pPr>
      <w:spacing w:before="240" w:after="60"/>
      <w:outlineLvl w:val="7"/>
    </w:pPr>
    <w:rPr>
      <w:rFonts w:ascii="Times New Roman" w:hAnsi="Times New Roman" w:cs="Times New Roman"/>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5444F"/>
    <w:pPr>
      <w:tabs>
        <w:tab w:val="center" w:pos="4153"/>
        <w:tab w:val="right" w:pos="8306"/>
      </w:tabs>
    </w:pPr>
  </w:style>
  <w:style w:type="paragraph" w:styleId="Footer">
    <w:name w:val="footer"/>
    <w:basedOn w:val="Normal"/>
    <w:rsid w:val="0085444F"/>
    <w:pPr>
      <w:tabs>
        <w:tab w:val="center" w:pos="4153"/>
        <w:tab w:val="right" w:pos="8306"/>
      </w:tabs>
    </w:pPr>
  </w:style>
  <w:style w:type="paragraph" w:customStyle="1" w:styleId="1">
    <w:name w:val="רגיל1"/>
    <w:rsid w:val="0085444F"/>
    <w:pPr>
      <w:bidi/>
      <w:snapToGrid w:val="0"/>
    </w:pPr>
    <w:rPr>
      <w:rFonts w:cs="David"/>
      <w:szCs w:val="24"/>
      <w:lang w:eastAsia="he-IL"/>
    </w:rPr>
  </w:style>
  <w:style w:type="character" w:styleId="PageNumber">
    <w:name w:val="page number"/>
    <w:basedOn w:val="DefaultParagraphFont"/>
    <w:rsid w:val="00FB4C79"/>
  </w:style>
  <w:style w:type="character" w:styleId="Hyperlink">
    <w:name w:val="Hyperlink"/>
    <w:rsid w:val="00FB4C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 TargetMode="External"/><Relationship Id="rId13" Type="http://schemas.openxmlformats.org/officeDocument/2006/relationships/hyperlink" Target="http://www.nevo.co.il/law/70301/348.c" TargetMode="External"/><Relationship Id="rId18" Type="http://schemas.openxmlformats.org/officeDocument/2006/relationships/hyperlink" Target="http://www.nevo.co.il/case/227510"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48.f"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8.c"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fontTable" Target="fontTable.xml"/><Relationship Id="rId10" Type="http://schemas.openxmlformats.org/officeDocument/2006/relationships/hyperlink" Target="http://www.nevo.co.il/law/70301/jCe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348.f" TargetMode="External"/><Relationship Id="rId14" Type="http://schemas.openxmlformats.org/officeDocument/2006/relationships/hyperlink" Target="http://www.nevo.co.il/law/70301/jCeS"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968</Words>
  <Characters>5524</Characters>
  <Application>Microsoft Office Word</Application>
  <DocSecurity>0</DocSecurity>
  <Lines>46</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6480</CharactersWithSpaces>
  <SharedDoc>false</SharedDoc>
  <HLinks>
    <vt:vector size="72" baseType="variant">
      <vt:variant>
        <vt:i4>262211</vt:i4>
      </vt:variant>
      <vt:variant>
        <vt:i4>33</vt:i4>
      </vt:variant>
      <vt:variant>
        <vt:i4>0</vt:i4>
      </vt:variant>
      <vt:variant>
        <vt:i4>5</vt:i4>
      </vt:variant>
      <vt:variant>
        <vt:lpwstr>http://www.nevo.co.il/case/227510</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5177438</vt:i4>
      </vt:variant>
      <vt:variant>
        <vt:i4>27</vt:i4>
      </vt:variant>
      <vt:variant>
        <vt:i4>0</vt:i4>
      </vt:variant>
      <vt:variant>
        <vt:i4>5</vt:i4>
      </vt:variant>
      <vt:variant>
        <vt:lpwstr>http://www.nevo.co.il/law/70301/348.f</vt:lpwstr>
      </vt:variant>
      <vt:variant>
        <vt:lpwstr/>
      </vt:variant>
      <vt:variant>
        <vt:i4>7995492</vt:i4>
      </vt:variant>
      <vt:variant>
        <vt:i4>24</vt:i4>
      </vt:variant>
      <vt:variant>
        <vt:i4>0</vt:i4>
      </vt:variant>
      <vt:variant>
        <vt:i4>5</vt:i4>
      </vt:variant>
      <vt:variant>
        <vt:lpwstr>http://www.nevo.co.il/law/70301</vt:lpwstr>
      </vt:variant>
      <vt:variant>
        <vt:lpwstr/>
      </vt:variant>
      <vt:variant>
        <vt:i4>4522074</vt:i4>
      </vt:variant>
      <vt:variant>
        <vt:i4>21</vt:i4>
      </vt:variant>
      <vt:variant>
        <vt:i4>0</vt:i4>
      </vt:variant>
      <vt:variant>
        <vt:i4>5</vt:i4>
      </vt:variant>
      <vt:variant>
        <vt:lpwstr>http://www.nevo.co.il/law/70301/jCeS</vt:lpwstr>
      </vt:variant>
      <vt:variant>
        <vt:lpwstr/>
      </vt:variant>
      <vt:variant>
        <vt:i4>5177438</vt:i4>
      </vt:variant>
      <vt:variant>
        <vt:i4>18</vt:i4>
      </vt:variant>
      <vt:variant>
        <vt:i4>0</vt:i4>
      </vt:variant>
      <vt:variant>
        <vt:i4>5</vt:i4>
      </vt:variant>
      <vt:variant>
        <vt:lpwstr>http://www.nevo.co.il/law/70301/348.c</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5177438</vt:i4>
      </vt:variant>
      <vt:variant>
        <vt:i4>12</vt:i4>
      </vt:variant>
      <vt:variant>
        <vt:i4>0</vt:i4>
      </vt:variant>
      <vt:variant>
        <vt:i4>5</vt:i4>
      </vt:variant>
      <vt:variant>
        <vt:lpwstr>http://www.nevo.co.il/law/70301/348.c</vt:lpwstr>
      </vt:variant>
      <vt:variant>
        <vt:lpwstr/>
      </vt:variant>
      <vt:variant>
        <vt:i4>4522074</vt:i4>
      </vt:variant>
      <vt:variant>
        <vt:i4>9</vt:i4>
      </vt:variant>
      <vt:variant>
        <vt:i4>0</vt:i4>
      </vt:variant>
      <vt:variant>
        <vt:i4>5</vt:i4>
      </vt:variant>
      <vt:variant>
        <vt:lpwstr>http://www.nevo.co.il/law/70301/jCeS</vt:lpwstr>
      </vt:variant>
      <vt:variant>
        <vt:lpwstr/>
      </vt:variant>
      <vt:variant>
        <vt:i4>5177438</vt:i4>
      </vt:variant>
      <vt:variant>
        <vt:i4>6</vt:i4>
      </vt:variant>
      <vt:variant>
        <vt:i4>0</vt:i4>
      </vt:variant>
      <vt:variant>
        <vt:i4>5</vt:i4>
      </vt:variant>
      <vt:variant>
        <vt:lpwstr>http://www.nevo.co.il/law/70301/348.f</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2022-05-24T10:36:00Z</dcterms:created>
  <dcterms:modified xsi:type="dcterms:W3CDTF">2022-05-24T10:36:00Z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2568</vt:lpwstr>
  </property>
  <property fmtid="{D5CDD505-2E9C-101B-9397-08002B2CF9AE}" pid="6" name="NEWPARTB">
    <vt:lpwstr/>
  </property>
  <property fmtid="{D5CDD505-2E9C-101B-9397-08002B2CF9AE}" pid="7" name="NEWPARTC">
    <vt:lpwstr>09</vt:lpwstr>
  </property>
  <property fmtid="{D5CDD505-2E9C-101B-9397-08002B2CF9AE}" pid="8" name="PROCNUM">
    <vt:lpwstr>2568</vt:lpwstr>
  </property>
  <property fmtid="{D5CDD505-2E9C-101B-9397-08002B2CF9AE}" pid="9" name="PROCYEAR">
    <vt:lpwstr>09</vt:lpwstr>
  </property>
  <property fmtid="{D5CDD505-2E9C-101B-9397-08002B2CF9AE}" pid="10" name="APPELLANT">
    <vt:lpwstr>מדינת ישראל</vt:lpwstr>
  </property>
  <property fmtid="{D5CDD505-2E9C-101B-9397-08002B2CF9AE}" pid="11" name="APPELLEE">
    <vt:lpwstr>האני בן סאלח קראע</vt:lpwstr>
  </property>
  <property fmtid="{D5CDD505-2E9C-101B-9397-08002B2CF9AE}" pid="12" name="LAWYER">
    <vt:lpwstr>נילי קהלני;וסים דכואר</vt:lpwstr>
  </property>
  <property fmtid="{D5CDD505-2E9C-101B-9397-08002B2CF9AE}" pid="13" name="JUDGE">
    <vt:lpwstr>שמעון שטיין</vt:lpwstr>
  </property>
  <property fmtid="{D5CDD505-2E9C-101B-9397-08002B2CF9AE}" pid="14" name="CITY">
    <vt:lpwstr>י-ם</vt:lpwstr>
  </property>
  <property fmtid="{D5CDD505-2E9C-101B-9397-08002B2CF9AE}" pid="15" name="DATE">
    <vt:lpwstr>20101209</vt:lpwstr>
  </property>
  <property fmtid="{D5CDD505-2E9C-101B-9397-08002B2CF9AE}" pid="16" name="TYPE_N_DATE">
    <vt:lpwstr>38020101209</vt:lpwstr>
  </property>
  <property fmtid="{D5CDD505-2E9C-101B-9397-08002B2CF9AE}" pid="17" name="WORDNUMPAGES">
    <vt:lpwstr>4</vt:lpwstr>
  </property>
  <property fmtid="{D5CDD505-2E9C-101B-9397-08002B2CF9AE}" pid="18" name="TYPE_ABS_DATE">
    <vt:lpwstr>380020101209</vt:lpwstr>
  </property>
  <property fmtid="{D5CDD505-2E9C-101B-9397-08002B2CF9AE}" pid="19" name="RemarkFileName">
    <vt:lpwstr>shalom sh 09 2568 196 htm</vt:lpwstr>
  </property>
  <property fmtid="{D5CDD505-2E9C-101B-9397-08002B2CF9AE}" pid="20" name="ISABSTRACT">
    <vt:lpwstr>Y</vt:lpwstr>
  </property>
  <property fmtid="{D5CDD505-2E9C-101B-9397-08002B2CF9AE}" pid="21" name="PROCESS">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CASESLISTTMP1">
    <vt:lpwstr>227510</vt:lpwstr>
  </property>
  <property fmtid="{D5CDD505-2E9C-101B-9397-08002B2CF9AE}" pid="40" name="CASENOTES1">
    <vt:lpwstr>ProcID=209&amp;PartA=2568&amp;PartC=09</vt:lpwstr>
  </property>
  <property fmtid="{D5CDD505-2E9C-101B-9397-08002B2CF9AE}" pid="41" name="LAWLISTTMP1">
    <vt:lpwstr>70301/348.c:2;jCeS;348.f</vt:lpwstr>
  </property>
</Properties>
</file>