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E7103" w:rsidRPr="00411614" w14:paraId="650D91AA" w14:textId="77777777">
        <w:trPr>
          <w:trHeight w:hRule="exact" w:val="418"/>
          <w:jc w:val="center"/>
        </w:trPr>
        <w:tc>
          <w:tcPr>
            <w:tcW w:w="8721" w:type="dxa"/>
            <w:gridSpan w:val="2"/>
          </w:tcPr>
          <w:p w14:paraId="4450A66E" w14:textId="77777777" w:rsidR="001E7103" w:rsidRPr="00411614" w:rsidRDefault="00411614">
            <w:pPr>
              <w:pStyle w:val="Header"/>
              <w:jc w:val="center"/>
              <w:rPr>
                <w:rFonts w:ascii="Tahoma" w:hAnsi="Tahoma" w:cs="Tahoma"/>
                <w:color w:val="000080"/>
                <w:rtl/>
              </w:rPr>
            </w:pPr>
            <w:bookmarkStart w:id="0" w:name="LastJudge"/>
            <w:r w:rsidRPr="00411614">
              <w:rPr>
                <w:rFonts w:ascii="Tahoma" w:hAnsi="Tahoma" w:cs="Tahoma"/>
                <w:b/>
                <w:bCs/>
                <w:color w:val="000080"/>
                <w:rtl/>
              </w:rPr>
              <w:t>בית משפט השלום בירושלים</w:t>
            </w:r>
          </w:p>
        </w:tc>
      </w:tr>
      <w:tr w:rsidR="001E7103" w:rsidRPr="00411614" w14:paraId="773CC588" w14:textId="77777777">
        <w:trPr>
          <w:trHeight w:val="337"/>
          <w:jc w:val="center"/>
        </w:trPr>
        <w:tc>
          <w:tcPr>
            <w:tcW w:w="5047" w:type="dxa"/>
          </w:tcPr>
          <w:p w14:paraId="549A2071" w14:textId="77777777" w:rsidR="001E7103" w:rsidRPr="00411614" w:rsidRDefault="001E7103">
            <w:pPr>
              <w:pStyle w:val="Header"/>
              <w:rPr>
                <w:rFonts w:cs="FrankRuehl"/>
                <w:sz w:val="28"/>
                <w:szCs w:val="28"/>
                <w:rtl/>
              </w:rPr>
            </w:pPr>
          </w:p>
        </w:tc>
        <w:tc>
          <w:tcPr>
            <w:tcW w:w="3674" w:type="dxa"/>
          </w:tcPr>
          <w:p w14:paraId="37DB684B" w14:textId="77777777" w:rsidR="001E7103" w:rsidRPr="00411614" w:rsidRDefault="001E7103">
            <w:pPr>
              <w:pStyle w:val="Header"/>
              <w:jc w:val="right"/>
              <w:rPr>
                <w:rFonts w:cs="FrankRuehl"/>
                <w:sz w:val="28"/>
                <w:szCs w:val="28"/>
                <w:rtl/>
              </w:rPr>
            </w:pPr>
          </w:p>
        </w:tc>
      </w:tr>
      <w:tr w:rsidR="001E7103" w:rsidRPr="00411614" w14:paraId="3B24D1D5" w14:textId="77777777">
        <w:trPr>
          <w:trHeight w:val="337"/>
          <w:jc w:val="center"/>
        </w:trPr>
        <w:tc>
          <w:tcPr>
            <w:tcW w:w="8721" w:type="dxa"/>
            <w:gridSpan w:val="2"/>
          </w:tcPr>
          <w:p w14:paraId="7172ECC3" w14:textId="77777777" w:rsidR="001E7103" w:rsidRPr="00411614" w:rsidRDefault="00411614" w:rsidP="00CD33B7">
            <w:pPr>
              <w:rPr>
                <w:rFonts w:cs="FrankRuehl" w:hint="cs"/>
                <w:sz w:val="28"/>
                <w:szCs w:val="28"/>
                <w:rtl/>
              </w:rPr>
            </w:pPr>
            <w:r w:rsidRPr="00411614">
              <w:rPr>
                <w:rFonts w:cs="FrankRuehl"/>
                <w:sz w:val="28"/>
                <w:szCs w:val="28"/>
                <w:rtl/>
              </w:rPr>
              <w:t>ת"פ</w:t>
            </w:r>
            <w:r w:rsidRPr="00411614">
              <w:rPr>
                <w:rFonts w:cs="FrankRuehl" w:hint="cs"/>
                <w:sz w:val="28"/>
                <w:szCs w:val="28"/>
                <w:rtl/>
              </w:rPr>
              <w:t xml:space="preserve"> </w:t>
            </w:r>
            <w:r w:rsidRPr="00411614">
              <w:rPr>
                <w:rFonts w:cs="FrankRuehl"/>
                <w:sz w:val="28"/>
                <w:szCs w:val="28"/>
                <w:rtl/>
              </w:rPr>
              <w:t>3696-09</w:t>
            </w:r>
            <w:r w:rsidRPr="00411614">
              <w:rPr>
                <w:rFonts w:cs="FrankRuehl" w:hint="cs"/>
                <w:sz w:val="28"/>
                <w:szCs w:val="28"/>
                <w:rtl/>
              </w:rPr>
              <w:t xml:space="preserve"> </w:t>
            </w:r>
            <w:r w:rsidRPr="00411614">
              <w:rPr>
                <w:rFonts w:cs="FrankRuehl"/>
                <w:sz w:val="28"/>
                <w:szCs w:val="28"/>
                <w:rtl/>
              </w:rPr>
              <w:t xml:space="preserve">מ.י. לשכת תביעות ירושלים (פלילי) נ' </w:t>
            </w:r>
            <w:r w:rsidR="00CD33B7">
              <w:rPr>
                <w:rFonts w:cs="FrankRuehl" w:hint="cs"/>
                <w:sz w:val="28"/>
                <w:szCs w:val="28"/>
                <w:rtl/>
              </w:rPr>
              <w:t>פלוני</w:t>
            </w:r>
          </w:p>
          <w:p w14:paraId="60F1E681" w14:textId="77777777" w:rsidR="001E7103" w:rsidRPr="00411614" w:rsidRDefault="001E7103">
            <w:pPr>
              <w:pStyle w:val="Header"/>
              <w:rPr>
                <w:rtl/>
              </w:rPr>
            </w:pPr>
          </w:p>
        </w:tc>
      </w:tr>
    </w:tbl>
    <w:p w14:paraId="0E92B299" w14:textId="77777777" w:rsidR="001E7103" w:rsidRPr="00411614" w:rsidRDefault="00411614">
      <w:pPr>
        <w:pStyle w:val="Header"/>
      </w:pPr>
      <w:r w:rsidRPr="00411614">
        <w:rPr>
          <w:rFonts w:hint="cs"/>
          <w:rtl/>
        </w:rPr>
        <w:t xml:space="preserve"> </w:t>
      </w:r>
    </w:p>
    <w:p w14:paraId="2CDA3F5F" w14:textId="77777777" w:rsidR="001E7103" w:rsidRPr="00411614" w:rsidRDefault="001E71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1E7103" w:rsidRPr="00411614" w14:paraId="4EEC07B5"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4BBDE44C" w14:textId="77777777" w:rsidR="001E7103" w:rsidRPr="008F3A57" w:rsidRDefault="001E7103" w:rsidP="008F3A57">
            <w:pPr>
              <w:jc w:val="right"/>
              <w:rPr>
                <w:rFonts w:ascii="Arial" w:hAnsi="Arial" w:cs="FrankRuehl"/>
                <w:sz w:val="28"/>
                <w:szCs w:val="28"/>
                <w:rtl/>
              </w:rPr>
            </w:pPr>
          </w:p>
        </w:tc>
      </w:tr>
      <w:tr w:rsidR="001E7103" w:rsidRPr="00411614" w14:paraId="6773B07C" w14:textId="77777777">
        <w:trPr>
          <w:trHeight w:val="295"/>
          <w:jc w:val="center"/>
        </w:trPr>
        <w:tc>
          <w:tcPr>
            <w:tcW w:w="743" w:type="dxa"/>
            <w:tcBorders>
              <w:top w:val="nil"/>
              <w:left w:val="nil"/>
              <w:bottom w:val="nil"/>
              <w:right w:val="nil"/>
            </w:tcBorders>
            <w:shd w:val="clear" w:color="auto" w:fill="auto"/>
          </w:tcPr>
          <w:p w14:paraId="4FF08B43" w14:textId="77777777" w:rsidR="001E7103" w:rsidRPr="008F3A57" w:rsidRDefault="00411614" w:rsidP="008F3A57">
            <w:pPr>
              <w:jc w:val="both"/>
              <w:rPr>
                <w:rFonts w:ascii="Arial" w:hAnsi="Arial"/>
                <w:b/>
                <w:bCs/>
              </w:rPr>
            </w:pPr>
            <w:r w:rsidRPr="008F3A57">
              <w:rPr>
                <w:rFonts w:ascii="Arial" w:hAnsi="Arial"/>
                <w:b/>
                <w:bCs/>
                <w:rtl/>
              </w:rPr>
              <w:t xml:space="preserve">בפני </w:t>
            </w:r>
          </w:p>
        </w:tc>
        <w:tc>
          <w:tcPr>
            <w:tcW w:w="8077" w:type="dxa"/>
            <w:gridSpan w:val="2"/>
            <w:tcBorders>
              <w:top w:val="nil"/>
              <w:left w:val="nil"/>
              <w:bottom w:val="nil"/>
              <w:right w:val="nil"/>
            </w:tcBorders>
            <w:shd w:val="clear" w:color="auto" w:fill="auto"/>
          </w:tcPr>
          <w:p w14:paraId="5A1B6161" w14:textId="77777777" w:rsidR="001E7103" w:rsidRPr="008F3A57" w:rsidRDefault="00411614">
            <w:pPr>
              <w:rPr>
                <w:rFonts w:ascii="Arial" w:hAnsi="Arial"/>
                <w:b/>
                <w:bCs/>
                <w:highlight w:val="yellow"/>
              </w:rPr>
            </w:pPr>
            <w:r w:rsidRPr="008F3A57">
              <w:rPr>
                <w:rFonts w:ascii="Arial" w:hAnsi="Arial"/>
                <w:b/>
                <w:bCs/>
                <w:rtl/>
              </w:rPr>
              <w:t>שופט שמעון שטיין</w:t>
            </w:r>
          </w:p>
        </w:tc>
      </w:tr>
    </w:tbl>
    <w:p w14:paraId="5C46749D" w14:textId="77777777" w:rsidR="001E7103" w:rsidRPr="00411614" w:rsidRDefault="001E71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1E7103" w:rsidRPr="00411614" w14:paraId="793B6934" w14:textId="77777777">
        <w:trPr>
          <w:trHeight w:val="355"/>
          <w:jc w:val="center"/>
        </w:trPr>
        <w:tc>
          <w:tcPr>
            <w:tcW w:w="852" w:type="dxa"/>
            <w:tcBorders>
              <w:top w:val="nil"/>
              <w:left w:val="nil"/>
              <w:bottom w:val="nil"/>
              <w:right w:val="nil"/>
            </w:tcBorders>
            <w:shd w:val="clear" w:color="auto" w:fill="auto"/>
          </w:tcPr>
          <w:p w14:paraId="15F496A3" w14:textId="77777777" w:rsidR="001E7103" w:rsidRPr="008F3A57" w:rsidRDefault="001E7103" w:rsidP="008F3A57">
            <w:pPr>
              <w:jc w:val="both"/>
              <w:rPr>
                <w:rFonts w:ascii="Arial" w:hAnsi="Arial" w:cs="FrankRuehl"/>
                <w:b/>
                <w:bCs/>
                <w:sz w:val="28"/>
                <w:szCs w:val="28"/>
                <w:rtl/>
              </w:rPr>
            </w:pPr>
            <w:bookmarkStart w:id="1" w:name="FirstAppellant"/>
          </w:p>
          <w:p w14:paraId="63439865" w14:textId="77777777" w:rsidR="001E7103" w:rsidRPr="008F3A57" w:rsidRDefault="00411614" w:rsidP="008F3A57">
            <w:pPr>
              <w:jc w:val="both"/>
              <w:rPr>
                <w:rFonts w:ascii="Arial" w:hAnsi="Arial" w:cs="FrankRuehl"/>
                <w:b/>
                <w:bCs/>
                <w:sz w:val="28"/>
                <w:szCs w:val="28"/>
              </w:rPr>
            </w:pPr>
            <w:r w:rsidRPr="008F3A57">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333A48D6" w14:textId="77777777" w:rsidR="001E7103" w:rsidRPr="008F3A57" w:rsidRDefault="001E7103" w:rsidP="008F3A57">
            <w:pPr>
              <w:jc w:val="both"/>
              <w:rPr>
                <w:rFonts w:ascii="Arial" w:hAnsi="Arial"/>
                <w:b/>
                <w:bCs/>
                <w:sz w:val="26"/>
                <w:szCs w:val="26"/>
                <w:rtl/>
              </w:rPr>
            </w:pPr>
          </w:p>
          <w:p w14:paraId="5E091407" w14:textId="77777777" w:rsidR="001E7103" w:rsidRPr="008F3A57" w:rsidRDefault="00411614" w:rsidP="008F3A57">
            <w:pPr>
              <w:jc w:val="both"/>
              <w:rPr>
                <w:rFonts w:ascii="Arial" w:hAnsi="Arial"/>
                <w:b/>
                <w:bCs/>
                <w:sz w:val="26"/>
                <w:szCs w:val="26"/>
              </w:rPr>
            </w:pPr>
            <w:r w:rsidRPr="008F3A57">
              <w:rPr>
                <w:rFonts w:ascii="Arial" w:hAnsi="Arial"/>
                <w:b/>
                <w:bCs/>
                <w:sz w:val="26"/>
                <w:szCs w:val="26"/>
                <w:rtl/>
              </w:rPr>
              <w:t>מ.י. לשכת תביעות ירושלים (פלילי)</w:t>
            </w:r>
          </w:p>
        </w:tc>
        <w:tc>
          <w:tcPr>
            <w:tcW w:w="3727" w:type="dxa"/>
            <w:tcBorders>
              <w:top w:val="nil"/>
              <w:left w:val="nil"/>
              <w:bottom w:val="nil"/>
              <w:right w:val="nil"/>
            </w:tcBorders>
            <w:shd w:val="clear" w:color="auto" w:fill="auto"/>
          </w:tcPr>
          <w:p w14:paraId="1D524C07" w14:textId="77777777" w:rsidR="001E7103" w:rsidRPr="008F3A57" w:rsidRDefault="001E7103" w:rsidP="008F3A57">
            <w:pPr>
              <w:jc w:val="both"/>
              <w:rPr>
                <w:rFonts w:ascii="Arial" w:hAnsi="Arial"/>
                <w:b/>
                <w:bCs/>
                <w:sz w:val="26"/>
                <w:szCs w:val="26"/>
              </w:rPr>
            </w:pPr>
          </w:p>
        </w:tc>
      </w:tr>
      <w:bookmarkEnd w:id="1"/>
      <w:tr w:rsidR="001E7103" w:rsidRPr="00411614" w14:paraId="62143660" w14:textId="77777777">
        <w:trPr>
          <w:trHeight w:val="355"/>
          <w:jc w:val="center"/>
        </w:trPr>
        <w:tc>
          <w:tcPr>
            <w:tcW w:w="852" w:type="dxa"/>
            <w:tcBorders>
              <w:top w:val="nil"/>
              <w:left w:val="nil"/>
              <w:bottom w:val="nil"/>
              <w:right w:val="nil"/>
            </w:tcBorders>
            <w:shd w:val="clear" w:color="auto" w:fill="auto"/>
          </w:tcPr>
          <w:p w14:paraId="773FE6B9" w14:textId="77777777" w:rsidR="001E7103" w:rsidRPr="008F3A57" w:rsidRDefault="001E7103" w:rsidP="008F3A57">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9834AB4" w14:textId="77777777" w:rsidR="001E7103" w:rsidRPr="008F3A57" w:rsidRDefault="001E7103" w:rsidP="008F3A57">
            <w:pPr>
              <w:jc w:val="both"/>
              <w:rPr>
                <w:b/>
                <w:bCs/>
                <w:sz w:val="26"/>
                <w:szCs w:val="26"/>
                <w:rtl/>
              </w:rPr>
            </w:pPr>
          </w:p>
        </w:tc>
        <w:tc>
          <w:tcPr>
            <w:tcW w:w="3727" w:type="dxa"/>
            <w:tcBorders>
              <w:top w:val="nil"/>
              <w:left w:val="nil"/>
              <w:bottom w:val="nil"/>
              <w:right w:val="nil"/>
            </w:tcBorders>
            <w:shd w:val="clear" w:color="auto" w:fill="auto"/>
          </w:tcPr>
          <w:p w14:paraId="6CD5D333" w14:textId="77777777" w:rsidR="001E7103" w:rsidRPr="008F3A57" w:rsidRDefault="00411614" w:rsidP="008F3A57">
            <w:pPr>
              <w:jc w:val="right"/>
              <w:rPr>
                <w:rFonts w:ascii="Arial" w:hAnsi="Arial"/>
                <w:b/>
                <w:bCs/>
                <w:sz w:val="26"/>
                <w:szCs w:val="26"/>
                <w:rtl/>
              </w:rPr>
            </w:pPr>
            <w:r w:rsidRPr="008F3A57">
              <w:rPr>
                <w:rFonts w:ascii="Arial" w:hAnsi="Arial"/>
                <w:b/>
                <w:bCs/>
                <w:sz w:val="26"/>
                <w:szCs w:val="26"/>
                <w:rtl/>
              </w:rPr>
              <w:t>המאשימה</w:t>
            </w:r>
          </w:p>
        </w:tc>
      </w:tr>
      <w:tr w:rsidR="001E7103" w:rsidRPr="00411614" w14:paraId="79469786" w14:textId="77777777">
        <w:trPr>
          <w:trHeight w:val="355"/>
          <w:jc w:val="center"/>
        </w:trPr>
        <w:tc>
          <w:tcPr>
            <w:tcW w:w="852" w:type="dxa"/>
            <w:tcBorders>
              <w:top w:val="nil"/>
              <w:left w:val="nil"/>
              <w:bottom w:val="nil"/>
              <w:right w:val="nil"/>
            </w:tcBorders>
            <w:shd w:val="clear" w:color="auto" w:fill="auto"/>
          </w:tcPr>
          <w:p w14:paraId="3C76DB9D" w14:textId="77777777" w:rsidR="001E7103" w:rsidRPr="008F3A57" w:rsidRDefault="001E7103" w:rsidP="008F3A57">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36D3EE9A" w14:textId="77777777" w:rsidR="001E7103" w:rsidRPr="008F3A57" w:rsidRDefault="001E7103" w:rsidP="008F3A57">
            <w:pPr>
              <w:jc w:val="center"/>
              <w:rPr>
                <w:rFonts w:ascii="Arial" w:hAnsi="Arial"/>
                <w:b/>
                <w:bCs/>
                <w:sz w:val="26"/>
                <w:szCs w:val="26"/>
                <w:rtl/>
              </w:rPr>
            </w:pPr>
          </w:p>
          <w:p w14:paraId="7B75583E" w14:textId="77777777" w:rsidR="001E7103" w:rsidRPr="008F3A57" w:rsidRDefault="00411614" w:rsidP="008F3A57">
            <w:pPr>
              <w:jc w:val="center"/>
              <w:rPr>
                <w:rFonts w:ascii="Arial" w:hAnsi="Arial"/>
                <w:b/>
                <w:bCs/>
                <w:sz w:val="26"/>
                <w:szCs w:val="26"/>
                <w:rtl/>
              </w:rPr>
            </w:pPr>
            <w:r w:rsidRPr="008F3A57">
              <w:rPr>
                <w:rFonts w:ascii="Arial" w:hAnsi="Arial"/>
                <w:b/>
                <w:bCs/>
                <w:sz w:val="26"/>
                <w:szCs w:val="26"/>
                <w:rtl/>
              </w:rPr>
              <w:t>נגד</w:t>
            </w:r>
          </w:p>
          <w:p w14:paraId="5FC73B9B" w14:textId="77777777" w:rsidR="001E7103" w:rsidRPr="008F3A57" w:rsidRDefault="001E7103" w:rsidP="008F3A57">
            <w:pPr>
              <w:jc w:val="both"/>
              <w:rPr>
                <w:rFonts w:ascii="Arial" w:hAnsi="Arial"/>
                <w:b/>
                <w:bCs/>
                <w:sz w:val="26"/>
                <w:szCs w:val="26"/>
              </w:rPr>
            </w:pPr>
          </w:p>
        </w:tc>
      </w:tr>
      <w:tr w:rsidR="001E7103" w:rsidRPr="00411614" w14:paraId="70DB52DE" w14:textId="77777777">
        <w:trPr>
          <w:trHeight w:val="355"/>
          <w:jc w:val="center"/>
        </w:trPr>
        <w:tc>
          <w:tcPr>
            <w:tcW w:w="852" w:type="dxa"/>
            <w:tcBorders>
              <w:top w:val="nil"/>
              <w:left w:val="nil"/>
              <w:bottom w:val="nil"/>
              <w:right w:val="nil"/>
            </w:tcBorders>
            <w:shd w:val="clear" w:color="auto" w:fill="auto"/>
          </w:tcPr>
          <w:p w14:paraId="242FF74D" w14:textId="77777777" w:rsidR="001E7103" w:rsidRPr="008F3A57" w:rsidRDefault="001E7103" w:rsidP="008F3A57">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F2F161E" w14:textId="77777777" w:rsidR="001E7103" w:rsidRPr="008F3A57" w:rsidRDefault="00CD33B7" w:rsidP="008F3A57">
            <w:pPr>
              <w:jc w:val="both"/>
              <w:rPr>
                <w:rFonts w:hint="cs"/>
                <w:b/>
                <w:bCs/>
                <w:sz w:val="26"/>
                <w:szCs w:val="26"/>
                <w:rtl/>
              </w:rPr>
            </w:pPr>
            <w:r w:rsidRPr="008F3A57">
              <w:rPr>
                <w:rFonts w:ascii="Arial" w:hAnsi="Arial" w:hint="cs"/>
                <w:b/>
                <w:bCs/>
                <w:sz w:val="26"/>
                <w:szCs w:val="26"/>
                <w:rtl/>
              </w:rPr>
              <w:t>פלוני</w:t>
            </w:r>
          </w:p>
        </w:tc>
        <w:tc>
          <w:tcPr>
            <w:tcW w:w="3727" w:type="dxa"/>
            <w:tcBorders>
              <w:top w:val="nil"/>
              <w:left w:val="nil"/>
              <w:bottom w:val="nil"/>
              <w:right w:val="nil"/>
            </w:tcBorders>
            <w:shd w:val="clear" w:color="auto" w:fill="auto"/>
          </w:tcPr>
          <w:p w14:paraId="2C70723D" w14:textId="77777777" w:rsidR="001E7103" w:rsidRPr="008F3A57" w:rsidRDefault="001E7103" w:rsidP="008F3A57">
            <w:pPr>
              <w:jc w:val="right"/>
              <w:rPr>
                <w:rFonts w:ascii="Arial" w:hAnsi="Arial"/>
                <w:b/>
                <w:bCs/>
                <w:sz w:val="26"/>
                <w:szCs w:val="26"/>
              </w:rPr>
            </w:pPr>
          </w:p>
        </w:tc>
      </w:tr>
      <w:tr w:rsidR="001E7103" w:rsidRPr="00411614" w14:paraId="3D1EF8A4" w14:textId="77777777">
        <w:trPr>
          <w:trHeight w:val="355"/>
          <w:jc w:val="center"/>
        </w:trPr>
        <w:tc>
          <w:tcPr>
            <w:tcW w:w="852" w:type="dxa"/>
            <w:tcBorders>
              <w:top w:val="nil"/>
              <w:left w:val="nil"/>
              <w:bottom w:val="nil"/>
              <w:right w:val="nil"/>
            </w:tcBorders>
            <w:shd w:val="clear" w:color="auto" w:fill="auto"/>
          </w:tcPr>
          <w:p w14:paraId="2906FE25" w14:textId="77777777" w:rsidR="001E7103" w:rsidRPr="008F3A57" w:rsidRDefault="001E7103" w:rsidP="008F3A57">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C508FB6" w14:textId="77777777" w:rsidR="001E7103" w:rsidRPr="008F3A57" w:rsidRDefault="001E7103" w:rsidP="008F3A57">
            <w:pPr>
              <w:jc w:val="both"/>
              <w:rPr>
                <w:b/>
                <w:bCs/>
                <w:sz w:val="26"/>
                <w:szCs w:val="26"/>
                <w:rtl/>
              </w:rPr>
            </w:pPr>
          </w:p>
        </w:tc>
        <w:tc>
          <w:tcPr>
            <w:tcW w:w="3727" w:type="dxa"/>
            <w:tcBorders>
              <w:top w:val="nil"/>
              <w:left w:val="nil"/>
              <w:bottom w:val="nil"/>
              <w:right w:val="nil"/>
            </w:tcBorders>
            <w:shd w:val="clear" w:color="auto" w:fill="auto"/>
          </w:tcPr>
          <w:p w14:paraId="09A5EA6C" w14:textId="77777777" w:rsidR="001E7103" w:rsidRPr="008F3A57" w:rsidRDefault="00411614" w:rsidP="008F3A57">
            <w:pPr>
              <w:jc w:val="right"/>
              <w:rPr>
                <w:rFonts w:ascii="Arial" w:hAnsi="Arial"/>
                <w:b/>
                <w:bCs/>
                <w:sz w:val="26"/>
                <w:szCs w:val="26"/>
              </w:rPr>
            </w:pPr>
            <w:r w:rsidRPr="008F3A57">
              <w:rPr>
                <w:rFonts w:ascii="Arial" w:hAnsi="Arial"/>
                <w:b/>
                <w:bCs/>
                <w:sz w:val="26"/>
                <w:szCs w:val="26"/>
                <w:rtl/>
              </w:rPr>
              <w:t>הנאשמים</w:t>
            </w:r>
          </w:p>
        </w:tc>
      </w:tr>
    </w:tbl>
    <w:p w14:paraId="68358963" w14:textId="77777777" w:rsidR="001E7103" w:rsidRPr="00411614" w:rsidRDefault="001E7103">
      <w:pPr>
        <w:rPr>
          <w:rtl/>
        </w:rPr>
      </w:pPr>
    </w:p>
    <w:p w14:paraId="68E484B0" w14:textId="77777777" w:rsidR="001E7103" w:rsidRPr="00411614" w:rsidRDefault="00411614">
      <w:pPr>
        <w:rPr>
          <w:rtl/>
        </w:rPr>
      </w:pPr>
      <w:r w:rsidRPr="00411614">
        <w:rPr>
          <w:rFonts w:hint="cs"/>
          <w:rtl/>
        </w:rPr>
        <w:t>נוכחים:</w:t>
      </w:r>
      <w:r w:rsidRPr="00411614">
        <w:rPr>
          <w:rFonts w:hint="cs"/>
          <w:rtl/>
        </w:rPr>
        <w:tab/>
      </w:r>
      <w:r w:rsidRPr="00411614">
        <w:rPr>
          <w:rFonts w:hint="cs"/>
          <w:rtl/>
        </w:rPr>
        <w:tab/>
      </w:r>
      <w:bookmarkStart w:id="2" w:name="FirstLawyer"/>
      <w:r w:rsidRPr="00411614">
        <w:rPr>
          <w:rFonts w:hint="cs"/>
          <w:rtl/>
        </w:rPr>
        <w:t>ב"כ</w:t>
      </w:r>
      <w:bookmarkEnd w:id="2"/>
      <w:r w:rsidRPr="00411614">
        <w:rPr>
          <w:rFonts w:hint="cs"/>
          <w:rtl/>
        </w:rPr>
        <w:t xml:space="preserve"> המאשימה </w:t>
      </w:r>
      <w:r w:rsidRPr="00411614">
        <w:rPr>
          <w:rtl/>
        </w:rPr>
        <w:t>–</w:t>
      </w:r>
      <w:r w:rsidRPr="00411614">
        <w:rPr>
          <w:rFonts w:hint="cs"/>
          <w:rtl/>
        </w:rPr>
        <w:t xml:space="preserve"> עו"ד נילי קהלני</w:t>
      </w:r>
    </w:p>
    <w:p w14:paraId="21C33918" w14:textId="77777777" w:rsidR="001E7103" w:rsidRPr="00411614" w:rsidRDefault="00411614">
      <w:pPr>
        <w:rPr>
          <w:rtl/>
        </w:rPr>
      </w:pPr>
      <w:r w:rsidRPr="00411614">
        <w:rPr>
          <w:rFonts w:hint="cs"/>
          <w:rtl/>
        </w:rPr>
        <w:tab/>
      </w:r>
      <w:r w:rsidRPr="00411614">
        <w:rPr>
          <w:rFonts w:hint="cs"/>
          <w:rtl/>
        </w:rPr>
        <w:tab/>
        <w:t xml:space="preserve">ב"כ הנאשם </w:t>
      </w:r>
      <w:r w:rsidRPr="00411614">
        <w:rPr>
          <w:rtl/>
        </w:rPr>
        <w:t>–</w:t>
      </w:r>
      <w:r w:rsidRPr="00411614">
        <w:rPr>
          <w:rFonts w:hint="cs"/>
          <w:rtl/>
        </w:rPr>
        <w:t xml:space="preserve"> עו"ד אריאל עטרי</w:t>
      </w:r>
    </w:p>
    <w:p w14:paraId="5972096F" w14:textId="77777777" w:rsidR="00791EB2" w:rsidRDefault="00411614">
      <w:pPr>
        <w:rPr>
          <w:rtl/>
        </w:rPr>
      </w:pPr>
      <w:r w:rsidRPr="00411614">
        <w:rPr>
          <w:rFonts w:hint="cs"/>
          <w:rtl/>
        </w:rPr>
        <w:tab/>
      </w:r>
      <w:r w:rsidRPr="00411614">
        <w:rPr>
          <w:rFonts w:hint="cs"/>
          <w:rtl/>
        </w:rPr>
        <w:tab/>
        <w:t>הנאש</w:t>
      </w:r>
      <w:bookmarkStart w:id="3" w:name="LawTable"/>
      <w:bookmarkEnd w:id="3"/>
    </w:p>
    <w:p w14:paraId="06E0DE9D" w14:textId="77777777" w:rsidR="00791EB2" w:rsidRPr="00791EB2" w:rsidRDefault="00791EB2" w:rsidP="00791EB2">
      <w:pPr>
        <w:spacing w:after="120" w:line="240" w:lineRule="exact"/>
        <w:ind w:left="283" w:hanging="283"/>
        <w:jc w:val="both"/>
        <w:rPr>
          <w:rFonts w:ascii="FrankRuehl" w:hAnsi="FrankRuehl" w:cs="FrankRuehl"/>
          <w:rtl/>
        </w:rPr>
      </w:pPr>
    </w:p>
    <w:p w14:paraId="7BC8E71A" w14:textId="77777777" w:rsidR="00791EB2" w:rsidRPr="00791EB2" w:rsidRDefault="00791EB2" w:rsidP="00791EB2">
      <w:pPr>
        <w:spacing w:after="120" w:line="240" w:lineRule="exact"/>
        <w:ind w:left="283" w:hanging="283"/>
        <w:jc w:val="both"/>
        <w:rPr>
          <w:rFonts w:ascii="FrankRuehl" w:hAnsi="FrankRuehl" w:cs="FrankRuehl"/>
          <w:rtl/>
        </w:rPr>
      </w:pPr>
      <w:r w:rsidRPr="00791EB2">
        <w:rPr>
          <w:rFonts w:ascii="FrankRuehl" w:hAnsi="FrankRuehl" w:cs="FrankRuehl" w:hint="eastAsia"/>
          <w:rtl/>
        </w:rPr>
        <w:t>חקיקה</w:t>
      </w:r>
      <w:r w:rsidRPr="00791EB2">
        <w:rPr>
          <w:rFonts w:ascii="FrankRuehl" w:hAnsi="FrankRuehl" w:cs="FrankRuehl"/>
          <w:rtl/>
        </w:rPr>
        <w:t xml:space="preserve"> </w:t>
      </w:r>
      <w:r w:rsidRPr="00791EB2">
        <w:rPr>
          <w:rFonts w:ascii="FrankRuehl" w:hAnsi="FrankRuehl" w:cs="FrankRuehl" w:hint="eastAsia"/>
          <w:rtl/>
        </w:rPr>
        <w:t>שאוזכרה</w:t>
      </w:r>
      <w:r w:rsidRPr="00791EB2">
        <w:rPr>
          <w:rFonts w:ascii="FrankRuehl" w:hAnsi="FrankRuehl" w:cs="FrankRuehl"/>
          <w:rtl/>
        </w:rPr>
        <w:t xml:space="preserve">: </w:t>
      </w:r>
    </w:p>
    <w:p w14:paraId="6556C7E1" w14:textId="77777777" w:rsidR="00791EB2" w:rsidRPr="00791EB2" w:rsidRDefault="00791EB2" w:rsidP="00791EB2">
      <w:pPr>
        <w:spacing w:after="120" w:line="240" w:lineRule="exact"/>
        <w:ind w:left="283" w:hanging="283"/>
        <w:jc w:val="both"/>
        <w:rPr>
          <w:rFonts w:ascii="FrankRuehl" w:hAnsi="FrankRuehl" w:cs="FrankRuehl"/>
          <w:rtl/>
        </w:rPr>
      </w:pPr>
      <w:hyperlink r:id="rId7" w:history="1">
        <w:r w:rsidRPr="00791EB2">
          <w:rPr>
            <w:rFonts w:ascii="FrankRuehl" w:hAnsi="FrankRuehl" w:cs="FrankRuehl" w:hint="eastAsia"/>
            <w:color w:val="0000FF"/>
            <w:u w:val="single"/>
            <w:rtl/>
          </w:rPr>
          <w:t>חוק</w:t>
        </w:r>
        <w:r w:rsidRPr="00791EB2">
          <w:rPr>
            <w:rFonts w:ascii="FrankRuehl" w:hAnsi="FrankRuehl" w:cs="FrankRuehl"/>
            <w:color w:val="0000FF"/>
            <w:u w:val="single"/>
            <w:rtl/>
          </w:rPr>
          <w:t xml:space="preserve"> </w:t>
        </w:r>
        <w:r w:rsidRPr="00791EB2">
          <w:rPr>
            <w:rFonts w:ascii="FrankRuehl" w:hAnsi="FrankRuehl" w:cs="FrankRuehl" w:hint="eastAsia"/>
            <w:color w:val="0000FF"/>
            <w:u w:val="single"/>
            <w:rtl/>
          </w:rPr>
          <w:t>העונשין</w:t>
        </w:r>
        <w:r w:rsidRPr="00791EB2">
          <w:rPr>
            <w:rFonts w:ascii="FrankRuehl" w:hAnsi="FrankRuehl" w:cs="FrankRuehl"/>
            <w:color w:val="0000FF"/>
            <w:u w:val="single"/>
            <w:rtl/>
          </w:rPr>
          <w:t xml:space="preserve">, </w:t>
        </w:r>
        <w:r w:rsidRPr="00791EB2">
          <w:rPr>
            <w:rFonts w:ascii="FrankRuehl" w:hAnsi="FrankRuehl" w:cs="FrankRuehl" w:hint="eastAsia"/>
            <w:color w:val="0000FF"/>
            <w:u w:val="single"/>
            <w:rtl/>
          </w:rPr>
          <w:t>תשל</w:t>
        </w:r>
        <w:r w:rsidRPr="00791EB2">
          <w:rPr>
            <w:rFonts w:ascii="FrankRuehl" w:hAnsi="FrankRuehl" w:cs="FrankRuehl"/>
            <w:color w:val="0000FF"/>
            <w:u w:val="single"/>
            <w:rtl/>
          </w:rPr>
          <w:t>"</w:t>
        </w:r>
        <w:r w:rsidRPr="00791EB2">
          <w:rPr>
            <w:rFonts w:ascii="FrankRuehl" w:hAnsi="FrankRuehl" w:cs="FrankRuehl" w:hint="eastAsia"/>
            <w:color w:val="0000FF"/>
            <w:u w:val="single"/>
            <w:rtl/>
          </w:rPr>
          <w:t>ז</w:t>
        </w:r>
        <w:r w:rsidRPr="00791EB2">
          <w:rPr>
            <w:rFonts w:ascii="FrankRuehl" w:hAnsi="FrankRuehl" w:cs="FrankRuehl"/>
            <w:color w:val="0000FF"/>
            <w:u w:val="single"/>
            <w:rtl/>
          </w:rPr>
          <w:t>-1977</w:t>
        </w:r>
      </w:hyperlink>
      <w:r w:rsidRPr="00791EB2">
        <w:rPr>
          <w:rFonts w:ascii="FrankRuehl" w:hAnsi="FrankRuehl" w:cs="FrankRuehl"/>
          <w:rtl/>
        </w:rPr>
        <w:t xml:space="preserve">: </w:t>
      </w:r>
      <w:r w:rsidRPr="00791EB2">
        <w:rPr>
          <w:rFonts w:ascii="FrankRuehl" w:hAnsi="FrankRuehl" w:cs="FrankRuehl" w:hint="eastAsia"/>
          <w:rtl/>
        </w:rPr>
        <w:t>סע</w:t>
      </w:r>
      <w:r w:rsidRPr="00791EB2">
        <w:rPr>
          <w:rFonts w:ascii="FrankRuehl" w:hAnsi="FrankRuehl" w:cs="FrankRuehl"/>
          <w:rtl/>
        </w:rPr>
        <w:t xml:space="preserve">'  </w:t>
      </w:r>
      <w:hyperlink r:id="rId8" w:history="1">
        <w:r w:rsidRPr="00791EB2">
          <w:rPr>
            <w:rFonts w:ascii="FrankRuehl" w:hAnsi="FrankRuehl" w:cs="FrankRuehl"/>
            <w:color w:val="0000FF"/>
            <w:u w:val="single"/>
            <w:rtl/>
          </w:rPr>
          <w:t>348</w:t>
        </w:r>
      </w:hyperlink>
      <w:r w:rsidRPr="00791EB2">
        <w:rPr>
          <w:rFonts w:ascii="FrankRuehl" w:hAnsi="FrankRuehl" w:cs="FrankRuehl"/>
          <w:rtl/>
        </w:rPr>
        <w:t xml:space="preserve">, </w:t>
      </w:r>
      <w:hyperlink r:id="rId9" w:history="1">
        <w:r w:rsidRPr="00791EB2">
          <w:rPr>
            <w:rFonts w:ascii="FrankRuehl" w:hAnsi="FrankRuehl" w:cs="FrankRuehl"/>
            <w:color w:val="0000FF"/>
            <w:u w:val="single"/>
            <w:rtl/>
          </w:rPr>
          <w:t>349</w:t>
        </w:r>
      </w:hyperlink>
      <w:r w:rsidRPr="00791EB2">
        <w:rPr>
          <w:rFonts w:ascii="FrankRuehl" w:hAnsi="FrankRuehl" w:cs="FrankRuehl"/>
          <w:rtl/>
        </w:rPr>
        <w:t xml:space="preserve">, </w:t>
      </w:r>
      <w:hyperlink r:id="rId10" w:history="1">
        <w:r w:rsidRPr="00791EB2">
          <w:rPr>
            <w:rFonts w:ascii="FrankRuehl" w:hAnsi="FrankRuehl" w:cs="FrankRuehl"/>
            <w:color w:val="0000FF"/>
            <w:u w:val="single"/>
            <w:rtl/>
          </w:rPr>
          <w:t>349 (</w:t>
        </w:r>
        <w:r w:rsidRPr="00791EB2">
          <w:rPr>
            <w:rFonts w:ascii="FrankRuehl" w:hAnsi="FrankRuehl" w:cs="FrankRuehl" w:hint="eastAsia"/>
            <w:color w:val="0000FF"/>
            <w:u w:val="single"/>
            <w:rtl/>
          </w:rPr>
          <w:t>א</w:t>
        </w:r>
        <w:r w:rsidRPr="00791EB2">
          <w:rPr>
            <w:rFonts w:ascii="FrankRuehl" w:hAnsi="FrankRuehl" w:cs="FrankRuehl"/>
            <w:color w:val="0000FF"/>
            <w:u w:val="single"/>
            <w:rtl/>
          </w:rPr>
          <w:t>)</w:t>
        </w:r>
      </w:hyperlink>
      <w:r w:rsidRPr="00791EB2">
        <w:rPr>
          <w:rFonts w:ascii="FrankRuehl" w:hAnsi="FrankRuehl" w:cs="FrankRuehl"/>
          <w:rtl/>
        </w:rPr>
        <w:t xml:space="preserve">, </w:t>
      </w:r>
      <w:hyperlink r:id="rId11" w:history="1">
        <w:r w:rsidRPr="00791EB2">
          <w:rPr>
            <w:rFonts w:ascii="FrankRuehl" w:hAnsi="FrankRuehl" w:cs="FrankRuehl"/>
            <w:color w:val="0000FF"/>
            <w:u w:val="single"/>
            <w:rtl/>
          </w:rPr>
          <w:t>349(</w:t>
        </w:r>
        <w:r w:rsidRPr="00791EB2">
          <w:rPr>
            <w:rFonts w:ascii="FrankRuehl" w:hAnsi="FrankRuehl" w:cs="FrankRuehl" w:hint="eastAsia"/>
            <w:color w:val="0000FF"/>
            <w:u w:val="single"/>
            <w:rtl/>
          </w:rPr>
          <w:t>א</w:t>
        </w:r>
        <w:r w:rsidRPr="00791EB2">
          <w:rPr>
            <w:rFonts w:ascii="FrankRuehl" w:hAnsi="FrankRuehl" w:cs="FrankRuehl"/>
            <w:color w:val="0000FF"/>
            <w:u w:val="single"/>
            <w:rtl/>
          </w:rPr>
          <w:t>)(1)</w:t>
        </w:r>
      </w:hyperlink>
      <w:r w:rsidRPr="00791EB2">
        <w:rPr>
          <w:rFonts w:ascii="FrankRuehl" w:hAnsi="FrankRuehl" w:cs="FrankRuehl"/>
          <w:rtl/>
        </w:rPr>
        <w:t xml:space="preserve">, </w:t>
      </w:r>
      <w:hyperlink r:id="rId12" w:history="1">
        <w:r w:rsidRPr="00791EB2">
          <w:rPr>
            <w:rFonts w:ascii="FrankRuehl" w:hAnsi="FrankRuehl" w:cs="FrankRuehl"/>
            <w:color w:val="0000FF"/>
            <w:u w:val="single"/>
            <w:rtl/>
          </w:rPr>
          <w:t>34</w:t>
        </w:r>
        <w:r w:rsidRPr="00791EB2">
          <w:rPr>
            <w:rFonts w:ascii="FrankRuehl" w:hAnsi="FrankRuehl" w:cs="FrankRuehl" w:hint="eastAsia"/>
            <w:color w:val="0000FF"/>
            <w:u w:val="single"/>
            <w:rtl/>
          </w:rPr>
          <w:t>יז</w:t>
        </w:r>
      </w:hyperlink>
      <w:r w:rsidRPr="00791EB2">
        <w:rPr>
          <w:rFonts w:ascii="FrankRuehl" w:hAnsi="FrankRuehl" w:cs="FrankRuehl"/>
          <w:rtl/>
        </w:rPr>
        <w:t xml:space="preserve">, </w:t>
      </w:r>
      <w:hyperlink r:id="rId13" w:history="1">
        <w:r w:rsidRPr="00791EB2">
          <w:rPr>
            <w:rFonts w:ascii="FrankRuehl" w:hAnsi="FrankRuehl" w:cs="FrankRuehl"/>
            <w:color w:val="0000FF"/>
            <w:u w:val="single"/>
            <w:rtl/>
          </w:rPr>
          <w:t>34</w:t>
        </w:r>
        <w:r w:rsidRPr="00791EB2">
          <w:rPr>
            <w:rFonts w:ascii="FrankRuehl" w:hAnsi="FrankRuehl" w:cs="FrankRuehl" w:hint="eastAsia"/>
            <w:color w:val="0000FF"/>
            <w:u w:val="single"/>
            <w:rtl/>
          </w:rPr>
          <w:t>יח</w:t>
        </w:r>
      </w:hyperlink>
      <w:r w:rsidRPr="00791EB2">
        <w:rPr>
          <w:rFonts w:ascii="FrankRuehl" w:hAnsi="FrankRuehl" w:cs="FrankRuehl"/>
          <w:rtl/>
        </w:rPr>
        <w:t xml:space="preserve">, </w:t>
      </w:r>
      <w:hyperlink r:id="rId14" w:history="1">
        <w:r w:rsidRPr="00791EB2">
          <w:rPr>
            <w:rFonts w:ascii="FrankRuehl" w:hAnsi="FrankRuehl" w:cs="FrankRuehl"/>
            <w:color w:val="0000FF"/>
            <w:u w:val="single"/>
            <w:rtl/>
          </w:rPr>
          <w:t>34</w:t>
        </w:r>
        <w:r w:rsidRPr="00791EB2">
          <w:rPr>
            <w:rFonts w:ascii="FrankRuehl" w:hAnsi="FrankRuehl" w:cs="FrankRuehl" w:hint="eastAsia"/>
            <w:color w:val="0000FF"/>
            <w:u w:val="single"/>
            <w:rtl/>
          </w:rPr>
          <w:t>כד</w:t>
        </w:r>
      </w:hyperlink>
    </w:p>
    <w:p w14:paraId="4D3EF142" w14:textId="77777777" w:rsidR="00791EB2" w:rsidRPr="00791EB2" w:rsidRDefault="00791EB2" w:rsidP="00791EB2">
      <w:pPr>
        <w:spacing w:after="120" w:line="240" w:lineRule="exact"/>
        <w:ind w:left="283" w:hanging="283"/>
        <w:jc w:val="both"/>
        <w:rPr>
          <w:rFonts w:ascii="FrankRuehl" w:hAnsi="FrankRuehl" w:cs="FrankRuehl"/>
          <w:rtl/>
        </w:rPr>
      </w:pPr>
    </w:p>
    <w:p w14:paraId="02BA47BF" w14:textId="77777777" w:rsidR="00791EB2" w:rsidRPr="00791EB2" w:rsidRDefault="00791EB2">
      <w:pPr>
        <w:rPr>
          <w:rtl/>
        </w:rPr>
      </w:pPr>
      <w:bookmarkStart w:id="4" w:name="LawTable_End"/>
      <w:bookmarkEnd w:id="4"/>
    </w:p>
    <w:p w14:paraId="3F5F2AE6" w14:textId="77777777" w:rsidR="00791EB2" w:rsidRPr="00791EB2" w:rsidRDefault="00791EB2">
      <w:pPr>
        <w:rPr>
          <w:rtl/>
        </w:rPr>
      </w:pPr>
    </w:p>
    <w:p w14:paraId="40FDA275" w14:textId="77777777" w:rsidR="00500AD3" w:rsidRPr="00500AD3" w:rsidRDefault="00411614">
      <w:pPr>
        <w:rPr>
          <w:rtl/>
        </w:rPr>
      </w:pPr>
      <w:r w:rsidRPr="00791EB2">
        <w:rPr>
          <w:rFonts w:hint="cs"/>
          <w:rtl/>
        </w:rPr>
        <w:t>ם</w:t>
      </w:r>
    </w:p>
    <w:p w14:paraId="5D4E385F" w14:textId="77777777" w:rsidR="00500AD3" w:rsidRPr="00500AD3" w:rsidRDefault="00500AD3">
      <w:pPr>
        <w:rPr>
          <w:rtl/>
        </w:rPr>
      </w:pPr>
    </w:p>
    <w:p w14:paraId="1CD5747F" w14:textId="77777777" w:rsidR="001E7103" w:rsidRPr="00500AD3" w:rsidRDefault="001E7103">
      <w:pPr>
        <w:rPr>
          <w:rtl/>
        </w:rPr>
      </w:pPr>
    </w:p>
    <w:p w14:paraId="43E2F9C3" w14:textId="77777777" w:rsidR="00C8432C" w:rsidRPr="00C8432C" w:rsidRDefault="00C8432C">
      <w:pPr>
        <w:rPr>
          <w:rtl/>
        </w:rPr>
      </w:pPr>
    </w:p>
    <w:p w14:paraId="75948E92" w14:textId="77777777" w:rsidR="00C8432C" w:rsidRPr="00C8432C" w:rsidRDefault="00C8432C">
      <w:pPr>
        <w:rPr>
          <w:rtl/>
        </w:rPr>
      </w:pPr>
    </w:p>
    <w:p w14:paraId="5F2E63FC" w14:textId="77777777" w:rsidR="001E7103" w:rsidRPr="00C8432C" w:rsidRDefault="001E71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7103" w14:paraId="3C484F7B" w14:textId="77777777">
        <w:trPr>
          <w:trHeight w:val="355"/>
          <w:jc w:val="center"/>
        </w:trPr>
        <w:tc>
          <w:tcPr>
            <w:tcW w:w="8820" w:type="dxa"/>
            <w:tcBorders>
              <w:top w:val="nil"/>
              <w:left w:val="nil"/>
              <w:bottom w:val="nil"/>
              <w:right w:val="nil"/>
            </w:tcBorders>
            <w:shd w:val="clear" w:color="auto" w:fill="auto"/>
          </w:tcPr>
          <w:p w14:paraId="11BE9896" w14:textId="77777777" w:rsidR="00411614" w:rsidRPr="008F3A57" w:rsidRDefault="00411614" w:rsidP="008F3A57">
            <w:pPr>
              <w:jc w:val="center"/>
              <w:rPr>
                <w:rFonts w:ascii="Arial" w:hAnsi="Arial"/>
                <w:b/>
                <w:bCs/>
                <w:sz w:val="28"/>
                <w:szCs w:val="28"/>
                <w:u w:val="single"/>
                <w:rtl/>
              </w:rPr>
            </w:pPr>
            <w:bookmarkStart w:id="5" w:name="PsakDin" w:colFirst="0" w:colLast="0"/>
            <w:bookmarkEnd w:id="0"/>
            <w:r w:rsidRPr="008F3A57">
              <w:rPr>
                <w:rFonts w:ascii="Arial" w:hAnsi="Arial"/>
                <w:b/>
                <w:bCs/>
                <w:sz w:val="28"/>
                <w:szCs w:val="28"/>
                <w:u w:val="single"/>
                <w:rtl/>
              </w:rPr>
              <w:t>הכרעת דין</w:t>
            </w:r>
          </w:p>
          <w:p w14:paraId="57F06465" w14:textId="77777777" w:rsidR="001E7103" w:rsidRPr="008F3A57" w:rsidRDefault="001E7103" w:rsidP="008F3A57">
            <w:pPr>
              <w:jc w:val="center"/>
              <w:rPr>
                <w:rFonts w:ascii="Arial" w:hAnsi="Arial"/>
                <w:bCs/>
                <w:sz w:val="28"/>
                <w:szCs w:val="28"/>
                <w:u w:val="single"/>
                <w:rtl/>
              </w:rPr>
            </w:pPr>
          </w:p>
        </w:tc>
      </w:tr>
      <w:bookmarkEnd w:id="5"/>
    </w:tbl>
    <w:p w14:paraId="3D1E04E4" w14:textId="77777777" w:rsidR="001E7103" w:rsidRDefault="001E7103">
      <w:pPr>
        <w:spacing w:line="360" w:lineRule="auto"/>
        <w:rPr>
          <w:rFonts w:ascii="Arial" w:hAnsi="Arial" w:cs="FrankRuehl"/>
          <w:sz w:val="28"/>
          <w:szCs w:val="28"/>
          <w:rtl/>
        </w:rPr>
      </w:pPr>
    </w:p>
    <w:p w14:paraId="43AE6530" w14:textId="77777777" w:rsidR="001E7103" w:rsidRDefault="001E7103">
      <w:pPr>
        <w:spacing w:line="360" w:lineRule="auto"/>
        <w:rPr>
          <w:rFonts w:ascii="Arial" w:hAnsi="Arial" w:cs="FrankRuehl"/>
          <w:sz w:val="28"/>
          <w:szCs w:val="28"/>
          <w:rtl/>
        </w:rPr>
      </w:pPr>
    </w:p>
    <w:p w14:paraId="146CAB6C" w14:textId="77777777" w:rsidR="001E7103" w:rsidRDefault="00411614">
      <w:pPr>
        <w:spacing w:after="120"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נגד הנאשם הוגש כתב אישום המייחס לו עבירה של מעשה מגונה בפומבי, עבירה לפי </w:t>
      </w:r>
      <w:hyperlink r:id="rId15" w:history="1">
        <w:r w:rsidR="00500AD3" w:rsidRPr="00500AD3">
          <w:rPr>
            <w:rFonts w:hint="eastAsia"/>
            <w:color w:val="0000FF"/>
            <w:u w:val="single"/>
            <w:rtl/>
          </w:rPr>
          <w:t>סעיף</w:t>
        </w:r>
        <w:r w:rsidR="00500AD3" w:rsidRPr="00500AD3">
          <w:rPr>
            <w:color w:val="0000FF"/>
            <w:u w:val="single"/>
            <w:rtl/>
          </w:rPr>
          <w:t xml:space="preserve"> 349(</w:t>
        </w:r>
        <w:r w:rsidR="00500AD3" w:rsidRPr="00500AD3">
          <w:rPr>
            <w:rFonts w:hint="eastAsia"/>
            <w:color w:val="0000FF"/>
            <w:u w:val="single"/>
            <w:rtl/>
          </w:rPr>
          <w:t>א</w:t>
        </w:r>
        <w:r w:rsidR="00500AD3" w:rsidRPr="00500AD3">
          <w:rPr>
            <w:color w:val="0000FF"/>
            <w:u w:val="single"/>
            <w:rtl/>
          </w:rPr>
          <w:t>)(1)</w:t>
        </w:r>
      </w:hyperlink>
      <w:r>
        <w:rPr>
          <w:rFonts w:hint="cs"/>
          <w:rtl/>
        </w:rPr>
        <w:t xml:space="preserve"> ל</w:t>
      </w:r>
      <w:hyperlink r:id="rId16"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תשל"ז- 1977 (להלן: </w:t>
      </w:r>
      <w:r>
        <w:rPr>
          <w:rFonts w:hint="cs"/>
          <w:b/>
          <w:bCs/>
          <w:rtl/>
        </w:rPr>
        <w:t>"חוק העונשין"</w:t>
      </w:r>
      <w:r>
        <w:rPr>
          <w:rFonts w:hint="cs"/>
          <w:rtl/>
        </w:rPr>
        <w:t>).</w:t>
      </w:r>
    </w:p>
    <w:p w14:paraId="27F8FE91" w14:textId="77777777" w:rsidR="001E7103" w:rsidRDefault="00411614">
      <w:pPr>
        <w:spacing w:after="120" w:line="360" w:lineRule="auto"/>
        <w:ind w:left="720" w:hanging="720"/>
        <w:jc w:val="both"/>
        <w:rPr>
          <w:rtl/>
        </w:rPr>
      </w:pPr>
      <w:r>
        <w:rPr>
          <w:rFonts w:hint="cs"/>
          <w:rtl/>
        </w:rPr>
        <w:t>2.</w:t>
      </w:r>
      <w:r>
        <w:rPr>
          <w:rFonts w:hint="cs"/>
          <w:rtl/>
        </w:rPr>
        <w:tab/>
        <w:t xml:space="preserve">כפי המפורט בכתב האישום, ביום 26.3.09, בסמוך לשעה 20:20 ברחוב משה דיין בירושלים, ישב הנאשם ברכבו כאשר מכנסיו מופשלים, הביט בעוברת אורח שהייתה לטעמו לבושה בפריצות ואונן לשם סיפוקו המיני. </w:t>
      </w:r>
    </w:p>
    <w:p w14:paraId="164ABA39" w14:textId="77777777" w:rsidR="001E7103" w:rsidRDefault="00411614">
      <w:pPr>
        <w:spacing w:after="120" w:line="360" w:lineRule="auto"/>
        <w:jc w:val="both"/>
        <w:rPr>
          <w:rtl/>
        </w:rPr>
      </w:pPr>
      <w:bookmarkStart w:id="7" w:name="ABSTRACT_END"/>
      <w:bookmarkEnd w:id="7"/>
      <w:r>
        <w:rPr>
          <w:rFonts w:hint="cs"/>
          <w:rtl/>
        </w:rPr>
        <w:lastRenderedPageBreak/>
        <w:t>3.</w:t>
      </w:r>
      <w:r>
        <w:rPr>
          <w:rFonts w:hint="cs"/>
          <w:rtl/>
        </w:rPr>
        <w:tab/>
        <w:t>הנאשם כפר בעובדות כתב האישום.</w:t>
      </w:r>
    </w:p>
    <w:p w14:paraId="4BD6E35D" w14:textId="77777777" w:rsidR="001E7103" w:rsidRDefault="00411614">
      <w:pPr>
        <w:spacing w:after="120" w:line="360" w:lineRule="auto"/>
        <w:ind w:left="720" w:hanging="720"/>
        <w:jc w:val="both"/>
        <w:rPr>
          <w:rtl/>
        </w:rPr>
      </w:pPr>
      <w:r>
        <w:rPr>
          <w:rFonts w:hint="cs"/>
          <w:rtl/>
        </w:rPr>
        <w:t>4.</w:t>
      </w:r>
      <w:r>
        <w:rPr>
          <w:rFonts w:hint="cs"/>
          <w:rtl/>
        </w:rPr>
        <w:tab/>
        <w:t>בפתח הדברים, ועובר לקיום הדיון בטענת הצדדים יוטעם כי, כתב האישום אינו מפרט דברים כהווייתם, באשר אין מחלוקת בין הצדדים כי הנאשם לא ביצע את המיוחס לו בכתב האישום עת הביט בעוברת האורח אשר הייתה לבושה לטעמו בפריצות, כפי המשתמע מכתב האישום, כי אם הלה ביצע את המעשה המגונה לאחר שאותה עוברת אורח, אשר איננה המתלוננת, עוררה בו גירוי ובעת ביצוע המעשה עברה המתלוננת והבחינה בנאשם ובמעשיו.</w:t>
      </w:r>
    </w:p>
    <w:p w14:paraId="0DDD4BA4" w14:textId="77777777" w:rsidR="001E7103" w:rsidRDefault="001E7103">
      <w:pPr>
        <w:spacing w:after="120" w:line="360" w:lineRule="auto"/>
        <w:ind w:left="720" w:hanging="720"/>
        <w:jc w:val="both"/>
        <w:rPr>
          <w:rtl/>
        </w:rPr>
      </w:pPr>
    </w:p>
    <w:p w14:paraId="7DAB98C8" w14:textId="77777777" w:rsidR="001E7103" w:rsidRDefault="001E7103">
      <w:pPr>
        <w:spacing w:after="120" w:line="360" w:lineRule="auto"/>
        <w:ind w:left="720" w:hanging="720"/>
        <w:jc w:val="both"/>
        <w:rPr>
          <w:rtl/>
        </w:rPr>
      </w:pPr>
    </w:p>
    <w:p w14:paraId="3B11386D" w14:textId="77777777" w:rsidR="001E7103" w:rsidRDefault="001E7103">
      <w:pPr>
        <w:spacing w:after="120" w:line="360" w:lineRule="auto"/>
        <w:ind w:left="720" w:hanging="720"/>
        <w:jc w:val="both"/>
        <w:rPr>
          <w:rtl/>
        </w:rPr>
      </w:pPr>
    </w:p>
    <w:p w14:paraId="1EAE8C89" w14:textId="77777777" w:rsidR="001E7103" w:rsidRDefault="00411614">
      <w:pPr>
        <w:pStyle w:val="Heading3"/>
        <w:spacing w:after="120" w:line="360" w:lineRule="auto"/>
        <w:jc w:val="both"/>
        <w:rPr>
          <w:rFonts w:cs="David"/>
          <w:sz w:val="28"/>
          <w:szCs w:val="28"/>
          <w:u w:val="single"/>
          <w:rtl/>
        </w:rPr>
      </w:pPr>
      <w:r>
        <w:rPr>
          <w:rFonts w:cs="David" w:hint="cs"/>
          <w:sz w:val="28"/>
          <w:szCs w:val="28"/>
          <w:u w:val="single"/>
          <w:rtl/>
        </w:rPr>
        <w:t>ראיות התביעה</w:t>
      </w:r>
    </w:p>
    <w:p w14:paraId="29521C91" w14:textId="77777777" w:rsidR="001E7103" w:rsidRDefault="00411614">
      <w:pPr>
        <w:spacing w:after="120" w:line="360" w:lineRule="auto"/>
        <w:rPr>
          <w:rtl/>
        </w:rPr>
      </w:pPr>
      <w:r>
        <w:rPr>
          <w:rFonts w:hint="cs"/>
          <w:rtl/>
        </w:rPr>
        <w:t xml:space="preserve">מטעם התביעה העידו המתלוננת ואימה. </w:t>
      </w:r>
    </w:p>
    <w:p w14:paraId="4E1EB460" w14:textId="77777777" w:rsidR="001E7103" w:rsidRDefault="001E7103">
      <w:pPr>
        <w:spacing w:after="120" w:line="360" w:lineRule="auto"/>
        <w:rPr>
          <w:rtl/>
        </w:rPr>
      </w:pPr>
    </w:p>
    <w:p w14:paraId="0AFAAE94" w14:textId="77777777" w:rsidR="001E7103" w:rsidRDefault="00411614">
      <w:pPr>
        <w:spacing w:after="120" w:line="360" w:lineRule="auto"/>
        <w:rPr>
          <w:b/>
          <w:bCs/>
          <w:rtl/>
        </w:rPr>
      </w:pPr>
      <w:r>
        <w:rPr>
          <w:rFonts w:hint="cs"/>
          <w:b/>
          <w:bCs/>
          <w:rtl/>
        </w:rPr>
        <w:t>עדות המתלוננת (ע"ת 1)</w:t>
      </w:r>
    </w:p>
    <w:p w14:paraId="4E08263A" w14:textId="77777777" w:rsidR="001E7103" w:rsidRDefault="00411614">
      <w:pPr>
        <w:spacing w:after="120" w:line="360" w:lineRule="auto"/>
        <w:ind w:left="720" w:hanging="720"/>
        <w:jc w:val="both"/>
        <w:rPr>
          <w:rtl/>
        </w:rPr>
      </w:pPr>
      <w:r>
        <w:rPr>
          <w:rFonts w:hint="cs"/>
          <w:rtl/>
        </w:rPr>
        <w:t>5.</w:t>
      </w:r>
      <w:r>
        <w:rPr>
          <w:rFonts w:hint="cs"/>
          <w:rtl/>
        </w:rPr>
        <w:tab/>
        <w:t xml:space="preserve">כפי העולה מגרסת המתלוננת, במועד הרלוונטי לכתב האישום המתינה יחד עם חברתה לאימה, אשר התעתדה לבוא ולאסוף את המתלוננת לביתן לאחר שהאחרונה שבה מהבסיס בו שירתה דאז. </w:t>
      </w:r>
    </w:p>
    <w:p w14:paraId="29AF5D55" w14:textId="77777777" w:rsidR="001E7103" w:rsidRDefault="00411614">
      <w:pPr>
        <w:spacing w:after="120" w:line="360" w:lineRule="auto"/>
        <w:ind w:left="720"/>
        <w:rPr>
          <w:highlight w:val="yellow"/>
          <w:rtl/>
        </w:rPr>
      </w:pPr>
      <w:r>
        <w:rPr>
          <w:rFonts w:hint="cs"/>
          <w:rtl/>
        </w:rPr>
        <w:t xml:space="preserve">עת המתינו השתיים לאם המתלוננת, הגיח רכב מאחוריהן. המתלוננת סובבה את ראשה לעבר הרכב והבחינה בנאשם מאונן בתוכו. ברגע בו הבחין הנאשם במתלוננת, נמלט הנאשם מהמקום כשהוא נוסע ברוורס לאחור. המתלוננת רשמה את מספר הרכב בו נהג הנאשם. </w:t>
      </w:r>
    </w:p>
    <w:p w14:paraId="479C4CB0" w14:textId="77777777" w:rsidR="001E7103" w:rsidRDefault="00411614">
      <w:pPr>
        <w:spacing w:after="120" w:line="360" w:lineRule="auto"/>
        <w:ind w:left="720"/>
      </w:pPr>
      <w:r>
        <w:rPr>
          <w:rFonts w:hint="cs"/>
          <w:rtl/>
        </w:rPr>
        <w:t xml:space="preserve">המתלוננת הטעימה בעדותה כי המתלונן עצר את רכבו ברחוב ראשי, רחוב משה דיין בפסגת זאב, וכי אין מדובר בסמטה חשוכה. </w:t>
      </w:r>
    </w:p>
    <w:p w14:paraId="5236C85D" w14:textId="77777777" w:rsidR="001E7103" w:rsidRDefault="00411614">
      <w:pPr>
        <w:spacing w:after="120" w:line="360" w:lineRule="auto"/>
        <w:ind w:left="720"/>
        <w:rPr>
          <w:rtl/>
        </w:rPr>
      </w:pPr>
      <w:r>
        <w:rPr>
          <w:rFonts w:hint="cs"/>
          <w:rtl/>
        </w:rPr>
        <w:t xml:space="preserve">בד בבד עם מנוסתו של הנאשם מהמקום, הגיעה אימה של המתלוננת, ולאחר שהמתלוננת סיפרה לה את שאירע החליטה האם לעקוב אחר רכב הנאשם עד אשר פגשו בו השתיים, או אז חסמה האם, באמצעות רכבה, את רכב הנאשם ובעקבות כך עלה הנאשם על אי תנועה. לא היו חילופי דברים בין הנאשם לבין אם המתלוננת. </w:t>
      </w:r>
    </w:p>
    <w:p w14:paraId="1AB17C1E" w14:textId="77777777" w:rsidR="001E7103" w:rsidRDefault="00411614">
      <w:pPr>
        <w:spacing w:after="120" w:line="360" w:lineRule="auto"/>
        <w:ind w:left="720"/>
        <w:rPr>
          <w:rtl/>
        </w:rPr>
      </w:pPr>
      <w:r>
        <w:rPr>
          <w:rFonts w:hint="cs"/>
          <w:rtl/>
        </w:rPr>
        <w:t xml:space="preserve">המתלוננת ציינה במסגרת עדותה כי אין זה המקרה הראשון בו חווה חוויה כגון דא, וסיפרה כי בהיותה בכיתה ד', כאשר חזרה מבית הספר, נתקלה בבחור שעשה מעשה דומה למעשה אותו ביצע הנאשם וציינה כי במקרה דאז אותו בחור אף קרא לה. </w:t>
      </w:r>
    </w:p>
    <w:p w14:paraId="25F346B1" w14:textId="77777777" w:rsidR="001E7103" w:rsidRDefault="00411614">
      <w:pPr>
        <w:spacing w:after="120" w:line="360" w:lineRule="auto"/>
        <w:ind w:left="720" w:hanging="720"/>
        <w:jc w:val="both"/>
        <w:rPr>
          <w:rtl/>
        </w:rPr>
      </w:pPr>
      <w:r>
        <w:rPr>
          <w:rFonts w:hint="cs"/>
          <w:rtl/>
        </w:rPr>
        <w:t>6.</w:t>
      </w:r>
      <w:r>
        <w:rPr>
          <w:rFonts w:hint="cs"/>
          <w:rtl/>
        </w:rPr>
        <w:tab/>
        <w:t xml:space="preserve">במסגרת חקירתה הנגדית ציינה המתלוננת כי חברתה, אשר שהתה עימה בעת התרחשות האירוע ועמדה במרחק כמטר ממנה, לא הבחינה במעשי הנאשם, יחד עם זאת המתלוננת </w:t>
      </w:r>
      <w:r>
        <w:rPr>
          <w:rFonts w:hint="cs"/>
          <w:rtl/>
        </w:rPr>
        <w:lastRenderedPageBreak/>
        <w:t>תיארה לה את אשר ראתה מיד לאחר שהבחינה במעשי הנאשם. בהמשך עדותה מציינת המתלוננת כי אין היא בטוחה כי סיפרה לחברתה את אשר ראתה וציינה כי אין היא זוכרת באופן מדויק את אשר אירע או כמה זמן נמשך מבטה אל תוך רכב הנאשם.</w:t>
      </w:r>
    </w:p>
    <w:p w14:paraId="00EBCC32" w14:textId="77777777" w:rsidR="001E7103" w:rsidRDefault="00411614">
      <w:pPr>
        <w:spacing w:after="120" w:line="360" w:lineRule="auto"/>
        <w:ind w:left="720"/>
        <w:rPr>
          <w:rtl/>
        </w:rPr>
      </w:pPr>
      <w:r>
        <w:rPr>
          <w:rFonts w:hint="cs"/>
          <w:rtl/>
        </w:rPr>
        <w:t xml:space="preserve">עוד ציינה המתלוננת כי בעת האירוע רכב הנאשם היה משמאלה, וכי הרכב הגיע מאחוריהן  בתנועה איטית כאשר בשלב כלשהוא הרכב עצר. לשיטתה, הנאשם הבחין בה ובחברתה. </w:t>
      </w:r>
    </w:p>
    <w:p w14:paraId="7105501C" w14:textId="77777777" w:rsidR="001E7103" w:rsidRDefault="00411614">
      <w:pPr>
        <w:spacing w:after="120" w:line="360" w:lineRule="auto"/>
        <w:ind w:left="720" w:hanging="720"/>
        <w:jc w:val="both"/>
        <w:rPr>
          <w:rtl/>
        </w:rPr>
      </w:pPr>
      <w:r>
        <w:rPr>
          <w:rFonts w:hint="cs"/>
          <w:rtl/>
        </w:rPr>
        <w:t>7.</w:t>
      </w:r>
      <w:r>
        <w:rPr>
          <w:rFonts w:hint="cs"/>
          <w:rtl/>
        </w:rPr>
        <w:tab/>
        <w:t xml:space="preserve">לשאלות בית המשפט השיבה המתלוננת כי היא הבחינה במעשי הנאשם בהיותה במרחק של כמטר עד מטר וחצי מרכב הנאשם, וכי הבחינה במעשיו דרך חלונו הצידי של הרכב. עוד טוענת כי ראתה את איבר מינו של הנאשם. כאשר נשאלה בחקירתה הנגדית מדוע לא ציינה עובדה זו בעת חקירתה במשטרה, השיבה כי אינה אוהבת להשתמש במילים אלה [ר' עמ' 10, ש' 5 לפרוטוקול]. </w:t>
      </w:r>
    </w:p>
    <w:p w14:paraId="73DF39FB" w14:textId="77777777" w:rsidR="001E7103" w:rsidRDefault="001E7103">
      <w:pPr>
        <w:pStyle w:val="Heading3"/>
        <w:spacing w:after="120" w:line="360" w:lineRule="auto"/>
        <w:jc w:val="both"/>
        <w:rPr>
          <w:rFonts w:cs="David"/>
          <w:sz w:val="24"/>
          <w:szCs w:val="24"/>
          <w:rtl/>
        </w:rPr>
      </w:pPr>
    </w:p>
    <w:p w14:paraId="55C048A5" w14:textId="77777777" w:rsidR="001E7103" w:rsidRDefault="00411614">
      <w:pPr>
        <w:pStyle w:val="Heading3"/>
        <w:spacing w:after="120" w:line="360" w:lineRule="auto"/>
        <w:jc w:val="both"/>
        <w:rPr>
          <w:rFonts w:cs="David"/>
          <w:sz w:val="24"/>
          <w:szCs w:val="24"/>
        </w:rPr>
      </w:pPr>
      <w:r>
        <w:rPr>
          <w:rFonts w:cs="David" w:hint="cs"/>
          <w:sz w:val="24"/>
          <w:szCs w:val="24"/>
          <w:rtl/>
        </w:rPr>
        <w:t>עדות אם המתלוננת (ע"ת 2)</w:t>
      </w:r>
    </w:p>
    <w:p w14:paraId="4CAFC286" w14:textId="77777777" w:rsidR="001E7103" w:rsidRDefault="00411614">
      <w:pPr>
        <w:spacing w:after="120" w:line="360" w:lineRule="auto"/>
        <w:ind w:left="720" w:hanging="720"/>
        <w:jc w:val="both"/>
        <w:rPr>
          <w:rtl/>
        </w:rPr>
      </w:pPr>
      <w:r>
        <w:rPr>
          <w:rFonts w:hint="cs"/>
          <w:rtl/>
        </w:rPr>
        <w:t>8.</w:t>
      </w:r>
      <w:r>
        <w:rPr>
          <w:rFonts w:hint="cs"/>
          <w:rtl/>
        </w:rPr>
        <w:tab/>
        <w:t xml:space="preserve">במסגרת עדותה ציינה אם המתלוננת, כי עת הגיעה לאסוף את ביתה סיפרה לה האחרונה כי הנאשם הוציא את איבר מינו בפניה, ולפיכך החלה העדה רודפת אחריו. העדה מסרה כי ביתה אמרה לה כי רכב הנאשם נעמד מולה, המתלוננת התכופפה לכיוון הרכב או אז הראה לה הנאשם את איבר מינו. לאור דברי המתלוננת, נסעה העדה מייד בעקבות הנאשם עד אשר חסמה את רכבו בין שתי מכוניות או אז עלה הנאשם על אי תנועה וברח כל עוד נפשו בו. </w:t>
      </w:r>
    </w:p>
    <w:p w14:paraId="0DC66DB1" w14:textId="77777777" w:rsidR="001E7103" w:rsidRDefault="00411614">
      <w:pPr>
        <w:spacing w:after="120" w:line="360" w:lineRule="auto"/>
        <w:ind w:left="720"/>
        <w:rPr>
          <w:rtl/>
        </w:rPr>
      </w:pPr>
      <w:r>
        <w:rPr>
          <w:rFonts w:hint="cs"/>
          <w:rtl/>
        </w:rPr>
        <w:t xml:space="preserve">העדה הטעימה כי אין היא זוכרת האם במסגרת מסירת הודעתה במשטרה ציינה כי המתלוננת אמרה לה כי הנאשם ניסה לדבר עימה. </w:t>
      </w:r>
    </w:p>
    <w:p w14:paraId="106ADF11" w14:textId="77777777" w:rsidR="001E7103" w:rsidRDefault="001E7103">
      <w:pPr>
        <w:pStyle w:val="Heading3"/>
        <w:spacing w:after="120" w:line="360" w:lineRule="auto"/>
        <w:jc w:val="both"/>
        <w:rPr>
          <w:rFonts w:cs="David"/>
          <w:sz w:val="24"/>
          <w:szCs w:val="24"/>
          <w:rtl/>
        </w:rPr>
      </w:pPr>
    </w:p>
    <w:p w14:paraId="6EFC58C1" w14:textId="77777777" w:rsidR="001E7103" w:rsidRDefault="00411614">
      <w:pPr>
        <w:pStyle w:val="Heading3"/>
        <w:spacing w:after="120" w:line="360" w:lineRule="auto"/>
        <w:jc w:val="both"/>
        <w:rPr>
          <w:rFonts w:cs="David"/>
          <w:sz w:val="24"/>
          <w:szCs w:val="24"/>
          <w:rtl/>
        </w:rPr>
      </w:pPr>
      <w:r>
        <w:rPr>
          <w:rFonts w:cs="David" w:hint="cs"/>
          <w:sz w:val="24"/>
          <w:szCs w:val="24"/>
          <w:rtl/>
        </w:rPr>
        <w:t>ראיות ההגנה</w:t>
      </w:r>
    </w:p>
    <w:p w14:paraId="61E5CC30" w14:textId="77777777" w:rsidR="001E7103" w:rsidRDefault="001E7103">
      <w:pPr>
        <w:spacing w:after="120" w:line="360" w:lineRule="auto"/>
        <w:rPr>
          <w:rtl/>
        </w:rPr>
      </w:pPr>
    </w:p>
    <w:p w14:paraId="47D732D1" w14:textId="77777777" w:rsidR="001E7103" w:rsidRDefault="00411614">
      <w:pPr>
        <w:spacing w:after="120" w:line="360" w:lineRule="auto"/>
        <w:jc w:val="both"/>
        <w:rPr>
          <w:rtl/>
        </w:rPr>
      </w:pPr>
      <w:r>
        <w:rPr>
          <w:rFonts w:hint="cs"/>
          <w:rtl/>
        </w:rPr>
        <w:t>9.</w:t>
      </w:r>
      <w:r>
        <w:rPr>
          <w:rFonts w:hint="cs"/>
          <w:rtl/>
        </w:rPr>
        <w:tab/>
        <w:t xml:space="preserve">מטעם ההגנה העיד הנאשם. </w:t>
      </w:r>
    </w:p>
    <w:p w14:paraId="25C54C8D" w14:textId="77777777" w:rsidR="001E7103" w:rsidRDefault="00411614">
      <w:pPr>
        <w:spacing w:after="120" w:line="360" w:lineRule="auto"/>
        <w:ind w:left="720"/>
        <w:rPr>
          <w:rtl/>
        </w:rPr>
      </w:pPr>
      <w:r>
        <w:rPr>
          <w:rFonts w:hint="cs"/>
          <w:rtl/>
        </w:rPr>
        <w:t xml:space="preserve">אליבא דנאשם, במועד הרלוונטי לכתב האישום, שעה שנסע בשכונת פסגת זאב, כקילומטר לערך קודם לאזור בו ביצע את המיוחס לו בכתב האישום, ראה בצד הדרך אישה הלבושה בצורה חשופה, דבר אשר עורר בו גירוי והביאו לעצור בצד הדרך, לפתוח את רוכסן מכנסיו להכניס את ידו לתחתוניו ולאונן. הנאשם ציין כי עצר במפרץ בכביש ברחוב משה דיין,  מקום בו תאורת הרכב לא פעלה אותה עת והטעים כי וידא, באמצעות המראות ברכבו, כי אין אף אחד בסביבתו. הנאשם צפה כי יעצור במקום לכל היותר למשך דקה וחצי.  עוד </w:t>
      </w:r>
      <w:r>
        <w:rPr>
          <w:rFonts w:hint="cs"/>
          <w:rtl/>
        </w:rPr>
        <w:lastRenderedPageBreak/>
        <w:t xml:space="preserve">הטעים הנאשם כי לא סבר כי מישהו עשוי לראותו והוסיף כי אם סבור היה כי מישהו עשוי לראותו בסיטואציה כזו היה מעדיף "להיבלע באדמה", כלשונו. עוד ציין הנאשם כי הרכב בתוכו ביצע את המעשה המיוחס לו הינו רכב מסחרי, גבוה יחסית, מסוג פיאט דובלו, אשר חלונותיו אטומים זולת החלונות הקדמיים והצדדיים. </w:t>
      </w:r>
    </w:p>
    <w:p w14:paraId="1D1681C9" w14:textId="77777777" w:rsidR="001E7103" w:rsidRDefault="00411614">
      <w:pPr>
        <w:spacing w:after="120" w:line="360" w:lineRule="auto"/>
        <w:ind w:left="720"/>
        <w:rPr>
          <w:rtl/>
        </w:rPr>
      </w:pPr>
      <w:r>
        <w:rPr>
          <w:rFonts w:hint="cs"/>
          <w:rtl/>
        </w:rPr>
        <w:t>הנאשם ציין כי המתלוננת הגיחה מאחורי הרכב בו שהה הנאשם וכאשר הייתה במקביל לרכב התכופפה ונטתה לכיוונו והבחינה במעשיו. מפאת הבושה אשר עטתה אותו, נמלט הנאשם מהמקום ברכבו.</w:t>
      </w:r>
    </w:p>
    <w:p w14:paraId="037DB738" w14:textId="77777777" w:rsidR="001E7103" w:rsidRDefault="00411614">
      <w:pPr>
        <w:spacing w:after="120" w:line="360" w:lineRule="auto"/>
        <w:ind w:left="720" w:hanging="720"/>
        <w:jc w:val="both"/>
        <w:rPr>
          <w:rtl/>
        </w:rPr>
      </w:pPr>
      <w:r>
        <w:rPr>
          <w:rFonts w:hint="cs"/>
          <w:rtl/>
        </w:rPr>
        <w:t>10.</w:t>
      </w:r>
      <w:r>
        <w:rPr>
          <w:rFonts w:hint="cs"/>
          <w:rtl/>
        </w:rPr>
        <w:tab/>
        <w:t xml:space="preserve">במסגרת חקירתו הנגדית אישר הנאשם כי המקום בו עצר את רכבו הינו הרחוב הראשי בשכונה וציין כי היו, למצער, שני פנסי רחוב שלא פעלו אותה עת, כך שהמקום היה חשוך. </w:t>
      </w:r>
    </w:p>
    <w:p w14:paraId="08EA7F7E" w14:textId="77777777" w:rsidR="001E7103" w:rsidRDefault="00411614">
      <w:pPr>
        <w:spacing w:after="120" w:line="360" w:lineRule="auto"/>
        <w:ind w:left="720"/>
        <w:rPr>
          <w:rtl/>
        </w:rPr>
      </w:pPr>
      <w:r>
        <w:rPr>
          <w:rFonts w:hint="cs"/>
          <w:rtl/>
        </w:rPr>
        <w:t xml:space="preserve">עוד ציין הנאשם כי לא ראה את המתלוננת הואיל ומבטו היה מופנה קדימה, ואולם המתלוננת הגיעה מאחורי הרכב, מצד ימין, והואיל והיה פרק זמן של חצי דקה  לערך בו לא התבונן במראות, לא הבחין במתלוננת מגיעה. </w:t>
      </w:r>
    </w:p>
    <w:p w14:paraId="2729B554" w14:textId="77777777" w:rsidR="001E7103" w:rsidRDefault="00411614">
      <w:pPr>
        <w:spacing w:after="120" w:line="360" w:lineRule="auto"/>
        <w:ind w:left="720"/>
        <w:rPr>
          <w:rtl/>
        </w:rPr>
      </w:pPr>
      <w:r>
        <w:rPr>
          <w:rFonts w:hint="cs"/>
          <w:rtl/>
        </w:rPr>
        <w:t xml:space="preserve">הנאשם שב והטעים כי לא סבר כי מישהו עלול לראותו, והוסיף כי במקום בו עצר לא היו בניינים מתוכם יהא ניתן להשקיף לכיוונו וסבר כי לא ניתן להגיע למקום. לשיטתו, המתלוננת הבחינה במעשיו בתוך הרכב הואיל והתכופפה לכיוונו, בעוד שחברתה אשר לא התאמצה לראות את הנעשה ברכב, לא הבחינה בנאשם. </w:t>
      </w:r>
    </w:p>
    <w:p w14:paraId="061E25F8" w14:textId="77777777" w:rsidR="001E7103" w:rsidRDefault="00411614">
      <w:pPr>
        <w:spacing w:after="120" w:line="360" w:lineRule="auto"/>
        <w:ind w:left="720"/>
        <w:rPr>
          <w:rtl/>
        </w:rPr>
      </w:pPr>
      <w:r>
        <w:rPr>
          <w:rFonts w:hint="cs"/>
          <w:rtl/>
        </w:rPr>
        <w:t xml:space="preserve">הנאשם ציין כי הבחין באם המתלוננת כאשר עצר בקיוסק על מנת לרכוש סיגריות. חרף העובדה כי לא ידע בוודאות כי הלה קשורה לאירוע, קינן בליבו החשש שמא כך הדבר, והלכך נמלט מהמקום. </w:t>
      </w:r>
    </w:p>
    <w:p w14:paraId="4DA35563" w14:textId="77777777" w:rsidR="001E7103" w:rsidRDefault="001E7103">
      <w:pPr>
        <w:spacing w:after="120" w:line="360" w:lineRule="auto"/>
        <w:rPr>
          <w:rtl/>
        </w:rPr>
      </w:pPr>
    </w:p>
    <w:p w14:paraId="0E0F9CF2" w14:textId="77777777" w:rsidR="001E7103" w:rsidRDefault="00411614">
      <w:pPr>
        <w:spacing w:after="120" w:line="360" w:lineRule="auto"/>
        <w:rPr>
          <w:b/>
          <w:bCs/>
          <w:rtl/>
        </w:rPr>
      </w:pPr>
      <w:r>
        <w:rPr>
          <w:rFonts w:hint="cs"/>
          <w:b/>
          <w:bCs/>
          <w:u w:val="single"/>
          <w:rtl/>
        </w:rPr>
        <w:t xml:space="preserve">הודעת הנאשם </w:t>
      </w:r>
      <w:r>
        <w:rPr>
          <w:rFonts w:hint="cs"/>
          <w:b/>
          <w:bCs/>
          <w:rtl/>
        </w:rPr>
        <w:t xml:space="preserve"> </w:t>
      </w:r>
    </w:p>
    <w:p w14:paraId="0804AB90" w14:textId="77777777" w:rsidR="001E7103" w:rsidRDefault="001E7103">
      <w:pPr>
        <w:spacing w:after="120" w:line="360" w:lineRule="auto"/>
        <w:rPr>
          <w:b/>
          <w:bCs/>
          <w:rtl/>
        </w:rPr>
      </w:pPr>
    </w:p>
    <w:p w14:paraId="363656E8" w14:textId="77777777" w:rsidR="001E7103" w:rsidRDefault="00411614">
      <w:pPr>
        <w:spacing w:after="120" w:line="360" w:lineRule="auto"/>
        <w:rPr>
          <w:rtl/>
        </w:rPr>
      </w:pPr>
      <w:r>
        <w:rPr>
          <w:rFonts w:hint="cs"/>
          <w:rtl/>
        </w:rPr>
        <w:t>הודעות הנאשם במשטרה הוגשו לתיק בית המשפט וסומנו ת/1 ו- ת/2.</w:t>
      </w:r>
    </w:p>
    <w:p w14:paraId="5DB0C078" w14:textId="77777777" w:rsidR="001E7103" w:rsidRDefault="00411614">
      <w:pPr>
        <w:spacing w:after="120" w:line="360" w:lineRule="auto"/>
        <w:ind w:left="720" w:hanging="720"/>
        <w:jc w:val="both"/>
        <w:rPr>
          <w:rtl/>
        </w:rPr>
      </w:pPr>
      <w:r>
        <w:rPr>
          <w:rFonts w:hint="cs"/>
          <w:rtl/>
        </w:rPr>
        <w:t>11.</w:t>
      </w:r>
      <w:r>
        <w:rPr>
          <w:rFonts w:hint="cs"/>
          <w:rtl/>
        </w:rPr>
        <w:tab/>
        <w:t>במסגרת הודעתו במשטרה הודה הנאשם בביצוע המעשה המיוחס לו וציין כי ראה בחורה הלבושה בפריצות, כלשונו, דבר שהניעו לעצור בצד לעשות את שעשה. הנאשם ציין כי הסתכל במראה על מנת לוודא כי איש אינו מגיע למקום והטעים כי לא ראה אף אחד בסביבתו. כאשר הבחין במתלוננת חש בושה ונמלט מהמקום. כן, במסגרת הודעתו הביע הנאשם חרטה על מעשהו.</w:t>
      </w:r>
    </w:p>
    <w:p w14:paraId="60D4B2A7" w14:textId="77777777" w:rsidR="001E7103" w:rsidRDefault="001E7103">
      <w:pPr>
        <w:spacing w:after="120" w:line="360" w:lineRule="auto"/>
        <w:rPr>
          <w:b/>
          <w:bCs/>
          <w:u w:val="single"/>
          <w:rtl/>
        </w:rPr>
      </w:pPr>
    </w:p>
    <w:p w14:paraId="5AD6A28F" w14:textId="77777777" w:rsidR="001E7103" w:rsidRDefault="001E7103">
      <w:pPr>
        <w:spacing w:after="120" w:line="360" w:lineRule="auto"/>
        <w:rPr>
          <w:b/>
          <w:bCs/>
          <w:u w:val="single"/>
          <w:rtl/>
        </w:rPr>
      </w:pPr>
    </w:p>
    <w:p w14:paraId="77272562" w14:textId="77777777" w:rsidR="001E7103" w:rsidRDefault="001E7103">
      <w:pPr>
        <w:spacing w:after="120" w:line="360" w:lineRule="auto"/>
        <w:rPr>
          <w:b/>
          <w:bCs/>
          <w:u w:val="single"/>
          <w:rtl/>
        </w:rPr>
      </w:pPr>
    </w:p>
    <w:p w14:paraId="33D20DD9" w14:textId="77777777" w:rsidR="001E7103" w:rsidRDefault="001E7103">
      <w:pPr>
        <w:spacing w:after="120" w:line="360" w:lineRule="auto"/>
        <w:rPr>
          <w:b/>
          <w:bCs/>
          <w:u w:val="single"/>
          <w:rtl/>
        </w:rPr>
      </w:pPr>
    </w:p>
    <w:p w14:paraId="1C6A1161" w14:textId="77777777" w:rsidR="001E7103" w:rsidRDefault="00411614">
      <w:pPr>
        <w:spacing w:after="120" w:line="360" w:lineRule="auto"/>
        <w:rPr>
          <w:b/>
          <w:bCs/>
          <w:u w:val="single"/>
          <w:rtl/>
        </w:rPr>
      </w:pPr>
      <w:r>
        <w:rPr>
          <w:rFonts w:hint="cs"/>
          <w:b/>
          <w:bCs/>
          <w:u w:val="single"/>
          <w:rtl/>
        </w:rPr>
        <w:t>סיכומי הצדדים</w:t>
      </w:r>
    </w:p>
    <w:p w14:paraId="2C297E05" w14:textId="77777777" w:rsidR="001E7103" w:rsidRDefault="001E7103">
      <w:pPr>
        <w:spacing w:after="120" w:line="360" w:lineRule="auto"/>
      </w:pPr>
    </w:p>
    <w:p w14:paraId="4ED4601B" w14:textId="77777777" w:rsidR="001E7103" w:rsidRDefault="00411614">
      <w:pPr>
        <w:spacing w:after="120" w:line="360" w:lineRule="auto"/>
        <w:ind w:left="720" w:hanging="720"/>
        <w:jc w:val="both"/>
        <w:rPr>
          <w:rtl/>
        </w:rPr>
      </w:pPr>
      <w:r>
        <w:rPr>
          <w:rFonts w:hint="cs"/>
          <w:rtl/>
        </w:rPr>
        <w:t>12.</w:t>
      </w:r>
      <w:r>
        <w:rPr>
          <w:rFonts w:hint="cs"/>
          <w:rtl/>
        </w:rPr>
        <w:tab/>
        <w:t xml:space="preserve">במסגרת סיכומיה טענה המאשימה כי עלה בידה להוכיח את יסודות העבירה המיוחסת לנאשם. לדידה, ישנה מחלוקת לעניין השלב בו החל הנאשם במעשיו באשר המתלוננת גורסת כי הנאשם הגיח מאחוריה והלכך לא יכול היה שלא להבחין בה, בעוד שלגרסת הנאשם הלה בחן עובר לאירוע כי אין איש בסביבתו. כך או כך, טוענת המאשימה, הרי שביצע הנאשם עבירה של מעשה מגונה בפומבי בהתאם להגדרת המונח "פומבי" </w:t>
      </w:r>
      <w:hyperlink r:id="rId17" w:history="1">
        <w:r w:rsidR="00500AD3" w:rsidRPr="00500AD3">
          <w:rPr>
            <w:rFonts w:hint="eastAsia"/>
            <w:color w:val="0000FF"/>
            <w:u w:val="single"/>
            <w:rtl/>
          </w:rPr>
          <w:t>בסעיף</w:t>
        </w:r>
        <w:r w:rsidR="00500AD3" w:rsidRPr="00500AD3">
          <w:rPr>
            <w:color w:val="0000FF"/>
            <w:u w:val="single"/>
            <w:rtl/>
          </w:rPr>
          <w:t xml:space="preserve"> 34</w:t>
        </w:r>
        <w:r w:rsidR="00500AD3" w:rsidRPr="00500AD3">
          <w:rPr>
            <w:rFonts w:hint="eastAsia"/>
            <w:color w:val="0000FF"/>
            <w:u w:val="single"/>
            <w:rtl/>
          </w:rPr>
          <w:t>כד</w:t>
        </w:r>
      </w:hyperlink>
      <w:r>
        <w:rPr>
          <w:rFonts w:hint="cs"/>
          <w:rtl/>
        </w:rPr>
        <w:t xml:space="preserve"> ל</w:t>
      </w:r>
      <w:hyperlink r:id="rId18"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w:t>
      </w:r>
    </w:p>
    <w:p w14:paraId="4477C0ED" w14:textId="77777777" w:rsidR="001E7103" w:rsidRDefault="00411614">
      <w:pPr>
        <w:spacing w:after="120" w:line="360" w:lineRule="auto"/>
        <w:ind w:left="720"/>
        <w:rPr>
          <w:rtl/>
        </w:rPr>
      </w:pPr>
      <w:r>
        <w:rPr>
          <w:rFonts w:hint="cs"/>
          <w:rtl/>
        </w:rPr>
        <w:t xml:space="preserve">לשיטת המאשימה, הנאשם ידע כי עצר במקום ציבורי, הרחוב הראשי בשכונה, ובהתאם לתיאור המתלוננת היו כלי רכב נוספים שעברו באזור אותה עת ולא ייתכן כי לא הבחין בה. יתרה מכך, הרי שבמקום ציבורי תמיד קיים הסיכון שמא יגיע מאן דהוא ויבחין בנאשם. </w:t>
      </w:r>
    </w:p>
    <w:p w14:paraId="41312B20" w14:textId="77777777" w:rsidR="001E7103" w:rsidRDefault="00411614">
      <w:pPr>
        <w:spacing w:after="120" w:line="360" w:lineRule="auto"/>
        <w:ind w:left="720"/>
        <w:rPr>
          <w:rtl/>
        </w:rPr>
      </w:pPr>
      <w:r>
        <w:rPr>
          <w:rFonts w:hint="cs"/>
          <w:rtl/>
        </w:rPr>
        <w:t>המאשימה סומכת טיעוניה על החלטת בית המשפט העליון  ב</w:t>
      </w:r>
      <w:hyperlink r:id="rId19" w:history="1">
        <w:r w:rsidR="00C8432C" w:rsidRPr="00C8432C">
          <w:rPr>
            <w:rStyle w:val="Hyperlink"/>
            <w:rFonts w:hint="eastAsia"/>
            <w:rtl/>
          </w:rPr>
          <w:t>ע</w:t>
        </w:r>
        <w:r w:rsidR="00C8432C" w:rsidRPr="00C8432C">
          <w:rPr>
            <w:rStyle w:val="Hyperlink"/>
            <w:rtl/>
          </w:rPr>
          <w:t>"</w:t>
        </w:r>
        <w:r w:rsidR="00C8432C" w:rsidRPr="00C8432C">
          <w:rPr>
            <w:rStyle w:val="Hyperlink"/>
            <w:rFonts w:hint="eastAsia"/>
            <w:rtl/>
          </w:rPr>
          <w:t>פ</w:t>
        </w:r>
        <w:r w:rsidR="00C8432C" w:rsidRPr="00C8432C">
          <w:rPr>
            <w:rStyle w:val="Hyperlink"/>
            <w:rtl/>
          </w:rPr>
          <w:t xml:space="preserve"> 383/80</w:t>
        </w:r>
      </w:hyperlink>
      <w:r>
        <w:rPr>
          <w:rFonts w:hint="cs"/>
          <w:rtl/>
        </w:rPr>
        <w:t xml:space="preserve">, אשר הרשיע אדם שביצע מעשה מגונה בעודו באוטובוס, וזאת חרף העובדה כי ניסה להסתיר את מעשיו באמצעות מעיל אשר פרש על ברכיו. במקרה זה, טוענת המאשימה כי הנאשם, אשר שהה במקום ציבורי, לא נקט אמצעי זהירות אשר תכליתם להבטיח כי לא ייקלע אדם אחר לסיטואציה כגון דא בעל כורחו. </w:t>
      </w:r>
    </w:p>
    <w:p w14:paraId="16503B1A" w14:textId="77777777" w:rsidR="001E7103" w:rsidRDefault="00411614">
      <w:pPr>
        <w:spacing w:after="120" w:line="360" w:lineRule="auto"/>
        <w:ind w:left="720" w:hanging="720"/>
        <w:jc w:val="both"/>
        <w:rPr>
          <w:rtl/>
        </w:rPr>
      </w:pPr>
      <w:r>
        <w:rPr>
          <w:rFonts w:hint="cs"/>
          <w:rtl/>
        </w:rPr>
        <w:t>13.</w:t>
      </w:r>
      <w:r>
        <w:rPr>
          <w:rFonts w:hint="cs"/>
          <w:rtl/>
        </w:rPr>
        <w:tab/>
        <w:t xml:space="preserve">ב"כ הנאשם אינו חולק על עצם עשיית המעשה, יחד עם זאת הטעים את הרקע לעשייתו, הקשור בסדרת הפלות שעברה אשתו, דבר שהרחיקה הימנו. כן, ציין עובדות אשר אינן שנויות במחלוקת, ובכלל זה כי המקום היה חשוך בעת האירוע וכי זולת המתלוננת לא היו אנשים נוספים במקום. עוד ציין כי לא היו במקום בניינים מתוכם ניתן היה לצפות בנאשם, והטעים שוב כי הנאשם ווידא עובר לעשיית המעשה כי איש אינו נמצא במקום. </w:t>
      </w:r>
    </w:p>
    <w:p w14:paraId="1EF80B12" w14:textId="77777777" w:rsidR="001E7103" w:rsidRDefault="00411614">
      <w:pPr>
        <w:spacing w:after="120" w:line="360" w:lineRule="auto"/>
        <w:ind w:left="720" w:hanging="720"/>
        <w:jc w:val="both"/>
        <w:rPr>
          <w:rtl/>
        </w:rPr>
      </w:pPr>
      <w:r>
        <w:rPr>
          <w:rFonts w:hint="cs"/>
          <w:rtl/>
        </w:rPr>
        <w:t>14.</w:t>
      </w:r>
      <w:r>
        <w:rPr>
          <w:rFonts w:hint="cs"/>
          <w:rtl/>
        </w:rPr>
        <w:tab/>
        <w:t xml:space="preserve">ברמה העובדתית ציין ב"כ הנאשם אי דיוקים בעדות המתלוננת, ובכלל זה חוסר וודאותה האם סיפרה אודות האירוע לחברתה אשר שהתה עימה אותה עת, עדותה הכבושה באשר לראיית איבר מינו של הנאשם, אשר לא נמסרה לחוקרי המשטרה בעת גביית הודעתה, הגרסה שמסרה לאימה ולפיה הנאשם עשה את המיוחס לו כשהוא משוחח עימה, דבר אשר אינו נשנה בגרסת המתלוננת עצמה ואשר, לשיטתו, מהווה שחזור של אירוע אחר אותו חוותה המתלוננת בעבר. בנוסף, ציין ב"כ הנאשם כי העובדה כי חברתה של המתלוננת, אשר עמדה לידה בעת האירוע, לא הבחינה במעשי הנאשם, מעידה מיניה וביה כי מי שלא נמצא בצמוד לרכב לא יכול היה להבחין במעשי הנאשם. </w:t>
      </w:r>
    </w:p>
    <w:p w14:paraId="2CCD74FA" w14:textId="77777777" w:rsidR="001E7103" w:rsidRDefault="00411614">
      <w:pPr>
        <w:spacing w:after="120" w:line="360" w:lineRule="auto"/>
        <w:ind w:left="720"/>
        <w:rPr>
          <w:rtl/>
        </w:rPr>
      </w:pPr>
      <w:r>
        <w:rPr>
          <w:rFonts w:hint="cs"/>
          <w:rtl/>
        </w:rPr>
        <w:t xml:space="preserve">באשר לגרסת המתלוננת, לפיה הנאשם ביצע את המעשה המיוחס לו תוך כדי שהוא נוהג את רכבו בנסיעה איטית, טוען ב"כ הנאשם כי באם תתקבל גרסה זו הרי שיש לזכות את הנאשם, שהרי יהא זה מרחיק לכת לטעון במקרה כזה כי בוצע מעשה מגונה בפומבי, שהרי רכב פרטי נוסע איננו פומבי, ודאי שלא במקום חשוך. </w:t>
      </w:r>
    </w:p>
    <w:p w14:paraId="610D6094" w14:textId="77777777" w:rsidR="001E7103" w:rsidRDefault="00411614">
      <w:pPr>
        <w:spacing w:after="120" w:line="360" w:lineRule="auto"/>
        <w:jc w:val="both"/>
        <w:rPr>
          <w:rtl/>
        </w:rPr>
      </w:pPr>
      <w:r>
        <w:rPr>
          <w:rFonts w:hint="cs"/>
          <w:rtl/>
        </w:rPr>
        <w:t>15.</w:t>
      </w:r>
      <w:r>
        <w:rPr>
          <w:rFonts w:hint="cs"/>
          <w:rtl/>
        </w:rPr>
        <w:tab/>
        <w:t xml:space="preserve">במישור המשפטי טוען ב"כ הנאשם את הטיעונים כדלקמן: </w:t>
      </w:r>
    </w:p>
    <w:p w14:paraId="593EEBB9" w14:textId="77777777" w:rsidR="001E7103" w:rsidRDefault="00411614">
      <w:pPr>
        <w:numPr>
          <w:ilvl w:val="1"/>
          <w:numId w:val="1"/>
        </w:numPr>
        <w:spacing w:after="120" w:line="360" w:lineRule="auto"/>
        <w:jc w:val="both"/>
        <w:rPr>
          <w:rtl/>
        </w:rPr>
      </w:pPr>
      <w:r>
        <w:rPr>
          <w:rFonts w:hint="cs"/>
          <w:rtl/>
        </w:rPr>
        <w:t>רכבו הפרטי של הנאשם מטבעו איננו פומבי ובהצטרף לכך כי מדובר היה במקום חשוך וברכב מסחרי, הרי שלא מתקיים רכיב זה ביסוד העובדתי של העבירה.</w:t>
      </w:r>
    </w:p>
    <w:p w14:paraId="5DE60FDE" w14:textId="77777777" w:rsidR="001E7103" w:rsidRDefault="00411614">
      <w:pPr>
        <w:numPr>
          <w:ilvl w:val="1"/>
          <w:numId w:val="1"/>
        </w:numPr>
        <w:spacing w:after="120" w:line="360" w:lineRule="auto"/>
        <w:jc w:val="both"/>
        <w:rPr>
          <w:rtl/>
        </w:rPr>
      </w:pPr>
      <w:r>
        <w:rPr>
          <w:rFonts w:hint="cs"/>
          <w:rtl/>
        </w:rPr>
        <w:t>הנאשם לא ביצע את המעשה המיוחס לו בפני המתלוננת, והלכך לא מתקיימת גם הנסיבה של "בפני אדם אחר" ביסוד העובדתי שבעבירה. "בפני אדם אחר" אין פירושו כי אדם אחר ראה את המעשה, כי אם הגדרת מצב בו המעשה נעשה בפני אדם אחר. הואיל והמתלוננת הגיחה מאחורי הנאשם ולמעשה הפתיעה אותו, הרי שלא ניתן לטעון כי המעשה בוצע בפני אדם אחר.</w:t>
      </w:r>
    </w:p>
    <w:p w14:paraId="5DFB948F" w14:textId="77777777" w:rsidR="001E7103" w:rsidRDefault="00411614">
      <w:pPr>
        <w:numPr>
          <w:ilvl w:val="1"/>
          <w:numId w:val="1"/>
        </w:numPr>
        <w:spacing w:after="120" w:line="360" w:lineRule="auto"/>
        <w:jc w:val="both"/>
        <w:rPr>
          <w:rtl/>
        </w:rPr>
      </w:pPr>
      <w:r>
        <w:rPr>
          <w:rFonts w:hint="cs"/>
          <w:rtl/>
        </w:rPr>
        <w:t>העובדה כי חברתה של המתלוננת לא זומנה לחקירת משטרתית מחייבת מסקנות לחובת התביעה ומקימה את דוקטרינת הנזק הראייתי.</w:t>
      </w:r>
    </w:p>
    <w:p w14:paraId="177F14C8" w14:textId="77777777" w:rsidR="001E7103" w:rsidRDefault="00411614">
      <w:pPr>
        <w:numPr>
          <w:ilvl w:val="1"/>
          <w:numId w:val="1"/>
        </w:numPr>
        <w:spacing w:after="120" w:line="360" w:lineRule="auto"/>
        <w:jc w:val="both"/>
        <w:rPr>
          <w:rtl/>
        </w:rPr>
      </w:pPr>
      <w:r>
        <w:rPr>
          <w:rFonts w:hint="cs"/>
          <w:rtl/>
        </w:rPr>
        <w:t xml:space="preserve">במישור הנפשי- היעדר מודעות הנאשם לכך כי מעשיו היו בפומבי וכי נעשו בפני אחר, שומט את הקרקע תחת האפשרות לבסס את הרשעת הנאשם. </w:t>
      </w:r>
    </w:p>
    <w:p w14:paraId="014D068A" w14:textId="77777777" w:rsidR="001E7103" w:rsidRDefault="00411614">
      <w:pPr>
        <w:numPr>
          <w:ilvl w:val="1"/>
          <w:numId w:val="1"/>
        </w:numPr>
        <w:spacing w:after="120" w:line="360" w:lineRule="auto"/>
        <w:jc w:val="both"/>
        <w:rPr>
          <w:rtl/>
        </w:rPr>
      </w:pPr>
      <w:r>
        <w:rPr>
          <w:rFonts w:hint="cs"/>
          <w:rtl/>
        </w:rPr>
        <w:t xml:space="preserve">בנסיבות העניין, טוען ב"כ הסנגור, אף אם יוכח כי נתקיימו כל יסודות העבירה, הרי שבענייננו עומדת לנאשם הגנה של זוטי דברים ו/ או טעות במצב הדברים באשר הנאשם טעה טעות כנה וסבירה משסבר כי לא רואים אותו ולא יכולים לראותו בשעת המעשה וכי המקום הוא מקום פומבי. </w:t>
      </w:r>
    </w:p>
    <w:p w14:paraId="0300935C" w14:textId="77777777" w:rsidR="001E7103" w:rsidRDefault="001E7103">
      <w:pPr>
        <w:spacing w:after="120" w:line="360" w:lineRule="auto"/>
        <w:rPr>
          <w:rtl/>
        </w:rPr>
      </w:pPr>
    </w:p>
    <w:p w14:paraId="4821DEE1" w14:textId="77777777" w:rsidR="001E7103" w:rsidRDefault="00411614">
      <w:pPr>
        <w:spacing w:after="120" w:line="360" w:lineRule="auto"/>
        <w:rPr>
          <w:b/>
          <w:bCs/>
          <w:u w:val="single"/>
          <w:rtl/>
        </w:rPr>
      </w:pPr>
      <w:r>
        <w:rPr>
          <w:rFonts w:hint="cs"/>
          <w:b/>
          <w:bCs/>
          <w:u w:val="single"/>
          <w:rtl/>
        </w:rPr>
        <w:t>דיון</w:t>
      </w:r>
    </w:p>
    <w:p w14:paraId="56703464" w14:textId="77777777" w:rsidR="001E7103" w:rsidRDefault="001E7103">
      <w:pPr>
        <w:spacing w:after="120" w:line="360" w:lineRule="auto"/>
        <w:rPr>
          <w:b/>
          <w:bCs/>
          <w:u w:val="single"/>
          <w:rtl/>
        </w:rPr>
      </w:pPr>
    </w:p>
    <w:p w14:paraId="2996B8F8" w14:textId="77777777" w:rsidR="001E7103" w:rsidRDefault="00411614">
      <w:pPr>
        <w:spacing w:after="120" w:line="360" w:lineRule="auto"/>
        <w:rPr>
          <w:b/>
          <w:bCs/>
          <w:rtl/>
        </w:rPr>
      </w:pPr>
      <w:r>
        <w:rPr>
          <w:rFonts w:hint="cs"/>
          <w:b/>
          <w:bCs/>
          <w:rtl/>
        </w:rPr>
        <w:t>הפן העובדתי</w:t>
      </w:r>
    </w:p>
    <w:p w14:paraId="1642D75D" w14:textId="77777777" w:rsidR="001E7103" w:rsidRDefault="00411614">
      <w:pPr>
        <w:spacing w:after="120" w:line="360" w:lineRule="auto"/>
        <w:ind w:left="720" w:hanging="720"/>
        <w:jc w:val="both"/>
        <w:rPr>
          <w:rtl/>
        </w:rPr>
      </w:pPr>
      <w:r>
        <w:rPr>
          <w:rFonts w:hint="cs"/>
          <w:rtl/>
        </w:rPr>
        <w:t>16.</w:t>
      </w:r>
      <w:r>
        <w:rPr>
          <w:rFonts w:hint="cs"/>
          <w:rtl/>
        </w:rPr>
        <w:tab/>
        <w:t>הצדדים אינם חלוקים על עצם עשיית המעשה המגונה ברכב הנאשם. המחלוקת העובדתית סבה בעיקרה על הסוגיות לקמן:</w:t>
      </w:r>
    </w:p>
    <w:p w14:paraId="1D4CD963" w14:textId="77777777" w:rsidR="001E7103" w:rsidRDefault="00411614">
      <w:pPr>
        <w:spacing w:after="120" w:line="360" w:lineRule="auto"/>
        <w:ind w:left="1440" w:hanging="360"/>
        <w:jc w:val="both"/>
        <w:rPr>
          <w:rtl/>
        </w:rPr>
      </w:pPr>
      <w:r>
        <w:rPr>
          <w:rFonts w:hint="cs"/>
          <w:rtl/>
        </w:rPr>
        <w:t>א.</w:t>
      </w:r>
      <w:r>
        <w:rPr>
          <w:rFonts w:hint="cs"/>
          <w:rtl/>
        </w:rPr>
        <w:tab/>
        <w:t xml:space="preserve">האם הנאשם ביצע את המעשה המגונה כאשר עצר את רכבו בצד הדרך, כפי גרסתו, או שמא המעשה בוצע תוך כדי נסיעה איטית במהלכה הבחין הנאשם במתלוננת, וזאת כפי גרסת התביעה. </w:t>
      </w:r>
    </w:p>
    <w:p w14:paraId="283C7333" w14:textId="77777777" w:rsidR="001E7103" w:rsidRDefault="00411614">
      <w:pPr>
        <w:spacing w:after="120" w:line="360" w:lineRule="auto"/>
        <w:ind w:left="1440" w:hanging="360"/>
        <w:jc w:val="both"/>
        <w:rPr>
          <w:rtl/>
        </w:rPr>
      </w:pPr>
      <w:r>
        <w:rPr>
          <w:rFonts w:hint="cs"/>
          <w:rtl/>
        </w:rPr>
        <w:t>ב.</w:t>
      </w:r>
      <w:r>
        <w:rPr>
          <w:rFonts w:hint="cs"/>
          <w:rtl/>
        </w:rPr>
        <w:tab/>
        <w:t xml:space="preserve">האם המתלוננת, אכן ראתה את איבר מינו של הנאשם, כפי שמסרה לראשונה במסגרת חקירתה הנגדית ובתשובה לשאלת בית המשפט. </w:t>
      </w:r>
    </w:p>
    <w:p w14:paraId="321C22E7" w14:textId="77777777" w:rsidR="001E7103" w:rsidRDefault="00411614">
      <w:pPr>
        <w:spacing w:after="120" w:line="360" w:lineRule="auto"/>
        <w:ind w:left="720" w:hanging="720"/>
        <w:jc w:val="both"/>
        <w:rPr>
          <w:rtl/>
        </w:rPr>
      </w:pPr>
      <w:r>
        <w:rPr>
          <w:rFonts w:hint="cs"/>
          <w:rtl/>
        </w:rPr>
        <w:t>17.</w:t>
      </w:r>
      <w:r>
        <w:rPr>
          <w:rFonts w:hint="cs"/>
          <w:rtl/>
        </w:rPr>
        <w:tab/>
        <w:t>טענת המאשימה הינה, כי הנאשם הגיח עם רכבו בתנועה איטית מאחורי המתלוננת שעה שביצע את המעשה המגונה ברכבו, כך שלא יכול היה לפסוח על נוכחותה. מאידך, טוען הנאשם כי ביצע את המעשה המגונה לאחר שעצר את רכבו בצד הדרך וכי המתלוננת היא היא שהגיחה מאחוריו.</w:t>
      </w:r>
    </w:p>
    <w:p w14:paraId="7C73B44F" w14:textId="77777777" w:rsidR="001E7103" w:rsidRDefault="00411614">
      <w:pPr>
        <w:spacing w:after="120" w:line="360" w:lineRule="auto"/>
        <w:ind w:left="720"/>
        <w:rPr>
          <w:rtl/>
        </w:rPr>
      </w:pPr>
      <w:r>
        <w:rPr>
          <w:rFonts w:hint="cs"/>
          <w:rtl/>
        </w:rPr>
        <w:t>גרסת הנאשם מתיישבת יותר עם חומר הראיות המונח בפניי, שכן הן כפי גרסתו והן כפי גרסת המתלוננת, עת הבחין הנאשם במתלוננת נמלט מהמקום כשהוא נוסע ברוורס לאחור [ר' עמ' 6, ש' 2-3 לפרוטוקול, עמ' 7 ש' 23 לפרוטוקול, עמ' 8, ש' 2-3, 15 עמ' 14, ש' 21-22 לפרוטוקול]. הדעת נותנת כי לו אכן היה הנאשם בנסיעה בעת ביצוע המעשה או אז, כאשר הבחין במתלוננת, מבכר היה להמשיך בנסיעה מהירה לפנים, עם כיוון נסיעתו, שהרי כל מטרתו הייתה להימלט מהמקום בשל הבושה שעטתה אותו שעה שהבין כי הבחינה בו המתלוננת בשעת מעשה. דברים אלו מקבלים חיזוק אף מגרסת המתלוננת עצמה, אשר ציינה בעדותה כי אין היא זוכרת האם עצר הנאשם את רכבו או שמא היה בתנועה איטית, אם כי הטעימה כי הבחין בה ובחברתה [ר'  עמ' 8, ש' 22-23 לפרוטוקול].</w:t>
      </w:r>
    </w:p>
    <w:p w14:paraId="7DD923F8" w14:textId="77777777" w:rsidR="001E7103" w:rsidRDefault="00411614">
      <w:pPr>
        <w:spacing w:after="120" w:line="360" w:lineRule="auto"/>
        <w:ind w:left="720"/>
        <w:rPr>
          <w:rtl/>
        </w:rPr>
      </w:pPr>
      <w:r>
        <w:rPr>
          <w:rFonts w:hint="cs"/>
          <w:rtl/>
        </w:rPr>
        <w:t xml:space="preserve">יצוין כי השאלה האם הנאשם היה בנסיעה בעת ביצוע המעשה אם לאו נעדרת נפקות בענייננו באשר אין בה כדי להשליך על התוצאה הסופית, כפי שיבואר להלן. </w:t>
      </w:r>
    </w:p>
    <w:p w14:paraId="0E45E93E" w14:textId="77777777" w:rsidR="001E7103" w:rsidRDefault="00411614">
      <w:pPr>
        <w:spacing w:after="120" w:line="360" w:lineRule="auto"/>
        <w:ind w:left="720" w:hanging="720"/>
        <w:jc w:val="both"/>
        <w:rPr>
          <w:rtl/>
        </w:rPr>
      </w:pPr>
      <w:r>
        <w:rPr>
          <w:rFonts w:hint="cs"/>
          <w:rtl/>
        </w:rPr>
        <w:t>18.</w:t>
      </w:r>
      <w:r>
        <w:rPr>
          <w:rFonts w:hint="cs"/>
          <w:rtl/>
        </w:rPr>
        <w:tab/>
        <w:t xml:space="preserve">באשר לשאלה האם הנאשם חשף את איבר מינו  כאשר ביצע את המעשה המגונה, אם לאו- הרי שמדובר בגרסה אותה מסרה המתלוננת לראשונה בבית המשפט שלא מיוזמתה כי אם בתשובה לשאלת בית המשפט בעניין. הגם שמגרסת אימה של המתלוננת ניתן ללמוד כי המתלוננת ראתה את איבר מינו של הנאשם, העובדה כי בגרסת אם המתלוננת במשטרה מסרה האם כי ביתה אמרה לה כי הנאשם ניסה לדבר איתה, פרט אותו הכחישה המתלוננת בעדותה שלה, בהצטרף לעובדה כי המתלוננת לא מסרה פרט זה בשום שלב של ההליך זולת בתשובה לשאלה ישירה מאת בית המשפט, מעיבות על האפשרות לקבוע מעל לכל ספק סביר כי אכן כך היה. </w:t>
      </w:r>
    </w:p>
    <w:p w14:paraId="2B11A4A6" w14:textId="77777777" w:rsidR="001E7103" w:rsidRDefault="001E7103">
      <w:pPr>
        <w:spacing w:after="120" w:line="360" w:lineRule="auto"/>
        <w:rPr>
          <w:rtl/>
        </w:rPr>
      </w:pPr>
    </w:p>
    <w:p w14:paraId="5EE645D3" w14:textId="77777777" w:rsidR="001E7103" w:rsidRDefault="001E7103">
      <w:pPr>
        <w:spacing w:after="120" w:line="360" w:lineRule="auto"/>
        <w:rPr>
          <w:rtl/>
        </w:rPr>
      </w:pPr>
    </w:p>
    <w:p w14:paraId="4311A178" w14:textId="77777777" w:rsidR="001E7103" w:rsidRDefault="001E7103">
      <w:pPr>
        <w:spacing w:after="120" w:line="360" w:lineRule="auto"/>
        <w:rPr>
          <w:rtl/>
        </w:rPr>
      </w:pPr>
    </w:p>
    <w:p w14:paraId="166C4F10" w14:textId="77777777" w:rsidR="001E7103" w:rsidRDefault="00411614">
      <w:pPr>
        <w:spacing w:after="120" w:line="360" w:lineRule="auto"/>
        <w:rPr>
          <w:b/>
          <w:bCs/>
          <w:rtl/>
        </w:rPr>
      </w:pPr>
      <w:r>
        <w:rPr>
          <w:rFonts w:hint="cs"/>
          <w:b/>
          <w:bCs/>
          <w:rtl/>
        </w:rPr>
        <w:t>הפן המשפטי</w:t>
      </w:r>
    </w:p>
    <w:p w14:paraId="5421E3D1" w14:textId="77777777" w:rsidR="001E7103" w:rsidRDefault="001E7103">
      <w:pPr>
        <w:spacing w:after="120" w:line="360" w:lineRule="auto"/>
        <w:rPr>
          <w:b/>
          <w:bCs/>
          <w:rtl/>
        </w:rPr>
      </w:pPr>
    </w:p>
    <w:p w14:paraId="332D9BF3" w14:textId="77777777" w:rsidR="001E7103" w:rsidRDefault="00411614">
      <w:pPr>
        <w:spacing w:after="120" w:line="360" w:lineRule="auto"/>
        <w:ind w:left="720" w:hanging="720"/>
        <w:jc w:val="both"/>
        <w:rPr>
          <w:b/>
          <w:bCs/>
          <w:rtl/>
        </w:rPr>
      </w:pPr>
      <w:r>
        <w:rPr>
          <w:rFonts w:hint="cs"/>
          <w:rtl/>
        </w:rPr>
        <w:t>19.</w:t>
      </w:r>
      <w:r>
        <w:rPr>
          <w:rFonts w:hint="cs"/>
          <w:rtl/>
        </w:rPr>
        <w:tab/>
        <w:t xml:space="preserve">סעיף </w:t>
      </w:r>
      <w:hyperlink r:id="rId20" w:history="1">
        <w:r w:rsidR="00500AD3" w:rsidRPr="00500AD3">
          <w:rPr>
            <w:color w:val="0000FF"/>
            <w:u w:val="single"/>
            <w:rtl/>
          </w:rPr>
          <w:t>349 (</w:t>
        </w:r>
        <w:r w:rsidR="00500AD3" w:rsidRPr="00500AD3">
          <w:rPr>
            <w:rFonts w:hint="eastAsia"/>
            <w:color w:val="0000FF"/>
            <w:u w:val="single"/>
            <w:rtl/>
          </w:rPr>
          <w:t>א</w:t>
        </w:r>
        <w:r w:rsidR="00500AD3" w:rsidRPr="00500AD3">
          <w:rPr>
            <w:color w:val="0000FF"/>
            <w:u w:val="single"/>
            <w:rtl/>
          </w:rPr>
          <w:t>)</w:t>
        </w:r>
      </w:hyperlink>
      <w:r>
        <w:rPr>
          <w:rFonts w:hint="cs"/>
          <w:rtl/>
        </w:rPr>
        <w:t xml:space="preserve"> ל</w:t>
      </w:r>
      <w:hyperlink r:id="rId21"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קובע כהאי לישנא: </w:t>
      </w:r>
      <w:r>
        <w:rPr>
          <w:rFonts w:hint="cs"/>
          <w:b/>
          <w:bCs/>
          <w:rtl/>
        </w:rPr>
        <w:t>"</w:t>
      </w:r>
      <w:r>
        <w:rPr>
          <w:rFonts w:hint="cs"/>
          <w:b/>
          <w:bCs/>
          <w:u w:val="single"/>
          <w:rtl/>
        </w:rPr>
        <w:t>העושה מעשה מגונה בפומבי בפני אדם אחר, ללא הסכמתו,</w:t>
      </w:r>
      <w:r>
        <w:rPr>
          <w:rFonts w:hint="cs"/>
          <w:b/>
          <w:bCs/>
          <w:rtl/>
        </w:rPr>
        <w:t xml:space="preserve"> או העושה מעשה כאמור בכל מקום שהוא תוך ניצול יחסי תלות, מרות, חינוך, השגחה, עבודה או שירות, דינו- מאסר שנה." </w:t>
      </w:r>
    </w:p>
    <w:p w14:paraId="77C476A4" w14:textId="77777777" w:rsidR="001E7103" w:rsidRDefault="00411614">
      <w:pPr>
        <w:spacing w:after="120" w:line="360" w:lineRule="auto"/>
        <w:ind w:left="720"/>
        <w:rPr>
          <w:b/>
          <w:bCs/>
        </w:rPr>
      </w:pPr>
      <w:r>
        <w:rPr>
          <w:rFonts w:hint="cs"/>
          <w:rtl/>
        </w:rPr>
        <w:t xml:space="preserve">אין חולק כי המעשה אותו ביצע הנאשם מהווה מעשה מגונה כהגדרתו בחוק. סלע המחלוקת בענייננו נסב סביב שאלת התקיימות היסודות "בפומבי" ו"בפני אדם אחר" שבעבירה. </w:t>
      </w:r>
    </w:p>
    <w:p w14:paraId="470868B7" w14:textId="77777777" w:rsidR="001E7103" w:rsidRDefault="00411614">
      <w:pPr>
        <w:spacing w:after="120" w:line="360" w:lineRule="auto"/>
        <w:ind w:left="360"/>
        <w:rPr>
          <w:b/>
          <w:bCs/>
        </w:rPr>
      </w:pPr>
      <w:r>
        <w:rPr>
          <w:rFonts w:hint="cs"/>
          <w:b/>
          <w:bCs/>
          <w:rtl/>
        </w:rPr>
        <w:tab/>
      </w:r>
    </w:p>
    <w:p w14:paraId="28A60721" w14:textId="77777777" w:rsidR="001E7103" w:rsidRDefault="00411614">
      <w:pPr>
        <w:spacing w:after="120" w:line="360" w:lineRule="auto"/>
        <w:ind w:left="720"/>
        <w:rPr>
          <w:b/>
          <w:bCs/>
          <w:rtl/>
        </w:rPr>
      </w:pPr>
      <w:r>
        <w:rPr>
          <w:rFonts w:hint="cs"/>
          <w:rtl/>
        </w:rPr>
        <w:t xml:space="preserve">המונח "פומבי" הוגדר </w:t>
      </w:r>
      <w:hyperlink r:id="rId22" w:history="1">
        <w:r w:rsidR="00500AD3" w:rsidRPr="00500AD3">
          <w:rPr>
            <w:rFonts w:hint="eastAsia"/>
            <w:color w:val="0000FF"/>
            <w:u w:val="single"/>
            <w:rtl/>
          </w:rPr>
          <w:t>בסעיף</w:t>
        </w:r>
        <w:r w:rsidR="00500AD3" w:rsidRPr="00500AD3">
          <w:rPr>
            <w:color w:val="0000FF"/>
            <w:u w:val="single"/>
            <w:rtl/>
          </w:rPr>
          <w:t xml:space="preserve"> 34</w:t>
        </w:r>
        <w:r w:rsidR="00500AD3" w:rsidRPr="00500AD3">
          <w:rPr>
            <w:rFonts w:hint="eastAsia"/>
            <w:color w:val="0000FF"/>
            <w:u w:val="single"/>
            <w:rtl/>
          </w:rPr>
          <w:t>כד</w:t>
        </w:r>
      </w:hyperlink>
      <w:r>
        <w:rPr>
          <w:rFonts w:hint="cs"/>
          <w:rtl/>
        </w:rPr>
        <w:t xml:space="preserve"> ל</w:t>
      </w:r>
      <w:hyperlink r:id="rId23"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הוא סעיף ההגדרות, כהאי לישנא": </w:t>
      </w:r>
      <w:r>
        <w:rPr>
          <w:rFonts w:hint="cs"/>
          <w:b/>
          <w:bCs/>
          <w:rtl/>
        </w:rPr>
        <w:t xml:space="preserve">"פומבי", לעניין מעשה- </w:t>
      </w:r>
    </w:p>
    <w:p w14:paraId="046C3DE1" w14:textId="77777777" w:rsidR="001E7103" w:rsidRDefault="00411614">
      <w:pPr>
        <w:numPr>
          <w:ilvl w:val="0"/>
          <w:numId w:val="2"/>
        </w:numPr>
        <w:spacing w:after="120" w:line="360" w:lineRule="auto"/>
        <w:jc w:val="both"/>
        <w:rPr>
          <w:b/>
          <w:bCs/>
          <w:rtl/>
        </w:rPr>
      </w:pPr>
      <w:r>
        <w:rPr>
          <w:rFonts w:hint="cs"/>
          <w:b/>
          <w:bCs/>
          <w:rtl/>
        </w:rPr>
        <w:t>מקום ציבורי, כשאדם יכול לראות את המעשה מכל מקום שהוא;</w:t>
      </w:r>
    </w:p>
    <w:p w14:paraId="478E9FC1" w14:textId="77777777" w:rsidR="001E7103" w:rsidRDefault="00411614">
      <w:pPr>
        <w:numPr>
          <w:ilvl w:val="0"/>
          <w:numId w:val="2"/>
        </w:numPr>
        <w:spacing w:after="120" w:line="360" w:lineRule="auto"/>
        <w:jc w:val="both"/>
        <w:rPr>
          <w:b/>
          <w:bCs/>
          <w:rtl/>
        </w:rPr>
      </w:pPr>
      <w:r>
        <w:rPr>
          <w:rFonts w:hint="cs"/>
          <w:b/>
          <w:bCs/>
          <w:rtl/>
        </w:rPr>
        <w:t>מקום שאינו ציבורי, ובלבד שאדם המצוי במקום ציבורי יכול לראות את המעשה"</w:t>
      </w:r>
    </w:p>
    <w:p w14:paraId="45937FBC" w14:textId="77777777" w:rsidR="001E7103" w:rsidRDefault="001E7103">
      <w:pPr>
        <w:spacing w:after="120" w:line="360" w:lineRule="auto"/>
        <w:ind w:left="360"/>
        <w:rPr>
          <w:b/>
          <w:bCs/>
        </w:rPr>
      </w:pPr>
    </w:p>
    <w:p w14:paraId="46983A38" w14:textId="77777777" w:rsidR="001E7103" w:rsidRDefault="00411614">
      <w:pPr>
        <w:spacing w:after="120" w:line="360" w:lineRule="auto"/>
        <w:ind w:left="720"/>
        <w:rPr>
          <w:b/>
          <w:bCs/>
          <w:rtl/>
        </w:rPr>
      </w:pPr>
      <w:r>
        <w:rPr>
          <w:rFonts w:hint="cs"/>
          <w:rtl/>
        </w:rPr>
        <w:t xml:space="preserve">המונח "מקום ציבורי" מוגדר אף הוא </w:t>
      </w:r>
      <w:hyperlink r:id="rId24" w:history="1">
        <w:r w:rsidR="00500AD3" w:rsidRPr="00500AD3">
          <w:rPr>
            <w:rFonts w:hint="eastAsia"/>
            <w:color w:val="0000FF"/>
            <w:u w:val="single"/>
            <w:rtl/>
          </w:rPr>
          <w:t>בסעיף</w:t>
        </w:r>
        <w:r w:rsidR="00500AD3" w:rsidRPr="00500AD3">
          <w:rPr>
            <w:color w:val="0000FF"/>
            <w:u w:val="single"/>
            <w:rtl/>
          </w:rPr>
          <w:t xml:space="preserve"> 34</w:t>
        </w:r>
        <w:r w:rsidR="00500AD3" w:rsidRPr="00500AD3">
          <w:rPr>
            <w:rFonts w:hint="eastAsia"/>
            <w:color w:val="0000FF"/>
            <w:u w:val="single"/>
            <w:rtl/>
          </w:rPr>
          <w:t>כד</w:t>
        </w:r>
      </w:hyperlink>
      <w:r>
        <w:rPr>
          <w:rFonts w:hint="cs"/>
          <w:rtl/>
        </w:rPr>
        <w:t xml:space="preserve"> ל</w:t>
      </w:r>
      <w:hyperlink r:id="rId25"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כדלקמן: </w:t>
      </w:r>
      <w:r>
        <w:rPr>
          <w:rFonts w:hint="cs"/>
          <w:b/>
          <w:bCs/>
          <w:rtl/>
        </w:rPr>
        <w:t>" "מקום ציבורי"- דרך, בניין, מקום או אמצעי תעבורה שיש אותה שעה לציבור זכות או רשות של גישה אליהם, בלא תנאי או בתנאי של תשלום, וכל בניין או מקום המשמש אותה שעה להתקהלות ציבורית או דתית או לבית המשפט היושב בפומבי"</w:t>
      </w:r>
    </w:p>
    <w:p w14:paraId="58FE57E6" w14:textId="77777777" w:rsidR="001E7103" w:rsidRDefault="001E7103">
      <w:pPr>
        <w:spacing w:after="120" w:line="360" w:lineRule="auto"/>
        <w:ind w:left="360"/>
        <w:rPr>
          <w:b/>
          <w:bCs/>
          <w:rtl/>
        </w:rPr>
      </w:pPr>
    </w:p>
    <w:p w14:paraId="307EFF6D" w14:textId="77777777" w:rsidR="001E7103" w:rsidRDefault="00411614">
      <w:pPr>
        <w:spacing w:after="120" w:line="360" w:lineRule="auto"/>
        <w:ind w:left="720" w:hanging="720"/>
        <w:jc w:val="both"/>
        <w:rPr>
          <w:rtl/>
        </w:rPr>
      </w:pPr>
      <w:r>
        <w:rPr>
          <w:rFonts w:hint="cs"/>
          <w:rtl/>
        </w:rPr>
        <w:t>20.</w:t>
      </w:r>
      <w:r>
        <w:rPr>
          <w:rFonts w:hint="cs"/>
          <w:rtl/>
        </w:rPr>
        <w:tab/>
        <w:t xml:space="preserve">בעניין הנדון, הנאשם ביצע את המעשה המגונה המיוחס לו ברכבו הפרטי, וברי כי אין המדובר במקום ציבורי כהגדרתו בחוק. הלכך, יש לבחון שמא חלה בענייננו החלופה השנייה בהגדרת המונח "פומבי", לאמור האם מאן דהוא המצוי במקום ציבורי יכול היה לראות את המעשה אותו ביצע הנאשם ברכבו. </w:t>
      </w:r>
    </w:p>
    <w:p w14:paraId="1319CF84" w14:textId="77777777" w:rsidR="001E7103" w:rsidRDefault="00411614">
      <w:pPr>
        <w:spacing w:after="120" w:line="360" w:lineRule="auto"/>
        <w:ind w:left="720"/>
        <w:rPr>
          <w:rtl/>
        </w:rPr>
      </w:pPr>
      <w:r>
        <w:rPr>
          <w:rFonts w:hint="cs"/>
          <w:rtl/>
        </w:rPr>
        <w:t xml:space="preserve">אין חולק כי הנאשם ביצע את המעשה המגונה בעודו ברכב ברחוב ראשי [ר' עמ' 15, ש' 15-16 לפרוטוקול] וברי כי אותו רחוב הינו מקום ציבורי כהגדרתו בחוק, באשר ניתן להניח כי נמצאים בו או עשויים להימצא בו פרטים אחרים להם זכות או רשות של גישה לרחוב זה ללא הגבלה. ולראיה, המתלוננת וחברתה עברו ברחוב בו שהה הנאשם וכן אם המתלוננת הגיעה למקום ברכבה. העובדה כי המתלוננת הבחינה במעשה הנאשם מעידה, מיניה וביה, כי עובר אורח באותו רחוב יכול היה לראות את המעשה. לפיכך, אף אם המקום היה חשוך הואיל ושני פנסי רחוב לא פעלו אותה עת, כפי גרסת הנאשם [ר' עמ' 16, ש' 19-20 לפרוטוקול], הרי שניתן לקבוע כי מתקיימת החלופה השנייה בהגדרת המונח "פומבי" כאמור לעיל. </w:t>
      </w:r>
    </w:p>
    <w:p w14:paraId="603AC967" w14:textId="77777777" w:rsidR="001E7103" w:rsidRDefault="00411614">
      <w:pPr>
        <w:spacing w:after="120" w:line="360" w:lineRule="auto"/>
        <w:ind w:left="720"/>
        <w:rPr>
          <w:rtl/>
        </w:rPr>
      </w:pPr>
      <w:r>
        <w:rPr>
          <w:rFonts w:hint="cs"/>
          <w:rtl/>
        </w:rPr>
        <w:t xml:space="preserve">לאור האמור, הרי שמתקיים הרכיב "בפומבי" של היסוד העובדתי של העבירה. </w:t>
      </w:r>
    </w:p>
    <w:p w14:paraId="4A4D5513" w14:textId="77777777" w:rsidR="001E7103" w:rsidRDefault="00411614">
      <w:pPr>
        <w:spacing w:after="120" w:line="360" w:lineRule="auto"/>
        <w:ind w:left="720" w:hanging="720"/>
        <w:jc w:val="both"/>
        <w:rPr>
          <w:rtl/>
        </w:rPr>
      </w:pPr>
      <w:r>
        <w:rPr>
          <w:rFonts w:hint="cs"/>
          <w:rtl/>
        </w:rPr>
        <w:t>21.</w:t>
      </w:r>
      <w:r>
        <w:rPr>
          <w:rFonts w:hint="cs"/>
          <w:rtl/>
        </w:rPr>
        <w:tab/>
        <w:t xml:space="preserve">יסוד נוסף בעבירה, המצוי אף הוא בגדר המחלוקת, הינו היסוד "בפני אדם אחר". קדמי בספרו על הדין בפלילים, התייחס להגדרת יסוד זה וציין כדלקמן: </w:t>
      </w:r>
      <w:r>
        <w:rPr>
          <w:rFonts w:hint="cs"/>
          <w:b/>
          <w:bCs/>
          <w:rtl/>
        </w:rPr>
        <w:t xml:space="preserve">"אין נפקא מינה, אם ה"אחר" הינו זכר או נקבה; ונראה שאף לא אם "רואה" את המעשה אם לאו. די, לכאורה, בעשיית המעשה "בפניו", בין שהוא נותן לכך דעתו ובין אם לאו; כאשר "בפניו"- כך נראה- מדבר ב"נוכחות קרובה" המאפשרת ראייה בפועל (ודי בהימצאות ב"טווח ראיה")" </w:t>
      </w:r>
      <w:r>
        <w:rPr>
          <w:rFonts w:hint="cs"/>
          <w:rtl/>
        </w:rPr>
        <w:t xml:space="preserve">[ר' י. קדמי, </w:t>
      </w:r>
      <w:r>
        <w:rPr>
          <w:rFonts w:hint="cs"/>
          <w:b/>
          <w:bCs/>
          <w:rtl/>
        </w:rPr>
        <w:t>"על הדין בפלילים"</w:t>
      </w:r>
      <w:r>
        <w:rPr>
          <w:rFonts w:hint="cs"/>
          <w:rtl/>
        </w:rPr>
        <w:t>, מהדורה מעודכנת, תשס"ו 2006, בעמ' 1433].</w:t>
      </w:r>
    </w:p>
    <w:p w14:paraId="13C59FE2" w14:textId="77777777" w:rsidR="001E7103" w:rsidRDefault="00411614">
      <w:pPr>
        <w:spacing w:after="120" w:line="360" w:lineRule="auto"/>
        <w:ind w:left="720"/>
        <w:rPr>
          <w:rtl/>
        </w:rPr>
      </w:pPr>
      <w:r>
        <w:rPr>
          <w:rFonts w:hint="cs"/>
          <w:rtl/>
        </w:rPr>
        <w:t xml:space="preserve">לאמור, די בפוטנציאל כי האחר עלול להימצא בנוכחות קרובה המאפשרת ראייה בפועל, או למצער הימצאות בטווחה ראייה לצורך התקיימות יסוד זה בעבירה, וזאת אף אם בפועל לא ראה מאן דהוא את המעשה. </w:t>
      </w:r>
    </w:p>
    <w:p w14:paraId="1F935CBF" w14:textId="77777777" w:rsidR="001E7103" w:rsidRDefault="00411614">
      <w:pPr>
        <w:spacing w:after="120" w:line="360" w:lineRule="auto"/>
        <w:ind w:left="720"/>
        <w:rPr>
          <w:rtl/>
        </w:rPr>
      </w:pPr>
      <w:r>
        <w:rPr>
          <w:rFonts w:hint="cs"/>
          <w:rtl/>
        </w:rPr>
        <w:t xml:space="preserve">לאור האמור, הרי שדי בכך כי עשויים להיות אנשים ברחוב, בסביבת מיקומו של הנאשם אותה עת בה ביצע את המעשה המגונה, לצורך התקיימות היסוד של "בפני אדם אחר". קביעה זו עולה בקנה אחד עם פרשנותה התכליתית של החקיקה, אשר כוונתה למנוע מצב בו ייחשף אדם בעל כורחו וללא הסכמתו למעשה מגונה שמבצע אחר [ר' </w:t>
      </w:r>
      <w:hyperlink r:id="rId26" w:history="1">
        <w:r w:rsidR="00C8432C" w:rsidRPr="00C8432C">
          <w:rPr>
            <w:rStyle w:val="Hyperlink"/>
            <w:rFonts w:hint="eastAsia"/>
            <w:rtl/>
          </w:rPr>
          <w:t>ת</w:t>
        </w:r>
        <w:r w:rsidR="00C8432C" w:rsidRPr="00C8432C">
          <w:rPr>
            <w:rStyle w:val="Hyperlink"/>
            <w:rtl/>
          </w:rPr>
          <w:t>"</w:t>
        </w:r>
        <w:r w:rsidR="00C8432C" w:rsidRPr="00C8432C">
          <w:rPr>
            <w:rStyle w:val="Hyperlink"/>
            <w:rFonts w:hint="eastAsia"/>
            <w:rtl/>
          </w:rPr>
          <w:t>פ</w:t>
        </w:r>
        <w:r w:rsidR="00C8432C" w:rsidRPr="00C8432C">
          <w:rPr>
            <w:rStyle w:val="Hyperlink"/>
            <w:rtl/>
          </w:rPr>
          <w:t xml:space="preserve"> 6834/06</w:t>
        </w:r>
      </w:hyperlink>
      <w:r>
        <w:rPr>
          <w:rFonts w:hint="cs"/>
          <w:rtl/>
        </w:rPr>
        <w:t xml:space="preserve"> </w:t>
      </w:r>
      <w:r>
        <w:rPr>
          <w:rFonts w:hint="cs"/>
          <w:b/>
          <w:bCs/>
          <w:rtl/>
        </w:rPr>
        <w:t>מדינת ישראל נ' חיון אריה</w:t>
      </w:r>
      <w:r>
        <w:rPr>
          <w:rFonts w:hint="cs"/>
          <w:rtl/>
        </w:rPr>
        <w:t xml:space="preserve"> (פורסם בנבו 5.7.2007)].  </w:t>
      </w:r>
    </w:p>
    <w:p w14:paraId="7359D557" w14:textId="77777777" w:rsidR="001E7103" w:rsidRDefault="001E7103">
      <w:pPr>
        <w:spacing w:after="120" w:line="360" w:lineRule="auto"/>
        <w:ind w:left="720"/>
        <w:rPr>
          <w:rtl/>
        </w:rPr>
      </w:pPr>
    </w:p>
    <w:p w14:paraId="585A4F28" w14:textId="77777777" w:rsidR="001E7103" w:rsidRDefault="00411614">
      <w:pPr>
        <w:spacing w:after="120" w:line="360" w:lineRule="auto"/>
        <w:ind w:left="720"/>
        <w:rPr>
          <w:rtl/>
        </w:rPr>
      </w:pPr>
      <w:r>
        <w:rPr>
          <w:rFonts w:hint="cs"/>
          <w:rtl/>
        </w:rPr>
        <w:t xml:space="preserve">אינני מקבל את טענת ב"כ הנאשם, לפיה משמעות היסוד "בפני אדם אחר" הינה הגדרת מצב בו המעשה נעשה בפני אדם אחר ואין פירושו כי אדם אחר ראה את המעשה, כפי שאירע בעניינה של המתלוננת. הרישא </w:t>
      </w:r>
      <w:hyperlink r:id="rId27" w:history="1">
        <w:r w:rsidR="00500AD3" w:rsidRPr="00500AD3">
          <w:rPr>
            <w:rFonts w:hint="eastAsia"/>
            <w:color w:val="0000FF"/>
            <w:u w:val="single"/>
            <w:rtl/>
          </w:rPr>
          <w:t>לסעיף</w:t>
        </w:r>
        <w:r w:rsidR="00500AD3" w:rsidRPr="00500AD3">
          <w:rPr>
            <w:color w:val="0000FF"/>
            <w:u w:val="single"/>
            <w:rtl/>
          </w:rPr>
          <w:t xml:space="preserve"> 349(</w:t>
        </w:r>
        <w:r w:rsidR="00500AD3" w:rsidRPr="00500AD3">
          <w:rPr>
            <w:rFonts w:hint="eastAsia"/>
            <w:color w:val="0000FF"/>
            <w:u w:val="single"/>
            <w:rtl/>
          </w:rPr>
          <w:t>א</w:t>
        </w:r>
        <w:r w:rsidR="00500AD3" w:rsidRPr="00500AD3">
          <w:rPr>
            <w:color w:val="0000FF"/>
            <w:u w:val="single"/>
            <w:rtl/>
          </w:rPr>
          <w:t>)</w:t>
        </w:r>
      </w:hyperlink>
      <w:r>
        <w:rPr>
          <w:rFonts w:hint="cs"/>
          <w:rtl/>
        </w:rPr>
        <w:t xml:space="preserve"> מתייחסת למקרה של מעשה מגונה הנעשה בפומבי, כאשר העושה אינו מכוון את מעשיו כלפי אדם מסוים דווקא, כי אם די בכך כי אחרים נוכחים במקום ויכולים לראותו, כפי המקרה נשוא כתב האישום. מקום בו המעשה המגונה אינו כולל מגע פיזי בגופו של אדם אחר ברם המעשה מכוון אליו, יבוא הוא בשעריו של </w:t>
      </w:r>
      <w:hyperlink r:id="rId28" w:history="1">
        <w:r w:rsidR="00500AD3" w:rsidRPr="00500AD3">
          <w:rPr>
            <w:rFonts w:hint="eastAsia"/>
            <w:color w:val="0000FF"/>
            <w:u w:val="single"/>
            <w:rtl/>
          </w:rPr>
          <w:t>סעיף</w:t>
        </w:r>
        <w:r w:rsidR="00500AD3" w:rsidRPr="00500AD3">
          <w:rPr>
            <w:color w:val="0000FF"/>
            <w:u w:val="single"/>
            <w:rtl/>
          </w:rPr>
          <w:t xml:space="preserve"> 348</w:t>
        </w:r>
      </w:hyperlink>
      <w:r>
        <w:rPr>
          <w:rFonts w:hint="cs"/>
          <w:rtl/>
        </w:rPr>
        <w:t xml:space="preserve"> ל</w:t>
      </w:r>
      <w:hyperlink r:id="rId29"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[ר' </w:t>
      </w:r>
      <w:hyperlink r:id="rId30" w:history="1">
        <w:r w:rsidR="00C8432C" w:rsidRPr="00C8432C">
          <w:rPr>
            <w:rStyle w:val="Hyperlink"/>
            <w:rFonts w:hint="eastAsia"/>
            <w:rtl/>
          </w:rPr>
          <w:t>ע</w:t>
        </w:r>
        <w:r w:rsidR="00C8432C" w:rsidRPr="00C8432C">
          <w:rPr>
            <w:rStyle w:val="Hyperlink"/>
            <w:rtl/>
          </w:rPr>
          <w:t>"</w:t>
        </w:r>
        <w:r w:rsidR="00C8432C" w:rsidRPr="00C8432C">
          <w:rPr>
            <w:rStyle w:val="Hyperlink"/>
            <w:rFonts w:hint="eastAsia"/>
            <w:rtl/>
          </w:rPr>
          <w:t>פ</w:t>
        </w:r>
        <w:r w:rsidR="00C8432C" w:rsidRPr="00C8432C">
          <w:rPr>
            <w:rStyle w:val="Hyperlink"/>
            <w:rtl/>
          </w:rPr>
          <w:t xml:space="preserve"> 30687/06</w:t>
        </w:r>
      </w:hyperlink>
      <w:r>
        <w:rPr>
          <w:rFonts w:hint="cs"/>
          <w:rtl/>
        </w:rPr>
        <w:t xml:space="preserve"> </w:t>
      </w:r>
      <w:r>
        <w:rPr>
          <w:rFonts w:hint="cs"/>
          <w:b/>
          <w:bCs/>
          <w:rtl/>
        </w:rPr>
        <w:t>אליקים בשן נ' מדינת ישראל</w:t>
      </w:r>
      <w:r>
        <w:rPr>
          <w:rFonts w:hint="cs"/>
          <w:rtl/>
        </w:rPr>
        <w:t xml:space="preserve"> (פורסם בנבו 1.5.2007) ור' גם </w:t>
      </w:r>
      <w:hyperlink r:id="rId31" w:history="1">
        <w:r w:rsidR="00C8432C" w:rsidRPr="00C8432C">
          <w:rPr>
            <w:rStyle w:val="Hyperlink"/>
            <w:rFonts w:hint="eastAsia"/>
            <w:rtl/>
          </w:rPr>
          <w:t>עפ</w:t>
        </w:r>
        <w:r w:rsidR="00C8432C" w:rsidRPr="00C8432C">
          <w:rPr>
            <w:rStyle w:val="Hyperlink"/>
            <w:rtl/>
          </w:rPr>
          <w:t>"</w:t>
        </w:r>
        <w:r w:rsidR="00C8432C" w:rsidRPr="00C8432C">
          <w:rPr>
            <w:rStyle w:val="Hyperlink"/>
            <w:rFonts w:hint="eastAsia"/>
            <w:rtl/>
          </w:rPr>
          <w:t>א</w:t>
        </w:r>
        <w:r w:rsidR="00C8432C" w:rsidRPr="00C8432C">
          <w:rPr>
            <w:rStyle w:val="Hyperlink"/>
            <w:rtl/>
          </w:rPr>
          <w:t xml:space="preserve"> 353/08</w:t>
        </w:r>
      </w:hyperlink>
      <w:r>
        <w:rPr>
          <w:rFonts w:hint="cs"/>
          <w:rtl/>
        </w:rPr>
        <w:t xml:space="preserve"> </w:t>
      </w:r>
      <w:r>
        <w:rPr>
          <w:rFonts w:hint="cs"/>
          <w:b/>
          <w:bCs/>
          <w:rtl/>
        </w:rPr>
        <w:t xml:space="preserve">עלי סלאח אלדין נ' מדינת ישראל </w:t>
      </w:r>
      <w:r>
        <w:rPr>
          <w:rFonts w:hint="cs"/>
          <w:rtl/>
        </w:rPr>
        <w:t xml:space="preserve">(פורסם בנבו 3.3.2009)]. לאמור, באם מעשי הנאשם היו מכוונים אל המתלוננת, או אז היו חוסים מעשיו תחת </w:t>
      </w:r>
      <w:hyperlink r:id="rId32" w:history="1">
        <w:r w:rsidR="00500AD3" w:rsidRPr="00500AD3">
          <w:rPr>
            <w:rFonts w:hint="eastAsia"/>
            <w:color w:val="0000FF"/>
            <w:u w:val="single"/>
            <w:rtl/>
          </w:rPr>
          <w:t>סעיף</w:t>
        </w:r>
        <w:r w:rsidR="00500AD3" w:rsidRPr="00500AD3">
          <w:rPr>
            <w:color w:val="0000FF"/>
            <w:u w:val="single"/>
            <w:rtl/>
          </w:rPr>
          <w:t xml:space="preserve"> 348</w:t>
        </w:r>
      </w:hyperlink>
      <w:r>
        <w:rPr>
          <w:rFonts w:hint="cs"/>
          <w:rtl/>
        </w:rPr>
        <w:t xml:space="preserve"> ל</w:t>
      </w:r>
      <w:hyperlink r:id="rId33"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חלף </w:t>
      </w:r>
      <w:hyperlink r:id="rId34" w:history="1">
        <w:r w:rsidR="00500AD3" w:rsidRPr="00500AD3">
          <w:rPr>
            <w:rFonts w:hint="eastAsia"/>
            <w:color w:val="0000FF"/>
            <w:u w:val="single"/>
            <w:rtl/>
          </w:rPr>
          <w:t>סעיף</w:t>
        </w:r>
        <w:r w:rsidR="00500AD3" w:rsidRPr="00500AD3">
          <w:rPr>
            <w:color w:val="0000FF"/>
            <w:u w:val="single"/>
            <w:rtl/>
          </w:rPr>
          <w:t xml:space="preserve"> 349(</w:t>
        </w:r>
        <w:r w:rsidR="00500AD3" w:rsidRPr="00500AD3">
          <w:rPr>
            <w:rFonts w:hint="eastAsia"/>
            <w:color w:val="0000FF"/>
            <w:u w:val="single"/>
            <w:rtl/>
          </w:rPr>
          <w:t>א</w:t>
        </w:r>
        <w:r w:rsidR="00500AD3" w:rsidRPr="00500AD3">
          <w:rPr>
            <w:color w:val="0000FF"/>
            <w:u w:val="single"/>
            <w:rtl/>
          </w:rPr>
          <w:t>)</w:t>
        </w:r>
      </w:hyperlink>
      <w:r>
        <w:rPr>
          <w:rFonts w:hint="cs"/>
          <w:rtl/>
        </w:rPr>
        <w:t xml:space="preserve"> לחוק.</w:t>
      </w:r>
    </w:p>
    <w:p w14:paraId="1B9BA8BF" w14:textId="77777777" w:rsidR="001E7103" w:rsidRDefault="001E7103">
      <w:pPr>
        <w:spacing w:after="120" w:line="360" w:lineRule="auto"/>
        <w:ind w:left="720"/>
        <w:rPr>
          <w:rtl/>
        </w:rPr>
      </w:pPr>
    </w:p>
    <w:p w14:paraId="3DA55A7D" w14:textId="77777777" w:rsidR="001E7103" w:rsidRDefault="00411614">
      <w:pPr>
        <w:spacing w:after="120" w:line="360" w:lineRule="auto"/>
        <w:ind w:left="720"/>
        <w:rPr>
          <w:rtl/>
        </w:rPr>
      </w:pPr>
      <w:r>
        <w:rPr>
          <w:rFonts w:hint="cs"/>
          <w:rtl/>
        </w:rPr>
        <w:t xml:space="preserve">לאור האמור, הרי שמתקיים גם הרכיב "בפני אדם אחר" של היסוד העובדתי של העבירה. </w:t>
      </w:r>
    </w:p>
    <w:p w14:paraId="0B8D429B" w14:textId="77777777" w:rsidR="001E7103" w:rsidRDefault="001E7103">
      <w:pPr>
        <w:spacing w:after="120" w:line="360" w:lineRule="auto"/>
        <w:rPr>
          <w:rtl/>
        </w:rPr>
      </w:pPr>
    </w:p>
    <w:p w14:paraId="4540FBF1" w14:textId="77777777" w:rsidR="001E7103" w:rsidRDefault="00411614">
      <w:pPr>
        <w:spacing w:after="120" w:line="360" w:lineRule="auto"/>
        <w:rPr>
          <w:b/>
          <w:bCs/>
          <w:rtl/>
        </w:rPr>
      </w:pPr>
      <w:r>
        <w:rPr>
          <w:rFonts w:hint="cs"/>
          <w:b/>
          <w:bCs/>
          <w:rtl/>
        </w:rPr>
        <w:t>היסוד הנפשי</w:t>
      </w:r>
    </w:p>
    <w:p w14:paraId="690E18E7" w14:textId="77777777" w:rsidR="001E7103" w:rsidRDefault="001E7103">
      <w:pPr>
        <w:spacing w:after="120" w:line="360" w:lineRule="auto"/>
        <w:rPr>
          <w:b/>
          <w:bCs/>
          <w:rtl/>
        </w:rPr>
      </w:pPr>
    </w:p>
    <w:p w14:paraId="5CDE3347" w14:textId="77777777" w:rsidR="001E7103" w:rsidRDefault="00411614">
      <w:pPr>
        <w:spacing w:after="120" w:line="360" w:lineRule="auto"/>
        <w:ind w:left="720" w:hanging="720"/>
        <w:jc w:val="both"/>
        <w:rPr>
          <w:rtl/>
        </w:rPr>
      </w:pPr>
      <w:r>
        <w:rPr>
          <w:rFonts w:hint="cs"/>
          <w:rtl/>
        </w:rPr>
        <w:t>22.</w:t>
      </w:r>
      <w:r>
        <w:rPr>
          <w:rFonts w:hint="cs"/>
          <w:rtl/>
        </w:rPr>
        <w:tab/>
        <w:t xml:space="preserve">באין חולק כי הנאשם ביצע מעשה מגונה, כל שנותר הוא להוכיח מודעות לקיום הנסיבות השנויות במחלוקת, לאמור מודעות הנאשם לכך כי מעשיו היו בפומבי וכי נעשו בפני אחר. </w:t>
      </w:r>
    </w:p>
    <w:p w14:paraId="53621112" w14:textId="77777777" w:rsidR="001E7103" w:rsidRDefault="00411614">
      <w:pPr>
        <w:spacing w:after="120" w:line="360" w:lineRule="auto"/>
        <w:ind w:left="720"/>
        <w:rPr>
          <w:rtl/>
        </w:rPr>
      </w:pPr>
      <w:r>
        <w:rPr>
          <w:rFonts w:hint="cs"/>
          <w:rtl/>
        </w:rPr>
        <w:t>הדעת נותנת כי אדם העושה דבר מה כזה או אחר כשהוא ברכבו, בעודו ברחוב ראשי והגם שמדובר במקום חשוך, כפי גרסת הנאשם, אם כי אינו לוטה באפלה מוחלטת,  מודע לכך כי עשויים לעבור במקום עוברי אורח אשר עלולים להבחין במעשיו. כך, גם הנאשם מודע היה כי קיים סיכון שמא מאן דהוא יעבור ברחוב ויבחין במעשיו, שהרי הן במסגרת חקירתו המשטרתית והן במסגרת עדותו בבית המשפט הטעים הנאשם חזור והטעם כי בדק שאין איש בסביבתו, הן עובר לעשיית המעשה המגונה והן במהלך עשייתו [ר' ת/1, ש' 11-12, עמ' 14, ש' 16-17, 20 לפרוטוקול, עמ' 16, ש' 3-5, 11-13 לפרוטוקול]. ללמדך, כי הנאשם ידע אודות הימצאותו במקום בו עלולים לראותו ועל כן הקפיד לוודא כי איש אינו חולף באזור. ידיעה זו מלמדת על מודעות הנאשם לכך כי מעשיו היו בפומבי חרף העובדה כי ביצע את המעשה ברכבו הפרטי, שהרי מודע היה לאפשרות כי אנשים נוספים עשויים לעבור באותו הרחוב, ועל כן כי הרחוב הינו מקום ציבורי. כן, מודע היה כי אותם עוברי אורח עלולים להבחין בו, ועל כן כי אדם המצוי במקום ציבורי עלול לראות את המעשה. בנוסף, מהתנהלות הנאשם ניתן ללמוד גם על מודעותו לכך כי מעשיו נעשו "בפני אדם אחר" כפי הגדרת המונח  כמפורט לעיל, שהרי הנאשם הבחין היטב בפוטנציאל כי מאן דהוא עלול להימצא בנוכחות קרובה לנאשם או בטווח ראייה שאם לא כן, פשיטא כי לא היה מקפיד לבחון ולבדוק כי איש אינו מצוי בסביבתו.</w:t>
      </w:r>
    </w:p>
    <w:p w14:paraId="7435B70D" w14:textId="77777777" w:rsidR="001E7103" w:rsidRDefault="00411614">
      <w:pPr>
        <w:spacing w:after="120" w:line="360" w:lineRule="auto"/>
        <w:ind w:left="720"/>
        <w:rPr>
          <w:rtl/>
        </w:rPr>
      </w:pPr>
      <w:r>
        <w:rPr>
          <w:rFonts w:hint="cs"/>
          <w:rtl/>
        </w:rPr>
        <w:t>לאור האמור, אני קובע כי נתקיים אצל הנאשם היסוד הנפשי הדרוש בעבירה המיוחסת לו.</w:t>
      </w:r>
    </w:p>
    <w:p w14:paraId="4BBC73EB" w14:textId="77777777" w:rsidR="001E7103" w:rsidRDefault="001E7103">
      <w:pPr>
        <w:spacing w:after="120" w:line="360" w:lineRule="auto"/>
        <w:ind w:left="720"/>
        <w:rPr>
          <w:rtl/>
        </w:rPr>
      </w:pPr>
    </w:p>
    <w:p w14:paraId="17B7E480" w14:textId="77777777" w:rsidR="001E7103" w:rsidRDefault="00411614">
      <w:pPr>
        <w:spacing w:after="120" w:line="360" w:lineRule="auto"/>
        <w:rPr>
          <w:b/>
          <w:bCs/>
          <w:rtl/>
        </w:rPr>
      </w:pPr>
      <w:r>
        <w:rPr>
          <w:rFonts w:hint="cs"/>
          <w:b/>
          <w:bCs/>
          <w:rtl/>
        </w:rPr>
        <w:t>הסייגים לאחריות הפלילית</w:t>
      </w:r>
    </w:p>
    <w:p w14:paraId="04C5CC15" w14:textId="77777777" w:rsidR="001E7103" w:rsidRDefault="00411614">
      <w:pPr>
        <w:spacing w:after="120" w:line="360" w:lineRule="auto"/>
        <w:ind w:left="720"/>
        <w:rPr>
          <w:rtl/>
        </w:rPr>
      </w:pPr>
      <w:r>
        <w:rPr>
          <w:rFonts w:hint="cs"/>
          <w:rtl/>
        </w:rPr>
        <w:t xml:space="preserve">הגם שב"כ הנאשם העלה טענה בדבר הסייגים לאחריות הפלילית העומדים, לשיטתו, לימינו של הנאשם, וזאת מבלי לפרט טענותיו כדבעי ולהוכיחן כמתחייב, מצאתי לנכון לדון בשתי ההגנות להן טוען הסנגור. </w:t>
      </w:r>
    </w:p>
    <w:p w14:paraId="33330358" w14:textId="77777777" w:rsidR="001E7103" w:rsidRDefault="001E7103">
      <w:pPr>
        <w:spacing w:after="120" w:line="360" w:lineRule="auto"/>
        <w:rPr>
          <w:b/>
          <w:bCs/>
          <w:rtl/>
        </w:rPr>
      </w:pPr>
    </w:p>
    <w:p w14:paraId="471405E9" w14:textId="77777777" w:rsidR="001E7103" w:rsidRDefault="00411614">
      <w:pPr>
        <w:spacing w:after="120" w:line="360" w:lineRule="auto"/>
        <w:rPr>
          <w:u w:val="single"/>
          <w:rtl/>
        </w:rPr>
      </w:pPr>
      <w:r>
        <w:rPr>
          <w:rFonts w:hint="cs"/>
          <w:u w:val="single"/>
          <w:rtl/>
        </w:rPr>
        <w:t>זוטי דברים</w:t>
      </w:r>
    </w:p>
    <w:p w14:paraId="6633854C" w14:textId="77777777" w:rsidR="001E7103" w:rsidRDefault="001E7103">
      <w:pPr>
        <w:spacing w:after="120" w:line="360" w:lineRule="auto"/>
        <w:rPr>
          <w:u w:val="single"/>
          <w:rtl/>
        </w:rPr>
      </w:pPr>
    </w:p>
    <w:p w14:paraId="618DA3A7" w14:textId="77777777" w:rsidR="001E7103" w:rsidRDefault="00411614">
      <w:pPr>
        <w:spacing w:after="120" w:line="360" w:lineRule="auto"/>
        <w:ind w:left="720" w:hanging="720"/>
        <w:jc w:val="both"/>
        <w:rPr>
          <w:rtl/>
        </w:rPr>
      </w:pPr>
      <w:r>
        <w:rPr>
          <w:rFonts w:hint="cs"/>
          <w:rtl/>
        </w:rPr>
        <w:t>23.</w:t>
      </w:r>
      <w:r>
        <w:rPr>
          <w:rFonts w:hint="cs"/>
          <w:rtl/>
        </w:rPr>
        <w:tab/>
        <w:t xml:space="preserve">סעף </w:t>
      </w:r>
      <w:hyperlink r:id="rId35" w:history="1">
        <w:r w:rsidR="00500AD3" w:rsidRPr="00500AD3">
          <w:rPr>
            <w:color w:val="0000FF"/>
            <w:u w:val="single"/>
            <w:rtl/>
          </w:rPr>
          <w:t>34</w:t>
        </w:r>
        <w:r w:rsidR="00500AD3" w:rsidRPr="00500AD3">
          <w:rPr>
            <w:rFonts w:hint="eastAsia"/>
            <w:color w:val="0000FF"/>
            <w:u w:val="single"/>
            <w:rtl/>
          </w:rPr>
          <w:t>יז</w:t>
        </w:r>
      </w:hyperlink>
      <w:r>
        <w:rPr>
          <w:rFonts w:hint="cs"/>
          <w:rtl/>
        </w:rPr>
        <w:t xml:space="preserve"> ל</w:t>
      </w:r>
      <w:hyperlink r:id="rId36"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קובע כדלקמן:  </w:t>
      </w:r>
      <w:r>
        <w:rPr>
          <w:rFonts w:hint="cs"/>
          <w:b/>
          <w:bCs/>
          <w:rtl/>
        </w:rPr>
        <w:t>"לא יישא אדם באחריות פלילית למעשה אם לאור טיבו של המעשה, נסיבותיו, תוצאותיו והאינטרס הציבורי המעשה הוא קל ערך".</w:t>
      </w:r>
    </w:p>
    <w:p w14:paraId="11CC1EDA" w14:textId="77777777" w:rsidR="001E7103" w:rsidRDefault="00411614">
      <w:pPr>
        <w:spacing w:after="120" w:line="360" w:lineRule="auto"/>
        <w:ind w:left="720"/>
        <w:rPr>
          <w:rtl/>
        </w:rPr>
      </w:pPr>
      <w:r>
        <w:rPr>
          <w:rFonts w:hint="cs"/>
          <w:rtl/>
        </w:rPr>
        <w:t xml:space="preserve">תכלית ההגנה הינה ליטול ממעשה את פליליותו בשל היותו חסר משמעות מן ההיבט של האינטרס הציבורי, וזאת חרף העובדה כי פורמאלית נתקיימו יסודות העבירה [ר' י. קדמי, </w:t>
      </w:r>
      <w:r>
        <w:rPr>
          <w:rFonts w:hint="cs"/>
          <w:b/>
          <w:bCs/>
          <w:rtl/>
        </w:rPr>
        <w:t>"על הדין בפלילים"</w:t>
      </w:r>
      <w:r>
        <w:rPr>
          <w:rFonts w:hint="cs"/>
          <w:rtl/>
        </w:rPr>
        <w:t xml:space="preserve">, מהדורה מעודכנת, תשס"ה 2004, בעמ' 555]. הגנה זו תתקבל רק באותם המקרים בהם אין במעשה עצמו מידה מינימאלית של סכנה לערך החברתי המוגן ואין הוא הולם מבחינה עניינית את המושג של עבירה פלילית [ר' </w:t>
      </w:r>
      <w:hyperlink r:id="rId37" w:history="1">
        <w:r w:rsidR="00C8432C" w:rsidRPr="00C8432C">
          <w:rPr>
            <w:rStyle w:val="Hyperlink"/>
            <w:rFonts w:hint="eastAsia"/>
            <w:rtl/>
          </w:rPr>
          <w:t>ע</w:t>
        </w:r>
        <w:r w:rsidR="00C8432C" w:rsidRPr="00C8432C">
          <w:rPr>
            <w:rStyle w:val="Hyperlink"/>
            <w:rtl/>
          </w:rPr>
          <w:t>"</w:t>
        </w:r>
        <w:r w:rsidR="00C8432C" w:rsidRPr="00C8432C">
          <w:rPr>
            <w:rStyle w:val="Hyperlink"/>
            <w:rFonts w:hint="eastAsia"/>
            <w:rtl/>
          </w:rPr>
          <w:t>פ</w:t>
        </w:r>
        <w:r w:rsidR="00C8432C" w:rsidRPr="00C8432C">
          <w:rPr>
            <w:rStyle w:val="Hyperlink"/>
            <w:rtl/>
          </w:rPr>
          <w:t>(</w:t>
        </w:r>
        <w:r w:rsidR="00C8432C" w:rsidRPr="00C8432C">
          <w:rPr>
            <w:rStyle w:val="Hyperlink"/>
            <w:rFonts w:hint="eastAsia"/>
            <w:rtl/>
          </w:rPr>
          <w:t>ת</w:t>
        </w:r>
        <w:r w:rsidR="00C8432C" w:rsidRPr="00C8432C">
          <w:rPr>
            <w:rStyle w:val="Hyperlink"/>
            <w:rtl/>
          </w:rPr>
          <w:t>"</w:t>
        </w:r>
        <w:r w:rsidR="00C8432C" w:rsidRPr="00C8432C">
          <w:rPr>
            <w:rStyle w:val="Hyperlink"/>
            <w:rFonts w:hint="eastAsia"/>
            <w:rtl/>
          </w:rPr>
          <w:t>א</w:t>
        </w:r>
        <w:r w:rsidR="00C8432C" w:rsidRPr="00C8432C">
          <w:rPr>
            <w:rStyle w:val="Hyperlink"/>
            <w:rtl/>
          </w:rPr>
          <w:t>) 1720/95</w:t>
        </w:r>
      </w:hyperlink>
      <w:r>
        <w:rPr>
          <w:rFonts w:hint="cs"/>
          <w:rtl/>
        </w:rPr>
        <w:t xml:space="preserve"> </w:t>
      </w:r>
      <w:r>
        <w:rPr>
          <w:rFonts w:hint="cs"/>
          <w:b/>
          <w:bCs/>
          <w:rtl/>
        </w:rPr>
        <w:t xml:space="preserve">מדינת ישראל נ' מנשה יוסף </w:t>
      </w:r>
      <w:r>
        <w:rPr>
          <w:rFonts w:hint="cs"/>
          <w:rtl/>
        </w:rPr>
        <w:t xml:space="preserve">(פורסם בנבו 23.10.96)]. לאמור, יש לבחון את חומרת הפגיעה באינטרס הציבורי בעטייה של העבירה, והאם הפגיעה באינטרס הציבורי היא כה פעוטה עד כי פליליות המעשה נאלמת. </w:t>
      </w:r>
    </w:p>
    <w:p w14:paraId="5EC85B39" w14:textId="77777777" w:rsidR="001E7103" w:rsidRDefault="00411614">
      <w:pPr>
        <w:spacing w:after="120" w:line="360" w:lineRule="auto"/>
        <w:ind w:left="720"/>
        <w:rPr>
          <w:rtl/>
        </w:rPr>
      </w:pPr>
      <w:r>
        <w:rPr>
          <w:rFonts w:hint="cs"/>
          <w:rtl/>
        </w:rPr>
        <w:t xml:space="preserve">נהיר, כי העניין הנדון אינו המקרה אשר ראוי שיחסה תחת הגנת זוטי הדברים.  טיב המעשה הינו בדיוק כזה אותו האיסור בחוק נתכוון למנוע, אותו מעשה הותיר חותמו בקרב המתלוננת וחרף נסיבותיו, המעידות על היעדר רצונו של הנאשם כי יבחינו בו בעת ביצוע מעשיו, הרי שבענייננו נפגע הערך החברתי המוגן.  תכלית חקיקת </w:t>
      </w:r>
      <w:hyperlink r:id="rId38" w:history="1">
        <w:r w:rsidR="00500AD3" w:rsidRPr="00500AD3">
          <w:rPr>
            <w:rFonts w:hint="eastAsia"/>
            <w:color w:val="0000FF"/>
            <w:u w:val="single"/>
            <w:rtl/>
          </w:rPr>
          <w:t>סעיף</w:t>
        </w:r>
        <w:r w:rsidR="00500AD3" w:rsidRPr="00500AD3">
          <w:rPr>
            <w:color w:val="0000FF"/>
            <w:u w:val="single"/>
            <w:rtl/>
          </w:rPr>
          <w:t xml:space="preserve"> 349</w:t>
        </w:r>
      </w:hyperlink>
      <w:r>
        <w:rPr>
          <w:rFonts w:hint="cs"/>
          <w:rtl/>
        </w:rPr>
        <w:t xml:space="preserve"> ל</w:t>
      </w:r>
      <w:hyperlink r:id="rId39"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הינה למנוע בדיוק סיטואציה כגון דא,  בה  אדם נקלע, בעל כורחו, למעמד בו אין הוא חפץ והלכך הרי שהקביעה כי לא ניתן להחיל ההגנה במקרה הנדון עולה בקנה אחד עם האינטרס הציבורי, המשקף אף הוא את תכלית דבר החקיקה. </w:t>
      </w:r>
    </w:p>
    <w:p w14:paraId="4760853B" w14:textId="77777777" w:rsidR="001E7103" w:rsidRDefault="00411614">
      <w:pPr>
        <w:spacing w:after="120" w:line="360" w:lineRule="auto"/>
        <w:ind w:left="720"/>
        <w:rPr>
          <w:rtl/>
        </w:rPr>
      </w:pPr>
      <w:r>
        <w:rPr>
          <w:rFonts w:hint="cs"/>
          <w:rtl/>
        </w:rPr>
        <w:t xml:space="preserve">לאור האמור, אני דוחה את טענת ב"כ הנאשם, לפיה עומדת לנאשם הגנת זוטי דברים בשל ביצוע העבירה. </w:t>
      </w:r>
    </w:p>
    <w:p w14:paraId="5CE3F502" w14:textId="77777777" w:rsidR="001E7103" w:rsidRDefault="001E7103">
      <w:pPr>
        <w:spacing w:after="120" w:line="360" w:lineRule="auto"/>
        <w:ind w:left="360"/>
        <w:rPr>
          <w:rtl/>
        </w:rPr>
      </w:pPr>
    </w:p>
    <w:p w14:paraId="303B3FFE" w14:textId="77777777" w:rsidR="001E7103" w:rsidRDefault="00411614">
      <w:pPr>
        <w:spacing w:after="120" w:line="360" w:lineRule="auto"/>
        <w:ind w:left="360"/>
        <w:rPr>
          <w:u w:val="single"/>
          <w:rtl/>
        </w:rPr>
      </w:pPr>
      <w:r>
        <w:rPr>
          <w:rFonts w:hint="cs"/>
          <w:u w:val="single"/>
          <w:rtl/>
        </w:rPr>
        <w:t>טעות במצב הדברים</w:t>
      </w:r>
    </w:p>
    <w:p w14:paraId="6C12CD2F" w14:textId="77777777" w:rsidR="001E7103" w:rsidRDefault="00411614">
      <w:pPr>
        <w:spacing w:after="120" w:line="360" w:lineRule="auto"/>
        <w:ind w:left="720" w:hanging="720"/>
        <w:jc w:val="both"/>
        <w:rPr>
          <w:rtl/>
        </w:rPr>
      </w:pPr>
      <w:r>
        <w:rPr>
          <w:rFonts w:hint="cs"/>
          <w:rtl/>
        </w:rPr>
        <w:t>24.</w:t>
      </w:r>
      <w:r>
        <w:rPr>
          <w:rFonts w:hint="cs"/>
          <w:rtl/>
        </w:rPr>
        <w:tab/>
      </w:r>
      <w:hyperlink r:id="rId40" w:history="1">
        <w:r w:rsidR="00500AD3" w:rsidRPr="00500AD3">
          <w:rPr>
            <w:rFonts w:hint="eastAsia"/>
            <w:color w:val="0000FF"/>
            <w:u w:val="single"/>
            <w:rtl/>
          </w:rPr>
          <w:t>סעיף</w:t>
        </w:r>
        <w:r w:rsidR="00500AD3" w:rsidRPr="00500AD3">
          <w:rPr>
            <w:color w:val="0000FF"/>
            <w:u w:val="single"/>
            <w:rtl/>
          </w:rPr>
          <w:t xml:space="preserve"> 34</w:t>
        </w:r>
        <w:r w:rsidR="00500AD3" w:rsidRPr="00500AD3">
          <w:rPr>
            <w:rFonts w:hint="eastAsia"/>
            <w:color w:val="0000FF"/>
            <w:u w:val="single"/>
            <w:rtl/>
          </w:rPr>
          <w:t>יח</w:t>
        </w:r>
      </w:hyperlink>
      <w:r>
        <w:rPr>
          <w:rFonts w:hint="cs"/>
          <w:rtl/>
        </w:rPr>
        <w:t xml:space="preserve"> ל</w:t>
      </w:r>
      <w:hyperlink r:id="rId41" w:history="1">
        <w:r w:rsidR="00C8432C" w:rsidRPr="00C8432C">
          <w:rPr>
            <w:rStyle w:val="Hyperlink"/>
            <w:rFonts w:hint="eastAsia"/>
            <w:rtl/>
          </w:rPr>
          <w:t>חוק</w:t>
        </w:r>
        <w:r w:rsidR="00C8432C" w:rsidRPr="00C8432C">
          <w:rPr>
            <w:rStyle w:val="Hyperlink"/>
            <w:rtl/>
          </w:rPr>
          <w:t xml:space="preserve"> </w:t>
        </w:r>
        <w:r w:rsidR="00C8432C" w:rsidRPr="00C8432C">
          <w:rPr>
            <w:rStyle w:val="Hyperlink"/>
            <w:rFonts w:hint="eastAsia"/>
            <w:rtl/>
          </w:rPr>
          <w:t>העונשין</w:t>
        </w:r>
      </w:hyperlink>
      <w:r>
        <w:rPr>
          <w:rFonts w:hint="cs"/>
          <w:rtl/>
        </w:rPr>
        <w:t xml:space="preserve"> דורש לשם התקיימותו עשיית מעשה בדמותו של מצב עובדתי שאינו קיים. על הטעות להיות כנה באופן בו העושה האמין בכנות ובתום לב כי מצב הדברים שדימה לעצמו הוא הוא מצב הדברים האמיתי [ר' </w:t>
      </w:r>
      <w:hyperlink r:id="rId42" w:history="1">
        <w:r w:rsidR="00C8432C" w:rsidRPr="00C8432C">
          <w:rPr>
            <w:rStyle w:val="Hyperlink"/>
            <w:rFonts w:hint="eastAsia"/>
            <w:rtl/>
          </w:rPr>
          <w:t>ע</w:t>
        </w:r>
        <w:r w:rsidR="00C8432C" w:rsidRPr="00C8432C">
          <w:rPr>
            <w:rStyle w:val="Hyperlink"/>
            <w:rtl/>
          </w:rPr>
          <w:t>"</w:t>
        </w:r>
        <w:r w:rsidR="00C8432C" w:rsidRPr="00C8432C">
          <w:rPr>
            <w:rStyle w:val="Hyperlink"/>
            <w:rFonts w:hint="eastAsia"/>
            <w:rtl/>
          </w:rPr>
          <w:t>פ</w:t>
        </w:r>
        <w:r w:rsidR="00C8432C" w:rsidRPr="00C8432C">
          <w:rPr>
            <w:rStyle w:val="Hyperlink"/>
            <w:rtl/>
          </w:rPr>
          <w:t xml:space="preserve"> 5938/00 </w:t>
        </w:r>
        <w:r w:rsidR="00C8432C" w:rsidRPr="00C8432C">
          <w:rPr>
            <w:rStyle w:val="Hyperlink"/>
            <w:rFonts w:hint="eastAsia"/>
            <w:rtl/>
          </w:rPr>
          <w:t>ניסים</w:t>
        </w:r>
        <w:r w:rsidR="00C8432C" w:rsidRPr="00C8432C">
          <w:rPr>
            <w:rStyle w:val="Hyperlink"/>
            <w:rtl/>
          </w:rPr>
          <w:t xml:space="preserve"> </w:t>
        </w:r>
        <w:r w:rsidR="00C8432C" w:rsidRPr="00C8432C">
          <w:rPr>
            <w:rStyle w:val="Hyperlink"/>
            <w:rFonts w:hint="eastAsia"/>
            <w:rtl/>
          </w:rPr>
          <w:t>אזולאי</w:t>
        </w:r>
        <w:r w:rsidR="00C8432C" w:rsidRPr="00C8432C">
          <w:rPr>
            <w:rStyle w:val="Hyperlink"/>
            <w:rtl/>
          </w:rPr>
          <w:t xml:space="preserve"> </w:t>
        </w:r>
        <w:r w:rsidR="00C8432C" w:rsidRPr="00C8432C">
          <w:rPr>
            <w:rStyle w:val="Hyperlink"/>
            <w:rFonts w:hint="eastAsia"/>
            <w:rtl/>
          </w:rPr>
          <w:t>נ</w:t>
        </w:r>
        <w:r w:rsidR="00C8432C" w:rsidRPr="00C8432C">
          <w:rPr>
            <w:rStyle w:val="Hyperlink"/>
            <w:rtl/>
          </w:rPr>
          <w:t xml:space="preserve">' </w:t>
        </w:r>
        <w:r w:rsidR="00C8432C" w:rsidRPr="00C8432C">
          <w:rPr>
            <w:rStyle w:val="Hyperlink"/>
            <w:rFonts w:hint="eastAsia"/>
            <w:rtl/>
          </w:rPr>
          <w:t>מדינת</w:t>
        </w:r>
        <w:r w:rsidR="00C8432C" w:rsidRPr="00C8432C">
          <w:rPr>
            <w:rStyle w:val="Hyperlink"/>
            <w:rtl/>
          </w:rPr>
          <w:t xml:space="preserve"> </w:t>
        </w:r>
        <w:r w:rsidR="00C8432C" w:rsidRPr="00C8432C">
          <w:rPr>
            <w:rStyle w:val="Hyperlink"/>
            <w:rFonts w:hint="eastAsia"/>
            <w:rtl/>
          </w:rPr>
          <w:t>ישראל</w:t>
        </w:r>
        <w:r w:rsidR="00C8432C" w:rsidRPr="00C8432C">
          <w:rPr>
            <w:rStyle w:val="Hyperlink"/>
            <w:rtl/>
          </w:rPr>
          <w:t xml:space="preserve">, </w:t>
        </w:r>
        <w:r w:rsidR="00C8432C" w:rsidRPr="00C8432C">
          <w:rPr>
            <w:rStyle w:val="Hyperlink"/>
            <w:rFonts w:hint="eastAsia"/>
            <w:rtl/>
          </w:rPr>
          <w:t>פ</w:t>
        </w:r>
        <w:r w:rsidR="00C8432C" w:rsidRPr="00C8432C">
          <w:rPr>
            <w:rStyle w:val="Hyperlink"/>
            <w:rtl/>
          </w:rPr>
          <w:t>"</w:t>
        </w:r>
        <w:r w:rsidR="00C8432C" w:rsidRPr="00C8432C">
          <w:rPr>
            <w:rStyle w:val="Hyperlink"/>
            <w:rFonts w:hint="eastAsia"/>
            <w:rtl/>
          </w:rPr>
          <w:t>ד</w:t>
        </w:r>
        <w:r w:rsidR="00C8432C" w:rsidRPr="00C8432C">
          <w:rPr>
            <w:rStyle w:val="Hyperlink"/>
            <w:rtl/>
          </w:rPr>
          <w:t xml:space="preserve"> </w:t>
        </w:r>
        <w:r w:rsidR="00C8432C" w:rsidRPr="00C8432C">
          <w:rPr>
            <w:rStyle w:val="Hyperlink"/>
            <w:rFonts w:hint="eastAsia"/>
            <w:rtl/>
          </w:rPr>
          <w:t>נה</w:t>
        </w:r>
      </w:hyperlink>
      <w:r>
        <w:rPr>
          <w:rFonts w:hint="cs"/>
          <w:rtl/>
        </w:rPr>
        <w:t xml:space="preserve">(3), 873]. </w:t>
      </w:r>
    </w:p>
    <w:p w14:paraId="28568314" w14:textId="77777777" w:rsidR="001E7103" w:rsidRDefault="00411614">
      <w:pPr>
        <w:spacing w:after="120" w:line="360" w:lineRule="auto"/>
        <w:ind w:left="720"/>
        <w:rPr>
          <w:rtl/>
        </w:rPr>
      </w:pPr>
      <w:r>
        <w:rPr>
          <w:rFonts w:hint="cs"/>
          <w:rtl/>
        </w:rPr>
        <w:t xml:space="preserve">כאמור, טענת ב"כ הנאשם הינה כי טעה הנאשם טעות כנה וסבירה כאשר סבר כי לא רואים אותו וכי לא ניתן לראות אותו בשעת הנעשה וכי המדובר במקום פומבי. דא עקא וכפי שפורט לעיל, הנאשם מודע היה כי ניתן לראותו בשעת המעשה וכי הגם שביצע את המעשה ברכבו, שהינו מקום פרטי, הרי שהיה מודע כי המדובר במקום פומבי וכי מעשיו נעשו בפני אדם אחר. הלכך, ממילא נסתרת הטענה של טעות במצב דברים.  </w:t>
      </w:r>
    </w:p>
    <w:p w14:paraId="19EF6B9D" w14:textId="77777777" w:rsidR="001E7103" w:rsidRDefault="00411614">
      <w:pPr>
        <w:spacing w:after="120" w:line="360" w:lineRule="auto"/>
        <w:ind w:left="720" w:hanging="720"/>
        <w:jc w:val="both"/>
        <w:rPr>
          <w:rtl/>
        </w:rPr>
      </w:pPr>
      <w:r>
        <w:rPr>
          <w:rFonts w:hint="cs"/>
          <w:rtl/>
        </w:rPr>
        <w:t>25.</w:t>
      </w:r>
      <w:r>
        <w:rPr>
          <w:rFonts w:hint="cs"/>
          <w:rtl/>
        </w:rPr>
        <w:tab/>
        <w:t>אינני רואה עין בעין עם ב"כ הנאשם את עמדתו באשר לנפקותה של ההימנעות מזימון חברתה של המתלוננת לחקירה במשטרה. אכן, מושכלות היסוד של דיני הראיות הינם כי הימנעות בעל דין מהצגת ראיה רלוונטית שהיא בהישג ידו פועלת לחובת אותו בעל דין [</w:t>
      </w:r>
      <w:hyperlink r:id="rId43" w:history="1">
        <w:r w:rsidR="00C8432C" w:rsidRPr="00C8432C">
          <w:rPr>
            <w:rStyle w:val="Hyperlink"/>
            <w:rFonts w:hint="eastAsia"/>
            <w:rtl/>
          </w:rPr>
          <w:t>ע</w:t>
        </w:r>
        <w:r w:rsidR="00C8432C" w:rsidRPr="00C8432C">
          <w:rPr>
            <w:rStyle w:val="Hyperlink"/>
            <w:rtl/>
          </w:rPr>
          <w:t>"</w:t>
        </w:r>
        <w:r w:rsidR="00C8432C" w:rsidRPr="00C8432C">
          <w:rPr>
            <w:rStyle w:val="Hyperlink"/>
            <w:rFonts w:hint="eastAsia"/>
            <w:rtl/>
          </w:rPr>
          <w:t>א</w:t>
        </w:r>
        <w:r w:rsidR="00C8432C" w:rsidRPr="00C8432C">
          <w:rPr>
            <w:rStyle w:val="Hyperlink"/>
            <w:rtl/>
          </w:rPr>
          <w:t xml:space="preserve"> 548/78 </w:t>
        </w:r>
        <w:r w:rsidR="00C8432C" w:rsidRPr="00C8432C">
          <w:rPr>
            <w:rStyle w:val="Hyperlink"/>
            <w:rFonts w:hint="eastAsia"/>
            <w:rtl/>
          </w:rPr>
          <w:t>פלונית</w:t>
        </w:r>
        <w:r w:rsidR="00C8432C" w:rsidRPr="00C8432C">
          <w:rPr>
            <w:rStyle w:val="Hyperlink"/>
            <w:rtl/>
          </w:rPr>
          <w:t xml:space="preserve"> </w:t>
        </w:r>
        <w:r w:rsidR="00C8432C" w:rsidRPr="00C8432C">
          <w:rPr>
            <w:rStyle w:val="Hyperlink"/>
            <w:rFonts w:hint="eastAsia"/>
            <w:rtl/>
          </w:rPr>
          <w:t>נ</w:t>
        </w:r>
        <w:r w:rsidR="00C8432C" w:rsidRPr="00C8432C">
          <w:rPr>
            <w:rStyle w:val="Hyperlink"/>
            <w:rtl/>
          </w:rPr>
          <w:t xml:space="preserve">' </w:t>
        </w:r>
        <w:r w:rsidR="00C8432C" w:rsidRPr="00C8432C">
          <w:rPr>
            <w:rStyle w:val="Hyperlink"/>
            <w:rFonts w:hint="eastAsia"/>
            <w:rtl/>
          </w:rPr>
          <w:t>פלוני</w:t>
        </w:r>
        <w:r w:rsidR="00C8432C" w:rsidRPr="00C8432C">
          <w:rPr>
            <w:rStyle w:val="Hyperlink"/>
            <w:rtl/>
          </w:rPr>
          <w:t xml:space="preserve">, </w:t>
        </w:r>
        <w:r w:rsidR="00C8432C" w:rsidRPr="00C8432C">
          <w:rPr>
            <w:rStyle w:val="Hyperlink"/>
            <w:rFonts w:hint="eastAsia"/>
            <w:rtl/>
          </w:rPr>
          <w:t>פ</w:t>
        </w:r>
        <w:r w:rsidR="00C8432C" w:rsidRPr="00C8432C">
          <w:rPr>
            <w:rStyle w:val="Hyperlink"/>
            <w:rtl/>
          </w:rPr>
          <w:t>"</w:t>
        </w:r>
        <w:r w:rsidR="00C8432C" w:rsidRPr="00C8432C">
          <w:rPr>
            <w:rStyle w:val="Hyperlink"/>
            <w:rFonts w:hint="eastAsia"/>
            <w:rtl/>
          </w:rPr>
          <w:t>ד</w:t>
        </w:r>
        <w:r w:rsidR="00C8432C" w:rsidRPr="00C8432C">
          <w:rPr>
            <w:rStyle w:val="Hyperlink"/>
            <w:rtl/>
          </w:rPr>
          <w:t xml:space="preserve"> </w:t>
        </w:r>
        <w:r w:rsidR="00C8432C" w:rsidRPr="00C8432C">
          <w:rPr>
            <w:rStyle w:val="Hyperlink"/>
            <w:rFonts w:hint="eastAsia"/>
            <w:rtl/>
          </w:rPr>
          <w:t>לה</w:t>
        </w:r>
      </w:hyperlink>
      <w:r>
        <w:rPr>
          <w:rFonts w:hint="cs"/>
          <w:rtl/>
        </w:rPr>
        <w:t xml:space="preserve">(1), 736, 760]. אמת גם, כי מן הראוי היה כי חברתה של המתלוננת תמסור גרסתה במשטרה באשר עדותה עשויה הייתה לשפוך אור על המחלוקות העובדתיות אשר נתגלעו בין הצדדים. יחד עם זאת, די בראיות שהובאו בפני כדי ליצור תמונה אמינה ומהימנה באשר לנסיבות קרות האירוע. </w:t>
      </w:r>
    </w:p>
    <w:p w14:paraId="1100153E" w14:textId="77777777" w:rsidR="00411614" w:rsidRPr="00411614" w:rsidRDefault="00411614">
      <w:pPr>
        <w:spacing w:after="120" w:line="360" w:lineRule="auto"/>
        <w:ind w:left="720" w:hanging="720"/>
        <w:jc w:val="both"/>
        <w:rPr>
          <w:rFonts w:hint="cs"/>
          <w:color w:val="FFFFFF"/>
          <w:sz w:val="2"/>
          <w:szCs w:val="2"/>
          <w:rtl/>
        </w:rPr>
      </w:pPr>
    </w:p>
    <w:p w14:paraId="4B3BAFA2" w14:textId="77777777" w:rsidR="00411614" w:rsidRPr="00411614" w:rsidRDefault="00411614">
      <w:pPr>
        <w:spacing w:after="120" w:line="360" w:lineRule="auto"/>
        <w:ind w:left="720" w:hanging="720"/>
        <w:jc w:val="both"/>
        <w:rPr>
          <w:rFonts w:hint="cs"/>
          <w:color w:val="FFFFFF"/>
          <w:sz w:val="2"/>
          <w:szCs w:val="2"/>
          <w:rtl/>
        </w:rPr>
      </w:pPr>
      <w:r w:rsidRPr="00411614">
        <w:rPr>
          <w:color w:val="FFFFFF"/>
          <w:sz w:val="2"/>
          <w:szCs w:val="2"/>
          <w:rtl/>
        </w:rPr>
        <w:t>5129371</w:t>
      </w:r>
    </w:p>
    <w:p w14:paraId="4BCDB7F6" w14:textId="77777777" w:rsidR="001E7103" w:rsidRDefault="00411614">
      <w:pPr>
        <w:spacing w:after="120" w:line="360" w:lineRule="auto"/>
        <w:ind w:left="720" w:hanging="720"/>
        <w:jc w:val="both"/>
        <w:rPr>
          <w:rtl/>
        </w:rPr>
      </w:pPr>
      <w:r w:rsidRPr="00411614">
        <w:rPr>
          <w:color w:val="FFFFFF"/>
          <w:sz w:val="2"/>
          <w:szCs w:val="2"/>
          <w:rtl/>
        </w:rPr>
        <w:t>54678313</w:t>
      </w:r>
      <w:r>
        <w:rPr>
          <w:rFonts w:hint="cs"/>
          <w:rtl/>
        </w:rPr>
        <w:t>26.</w:t>
      </w:r>
      <w:r>
        <w:rPr>
          <w:rFonts w:hint="cs"/>
          <w:rtl/>
        </w:rPr>
        <w:tab/>
        <w:t xml:space="preserve">לאור האמור לעיל, נחה דעתי כי התביעה עמדה בנטל ההוכחה המוטל עליה במשפט הפלילי, ואשר על כן אני מרשיע את הנאשם בעבירה המיוחסת לו בכתב האישום. </w:t>
      </w:r>
    </w:p>
    <w:p w14:paraId="2E17379A" w14:textId="77777777" w:rsidR="001E7103" w:rsidRDefault="001E7103">
      <w:pPr>
        <w:spacing w:line="360" w:lineRule="auto"/>
        <w:rPr>
          <w:rFonts w:ascii="Arial" w:hAnsi="Arial"/>
          <w:rtl/>
        </w:rPr>
      </w:pPr>
    </w:p>
    <w:p w14:paraId="4BBCE39D" w14:textId="77777777" w:rsidR="00411614" w:rsidRPr="00411614" w:rsidRDefault="00411614" w:rsidP="00411614">
      <w:pPr>
        <w:keepNext/>
        <w:spacing w:line="360" w:lineRule="auto"/>
        <w:rPr>
          <w:rFonts w:ascii="David" w:hAnsi="David"/>
          <w:color w:val="000000"/>
          <w:sz w:val="22"/>
          <w:szCs w:val="22"/>
          <w:rtl/>
        </w:rPr>
      </w:pPr>
    </w:p>
    <w:p w14:paraId="2874E19E" w14:textId="77777777" w:rsidR="001E7103" w:rsidRDefault="001E7103">
      <w:pPr>
        <w:spacing w:line="360" w:lineRule="auto"/>
        <w:rPr>
          <w:rFonts w:ascii="Arial" w:hAnsi="Arial"/>
          <w:rtl/>
        </w:rPr>
      </w:pPr>
    </w:p>
    <w:p w14:paraId="27002D3C" w14:textId="77777777" w:rsidR="00CD33B7" w:rsidRPr="00CD33B7" w:rsidRDefault="00CD33B7">
      <w:pPr>
        <w:spacing w:line="360" w:lineRule="auto"/>
        <w:rPr>
          <w:rFonts w:ascii="Arial" w:hAnsi="Arial"/>
          <w:color w:val="FFFFFF"/>
          <w:sz w:val="2"/>
          <w:szCs w:val="2"/>
          <w:rtl/>
        </w:rPr>
      </w:pPr>
    </w:p>
    <w:p w14:paraId="4CD43189" w14:textId="77777777" w:rsidR="00CD33B7" w:rsidRPr="00CD33B7" w:rsidRDefault="00CD33B7">
      <w:pPr>
        <w:spacing w:line="360" w:lineRule="auto"/>
        <w:rPr>
          <w:rFonts w:ascii="Arial" w:hAnsi="Arial"/>
          <w:color w:val="FFFFFF"/>
          <w:sz w:val="2"/>
          <w:szCs w:val="2"/>
          <w:rtl/>
        </w:rPr>
      </w:pPr>
      <w:r w:rsidRPr="00CD33B7">
        <w:rPr>
          <w:rFonts w:ascii="Arial" w:hAnsi="Arial"/>
          <w:color w:val="FFFFFF"/>
          <w:sz w:val="2"/>
          <w:szCs w:val="2"/>
          <w:rtl/>
        </w:rPr>
        <w:t>5129371</w:t>
      </w:r>
    </w:p>
    <w:p w14:paraId="037D2D57" w14:textId="77777777" w:rsidR="001E7103" w:rsidRDefault="00CD33B7">
      <w:pPr>
        <w:spacing w:line="360" w:lineRule="auto"/>
        <w:rPr>
          <w:rFonts w:ascii="Arial" w:hAnsi="Arial"/>
          <w:rtl/>
        </w:rPr>
      </w:pPr>
      <w:r w:rsidRPr="00CD33B7">
        <w:rPr>
          <w:rFonts w:ascii="Arial" w:hAnsi="Arial"/>
          <w:color w:val="FFFFFF"/>
          <w:sz w:val="2"/>
          <w:szCs w:val="2"/>
          <w:rtl/>
        </w:rPr>
        <w:t>54678313</w:t>
      </w:r>
    </w:p>
    <w:p w14:paraId="74410A8A" w14:textId="77777777" w:rsidR="001E7103" w:rsidRDefault="00411614">
      <w:pPr>
        <w:spacing w:line="360" w:lineRule="auto"/>
        <w:rPr>
          <w:rFonts w:ascii="Arial" w:hAnsi="Arial"/>
          <w:rtl/>
        </w:rPr>
      </w:pPr>
      <w:r>
        <w:rPr>
          <w:rFonts w:ascii="Arial" w:hAnsi="Arial"/>
          <w:rtl/>
        </w:rPr>
        <w:t xml:space="preserve">ניתנה היום,  10 בפברואר 2011, במעמד הצדדים </w:t>
      </w:r>
    </w:p>
    <w:p w14:paraId="7E3E4937" w14:textId="77777777" w:rsidR="00CD33B7" w:rsidRPr="00CD33B7" w:rsidRDefault="00CD33B7" w:rsidP="00CD33B7">
      <w:pPr>
        <w:keepNext/>
        <w:tabs>
          <w:tab w:val="left" w:pos="1625"/>
        </w:tabs>
        <w:spacing w:line="360" w:lineRule="auto"/>
        <w:rPr>
          <w:rFonts w:ascii="David" w:hAnsi="David"/>
          <w:color w:val="000000"/>
          <w:sz w:val="22"/>
          <w:szCs w:val="22"/>
          <w:rtl/>
        </w:rPr>
      </w:pPr>
    </w:p>
    <w:p w14:paraId="368BB133" w14:textId="77777777" w:rsidR="00CD33B7" w:rsidRPr="00CD33B7" w:rsidRDefault="00CD33B7" w:rsidP="00CD33B7">
      <w:pPr>
        <w:keepNext/>
        <w:tabs>
          <w:tab w:val="left" w:pos="1625"/>
        </w:tabs>
        <w:spacing w:line="360" w:lineRule="auto"/>
        <w:rPr>
          <w:rFonts w:ascii="David" w:hAnsi="David"/>
          <w:color w:val="000000"/>
          <w:sz w:val="22"/>
          <w:szCs w:val="22"/>
          <w:rtl/>
        </w:rPr>
      </w:pPr>
      <w:r w:rsidRPr="00CD33B7">
        <w:rPr>
          <w:rFonts w:ascii="David" w:hAnsi="David" w:hint="eastAsia"/>
          <w:color w:val="000000"/>
          <w:sz w:val="22"/>
          <w:szCs w:val="22"/>
          <w:rtl/>
        </w:rPr>
        <w:t>שמעון</w:t>
      </w:r>
      <w:r w:rsidRPr="00CD33B7">
        <w:rPr>
          <w:rFonts w:ascii="David" w:hAnsi="David"/>
          <w:color w:val="000000"/>
          <w:sz w:val="22"/>
          <w:szCs w:val="22"/>
          <w:rtl/>
        </w:rPr>
        <w:t xml:space="preserve"> </w:t>
      </w:r>
      <w:r w:rsidRPr="00CD33B7">
        <w:rPr>
          <w:rFonts w:ascii="David" w:hAnsi="David" w:hint="eastAsia"/>
          <w:color w:val="000000"/>
          <w:sz w:val="22"/>
          <w:szCs w:val="22"/>
          <w:rtl/>
        </w:rPr>
        <w:t>שטיין</w:t>
      </w:r>
      <w:r w:rsidRPr="00CD33B7">
        <w:rPr>
          <w:rFonts w:ascii="David" w:hAnsi="David"/>
          <w:color w:val="000000"/>
          <w:sz w:val="22"/>
          <w:szCs w:val="22"/>
          <w:rtl/>
        </w:rPr>
        <w:t xml:space="preserve"> 54678313-3696/09</w:t>
      </w:r>
    </w:p>
    <w:p w14:paraId="2819D2DC" w14:textId="77777777" w:rsidR="001E7103" w:rsidRDefault="00411614">
      <w:pPr>
        <w:tabs>
          <w:tab w:val="left" w:pos="1625"/>
        </w:tabs>
        <w:spacing w:line="360" w:lineRule="auto"/>
        <w:jc w:val="right"/>
        <w:rPr>
          <w:rtl/>
        </w:rPr>
      </w:pPr>
      <w:r>
        <w:rPr>
          <w:rtl/>
        </w:rPr>
        <w:t xml:space="preserve">             </w:t>
      </w:r>
    </w:p>
    <w:p w14:paraId="01BB19E4" w14:textId="77777777" w:rsidR="00411614" w:rsidRDefault="00411614" w:rsidP="00411614">
      <w:pPr>
        <w:rPr>
          <w:rtl/>
        </w:rPr>
      </w:pPr>
    </w:p>
    <w:p w14:paraId="01DCFCC0" w14:textId="77777777" w:rsidR="00411614" w:rsidRDefault="00411614" w:rsidP="00411614">
      <w:pPr>
        <w:jc w:val="center"/>
        <w:rPr>
          <w:color w:val="0000FF"/>
          <w:u w:val="single"/>
        </w:rPr>
      </w:pPr>
      <w:r w:rsidRPr="00A56C57">
        <w:rPr>
          <w:color w:val="000000"/>
          <w:rtl/>
        </w:rPr>
        <w:t>בעניין עריכה ושינויים במסמכי פסיקה, חקיקה ועוד באתר נבו – הקש כאן</w:t>
      </w:r>
    </w:p>
    <w:p w14:paraId="15D8F8B8" w14:textId="77777777" w:rsidR="001E7103" w:rsidRPr="00411614" w:rsidRDefault="00CD33B7" w:rsidP="00CD33B7">
      <w:pPr>
        <w:rPr>
          <w:color w:val="0000FF"/>
          <w:u w:val="single"/>
        </w:rPr>
      </w:pPr>
      <w:r w:rsidRPr="00CD33B7">
        <w:rPr>
          <w:rFonts w:hint="eastAsia"/>
          <w:color w:val="000000"/>
          <w:u w:val="single"/>
          <w:rtl/>
        </w:rPr>
        <w:t>נוסח</w:t>
      </w:r>
      <w:r w:rsidRPr="00CD33B7">
        <w:rPr>
          <w:color w:val="000000"/>
          <w:u w:val="single"/>
          <w:rtl/>
        </w:rPr>
        <w:t xml:space="preserve"> </w:t>
      </w:r>
      <w:r w:rsidRPr="00CD33B7">
        <w:rPr>
          <w:rFonts w:hint="eastAsia"/>
          <w:color w:val="000000"/>
          <w:u w:val="single"/>
          <w:rtl/>
        </w:rPr>
        <w:t>מסמך</w:t>
      </w:r>
      <w:r w:rsidRPr="00CD33B7">
        <w:rPr>
          <w:color w:val="000000"/>
          <w:u w:val="single"/>
          <w:rtl/>
        </w:rPr>
        <w:t xml:space="preserve"> </w:t>
      </w:r>
      <w:r w:rsidRPr="00CD33B7">
        <w:rPr>
          <w:rFonts w:hint="eastAsia"/>
          <w:color w:val="000000"/>
          <w:u w:val="single"/>
          <w:rtl/>
        </w:rPr>
        <w:t>זה</w:t>
      </w:r>
      <w:r w:rsidRPr="00CD33B7">
        <w:rPr>
          <w:color w:val="000000"/>
          <w:u w:val="single"/>
          <w:rtl/>
        </w:rPr>
        <w:t xml:space="preserve"> </w:t>
      </w:r>
      <w:r w:rsidRPr="00CD33B7">
        <w:rPr>
          <w:rFonts w:hint="eastAsia"/>
          <w:color w:val="000000"/>
          <w:u w:val="single"/>
          <w:rtl/>
        </w:rPr>
        <w:t>כפוף</w:t>
      </w:r>
      <w:r w:rsidRPr="00CD33B7">
        <w:rPr>
          <w:color w:val="000000"/>
          <w:u w:val="single"/>
          <w:rtl/>
        </w:rPr>
        <w:t xml:space="preserve"> </w:t>
      </w:r>
      <w:r w:rsidRPr="00CD33B7">
        <w:rPr>
          <w:rFonts w:hint="eastAsia"/>
          <w:color w:val="000000"/>
          <w:u w:val="single"/>
          <w:rtl/>
        </w:rPr>
        <w:t>לשינויי</w:t>
      </w:r>
      <w:r w:rsidRPr="00CD33B7">
        <w:rPr>
          <w:color w:val="000000"/>
          <w:u w:val="single"/>
          <w:rtl/>
        </w:rPr>
        <w:t xml:space="preserve"> </w:t>
      </w:r>
      <w:r w:rsidRPr="00CD33B7">
        <w:rPr>
          <w:rFonts w:hint="eastAsia"/>
          <w:color w:val="000000"/>
          <w:u w:val="single"/>
          <w:rtl/>
        </w:rPr>
        <w:t>ניסוח</w:t>
      </w:r>
      <w:r w:rsidRPr="00CD33B7">
        <w:rPr>
          <w:color w:val="000000"/>
          <w:u w:val="single"/>
          <w:rtl/>
        </w:rPr>
        <w:t xml:space="preserve"> </w:t>
      </w:r>
      <w:r w:rsidRPr="00CD33B7">
        <w:rPr>
          <w:rFonts w:hint="eastAsia"/>
          <w:color w:val="000000"/>
          <w:u w:val="single"/>
          <w:rtl/>
        </w:rPr>
        <w:t>ועריכה</w:t>
      </w:r>
    </w:p>
    <w:sectPr w:rsidR="001E7103" w:rsidRPr="00411614" w:rsidSect="00CD33B7">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21B0" w14:textId="77777777" w:rsidR="00F23DCE" w:rsidRPr="003A72F8" w:rsidRDefault="00F23DCE">
      <w:pPr>
        <w:rPr>
          <w:rFonts w:cs="Arial"/>
          <w:szCs w:val="20"/>
        </w:rPr>
      </w:pPr>
      <w:r>
        <w:separator/>
      </w:r>
    </w:p>
  </w:endnote>
  <w:endnote w:type="continuationSeparator" w:id="0">
    <w:p w14:paraId="123004C2" w14:textId="77777777" w:rsidR="00F23DCE" w:rsidRPr="003A72F8" w:rsidRDefault="00F23DC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606A" w14:textId="77777777" w:rsidR="00F23DCE" w:rsidRDefault="00F23DCE" w:rsidP="00CD33B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7CE5B392" w14:textId="77777777" w:rsidR="00F23DCE" w:rsidRPr="00CD33B7" w:rsidRDefault="00F23DCE" w:rsidP="00CD33B7">
    <w:pPr>
      <w:pStyle w:val="Footer"/>
      <w:pBdr>
        <w:top w:val="single" w:sz="4" w:space="1" w:color="auto"/>
        <w:between w:val="single" w:sz="4" w:space="0" w:color="auto"/>
      </w:pBdr>
      <w:spacing w:after="60"/>
      <w:jc w:val="center"/>
      <w:rPr>
        <w:rFonts w:ascii="FrankRuehl" w:hAnsi="FrankRuehl" w:cs="FrankRuehl"/>
        <w:color w:val="000000"/>
      </w:rPr>
    </w:pPr>
    <w:r w:rsidRPr="00CD33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3DDB" w14:textId="77777777" w:rsidR="00F23DCE" w:rsidRDefault="00F23DCE" w:rsidP="00CD33B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0AFD">
      <w:rPr>
        <w:rFonts w:ascii="FrankRuehl" w:hAnsi="FrankRuehl" w:cs="FrankRuehl"/>
        <w:noProof/>
        <w:rtl/>
      </w:rPr>
      <w:t>1</w:t>
    </w:r>
    <w:r>
      <w:rPr>
        <w:rFonts w:ascii="FrankRuehl" w:hAnsi="FrankRuehl" w:cs="FrankRuehl"/>
        <w:rtl/>
      </w:rPr>
      <w:fldChar w:fldCharType="end"/>
    </w:r>
  </w:p>
  <w:p w14:paraId="3092F033" w14:textId="77777777" w:rsidR="00F23DCE" w:rsidRPr="00CD33B7" w:rsidRDefault="00F23DCE" w:rsidP="00CD33B7">
    <w:pPr>
      <w:pStyle w:val="Footer"/>
      <w:pBdr>
        <w:top w:val="single" w:sz="4" w:space="1" w:color="auto"/>
        <w:between w:val="single" w:sz="4" w:space="0" w:color="auto"/>
      </w:pBdr>
      <w:spacing w:after="60"/>
      <w:jc w:val="center"/>
      <w:rPr>
        <w:rFonts w:ascii="FrankRuehl" w:hAnsi="FrankRuehl" w:cs="FrankRuehl"/>
        <w:color w:val="000000"/>
      </w:rPr>
    </w:pPr>
    <w:r w:rsidRPr="00CD33B7">
      <w:rPr>
        <w:rFonts w:ascii="FrankRuehl" w:hAnsi="FrankRuehl" w:cs="FrankRuehl"/>
        <w:color w:val="000000"/>
      </w:rPr>
      <w:pict w14:anchorId="1EA54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6057" w14:textId="77777777" w:rsidR="00F23DCE" w:rsidRPr="003A72F8" w:rsidRDefault="00F23DCE">
      <w:pPr>
        <w:rPr>
          <w:rFonts w:cs="Arial"/>
          <w:szCs w:val="20"/>
        </w:rPr>
      </w:pPr>
      <w:r>
        <w:separator/>
      </w:r>
    </w:p>
  </w:footnote>
  <w:footnote w:type="continuationSeparator" w:id="0">
    <w:p w14:paraId="671217A8" w14:textId="77777777" w:rsidR="00F23DCE" w:rsidRPr="003A72F8" w:rsidRDefault="00F23DC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7EF1" w14:textId="77777777" w:rsidR="00F23DCE" w:rsidRPr="00CD33B7" w:rsidRDefault="00F23DCE" w:rsidP="00CD33B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3696-09</w:t>
    </w:r>
    <w:r>
      <w:rPr>
        <w:rFonts w:ascii="David" w:hAnsi="David"/>
        <w:color w:val="000000"/>
        <w:sz w:val="22"/>
        <w:szCs w:val="22"/>
        <w:rtl/>
      </w:rPr>
      <w:tab/>
      <w:t xml:space="preserve"> מ.י. לשכת תביעות ירושלים (פלילי)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8168" w14:textId="77777777" w:rsidR="00F23DCE" w:rsidRPr="00CD33B7" w:rsidRDefault="00F23DCE" w:rsidP="00CD33B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3696-09</w:t>
    </w:r>
    <w:r>
      <w:rPr>
        <w:rFonts w:ascii="David" w:hAnsi="David"/>
        <w:color w:val="000000"/>
        <w:sz w:val="22"/>
        <w:szCs w:val="22"/>
        <w:rtl/>
      </w:rPr>
      <w:tab/>
      <w:t xml:space="preserve"> מ.י. לשכת תביעות ירושלים (פלילי)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12E5E"/>
    <w:multiLevelType w:val="hybridMultilevel"/>
    <w:tmpl w:val="9A425E4A"/>
    <w:lvl w:ilvl="0" w:tplc="8F923D5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E621357"/>
    <w:multiLevelType w:val="hybridMultilevel"/>
    <w:tmpl w:val="B008C74E"/>
    <w:lvl w:ilvl="0" w:tplc="C2DAD41E">
      <w:start w:val="1"/>
      <w:numFmt w:val="decimal"/>
      <w:lvlText w:val="%1."/>
      <w:lvlJc w:val="left"/>
      <w:pPr>
        <w:tabs>
          <w:tab w:val="num" w:pos="720"/>
        </w:tabs>
        <w:ind w:left="720" w:hanging="360"/>
      </w:pPr>
      <w:rPr>
        <w:b w:val="0"/>
        <w:bCs w:val="0"/>
        <w:i w:val="0"/>
        <w:iCs w:val="0"/>
      </w:rPr>
    </w:lvl>
    <w:lvl w:ilvl="1" w:tplc="D0F4A5F0">
      <w:start w:val="1"/>
      <w:numFmt w:val="hebrew1"/>
      <w:lvlText w:val="%2."/>
      <w:lvlJc w:val="left"/>
      <w:pPr>
        <w:tabs>
          <w:tab w:val="num" w:pos="1440"/>
        </w:tabs>
        <w:ind w:left="1440" w:hanging="360"/>
      </w:pPr>
    </w:lvl>
    <w:lvl w:ilvl="2" w:tplc="0409000F">
      <w:start w:val="1"/>
      <w:numFmt w:val="decimal"/>
      <w:lvlText w:val="%3."/>
      <w:lvlJc w:val="left"/>
      <w:pPr>
        <w:tabs>
          <w:tab w:val="num" w:pos="2340"/>
        </w:tabs>
        <w:ind w:left="2340" w:hanging="360"/>
      </w:pPr>
      <w:rPr>
        <w:b w:val="0"/>
        <w:bCs w:val="0"/>
        <w:i w:val="0"/>
        <w:iCs w:val="0"/>
      </w:rPr>
    </w:lvl>
    <w:lvl w:ilvl="3" w:tplc="0409000F">
      <w:start w:val="1"/>
      <w:numFmt w:val="decimal"/>
      <w:lvlText w:val="%4."/>
      <w:lvlJc w:val="left"/>
      <w:pPr>
        <w:tabs>
          <w:tab w:val="num" w:pos="2880"/>
        </w:tabs>
        <w:ind w:left="2880" w:hanging="360"/>
      </w:pPr>
      <w:rPr>
        <w:b/>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87005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0848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7103"/>
    <w:rsid w:val="000F0BBE"/>
    <w:rsid w:val="001E7103"/>
    <w:rsid w:val="00385CD1"/>
    <w:rsid w:val="003B6D3B"/>
    <w:rsid w:val="00411614"/>
    <w:rsid w:val="00483C5D"/>
    <w:rsid w:val="004E0B35"/>
    <w:rsid w:val="00500AD3"/>
    <w:rsid w:val="00791EB2"/>
    <w:rsid w:val="008F3A57"/>
    <w:rsid w:val="009550CD"/>
    <w:rsid w:val="00A56C57"/>
    <w:rsid w:val="00BA0AFD"/>
    <w:rsid w:val="00C8432C"/>
    <w:rsid w:val="00CD33B7"/>
    <w:rsid w:val="00CF20B5"/>
    <w:rsid w:val="00D25309"/>
    <w:rsid w:val="00E2517D"/>
    <w:rsid w:val="00F23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CC75B9"/>
  <w15:chartTrackingRefBased/>
  <w15:docId w15:val="{175C1EDA-D1F0-4E41-9F2B-72607849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103"/>
    <w:pPr>
      <w:bidi/>
    </w:pPr>
    <w:rPr>
      <w:rFonts w:ascii="Arial (W1)" w:hAnsi="Arial (W1)" w:cs="David"/>
      <w:sz w:val="24"/>
      <w:szCs w:val="24"/>
    </w:rPr>
  </w:style>
  <w:style w:type="paragraph" w:styleId="Heading3">
    <w:name w:val="heading 3"/>
    <w:basedOn w:val="Normal"/>
    <w:next w:val="Normal"/>
    <w:qFormat/>
    <w:rsid w:val="001E710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7103"/>
    <w:pPr>
      <w:tabs>
        <w:tab w:val="center" w:pos="4153"/>
        <w:tab w:val="right" w:pos="8306"/>
      </w:tabs>
    </w:pPr>
  </w:style>
  <w:style w:type="paragraph" w:styleId="Footer">
    <w:name w:val="footer"/>
    <w:basedOn w:val="Normal"/>
    <w:rsid w:val="001E7103"/>
    <w:pPr>
      <w:tabs>
        <w:tab w:val="center" w:pos="4153"/>
        <w:tab w:val="right" w:pos="8306"/>
      </w:tabs>
    </w:pPr>
  </w:style>
  <w:style w:type="table" w:styleId="TableGrid">
    <w:name w:val="Table Grid"/>
    <w:basedOn w:val="TableNormal"/>
    <w:rsid w:val="001E710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11614"/>
  </w:style>
  <w:style w:type="character" w:styleId="Hyperlink">
    <w:name w:val="Hyperlink"/>
    <w:rsid w:val="004116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jh"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69804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9.a" TargetMode="External"/><Relationship Id="rId42" Type="http://schemas.openxmlformats.org/officeDocument/2006/relationships/hyperlink" Target="http://www.nevo.co.il/case/604103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9.a.1" TargetMode="External"/><Relationship Id="rId24" Type="http://schemas.openxmlformats.org/officeDocument/2006/relationships/hyperlink" Target="http://www.nevo.co.il/law/70301/34kd" TargetMode="External"/><Relationship Id="rId32" Type="http://schemas.openxmlformats.org/officeDocument/2006/relationships/hyperlink" Target="http://www.nevo.co.il/law/70301/348" TargetMode="External"/><Relationship Id="rId37" Type="http://schemas.openxmlformats.org/officeDocument/2006/relationships/hyperlink" Target="http://www.nevo.co.il/case/20113398" TargetMode="External"/><Relationship Id="rId40" Type="http://schemas.openxmlformats.org/officeDocument/2006/relationships/hyperlink" Target="http://www.nevo.co.il/law/70301/34jh"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9.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8"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349.a" TargetMode="External"/><Relationship Id="rId19" Type="http://schemas.openxmlformats.org/officeDocument/2006/relationships/hyperlink" Target="http://www.nevo.co.il/case/17942767" TargetMode="External"/><Relationship Id="rId31" Type="http://schemas.openxmlformats.org/officeDocument/2006/relationships/hyperlink" Target="http://www.nevo.co.il/case/624500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9" TargetMode="External"/><Relationship Id="rId14" Type="http://schemas.openxmlformats.org/officeDocument/2006/relationships/hyperlink" Target="http://www.nevo.co.il/law/70301/34kd" TargetMode="External"/><Relationship Id="rId22" Type="http://schemas.openxmlformats.org/officeDocument/2006/relationships/hyperlink" Target="http://www.nevo.co.il/law/70301/34kd" TargetMode="External"/><Relationship Id="rId27" Type="http://schemas.openxmlformats.org/officeDocument/2006/relationships/hyperlink" Target="http://www.nevo.co.il/law/70301/349.a" TargetMode="External"/><Relationship Id="rId30" Type="http://schemas.openxmlformats.org/officeDocument/2006/relationships/hyperlink" Target="http://www.nevo.co.il/case/2243108" TargetMode="External"/><Relationship Id="rId35" Type="http://schemas.openxmlformats.org/officeDocument/2006/relationships/hyperlink" Target="http://www.nevo.co.il/law/70301/34jg" TargetMode="External"/><Relationship Id="rId43" Type="http://schemas.openxmlformats.org/officeDocument/2006/relationships/hyperlink" Target="http://www.nevo.co.il/case/17003547" TargetMode="External"/><Relationship Id="rId48" Type="http://schemas.openxmlformats.org/officeDocument/2006/relationships/fontTable" Target="fontTable.xml"/><Relationship Id="rId8" Type="http://schemas.openxmlformats.org/officeDocument/2006/relationships/hyperlink" Target="http://www.nevo.co.il/law/70301/348" TargetMode="External"/><Relationship Id="rId3" Type="http://schemas.openxmlformats.org/officeDocument/2006/relationships/settings" Target="settings.xml"/><Relationship Id="rId12" Type="http://schemas.openxmlformats.org/officeDocument/2006/relationships/hyperlink" Target="http://www.nevo.co.il/law/70301/34jg" TargetMode="External"/><Relationship Id="rId17" Type="http://schemas.openxmlformats.org/officeDocument/2006/relationships/hyperlink" Target="http://www.nevo.co.il/law/70301/34kd"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9" TargetMode="External"/><Relationship Id="rId46" Type="http://schemas.openxmlformats.org/officeDocument/2006/relationships/footer" Target="footer1.xml"/><Relationship Id="rId20" Type="http://schemas.openxmlformats.org/officeDocument/2006/relationships/hyperlink" Target="http://www.nevo.co.il/law/70301/349.a"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3132</Words>
  <Characters>17859</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20950</CharactersWithSpaces>
  <SharedDoc>false</SharedDoc>
  <HLinks>
    <vt:vector size="222" baseType="variant">
      <vt:variant>
        <vt:i4>3539062</vt:i4>
      </vt:variant>
      <vt:variant>
        <vt:i4>108</vt:i4>
      </vt:variant>
      <vt:variant>
        <vt:i4>0</vt:i4>
      </vt:variant>
      <vt:variant>
        <vt:i4>5</vt:i4>
      </vt:variant>
      <vt:variant>
        <vt:lpwstr>http://www.nevo.co.il/case/17003547</vt:lpwstr>
      </vt:variant>
      <vt:variant>
        <vt:lpwstr/>
      </vt:variant>
      <vt:variant>
        <vt:i4>3604598</vt:i4>
      </vt:variant>
      <vt:variant>
        <vt:i4>105</vt:i4>
      </vt:variant>
      <vt:variant>
        <vt:i4>0</vt:i4>
      </vt:variant>
      <vt:variant>
        <vt:i4>5</vt:i4>
      </vt:variant>
      <vt:variant>
        <vt:lpwstr>http://www.nevo.co.il/case/6041035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589836</vt:i4>
      </vt:variant>
      <vt:variant>
        <vt:i4>99</vt:i4>
      </vt:variant>
      <vt:variant>
        <vt:i4>0</vt:i4>
      </vt:variant>
      <vt:variant>
        <vt:i4>5</vt:i4>
      </vt:variant>
      <vt:variant>
        <vt:lpwstr>http://www.nevo.co.il/law/70301/34jh</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6357094</vt:i4>
      </vt:variant>
      <vt:variant>
        <vt:i4>93</vt:i4>
      </vt:variant>
      <vt:variant>
        <vt:i4>0</vt:i4>
      </vt:variant>
      <vt:variant>
        <vt:i4>5</vt:i4>
      </vt:variant>
      <vt:variant>
        <vt:lpwstr>http://www.nevo.co.il/law/70301/349</vt:lpwstr>
      </vt:variant>
      <vt:variant>
        <vt:lpwstr/>
      </vt:variant>
      <vt:variant>
        <vt:i4>3735670</vt:i4>
      </vt:variant>
      <vt:variant>
        <vt:i4>90</vt:i4>
      </vt:variant>
      <vt:variant>
        <vt:i4>0</vt:i4>
      </vt:variant>
      <vt:variant>
        <vt:i4>5</vt:i4>
      </vt:variant>
      <vt:variant>
        <vt:lpwstr>http://www.nevo.co.il/case/20113398</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393228</vt:i4>
      </vt:variant>
      <vt:variant>
        <vt:i4>84</vt:i4>
      </vt:variant>
      <vt:variant>
        <vt:i4>0</vt:i4>
      </vt:variant>
      <vt:variant>
        <vt:i4>5</vt:i4>
      </vt:variant>
      <vt:variant>
        <vt:lpwstr>http://www.nevo.co.il/law/70301/34jg</vt:lpwstr>
      </vt:variant>
      <vt:variant>
        <vt:lpwstr/>
      </vt:variant>
      <vt:variant>
        <vt:i4>5177439</vt:i4>
      </vt:variant>
      <vt:variant>
        <vt:i4>81</vt:i4>
      </vt:variant>
      <vt:variant>
        <vt:i4>0</vt:i4>
      </vt:variant>
      <vt:variant>
        <vt:i4>5</vt:i4>
      </vt:variant>
      <vt:variant>
        <vt:lpwstr>http://www.nevo.co.il/law/70301/349.a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6357094</vt:i4>
      </vt:variant>
      <vt:variant>
        <vt:i4>75</vt:i4>
      </vt:variant>
      <vt:variant>
        <vt:i4>0</vt:i4>
      </vt:variant>
      <vt:variant>
        <vt:i4>5</vt:i4>
      </vt:variant>
      <vt:variant>
        <vt:lpwstr>http://www.nevo.co.il/law/70301/348</vt:lpwstr>
      </vt:variant>
      <vt:variant>
        <vt:lpwstr/>
      </vt:variant>
      <vt:variant>
        <vt:i4>3407987</vt:i4>
      </vt:variant>
      <vt:variant>
        <vt:i4>72</vt:i4>
      </vt:variant>
      <vt:variant>
        <vt:i4>0</vt:i4>
      </vt:variant>
      <vt:variant>
        <vt:i4>5</vt:i4>
      </vt:variant>
      <vt:variant>
        <vt:lpwstr>http://www.nevo.co.il/case/6245006</vt:lpwstr>
      </vt:variant>
      <vt:variant>
        <vt:lpwstr/>
      </vt:variant>
      <vt:variant>
        <vt:i4>4128885</vt:i4>
      </vt:variant>
      <vt:variant>
        <vt:i4>69</vt:i4>
      </vt:variant>
      <vt:variant>
        <vt:i4>0</vt:i4>
      </vt:variant>
      <vt:variant>
        <vt:i4>5</vt:i4>
      </vt:variant>
      <vt:variant>
        <vt:lpwstr>http://www.nevo.co.il/case/2243108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6357094</vt:i4>
      </vt:variant>
      <vt:variant>
        <vt:i4>63</vt:i4>
      </vt:variant>
      <vt:variant>
        <vt:i4>0</vt:i4>
      </vt:variant>
      <vt:variant>
        <vt:i4>5</vt:i4>
      </vt:variant>
      <vt:variant>
        <vt:lpwstr>http://www.nevo.co.il/law/70301/348</vt:lpwstr>
      </vt:variant>
      <vt:variant>
        <vt:lpwstr/>
      </vt:variant>
      <vt:variant>
        <vt:i4>5177439</vt:i4>
      </vt:variant>
      <vt:variant>
        <vt:i4>60</vt:i4>
      </vt:variant>
      <vt:variant>
        <vt:i4>0</vt:i4>
      </vt:variant>
      <vt:variant>
        <vt:i4>5</vt:i4>
      </vt:variant>
      <vt:variant>
        <vt:lpwstr>http://www.nevo.co.il/law/70301/349.a</vt:lpwstr>
      </vt:variant>
      <vt:variant>
        <vt:lpwstr/>
      </vt:variant>
      <vt:variant>
        <vt:i4>3670142</vt:i4>
      </vt:variant>
      <vt:variant>
        <vt:i4>57</vt:i4>
      </vt:variant>
      <vt:variant>
        <vt:i4>0</vt:i4>
      </vt:variant>
      <vt:variant>
        <vt:i4>5</vt:i4>
      </vt:variant>
      <vt:variant>
        <vt:lpwstr>http://www.nevo.co.il/case/1698040</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327693</vt:i4>
      </vt:variant>
      <vt:variant>
        <vt:i4>51</vt:i4>
      </vt:variant>
      <vt:variant>
        <vt:i4>0</vt:i4>
      </vt:variant>
      <vt:variant>
        <vt:i4>5</vt:i4>
      </vt:variant>
      <vt:variant>
        <vt:lpwstr>http://www.nevo.co.il/law/70301/34kd</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327693</vt:i4>
      </vt:variant>
      <vt:variant>
        <vt:i4>45</vt:i4>
      </vt:variant>
      <vt:variant>
        <vt:i4>0</vt:i4>
      </vt:variant>
      <vt:variant>
        <vt:i4>5</vt:i4>
      </vt:variant>
      <vt:variant>
        <vt:lpwstr>http://www.nevo.co.il/law/70301/34kd</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5177439</vt:i4>
      </vt:variant>
      <vt:variant>
        <vt:i4>39</vt:i4>
      </vt:variant>
      <vt:variant>
        <vt:i4>0</vt:i4>
      </vt:variant>
      <vt:variant>
        <vt:i4>5</vt:i4>
      </vt:variant>
      <vt:variant>
        <vt:lpwstr>http://www.nevo.co.il/law/70301/349.a</vt:lpwstr>
      </vt:variant>
      <vt:variant>
        <vt:lpwstr/>
      </vt:variant>
      <vt:variant>
        <vt:i4>3932272</vt:i4>
      </vt:variant>
      <vt:variant>
        <vt:i4>36</vt:i4>
      </vt:variant>
      <vt:variant>
        <vt:i4>0</vt:i4>
      </vt:variant>
      <vt:variant>
        <vt:i4>5</vt:i4>
      </vt:variant>
      <vt:variant>
        <vt:lpwstr>http://www.nevo.co.il/case/17942767</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327693</vt:i4>
      </vt:variant>
      <vt:variant>
        <vt:i4>30</vt:i4>
      </vt:variant>
      <vt:variant>
        <vt:i4>0</vt:i4>
      </vt:variant>
      <vt:variant>
        <vt:i4>5</vt:i4>
      </vt:variant>
      <vt:variant>
        <vt:lpwstr>http://www.nevo.co.il/law/70301/34kd</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6357054</vt:i4>
      </vt:variant>
      <vt:variant>
        <vt:i4>24</vt:i4>
      </vt:variant>
      <vt:variant>
        <vt:i4>0</vt:i4>
      </vt:variant>
      <vt:variant>
        <vt:i4>5</vt:i4>
      </vt:variant>
      <vt:variant>
        <vt:lpwstr>http://www.nevo.co.il/law/70301/349.a.1</vt:lpwstr>
      </vt:variant>
      <vt:variant>
        <vt:lpwstr/>
      </vt:variant>
      <vt:variant>
        <vt:i4>327693</vt:i4>
      </vt:variant>
      <vt:variant>
        <vt:i4>21</vt:i4>
      </vt:variant>
      <vt:variant>
        <vt:i4>0</vt:i4>
      </vt:variant>
      <vt:variant>
        <vt:i4>5</vt:i4>
      </vt:variant>
      <vt:variant>
        <vt:lpwstr>http://www.nevo.co.il/law/70301/34kd</vt:lpwstr>
      </vt:variant>
      <vt:variant>
        <vt:lpwstr/>
      </vt:variant>
      <vt:variant>
        <vt:i4>589836</vt:i4>
      </vt:variant>
      <vt:variant>
        <vt:i4>18</vt:i4>
      </vt:variant>
      <vt:variant>
        <vt:i4>0</vt:i4>
      </vt:variant>
      <vt:variant>
        <vt:i4>5</vt:i4>
      </vt:variant>
      <vt:variant>
        <vt:lpwstr>http://www.nevo.co.il/law/70301/34jh</vt:lpwstr>
      </vt:variant>
      <vt:variant>
        <vt:lpwstr/>
      </vt:variant>
      <vt:variant>
        <vt:i4>393228</vt:i4>
      </vt:variant>
      <vt:variant>
        <vt:i4>15</vt:i4>
      </vt:variant>
      <vt:variant>
        <vt:i4>0</vt:i4>
      </vt:variant>
      <vt:variant>
        <vt:i4>5</vt:i4>
      </vt:variant>
      <vt:variant>
        <vt:lpwstr>http://www.nevo.co.il/law/70301/34jg</vt:lpwstr>
      </vt:variant>
      <vt:variant>
        <vt:lpwstr/>
      </vt:variant>
      <vt:variant>
        <vt:i4>6357054</vt:i4>
      </vt:variant>
      <vt:variant>
        <vt:i4>12</vt:i4>
      </vt:variant>
      <vt:variant>
        <vt:i4>0</vt:i4>
      </vt:variant>
      <vt:variant>
        <vt:i4>5</vt:i4>
      </vt:variant>
      <vt:variant>
        <vt:lpwstr>http://www.nevo.co.il/law/70301/349.a.1</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6357094</vt:i4>
      </vt:variant>
      <vt:variant>
        <vt:i4>6</vt:i4>
      </vt:variant>
      <vt:variant>
        <vt:i4>0</vt:i4>
      </vt:variant>
      <vt:variant>
        <vt:i4>5</vt:i4>
      </vt:variant>
      <vt:variant>
        <vt:lpwstr>http://www.nevo.co.il/law/70301/349</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3696</vt:lpwstr>
  </property>
  <property fmtid="{D5CDD505-2E9C-101B-9397-08002B2CF9AE}" pid="6" name="NEWPARTB">
    <vt:lpwstr/>
  </property>
  <property fmtid="{D5CDD505-2E9C-101B-9397-08002B2CF9AE}" pid="7" name="NEWPARTC">
    <vt:lpwstr>09</vt:lpwstr>
  </property>
  <property fmtid="{D5CDD505-2E9C-101B-9397-08002B2CF9AE}" pid="8" name="PROCNUM">
    <vt:lpwstr>3696</vt:lpwstr>
  </property>
  <property fmtid="{D5CDD505-2E9C-101B-9397-08002B2CF9AE}" pid="9" name="PROCYEAR">
    <vt:lpwstr>09</vt:lpwstr>
  </property>
  <property fmtid="{D5CDD505-2E9C-101B-9397-08002B2CF9AE}" pid="10" name="APPELLANT">
    <vt:lpwstr>מ.י. לשכת תביעות ירושלים (פלילי)</vt:lpwstr>
  </property>
  <property fmtid="{D5CDD505-2E9C-101B-9397-08002B2CF9AE}" pid="11" name="APPELLEE">
    <vt:lpwstr>פלוני</vt:lpwstr>
  </property>
  <property fmtid="{D5CDD505-2E9C-101B-9397-08002B2CF9AE}" pid="12" name="LAWYER">
    <vt:lpwstr>נילי קהלני;אריאל עטרי</vt:lpwstr>
  </property>
  <property fmtid="{D5CDD505-2E9C-101B-9397-08002B2CF9AE}" pid="13" name="JUDGE">
    <vt:lpwstr>שמעון שטיין</vt:lpwstr>
  </property>
  <property fmtid="{D5CDD505-2E9C-101B-9397-08002B2CF9AE}" pid="14" name="CITY">
    <vt:lpwstr>י-ם</vt:lpwstr>
  </property>
  <property fmtid="{D5CDD505-2E9C-101B-9397-08002B2CF9AE}" pid="15" name="DATE">
    <vt:lpwstr>20110210</vt:lpwstr>
  </property>
  <property fmtid="{D5CDD505-2E9C-101B-9397-08002B2CF9AE}" pid="16" name="TYPE_N_DATE">
    <vt:lpwstr>38020110210</vt:lpwstr>
  </property>
  <property fmtid="{D5CDD505-2E9C-101B-9397-08002B2CF9AE}" pid="17" name="WORDNUMPAGES">
    <vt:lpwstr>12</vt:lpwstr>
  </property>
  <property fmtid="{D5CDD505-2E9C-101B-9397-08002B2CF9AE}" pid="18" name="TYPE_ABS_DATE">
    <vt:lpwstr>380020110210</vt:lpwstr>
  </property>
  <property fmtid="{D5CDD505-2E9C-101B-9397-08002B2CF9AE}" pid="19" name="RemarkFileName">
    <vt:lpwstr>shalom sh 09 3696 687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17942767;1698040;2243108;6245006;20113398;6041035;17003547</vt:lpwstr>
  </property>
  <property fmtid="{D5CDD505-2E9C-101B-9397-08002B2CF9AE}" pid="44" name="LAWLISTTMP1">
    <vt:lpwstr>70301/349.a.1;34kd:3;349.a:3;348:2;34jg;349;34jh</vt:lpwstr>
  </property>
</Properties>
</file>