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C00B30" w:rsidRPr="00B101A0" w14:paraId="5923925F" w14:textId="77777777">
        <w:trPr>
          <w:trHeight w:hRule="exact" w:val="418"/>
          <w:jc w:val="center"/>
        </w:trPr>
        <w:tc>
          <w:tcPr>
            <w:tcW w:w="8720" w:type="dxa"/>
            <w:gridSpan w:val="3"/>
          </w:tcPr>
          <w:p w14:paraId="0E39C412" w14:textId="77777777" w:rsidR="00C00B30" w:rsidRPr="00B101A0" w:rsidRDefault="00B101A0">
            <w:pPr>
              <w:pStyle w:val="Header"/>
              <w:tabs>
                <w:tab w:val="clear" w:pos="8306"/>
              </w:tabs>
              <w:jc w:val="center"/>
              <w:rPr>
                <w:rFonts w:ascii="Tahoma" w:hAnsi="Tahoma" w:cs="Tahoma"/>
                <w:b/>
                <w:bCs/>
                <w:color w:val="000080"/>
                <w:sz w:val="20"/>
                <w:szCs w:val="20"/>
                <w:rtl/>
              </w:rPr>
            </w:pPr>
            <w:bookmarkStart w:id="0" w:name="LastJudge"/>
            <w:r w:rsidRPr="00B101A0">
              <w:rPr>
                <w:rFonts w:ascii="Tahoma" w:hAnsi="Tahoma" w:cs="Tahoma"/>
                <w:b/>
                <w:bCs/>
                <w:color w:val="000080"/>
                <w:sz w:val="20"/>
                <w:szCs w:val="20"/>
                <w:rtl/>
              </w:rPr>
              <w:t>בית משפט השלום בחיפה</w:t>
            </w:r>
          </w:p>
        </w:tc>
      </w:tr>
      <w:tr w:rsidR="00C00B30" w:rsidRPr="00B101A0" w14:paraId="6265D240" w14:textId="77777777">
        <w:trPr>
          <w:trHeight w:val="337"/>
          <w:jc w:val="center"/>
        </w:trPr>
        <w:tc>
          <w:tcPr>
            <w:tcW w:w="3973" w:type="dxa"/>
          </w:tcPr>
          <w:p w14:paraId="44B32A51" w14:textId="77777777" w:rsidR="00C00B30" w:rsidRPr="00B101A0" w:rsidRDefault="00B101A0">
            <w:pPr>
              <w:rPr>
                <w:b/>
                <w:bCs/>
                <w:sz w:val="26"/>
                <w:szCs w:val="26"/>
                <w:rtl/>
              </w:rPr>
            </w:pPr>
            <w:r w:rsidRPr="00B101A0">
              <w:rPr>
                <w:b/>
                <w:bCs/>
                <w:sz w:val="26"/>
                <w:szCs w:val="26"/>
                <w:rtl/>
              </w:rPr>
              <w:t>ת"פ</w:t>
            </w:r>
            <w:r w:rsidRPr="00B101A0">
              <w:rPr>
                <w:rFonts w:hint="cs"/>
                <w:b/>
                <w:bCs/>
                <w:sz w:val="26"/>
                <w:szCs w:val="26"/>
                <w:rtl/>
              </w:rPr>
              <w:t xml:space="preserve"> </w:t>
            </w:r>
            <w:r w:rsidRPr="00B101A0">
              <w:rPr>
                <w:b/>
                <w:bCs/>
                <w:sz w:val="26"/>
                <w:szCs w:val="26"/>
                <w:rtl/>
              </w:rPr>
              <w:t>6741-03-10</w:t>
            </w:r>
            <w:r w:rsidRPr="00B101A0">
              <w:rPr>
                <w:rFonts w:hint="cs"/>
                <w:b/>
                <w:bCs/>
                <w:sz w:val="26"/>
                <w:szCs w:val="26"/>
                <w:rtl/>
              </w:rPr>
              <w:t xml:space="preserve"> </w:t>
            </w:r>
            <w:r w:rsidRPr="00B101A0">
              <w:rPr>
                <w:b/>
                <w:bCs/>
                <w:sz w:val="26"/>
                <w:szCs w:val="26"/>
                <w:rtl/>
              </w:rPr>
              <w:t>מדינת ישראל נ' צבישב</w:t>
            </w:r>
          </w:p>
          <w:p w14:paraId="286B3D2B" w14:textId="77777777" w:rsidR="00C00B30" w:rsidRPr="00B101A0" w:rsidRDefault="00C00B30">
            <w:pPr>
              <w:rPr>
                <w:b/>
                <w:bCs/>
                <w:sz w:val="26"/>
                <w:szCs w:val="26"/>
                <w:rtl/>
              </w:rPr>
            </w:pPr>
          </w:p>
        </w:tc>
        <w:tc>
          <w:tcPr>
            <w:tcW w:w="1068" w:type="dxa"/>
          </w:tcPr>
          <w:p w14:paraId="351668FF" w14:textId="77777777" w:rsidR="00C00B30" w:rsidRPr="00B101A0" w:rsidRDefault="00C00B30">
            <w:pPr>
              <w:pStyle w:val="Header"/>
              <w:jc w:val="right"/>
              <w:rPr>
                <w:b/>
                <w:bCs/>
                <w:sz w:val="26"/>
                <w:szCs w:val="26"/>
                <w:rtl/>
              </w:rPr>
            </w:pPr>
          </w:p>
        </w:tc>
        <w:tc>
          <w:tcPr>
            <w:tcW w:w="3679" w:type="dxa"/>
          </w:tcPr>
          <w:p w14:paraId="37C6D854" w14:textId="77777777" w:rsidR="00C00B30" w:rsidRPr="00B101A0" w:rsidRDefault="00B101A0">
            <w:pPr>
              <w:pStyle w:val="Header"/>
              <w:tabs>
                <w:tab w:val="clear" w:pos="4153"/>
              </w:tabs>
              <w:jc w:val="right"/>
              <w:rPr>
                <w:b/>
                <w:bCs/>
                <w:sz w:val="26"/>
                <w:szCs w:val="26"/>
                <w:rtl/>
              </w:rPr>
            </w:pPr>
            <w:r w:rsidRPr="00B101A0">
              <w:rPr>
                <w:b/>
                <w:bCs/>
                <w:sz w:val="26"/>
                <w:szCs w:val="26"/>
                <w:rtl/>
              </w:rPr>
              <w:t>01 אוגוסט 2011</w:t>
            </w:r>
          </w:p>
        </w:tc>
      </w:tr>
    </w:tbl>
    <w:p w14:paraId="773FC2E1" w14:textId="77777777" w:rsidR="00C00B30" w:rsidRPr="00B101A0" w:rsidRDefault="00C00B30">
      <w:pPr>
        <w:pStyle w:val="Header"/>
        <w:jc w:val="center"/>
        <w:rPr>
          <w:rFonts w:ascii="Tahoma" w:hAnsi="Tahoma" w:cs="Tahoma"/>
          <w:b/>
          <w:bCs/>
          <w:color w:val="000080"/>
          <w:sz w:val="20"/>
          <w:szCs w:val="20"/>
          <w:rtl/>
        </w:rPr>
      </w:pPr>
    </w:p>
    <w:p w14:paraId="64242593" w14:textId="77777777" w:rsidR="00C00B30" w:rsidRPr="00B101A0" w:rsidRDefault="00C00B30">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C00B30" w:rsidRPr="00B101A0" w14:paraId="43E69FA2" w14:textId="77777777">
        <w:trPr>
          <w:trHeight w:val="337"/>
          <w:jc w:val="center"/>
        </w:trPr>
        <w:tc>
          <w:tcPr>
            <w:tcW w:w="1592" w:type="dxa"/>
          </w:tcPr>
          <w:p w14:paraId="59C271B6" w14:textId="77777777" w:rsidR="00C00B30" w:rsidRPr="00B101A0" w:rsidRDefault="00C00B30">
            <w:pPr>
              <w:pStyle w:val="Header"/>
              <w:bidi w:val="0"/>
              <w:spacing w:line="360" w:lineRule="auto"/>
              <w:jc w:val="both"/>
              <w:rPr>
                <w:rFonts w:ascii="Times New Roman" w:hAnsi="Times New Roman"/>
              </w:rPr>
            </w:pPr>
          </w:p>
        </w:tc>
        <w:tc>
          <w:tcPr>
            <w:tcW w:w="7128" w:type="dxa"/>
          </w:tcPr>
          <w:p w14:paraId="13912FE2" w14:textId="77777777" w:rsidR="00C00B30" w:rsidRPr="00B101A0" w:rsidRDefault="00C00B30">
            <w:pPr>
              <w:pStyle w:val="Header"/>
              <w:jc w:val="right"/>
              <w:rPr>
                <w:b/>
                <w:bCs/>
                <w:sz w:val="26"/>
                <w:szCs w:val="26"/>
                <w:rtl/>
              </w:rPr>
            </w:pPr>
          </w:p>
        </w:tc>
      </w:tr>
    </w:tbl>
    <w:p w14:paraId="0186DBFA" w14:textId="77777777" w:rsidR="00C00B30" w:rsidRPr="00B101A0" w:rsidRDefault="00C00B30">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C00B30" w:rsidRPr="00B101A0" w14:paraId="1691651D" w14:textId="77777777">
        <w:trPr>
          <w:gridAfter w:val="1"/>
          <w:wAfter w:w="55" w:type="dxa"/>
        </w:trPr>
        <w:tc>
          <w:tcPr>
            <w:tcW w:w="8719" w:type="dxa"/>
            <w:gridSpan w:val="2"/>
            <w:shd w:val="clear" w:color="auto" w:fill="auto"/>
          </w:tcPr>
          <w:p w14:paraId="2DB1BC4B" w14:textId="77777777" w:rsidR="00C00B30" w:rsidRPr="00341779" w:rsidRDefault="00B101A0" w:rsidP="00341779">
            <w:pPr>
              <w:spacing w:line="360" w:lineRule="auto"/>
              <w:jc w:val="both"/>
              <w:rPr>
                <w:b/>
                <w:bCs/>
                <w:sz w:val="26"/>
                <w:szCs w:val="26"/>
                <w:rtl/>
              </w:rPr>
            </w:pPr>
            <w:r w:rsidRPr="00341779">
              <w:rPr>
                <w:rFonts w:hint="cs"/>
                <w:b/>
                <w:bCs/>
                <w:sz w:val="26"/>
                <w:szCs w:val="26"/>
                <w:rtl/>
              </w:rPr>
              <w:t>בפני כב' ה</w:t>
            </w:r>
            <w:r w:rsidRPr="00341779">
              <w:rPr>
                <w:b/>
                <w:bCs/>
                <w:sz w:val="26"/>
                <w:szCs w:val="26"/>
                <w:rtl/>
              </w:rPr>
              <w:t>שופט יחיאל ליפשיץ</w:t>
            </w:r>
            <w:r w:rsidRPr="00B101A0">
              <w:rPr>
                <w:rStyle w:val="TimesNewRomanTimesNewRoman"/>
                <w:rtl/>
              </w:rPr>
              <w:t xml:space="preserve"> </w:t>
            </w:r>
          </w:p>
        </w:tc>
      </w:tr>
      <w:tr w:rsidR="00C00B30" w:rsidRPr="00B101A0" w14:paraId="76DB6BCF" w14:textId="77777777">
        <w:tc>
          <w:tcPr>
            <w:tcW w:w="2880" w:type="dxa"/>
            <w:shd w:val="clear" w:color="auto" w:fill="auto"/>
          </w:tcPr>
          <w:p w14:paraId="62E0BCAC" w14:textId="77777777" w:rsidR="00C00B30" w:rsidRPr="00341779" w:rsidRDefault="00B101A0" w:rsidP="00341779">
            <w:pPr>
              <w:ind w:left="26"/>
              <w:rPr>
                <w:b/>
                <w:bCs/>
                <w:sz w:val="26"/>
                <w:szCs w:val="26"/>
                <w:rtl/>
              </w:rPr>
            </w:pPr>
            <w:bookmarkStart w:id="1" w:name="FirstAppellant"/>
            <w:r w:rsidRPr="00341779">
              <w:rPr>
                <w:rFonts w:hint="cs"/>
                <w:b/>
                <w:bCs/>
                <w:sz w:val="26"/>
                <w:szCs w:val="26"/>
                <w:rtl/>
              </w:rPr>
              <w:t>ה</w:t>
            </w:r>
            <w:r w:rsidRPr="00341779">
              <w:rPr>
                <w:b/>
                <w:bCs/>
                <w:sz w:val="26"/>
                <w:szCs w:val="26"/>
                <w:rtl/>
              </w:rPr>
              <w:t>מאשימה</w:t>
            </w:r>
          </w:p>
        </w:tc>
        <w:tc>
          <w:tcPr>
            <w:tcW w:w="5922" w:type="dxa"/>
            <w:gridSpan w:val="2"/>
            <w:shd w:val="clear" w:color="auto" w:fill="auto"/>
          </w:tcPr>
          <w:p w14:paraId="62B2FE58" w14:textId="77777777" w:rsidR="00C00B30" w:rsidRPr="00341779" w:rsidRDefault="00B101A0">
            <w:pPr>
              <w:rPr>
                <w:b/>
                <w:bCs/>
                <w:sz w:val="26"/>
                <w:szCs w:val="26"/>
                <w:rtl/>
              </w:rPr>
            </w:pPr>
            <w:r w:rsidRPr="00341779">
              <w:rPr>
                <w:b/>
                <w:bCs/>
                <w:sz w:val="26"/>
                <w:szCs w:val="26"/>
                <w:rtl/>
              </w:rPr>
              <w:t>מדינת ישראל</w:t>
            </w:r>
          </w:p>
          <w:p w14:paraId="07D44EB0" w14:textId="77777777" w:rsidR="00C00B30" w:rsidRPr="00341779" w:rsidRDefault="00C00B30">
            <w:pPr>
              <w:rPr>
                <w:b/>
                <w:bCs/>
                <w:sz w:val="26"/>
                <w:szCs w:val="26"/>
                <w:rtl/>
              </w:rPr>
            </w:pPr>
          </w:p>
        </w:tc>
      </w:tr>
      <w:bookmarkEnd w:id="1"/>
      <w:tr w:rsidR="00C00B30" w:rsidRPr="00B101A0" w14:paraId="73C6C3D3" w14:textId="77777777">
        <w:tc>
          <w:tcPr>
            <w:tcW w:w="8802" w:type="dxa"/>
            <w:gridSpan w:val="3"/>
            <w:shd w:val="clear" w:color="auto" w:fill="auto"/>
          </w:tcPr>
          <w:p w14:paraId="5AC3D50A" w14:textId="77777777" w:rsidR="00C00B30" w:rsidRPr="00341779" w:rsidRDefault="00C00B30" w:rsidP="00341779">
            <w:pPr>
              <w:jc w:val="both"/>
              <w:rPr>
                <w:rFonts w:ascii="Arial" w:hAnsi="Arial"/>
                <w:b/>
                <w:bCs/>
                <w:sz w:val="26"/>
                <w:szCs w:val="26"/>
                <w:rtl/>
              </w:rPr>
            </w:pPr>
          </w:p>
          <w:p w14:paraId="25D0CFC1" w14:textId="77777777" w:rsidR="00C00B30" w:rsidRPr="00341779" w:rsidRDefault="00B101A0" w:rsidP="00341779">
            <w:pPr>
              <w:jc w:val="center"/>
              <w:rPr>
                <w:rFonts w:ascii="Arial" w:hAnsi="Arial"/>
                <w:b/>
                <w:bCs/>
                <w:sz w:val="26"/>
                <w:szCs w:val="26"/>
                <w:rtl/>
              </w:rPr>
            </w:pPr>
            <w:r w:rsidRPr="00341779">
              <w:rPr>
                <w:rFonts w:ascii="Arial" w:hAnsi="Arial"/>
                <w:b/>
                <w:bCs/>
                <w:sz w:val="26"/>
                <w:szCs w:val="26"/>
                <w:rtl/>
              </w:rPr>
              <w:t>נגד</w:t>
            </w:r>
          </w:p>
          <w:p w14:paraId="56BEE0E6" w14:textId="77777777" w:rsidR="00C00B30" w:rsidRPr="00341779" w:rsidRDefault="00C00B30" w:rsidP="00341779">
            <w:pPr>
              <w:jc w:val="center"/>
              <w:rPr>
                <w:rFonts w:ascii="Arial" w:hAnsi="Arial"/>
                <w:b/>
                <w:bCs/>
                <w:sz w:val="26"/>
                <w:szCs w:val="26"/>
              </w:rPr>
            </w:pPr>
          </w:p>
        </w:tc>
      </w:tr>
      <w:tr w:rsidR="00C00B30" w:rsidRPr="00B101A0" w14:paraId="4C99B9ED" w14:textId="77777777">
        <w:tc>
          <w:tcPr>
            <w:tcW w:w="2880" w:type="dxa"/>
            <w:shd w:val="clear" w:color="auto" w:fill="auto"/>
          </w:tcPr>
          <w:p w14:paraId="2B53618D" w14:textId="77777777" w:rsidR="00C00B30" w:rsidRPr="00341779" w:rsidRDefault="00B101A0" w:rsidP="00341779">
            <w:pPr>
              <w:ind w:left="26"/>
              <w:rPr>
                <w:b/>
                <w:bCs/>
                <w:sz w:val="26"/>
                <w:szCs w:val="26"/>
                <w:rtl/>
              </w:rPr>
            </w:pPr>
            <w:r w:rsidRPr="00341779">
              <w:rPr>
                <w:rFonts w:hint="cs"/>
                <w:b/>
                <w:bCs/>
                <w:sz w:val="26"/>
                <w:szCs w:val="26"/>
                <w:rtl/>
              </w:rPr>
              <w:t>ה</w:t>
            </w:r>
            <w:r w:rsidRPr="00341779">
              <w:rPr>
                <w:b/>
                <w:bCs/>
                <w:sz w:val="26"/>
                <w:szCs w:val="26"/>
                <w:rtl/>
              </w:rPr>
              <w:t>נאש</w:t>
            </w:r>
            <w:r w:rsidRPr="00341779">
              <w:rPr>
                <w:rFonts w:hint="cs"/>
                <w:b/>
                <w:bCs/>
                <w:sz w:val="26"/>
                <w:szCs w:val="26"/>
                <w:rtl/>
              </w:rPr>
              <w:t>ם</w:t>
            </w:r>
          </w:p>
        </w:tc>
        <w:tc>
          <w:tcPr>
            <w:tcW w:w="5922" w:type="dxa"/>
            <w:gridSpan w:val="2"/>
            <w:shd w:val="clear" w:color="auto" w:fill="auto"/>
          </w:tcPr>
          <w:p w14:paraId="38D22747" w14:textId="77777777" w:rsidR="00C00B30" w:rsidRPr="00341779" w:rsidRDefault="00B101A0">
            <w:pPr>
              <w:rPr>
                <w:b/>
                <w:bCs/>
                <w:sz w:val="26"/>
                <w:szCs w:val="26"/>
                <w:rtl/>
              </w:rPr>
            </w:pPr>
            <w:r w:rsidRPr="00341779">
              <w:rPr>
                <w:b/>
                <w:bCs/>
                <w:sz w:val="26"/>
                <w:szCs w:val="26"/>
                <w:rtl/>
              </w:rPr>
              <w:t>אנטולי צבישב</w:t>
            </w:r>
          </w:p>
          <w:p w14:paraId="7139AC73" w14:textId="77777777" w:rsidR="00C00B30" w:rsidRPr="00341779" w:rsidRDefault="00C00B30">
            <w:pPr>
              <w:rPr>
                <w:b/>
                <w:bCs/>
                <w:sz w:val="26"/>
                <w:szCs w:val="26"/>
                <w:rtl/>
              </w:rPr>
            </w:pPr>
          </w:p>
        </w:tc>
      </w:tr>
    </w:tbl>
    <w:p w14:paraId="407EA691" w14:textId="77777777" w:rsidR="00C00B30" w:rsidRPr="00B101A0" w:rsidRDefault="00C00B30">
      <w:pPr>
        <w:spacing w:line="360" w:lineRule="auto"/>
        <w:jc w:val="both"/>
        <w:rPr>
          <w:rtl/>
        </w:rPr>
      </w:pPr>
    </w:p>
    <w:p w14:paraId="55C8F0FA" w14:textId="77777777" w:rsidR="00C00B30" w:rsidRPr="00B101A0" w:rsidRDefault="00B101A0">
      <w:pPr>
        <w:spacing w:line="360" w:lineRule="auto"/>
        <w:jc w:val="both"/>
        <w:rPr>
          <w:sz w:val="6"/>
          <w:szCs w:val="6"/>
          <w:rtl/>
        </w:rPr>
      </w:pPr>
      <w:r w:rsidRPr="00B101A0">
        <w:rPr>
          <w:sz w:val="6"/>
          <w:szCs w:val="6"/>
          <w:rtl/>
        </w:rPr>
        <w:t>&lt;#2#&gt;</w:t>
      </w:r>
    </w:p>
    <w:p w14:paraId="18D17AAB" w14:textId="77777777" w:rsidR="00C00B30" w:rsidRPr="00B101A0" w:rsidRDefault="00B101A0">
      <w:pPr>
        <w:pStyle w:val="12"/>
        <w:rPr>
          <w:u w:val="none"/>
          <w:rtl/>
        </w:rPr>
      </w:pPr>
      <w:r w:rsidRPr="00B101A0">
        <w:rPr>
          <w:rFonts w:hint="cs"/>
          <w:u w:val="none"/>
          <w:rtl/>
        </w:rPr>
        <w:t>נוכחים:</w:t>
      </w:r>
    </w:p>
    <w:p w14:paraId="375BAF6A" w14:textId="77777777" w:rsidR="00C00B30" w:rsidRPr="00B101A0" w:rsidRDefault="00B101A0">
      <w:pPr>
        <w:pStyle w:val="12"/>
        <w:rPr>
          <w:b w:val="0"/>
          <w:bCs w:val="0"/>
          <w:u w:val="none"/>
          <w:rtl/>
        </w:rPr>
      </w:pPr>
      <w:bookmarkStart w:id="2" w:name="FirstLawyer"/>
      <w:r w:rsidRPr="00B101A0">
        <w:rPr>
          <w:rFonts w:hint="cs"/>
          <w:b w:val="0"/>
          <w:bCs w:val="0"/>
          <w:u w:val="none"/>
          <w:rtl/>
        </w:rPr>
        <w:t>ב"כ</w:t>
      </w:r>
      <w:bookmarkEnd w:id="2"/>
      <w:r w:rsidRPr="00B101A0">
        <w:rPr>
          <w:rFonts w:hint="cs"/>
          <w:b w:val="0"/>
          <w:bCs w:val="0"/>
          <w:u w:val="none"/>
          <w:rtl/>
        </w:rPr>
        <w:t xml:space="preserve"> המאשימה </w:t>
      </w:r>
      <w:r w:rsidRPr="00B101A0">
        <w:rPr>
          <w:b w:val="0"/>
          <w:bCs w:val="0"/>
          <w:u w:val="none"/>
          <w:rtl/>
        </w:rPr>
        <w:t>–</w:t>
      </w:r>
      <w:r w:rsidRPr="00B101A0">
        <w:rPr>
          <w:rFonts w:hint="cs"/>
          <w:b w:val="0"/>
          <w:bCs w:val="0"/>
          <w:u w:val="none"/>
          <w:rtl/>
        </w:rPr>
        <w:t xml:space="preserve"> עו"ד איציק אמיר </w:t>
      </w:r>
    </w:p>
    <w:p w14:paraId="53653F50" w14:textId="77777777" w:rsidR="00C00B30" w:rsidRPr="00B101A0" w:rsidRDefault="00B101A0">
      <w:pPr>
        <w:pStyle w:val="12"/>
        <w:rPr>
          <w:b w:val="0"/>
          <w:bCs w:val="0"/>
          <w:u w:val="none"/>
          <w:rtl/>
        </w:rPr>
      </w:pPr>
      <w:r w:rsidRPr="00B101A0">
        <w:rPr>
          <w:rFonts w:hint="cs"/>
          <w:b w:val="0"/>
          <w:bCs w:val="0"/>
          <w:u w:val="none"/>
          <w:rtl/>
        </w:rPr>
        <w:t xml:space="preserve">ב"כ הנאשם </w:t>
      </w:r>
      <w:r w:rsidRPr="00B101A0">
        <w:rPr>
          <w:b w:val="0"/>
          <w:bCs w:val="0"/>
          <w:u w:val="none"/>
          <w:rtl/>
        </w:rPr>
        <w:t>–</w:t>
      </w:r>
      <w:r w:rsidRPr="00B101A0">
        <w:rPr>
          <w:rFonts w:hint="cs"/>
          <w:b w:val="0"/>
          <w:bCs w:val="0"/>
          <w:u w:val="none"/>
          <w:rtl/>
        </w:rPr>
        <w:t xml:space="preserve"> עו"ד פרחובניק (ס. ציבורית)</w:t>
      </w:r>
    </w:p>
    <w:p w14:paraId="6E3AB6AD" w14:textId="77777777" w:rsidR="00C00B30" w:rsidRPr="00B101A0" w:rsidRDefault="00B101A0">
      <w:pPr>
        <w:pStyle w:val="12"/>
        <w:rPr>
          <w:b w:val="0"/>
          <w:bCs w:val="0"/>
          <w:u w:val="none"/>
          <w:rtl/>
        </w:rPr>
      </w:pPr>
      <w:r w:rsidRPr="00B101A0">
        <w:rPr>
          <w:rFonts w:hint="cs"/>
          <w:b w:val="0"/>
          <w:bCs w:val="0"/>
          <w:u w:val="none"/>
          <w:rtl/>
        </w:rPr>
        <w:t>הנאשם - בעצמו</w:t>
      </w:r>
    </w:p>
    <w:p w14:paraId="5D7F0A26" w14:textId="77777777" w:rsidR="00C00B30" w:rsidRPr="00B101A0" w:rsidRDefault="00C00B30">
      <w:pPr>
        <w:pStyle w:val="12"/>
        <w:rPr>
          <w:b w:val="0"/>
          <w:bCs w:val="0"/>
          <w:u w:val="none"/>
          <w:rtl/>
        </w:rPr>
      </w:pPr>
    </w:p>
    <w:p w14:paraId="6DB54505" w14:textId="77777777" w:rsidR="001D52A1" w:rsidRDefault="00B101A0">
      <w:pPr>
        <w:spacing w:line="360" w:lineRule="auto"/>
        <w:jc w:val="center"/>
        <w:rPr>
          <w:rFonts w:ascii="Arial" w:hAnsi="Arial"/>
          <w:sz w:val="28"/>
          <w:szCs w:val="28"/>
          <w:rtl/>
        </w:rPr>
      </w:pPr>
      <w:r w:rsidRPr="00B101A0">
        <w:rPr>
          <w:rFonts w:ascii="Arial" w:hAnsi="Arial"/>
          <w:b/>
          <w:color w:val="FF0000"/>
          <w:sz w:val="28"/>
          <w:rtl/>
        </w:rPr>
        <w:t>במסמך זה הושמטו פרוטוקולים</w:t>
      </w:r>
      <w:bookmarkStart w:id="3" w:name="LawTable"/>
      <w:bookmarkEnd w:id="3"/>
    </w:p>
    <w:p w14:paraId="5E25BC43" w14:textId="77777777" w:rsidR="001D52A1" w:rsidRPr="001D52A1" w:rsidRDefault="001D52A1" w:rsidP="001D52A1">
      <w:pPr>
        <w:spacing w:after="120" w:line="240" w:lineRule="exact"/>
        <w:ind w:left="283" w:hanging="283"/>
        <w:jc w:val="both"/>
        <w:rPr>
          <w:rFonts w:ascii="FrankRuehl" w:hAnsi="FrankRuehl" w:cs="FrankRuehl"/>
          <w:rtl/>
        </w:rPr>
      </w:pPr>
    </w:p>
    <w:p w14:paraId="68B44276" w14:textId="77777777" w:rsidR="001D52A1" w:rsidRPr="001D52A1" w:rsidRDefault="001D52A1" w:rsidP="001D52A1">
      <w:pPr>
        <w:spacing w:after="120" w:line="240" w:lineRule="exact"/>
        <w:ind w:left="283" w:hanging="283"/>
        <w:jc w:val="both"/>
        <w:rPr>
          <w:rFonts w:ascii="FrankRuehl" w:hAnsi="FrankRuehl" w:cs="FrankRuehl"/>
          <w:rtl/>
        </w:rPr>
      </w:pPr>
      <w:r w:rsidRPr="001D52A1">
        <w:rPr>
          <w:rFonts w:ascii="FrankRuehl" w:hAnsi="FrankRuehl" w:cs="FrankRuehl"/>
          <w:rtl/>
        </w:rPr>
        <w:t xml:space="preserve">חקיקה שאוזכרה: </w:t>
      </w:r>
    </w:p>
    <w:p w14:paraId="666686D3" w14:textId="77777777" w:rsidR="001D52A1" w:rsidRPr="001D52A1" w:rsidRDefault="001D52A1" w:rsidP="001D52A1">
      <w:pPr>
        <w:spacing w:after="120" w:line="240" w:lineRule="exact"/>
        <w:ind w:left="283" w:hanging="283"/>
        <w:jc w:val="both"/>
        <w:rPr>
          <w:rFonts w:ascii="FrankRuehl" w:hAnsi="FrankRuehl" w:cs="FrankRuehl"/>
          <w:rtl/>
        </w:rPr>
      </w:pPr>
      <w:hyperlink r:id="rId7" w:history="1">
        <w:r w:rsidRPr="001D52A1">
          <w:rPr>
            <w:rFonts w:ascii="FrankRuehl" w:hAnsi="FrankRuehl" w:cs="FrankRuehl"/>
            <w:color w:val="0000FF"/>
            <w:u w:val="single"/>
            <w:rtl/>
          </w:rPr>
          <w:t>חוק העונשין, תשל"ז-1977</w:t>
        </w:r>
      </w:hyperlink>
      <w:r w:rsidRPr="001D52A1">
        <w:rPr>
          <w:rFonts w:ascii="FrankRuehl" w:hAnsi="FrankRuehl" w:cs="FrankRuehl"/>
          <w:rtl/>
        </w:rPr>
        <w:t xml:space="preserve">: סע'  </w:t>
      </w:r>
      <w:hyperlink r:id="rId8" w:history="1">
        <w:r w:rsidRPr="001D52A1">
          <w:rPr>
            <w:rFonts w:ascii="FrankRuehl" w:hAnsi="FrankRuehl" w:cs="FrankRuehl"/>
            <w:color w:val="0000FF"/>
            <w:u w:val="single"/>
            <w:rtl/>
          </w:rPr>
          <w:t>34 ט'</w:t>
        </w:r>
      </w:hyperlink>
      <w:r w:rsidRPr="001D52A1">
        <w:rPr>
          <w:rFonts w:ascii="FrankRuehl" w:hAnsi="FrankRuehl" w:cs="FrankRuehl"/>
          <w:rtl/>
        </w:rPr>
        <w:t xml:space="preserve">, </w:t>
      </w:r>
      <w:hyperlink r:id="rId9" w:history="1">
        <w:r w:rsidRPr="001D52A1">
          <w:rPr>
            <w:rFonts w:ascii="FrankRuehl" w:hAnsi="FrankRuehl" w:cs="FrankRuehl"/>
            <w:color w:val="0000FF"/>
            <w:u w:val="single"/>
            <w:rtl/>
          </w:rPr>
          <w:t>34 ט'(ב)</w:t>
        </w:r>
      </w:hyperlink>
      <w:r w:rsidRPr="001D52A1">
        <w:rPr>
          <w:rFonts w:ascii="FrankRuehl" w:hAnsi="FrankRuehl" w:cs="FrankRuehl"/>
          <w:rtl/>
        </w:rPr>
        <w:t xml:space="preserve">, </w:t>
      </w:r>
      <w:hyperlink r:id="rId10" w:history="1">
        <w:r w:rsidRPr="001D52A1">
          <w:rPr>
            <w:rFonts w:ascii="FrankRuehl" w:hAnsi="FrankRuehl" w:cs="FrankRuehl"/>
            <w:color w:val="0000FF"/>
            <w:u w:val="single"/>
            <w:rtl/>
          </w:rPr>
          <w:t>34 ט' (ג)</w:t>
        </w:r>
      </w:hyperlink>
      <w:r w:rsidRPr="001D52A1">
        <w:rPr>
          <w:rFonts w:ascii="FrankRuehl" w:hAnsi="FrankRuehl" w:cs="FrankRuehl"/>
          <w:rtl/>
        </w:rPr>
        <w:t xml:space="preserve">, </w:t>
      </w:r>
      <w:hyperlink r:id="rId11" w:history="1">
        <w:r w:rsidRPr="001D52A1">
          <w:rPr>
            <w:rFonts w:ascii="FrankRuehl" w:hAnsi="FrankRuehl" w:cs="FrankRuehl"/>
            <w:color w:val="0000FF"/>
            <w:u w:val="single"/>
            <w:rtl/>
          </w:rPr>
          <w:t>186</w:t>
        </w:r>
      </w:hyperlink>
      <w:r w:rsidRPr="001D52A1">
        <w:rPr>
          <w:rFonts w:ascii="FrankRuehl" w:hAnsi="FrankRuehl" w:cs="FrankRuehl"/>
          <w:rtl/>
        </w:rPr>
        <w:t xml:space="preserve">, </w:t>
      </w:r>
      <w:hyperlink r:id="rId12" w:history="1">
        <w:r w:rsidRPr="001D52A1">
          <w:rPr>
            <w:rFonts w:ascii="FrankRuehl" w:hAnsi="FrankRuehl" w:cs="FrankRuehl"/>
            <w:color w:val="0000FF"/>
            <w:u w:val="single"/>
            <w:rtl/>
          </w:rPr>
          <w:t>186 (א)</w:t>
        </w:r>
      </w:hyperlink>
      <w:r w:rsidRPr="001D52A1">
        <w:rPr>
          <w:rFonts w:ascii="FrankRuehl" w:hAnsi="FrankRuehl" w:cs="FrankRuehl"/>
          <w:rtl/>
        </w:rPr>
        <w:t xml:space="preserve">, </w:t>
      </w:r>
      <w:hyperlink r:id="rId13" w:history="1">
        <w:r w:rsidRPr="001D52A1">
          <w:rPr>
            <w:rFonts w:ascii="FrankRuehl" w:hAnsi="FrankRuehl" w:cs="FrankRuehl"/>
            <w:color w:val="0000FF"/>
            <w:u w:val="single"/>
            <w:rtl/>
          </w:rPr>
          <w:t>192</w:t>
        </w:r>
      </w:hyperlink>
      <w:r w:rsidRPr="001D52A1">
        <w:rPr>
          <w:rFonts w:ascii="FrankRuehl" w:hAnsi="FrankRuehl" w:cs="FrankRuehl"/>
          <w:rtl/>
        </w:rPr>
        <w:t xml:space="preserve">, </w:t>
      </w:r>
      <w:hyperlink r:id="rId14" w:history="1">
        <w:r w:rsidRPr="001D52A1">
          <w:rPr>
            <w:rFonts w:ascii="FrankRuehl" w:hAnsi="FrankRuehl" w:cs="FrankRuehl"/>
            <w:color w:val="0000FF"/>
            <w:u w:val="single"/>
            <w:rtl/>
          </w:rPr>
          <w:t>348</w:t>
        </w:r>
      </w:hyperlink>
      <w:r w:rsidRPr="001D52A1">
        <w:rPr>
          <w:rFonts w:ascii="FrankRuehl" w:hAnsi="FrankRuehl" w:cs="FrankRuehl"/>
          <w:rtl/>
        </w:rPr>
        <w:t xml:space="preserve">, </w:t>
      </w:r>
      <w:hyperlink r:id="rId15" w:history="1">
        <w:r w:rsidRPr="001D52A1">
          <w:rPr>
            <w:rFonts w:ascii="FrankRuehl" w:hAnsi="FrankRuehl" w:cs="FrankRuehl"/>
            <w:color w:val="0000FF"/>
            <w:u w:val="single"/>
            <w:rtl/>
          </w:rPr>
          <w:t>34 יד'</w:t>
        </w:r>
      </w:hyperlink>
      <w:r w:rsidRPr="001D52A1">
        <w:rPr>
          <w:rFonts w:ascii="FrankRuehl" w:hAnsi="FrankRuehl" w:cs="FrankRuehl"/>
          <w:rtl/>
        </w:rPr>
        <w:t xml:space="preserve">, </w:t>
      </w:r>
      <w:hyperlink r:id="rId16" w:history="1">
        <w:r w:rsidRPr="001D52A1">
          <w:rPr>
            <w:rFonts w:ascii="FrankRuehl" w:hAnsi="FrankRuehl" w:cs="FrankRuehl"/>
            <w:color w:val="0000FF"/>
            <w:u w:val="single"/>
            <w:rtl/>
          </w:rPr>
          <w:t>34 יז'</w:t>
        </w:r>
      </w:hyperlink>
      <w:r w:rsidRPr="001D52A1">
        <w:rPr>
          <w:rFonts w:ascii="FrankRuehl" w:hAnsi="FrankRuehl" w:cs="FrankRuehl"/>
          <w:rtl/>
        </w:rPr>
        <w:t xml:space="preserve">, </w:t>
      </w:r>
      <w:hyperlink r:id="rId17" w:history="1">
        <w:r w:rsidRPr="001D52A1">
          <w:rPr>
            <w:rFonts w:ascii="FrankRuehl" w:hAnsi="FrankRuehl" w:cs="FrankRuehl"/>
            <w:color w:val="0000FF"/>
            <w:u w:val="single"/>
            <w:rtl/>
          </w:rPr>
          <w:t>452</w:t>
        </w:r>
      </w:hyperlink>
    </w:p>
    <w:p w14:paraId="064F4451" w14:textId="77777777" w:rsidR="001D52A1" w:rsidRPr="001D52A1" w:rsidRDefault="001D52A1" w:rsidP="001D52A1">
      <w:pPr>
        <w:spacing w:after="120" w:line="240" w:lineRule="exact"/>
        <w:ind w:left="283" w:hanging="283"/>
        <w:jc w:val="both"/>
        <w:rPr>
          <w:rFonts w:ascii="FrankRuehl" w:hAnsi="FrankRuehl" w:cs="FrankRuehl"/>
          <w:rtl/>
        </w:rPr>
      </w:pPr>
    </w:p>
    <w:p w14:paraId="29FC8DFA" w14:textId="77777777" w:rsidR="001D52A1" w:rsidRPr="001D52A1" w:rsidRDefault="001D52A1">
      <w:pPr>
        <w:spacing w:line="360" w:lineRule="auto"/>
        <w:jc w:val="center"/>
        <w:rPr>
          <w:rFonts w:ascii="Arial" w:hAnsi="Arial"/>
          <w:sz w:val="28"/>
          <w:szCs w:val="28"/>
          <w:rtl/>
        </w:rPr>
      </w:pPr>
      <w:bookmarkStart w:id="4" w:name="LawTable_End"/>
      <w:bookmarkEnd w:id="4"/>
    </w:p>
    <w:p w14:paraId="58DF6C49" w14:textId="77777777" w:rsidR="001D52A1" w:rsidRPr="001D52A1" w:rsidRDefault="001D52A1">
      <w:pPr>
        <w:spacing w:line="360" w:lineRule="auto"/>
        <w:jc w:val="center"/>
        <w:rPr>
          <w:rFonts w:ascii="Arial" w:hAnsi="Arial"/>
          <w:b/>
          <w:bCs/>
          <w:sz w:val="28"/>
          <w:szCs w:val="28"/>
          <w:rtl/>
        </w:rPr>
      </w:pPr>
    </w:p>
    <w:p w14:paraId="0E4A1CC4" w14:textId="77777777" w:rsidR="00C00B30" w:rsidRPr="001D52A1" w:rsidRDefault="00C00B30">
      <w:pPr>
        <w:spacing w:line="360" w:lineRule="auto"/>
        <w:jc w:val="center"/>
        <w:rPr>
          <w:rFonts w:ascii="Arial" w:hAnsi="Arial"/>
          <w:b/>
          <w:bCs/>
          <w:sz w:val="28"/>
          <w:szCs w:val="28"/>
          <w:rtl/>
        </w:rPr>
      </w:pPr>
    </w:p>
    <w:p w14:paraId="4C3E426D" w14:textId="77777777" w:rsidR="00A164F8" w:rsidRPr="00A164F8" w:rsidRDefault="00A164F8">
      <w:pPr>
        <w:spacing w:line="360" w:lineRule="auto"/>
        <w:jc w:val="center"/>
        <w:rPr>
          <w:rFonts w:ascii="Arial" w:hAnsi="Arial"/>
          <w:sz w:val="28"/>
          <w:szCs w:val="28"/>
          <w:rtl/>
        </w:rPr>
      </w:pPr>
    </w:p>
    <w:p w14:paraId="0B87246C" w14:textId="77777777" w:rsidR="00A164F8" w:rsidRPr="00A164F8" w:rsidRDefault="00A164F8">
      <w:pPr>
        <w:spacing w:line="360" w:lineRule="auto"/>
        <w:jc w:val="center"/>
        <w:rPr>
          <w:rFonts w:ascii="Arial" w:hAnsi="Arial"/>
          <w:b/>
          <w:bCs/>
          <w:sz w:val="28"/>
          <w:szCs w:val="28"/>
          <w:rtl/>
        </w:rPr>
      </w:pPr>
    </w:p>
    <w:p w14:paraId="5A8CE806" w14:textId="77777777" w:rsidR="00B101A0" w:rsidRPr="00A164F8" w:rsidRDefault="00B101A0">
      <w:pPr>
        <w:spacing w:line="360" w:lineRule="auto"/>
        <w:jc w:val="center"/>
        <w:rPr>
          <w:rFonts w:ascii="Arial" w:hAnsi="Arial"/>
          <w:b/>
          <w:bCs/>
          <w:sz w:val="28"/>
          <w:szCs w:val="28"/>
          <w:rtl/>
        </w:rPr>
      </w:pPr>
    </w:p>
    <w:p w14:paraId="6AAE0F22" w14:textId="77777777" w:rsidR="00B101A0" w:rsidRPr="00B101A0" w:rsidRDefault="00B101A0" w:rsidP="00B101A0">
      <w:pPr>
        <w:spacing w:line="360" w:lineRule="auto"/>
        <w:jc w:val="center"/>
        <w:rPr>
          <w:rFonts w:ascii="Arial" w:hAnsi="Arial"/>
          <w:b/>
          <w:bCs/>
          <w:sz w:val="28"/>
          <w:szCs w:val="28"/>
          <w:u w:val="single"/>
          <w:rtl/>
        </w:rPr>
      </w:pPr>
      <w:bookmarkStart w:id="5" w:name="PsakDin"/>
      <w:bookmarkEnd w:id="0"/>
      <w:r w:rsidRPr="00B101A0">
        <w:rPr>
          <w:rFonts w:ascii="Arial" w:hAnsi="Arial"/>
          <w:b/>
          <w:bCs/>
          <w:sz w:val="28"/>
          <w:szCs w:val="28"/>
          <w:u w:val="single"/>
          <w:rtl/>
        </w:rPr>
        <w:t>הכרעת דין</w:t>
      </w:r>
    </w:p>
    <w:bookmarkEnd w:id="5"/>
    <w:p w14:paraId="32878D34" w14:textId="77777777" w:rsidR="00C00B30" w:rsidRDefault="00C00B30">
      <w:pPr>
        <w:spacing w:line="360" w:lineRule="auto"/>
        <w:jc w:val="both"/>
        <w:rPr>
          <w:rtl/>
        </w:rPr>
      </w:pPr>
    </w:p>
    <w:p w14:paraId="1540D56A" w14:textId="77777777" w:rsidR="00C00B30" w:rsidRDefault="00B101A0">
      <w:pPr>
        <w:spacing w:line="360" w:lineRule="auto"/>
        <w:ind w:firstLine="360"/>
        <w:jc w:val="both"/>
        <w:rPr>
          <w:b/>
          <w:bCs/>
          <w:u w:val="single"/>
        </w:rPr>
      </w:pPr>
      <w:r>
        <w:rPr>
          <w:rFonts w:hint="cs"/>
          <w:b/>
          <w:bCs/>
          <w:u w:val="single"/>
          <w:rtl/>
        </w:rPr>
        <w:t>מבוא</w:t>
      </w:r>
    </w:p>
    <w:p w14:paraId="73480EF5" w14:textId="77777777" w:rsidR="00C00B30" w:rsidRDefault="00B101A0">
      <w:pPr>
        <w:numPr>
          <w:ilvl w:val="0"/>
          <w:numId w:val="1"/>
        </w:numPr>
        <w:spacing w:line="360" w:lineRule="auto"/>
        <w:jc w:val="both"/>
      </w:pPr>
      <w:r>
        <w:rPr>
          <w:rFonts w:hint="cs"/>
          <w:rtl/>
        </w:rPr>
        <w:t xml:space="preserve">בתאריך 24/2/11, ניתן פסק דינו של בית המשפט המחוזי, במסגרת </w:t>
      </w:r>
      <w:hyperlink r:id="rId18" w:history="1">
        <w:r w:rsidR="00A164F8" w:rsidRPr="00A164F8">
          <w:rPr>
            <w:rStyle w:val="Hyperlink"/>
            <w:rtl/>
          </w:rPr>
          <w:t>ע"פ 11620-09-10</w:t>
        </w:r>
      </w:hyperlink>
      <w:r>
        <w:rPr>
          <w:rFonts w:hint="cs"/>
          <w:rtl/>
        </w:rPr>
        <w:t xml:space="preserve"> (</w:t>
      </w:r>
      <w:r>
        <w:rPr>
          <w:rFonts w:hint="cs"/>
          <w:b/>
          <w:bCs/>
          <w:rtl/>
        </w:rPr>
        <w:t>להלן: פסק דינו של בית המשפט המחוזי</w:t>
      </w:r>
      <w:r>
        <w:rPr>
          <w:rFonts w:hint="cs"/>
          <w:rtl/>
        </w:rPr>
        <w:t>). בית המשפט המחוזי קיבל את ערעור המאשימה והורה:"</w:t>
      </w:r>
      <w:r>
        <w:rPr>
          <w:rFonts w:hint="cs"/>
          <w:b/>
          <w:bCs/>
          <w:rtl/>
        </w:rPr>
        <w:t>על החזרת התיק לבית משפט קמא להמשך הדיון בכל שאר טענות ההגנה של המשיב</w:t>
      </w:r>
      <w:r>
        <w:rPr>
          <w:rFonts w:hint="cs"/>
          <w:rtl/>
        </w:rPr>
        <w:t>". (פסקה עח' לפסק דינו של בית המשפט המחוזי).</w:t>
      </w:r>
    </w:p>
    <w:p w14:paraId="2E72C9D6" w14:textId="77777777" w:rsidR="00C00B30" w:rsidRDefault="00C00B30">
      <w:pPr>
        <w:spacing w:line="360" w:lineRule="auto"/>
        <w:jc w:val="both"/>
      </w:pPr>
    </w:p>
    <w:p w14:paraId="04B5E1E6" w14:textId="77777777" w:rsidR="00C00B30" w:rsidRDefault="00B101A0">
      <w:pPr>
        <w:spacing w:line="360" w:lineRule="auto"/>
        <w:ind w:left="360"/>
        <w:jc w:val="both"/>
      </w:pPr>
      <w:r>
        <w:rPr>
          <w:rFonts w:hint="cs"/>
          <w:rtl/>
        </w:rPr>
        <w:t xml:space="preserve">מדובר בערעור אשר הוגש על ידי המאשימה בנוגע לפסק דיני מתאריך 29/7/10, שם קבעתי כי לנאשם עומד הסייג של העדר שליטה לפי </w:t>
      </w:r>
      <w:hyperlink r:id="rId19" w:history="1">
        <w:r w:rsidR="001D52A1" w:rsidRPr="001D52A1">
          <w:rPr>
            <w:rStyle w:val="Hyperlink"/>
            <w:rFonts w:hint="eastAsia"/>
            <w:rtl/>
          </w:rPr>
          <w:t>ס</w:t>
        </w:r>
        <w:r w:rsidR="001D52A1" w:rsidRPr="001D52A1">
          <w:rPr>
            <w:rStyle w:val="Hyperlink"/>
            <w:rtl/>
          </w:rPr>
          <w:t>' 34 יז'</w:t>
        </w:r>
      </w:hyperlink>
      <w:r>
        <w:rPr>
          <w:rFonts w:hint="cs"/>
          <w:rtl/>
        </w:rPr>
        <w:t xml:space="preserve"> </w:t>
      </w:r>
      <w:r>
        <w:rPr>
          <w:rFonts w:hint="cs"/>
          <w:b/>
          <w:bCs/>
          <w:rtl/>
        </w:rPr>
        <w:t>ל</w:t>
      </w:r>
      <w:hyperlink r:id="rId20" w:history="1">
        <w:r w:rsidR="00A164F8" w:rsidRPr="00A164F8">
          <w:rPr>
            <w:rStyle w:val="Hyperlink"/>
            <w:b/>
            <w:bCs/>
            <w:rtl/>
          </w:rPr>
          <w:t>חוק העונשין</w:t>
        </w:r>
      </w:hyperlink>
      <w:r>
        <w:rPr>
          <w:rFonts w:hint="cs"/>
          <w:b/>
          <w:bCs/>
          <w:rtl/>
        </w:rPr>
        <w:t xml:space="preserve">, תשל"ז – 1977 (להלן: החוק) </w:t>
      </w:r>
      <w:r>
        <w:rPr>
          <w:rFonts w:hint="cs"/>
          <w:rtl/>
        </w:rPr>
        <w:t xml:space="preserve">וכן קבעתי, כי הוא אינו בר עונשין. </w:t>
      </w:r>
    </w:p>
    <w:p w14:paraId="50A7EF26" w14:textId="77777777" w:rsidR="00C00B30" w:rsidRDefault="00C00B30">
      <w:pPr>
        <w:spacing w:line="360" w:lineRule="auto"/>
        <w:ind w:left="360"/>
        <w:jc w:val="both"/>
        <w:rPr>
          <w:rtl/>
        </w:rPr>
      </w:pPr>
    </w:p>
    <w:p w14:paraId="558E604B" w14:textId="77777777" w:rsidR="00C00B30" w:rsidRDefault="00B101A0">
      <w:pPr>
        <w:spacing w:line="360" w:lineRule="auto"/>
        <w:ind w:firstLine="360"/>
        <w:jc w:val="both"/>
        <w:rPr>
          <w:b/>
          <w:bCs/>
          <w:u w:val="single"/>
          <w:rtl/>
        </w:rPr>
      </w:pPr>
      <w:r>
        <w:rPr>
          <w:rFonts w:hint="cs"/>
          <w:b/>
          <w:bCs/>
          <w:u w:val="single"/>
          <w:rtl/>
        </w:rPr>
        <w:t>השתלשלות העניינים עד כה, בקצרה</w:t>
      </w:r>
    </w:p>
    <w:p w14:paraId="5210EEC4" w14:textId="77777777" w:rsidR="00C00B30" w:rsidRDefault="00B101A0">
      <w:pPr>
        <w:numPr>
          <w:ilvl w:val="0"/>
          <w:numId w:val="1"/>
        </w:numPr>
        <w:spacing w:line="360" w:lineRule="auto"/>
        <w:jc w:val="both"/>
        <w:rPr>
          <w:rStyle w:val="normal-h"/>
        </w:rPr>
      </w:pPr>
      <w:r>
        <w:rPr>
          <w:rFonts w:hint="cs"/>
          <w:rtl/>
        </w:rPr>
        <w:t xml:space="preserve"> </w:t>
      </w:r>
      <w:r>
        <w:rPr>
          <w:rStyle w:val="normal-h"/>
          <w:rFonts w:hint="cs"/>
          <w:rtl/>
        </w:rPr>
        <w:t xml:space="preserve">כנגד הנאשם הוגש, בתאריך 4/3/10, כתב אישום המייחס לו שתי עבירות: היזק בזדון – עבירה לפי </w:t>
      </w:r>
      <w:hyperlink r:id="rId21" w:history="1">
        <w:r w:rsidR="001D52A1" w:rsidRPr="001D52A1">
          <w:rPr>
            <w:rStyle w:val="Hyperlink"/>
            <w:rFonts w:hint="eastAsia"/>
            <w:rtl/>
          </w:rPr>
          <w:t>ס</w:t>
        </w:r>
        <w:r w:rsidR="001D52A1" w:rsidRPr="001D52A1">
          <w:rPr>
            <w:rStyle w:val="Hyperlink"/>
            <w:rtl/>
          </w:rPr>
          <w:t>' 452</w:t>
        </w:r>
      </w:hyperlink>
      <w:r>
        <w:rPr>
          <w:rStyle w:val="normal-h"/>
          <w:rFonts w:hint="cs"/>
          <w:rtl/>
        </w:rPr>
        <w:t xml:space="preserve"> לחוק והחזקת סכין שלא כדין – עבירה לפי </w:t>
      </w:r>
      <w:hyperlink r:id="rId22" w:history="1">
        <w:r w:rsidR="001D52A1" w:rsidRPr="001D52A1">
          <w:rPr>
            <w:rStyle w:val="Hyperlink"/>
            <w:rFonts w:hint="eastAsia"/>
            <w:rtl/>
          </w:rPr>
          <w:t>ס</w:t>
        </w:r>
        <w:r w:rsidR="001D52A1" w:rsidRPr="001D52A1">
          <w:rPr>
            <w:rStyle w:val="Hyperlink"/>
            <w:rtl/>
          </w:rPr>
          <w:t>' 186 (א)</w:t>
        </w:r>
      </w:hyperlink>
      <w:r>
        <w:rPr>
          <w:rStyle w:val="normal-h"/>
          <w:rFonts w:hint="cs"/>
          <w:rtl/>
        </w:rPr>
        <w:t xml:space="preserve"> לחוק. על פי הנטען בכתב האישום, בתאריך 1/3/10, בסביבות השעה 09:00, קפץ הנאשם מהקומה הראשונה בביתו שברח' חיים 11 בחיפה, על רכב מסוג פולקסוואגן פאסאט שחנה מתחת לביתו, חתך יריעת בד שהיתה פרושה מעל הרכב וכן גרם לשריטה בתא המטען של הרכב. בהמשך, ירד הנאשם מהרכב ונעמד באמצע הכביש, כשהוא אוחז בידו שני סכינים ולא הוכיח כי החזיקם למטרה כשרה.</w:t>
      </w:r>
    </w:p>
    <w:p w14:paraId="6EA4C704" w14:textId="77777777" w:rsidR="00C00B30" w:rsidRDefault="00C00B30">
      <w:pPr>
        <w:spacing w:line="360" w:lineRule="auto"/>
        <w:ind w:left="360"/>
        <w:jc w:val="both"/>
        <w:rPr>
          <w:rStyle w:val="normal-h"/>
          <w:rtl/>
        </w:rPr>
      </w:pPr>
    </w:p>
    <w:p w14:paraId="4273E149" w14:textId="77777777" w:rsidR="00C00B30" w:rsidRDefault="00B101A0">
      <w:pPr>
        <w:spacing w:line="360" w:lineRule="auto"/>
        <w:ind w:left="360"/>
        <w:jc w:val="both"/>
        <w:rPr>
          <w:rStyle w:val="normal-h"/>
        </w:rPr>
      </w:pPr>
      <w:r>
        <w:rPr>
          <w:rStyle w:val="normal-h"/>
          <w:rFonts w:hint="cs"/>
          <w:rtl/>
        </w:rPr>
        <w:t xml:space="preserve">בין הצדדים לא היתה מחלוקת בנוגע לעצם ביצוע המעשים על ידי הנאשם; לא היתה מחלוקת אמיתית לגבי מצבו הרפואי – נפשי של הנאשם בזמן ביצוע העבירה, היינו כי היה במצב של </w:t>
      </w:r>
      <w:r>
        <w:rPr>
          <w:rStyle w:val="normal-h"/>
        </w:rPr>
        <w:t>Delirium Tremens</w:t>
      </w:r>
      <w:r>
        <w:rPr>
          <w:rStyle w:val="normal-h"/>
          <w:rFonts w:hint="cs"/>
          <w:rtl/>
        </w:rPr>
        <w:t xml:space="preserve"> (</w:t>
      </w:r>
      <w:r>
        <w:rPr>
          <w:rStyle w:val="normal-h"/>
          <w:rFonts w:hint="cs"/>
          <w:b/>
          <w:bCs/>
          <w:rtl/>
        </w:rPr>
        <w:t>להלן – דליריום טרמנס</w:t>
      </w:r>
      <w:r>
        <w:rPr>
          <w:rStyle w:val="normal-h"/>
          <w:rFonts w:hint="cs"/>
          <w:rtl/>
        </w:rPr>
        <w:t xml:space="preserve">), שנבע כתוצאה מהפסקת שתיית אלכוהול; ואף לא היתה מחלוקת כי בזמן ביצוע המעשים היה הנאשם מצוי במצב פסיכוטי במסגרתו סבר, על רקע הזיות ראיה ושמיעה, כי אנשים זרים חדרו לביתו חסמו את קווי הטלפון, חטפו את אשתו ואחד מהם החזיק במכשיר בעל להב מסתובב. על רקע זה, לקח הנאשם שני סכיני מטבח וקפץ מחלון ביתו שבקומה הראשונה על יריעת בד שהיתה פרוסה מעל לרכב לעיל ולאחר מכן ניגש לחנות סמוכה וביקש מהמוכר שיזמין משטרה. </w:t>
      </w:r>
    </w:p>
    <w:p w14:paraId="729678AB" w14:textId="77777777" w:rsidR="00C00B30" w:rsidRDefault="00C00B30">
      <w:pPr>
        <w:spacing w:line="360" w:lineRule="auto"/>
        <w:ind w:left="360"/>
        <w:jc w:val="both"/>
        <w:rPr>
          <w:rStyle w:val="normal-h"/>
          <w:rtl/>
        </w:rPr>
      </w:pPr>
    </w:p>
    <w:p w14:paraId="11A03F72" w14:textId="77777777" w:rsidR="00C00B30" w:rsidRDefault="00B101A0">
      <w:pPr>
        <w:spacing w:line="360" w:lineRule="auto"/>
        <w:ind w:left="360"/>
        <w:jc w:val="both"/>
        <w:rPr>
          <w:rStyle w:val="normal-h"/>
        </w:rPr>
      </w:pPr>
      <w:r>
        <w:rPr>
          <w:rStyle w:val="normal-h"/>
          <w:rFonts w:hint="cs"/>
          <w:rtl/>
        </w:rPr>
        <w:t xml:space="preserve">על פי ה </w:t>
      </w:r>
      <w:r>
        <w:rPr>
          <w:rStyle w:val="normal-h"/>
          <w:b/>
          <w:bCs/>
        </w:rPr>
        <w:t>ICD-10</w:t>
      </w:r>
      <w:r>
        <w:rPr>
          <w:rStyle w:val="normal-h"/>
          <w:rFonts w:hint="cs"/>
          <w:rtl/>
        </w:rPr>
        <w:t xml:space="preserve"> (הסיווג והאבחון הפסיכיאטרי של ארגון הבריאות העולמי, עמ' 90-91) דליריום טרמנס הינו: "</w:t>
      </w:r>
      <w:r>
        <w:rPr>
          <w:rStyle w:val="normal-h"/>
          <w:rFonts w:hint="cs"/>
          <w:b/>
          <w:bCs/>
          <w:rtl/>
        </w:rPr>
        <w:t>מצב טוקסי בלבולי שמשכו קצר אך תכופות הוא מסכן את החיים, ונלוות לו הפרעות גופניות. בדרך כלל הוא תוצאה של גמילה מוחלטת או חלקית מאלכוהול, אצל מכורים בעלי עבר ארוך של תלות בו. הוא מתחיל, על פי רוב, אחרי הפסקת השתייה. . . . סימפטומים מקדימים של דליריום טרמנס כוללים חוסר שינה, רעד ופחד. ייתכן שפרכוסי גמילה יקדמו להופעת סימפטומים אלה. המשולש הקלאסי של סימפטומים כולל: ערפול הכרה ובלבול, הזיות ואשליות מלאות חיים המתבטאות בכל אחד מהחושים, ורעד בולט. בדרך כלל מופיעים גם מחשבות שווא, אי שקט, חוסר שינה או היפוך של מחזור השינה ופעילות יתר אוטונומית"</w:t>
      </w:r>
      <w:r>
        <w:rPr>
          <w:rStyle w:val="normal-h"/>
          <w:rFonts w:hint="cs"/>
          <w:rtl/>
        </w:rPr>
        <w:t>.</w:t>
      </w:r>
    </w:p>
    <w:p w14:paraId="4BAEADB0" w14:textId="77777777" w:rsidR="00C00B30" w:rsidRDefault="00B101A0">
      <w:pPr>
        <w:spacing w:line="360" w:lineRule="auto"/>
        <w:ind w:left="360"/>
        <w:jc w:val="both"/>
      </w:pPr>
      <w:r>
        <w:rPr>
          <w:rFonts w:hint="cs"/>
          <w:rtl/>
        </w:rPr>
        <w:t xml:space="preserve">מהראיות שהובאו בפני עלה, בקצרה, כי הנאשם נהג לשתות משקאות אלכוהוליים באופן תדיר. כשבוע לערך בטרם האירוע המתואר לכתב האישום, הפסיק הנאשם לשתות ובעקבות כך נכנס גופו למצב של דליריום טרמנס והנאשם היה במצב פסיכוטי. ליתר פירוט, מופנה המתעניין לפסק דיני מתאריך 29/7/10, שם סקרתי ארוכות את כל העובדות הדרושות לעניין. </w:t>
      </w:r>
    </w:p>
    <w:p w14:paraId="074A1866" w14:textId="77777777" w:rsidR="00C00B30" w:rsidRDefault="00C00B30">
      <w:pPr>
        <w:spacing w:line="360" w:lineRule="auto"/>
        <w:jc w:val="both"/>
        <w:rPr>
          <w:rtl/>
        </w:rPr>
      </w:pPr>
    </w:p>
    <w:p w14:paraId="4096C444" w14:textId="77777777" w:rsidR="00C00B30" w:rsidRDefault="00B101A0">
      <w:pPr>
        <w:numPr>
          <w:ilvl w:val="0"/>
          <w:numId w:val="1"/>
        </w:numPr>
        <w:spacing w:line="360" w:lineRule="auto"/>
        <w:jc w:val="both"/>
      </w:pPr>
      <w:r>
        <w:rPr>
          <w:rFonts w:hint="cs"/>
          <w:rtl/>
        </w:rPr>
        <w:lastRenderedPageBreak/>
        <w:t>בית המשפט המחוזי קיבל, כאמור לעיל, את ערעור המאשימה וקבע כי הסייג הרלוונטי הינו זה הקבוע ב</w:t>
      </w:r>
      <w:hyperlink r:id="rId23" w:history="1">
        <w:r w:rsidR="001D52A1" w:rsidRPr="001D52A1">
          <w:rPr>
            <w:color w:val="0000FF"/>
            <w:u w:val="single"/>
            <w:rtl/>
          </w:rPr>
          <w:t>ס' 34 ט'</w:t>
        </w:r>
      </w:hyperlink>
      <w:r>
        <w:rPr>
          <w:rFonts w:hint="cs"/>
          <w:rtl/>
        </w:rPr>
        <w:t xml:space="preserve"> לחוק – היינו סייג השכרות. עוד נקבע, כי אין הצדקה לאבחנה בין מצב של דליריום טרמנס שהתרחש ממש תוך כדי צריכת אלכוהול, לבין מצב של דליריום טרמנס שהתפתח שעות, שבוע, או שלושה שבועות לאחר צריכת האלכוהול ובלבד שהדליריום טרמנס נובע מהרגלי צריכת אלכוהול של הנאשם (פסקה ע' לפסק דינו של בית המשפט המחוזי). בנוסף,  נקבע, למעלה מן הדרוש, כי גם אם היה מקום לבחון את תנאי </w:t>
      </w:r>
      <w:hyperlink r:id="rId24" w:history="1">
        <w:r w:rsidR="001D52A1" w:rsidRPr="001D52A1">
          <w:rPr>
            <w:rStyle w:val="Hyperlink"/>
            <w:rFonts w:hint="eastAsia"/>
            <w:rtl/>
          </w:rPr>
          <w:t>ס</w:t>
        </w:r>
        <w:r w:rsidR="001D52A1" w:rsidRPr="001D52A1">
          <w:rPr>
            <w:rStyle w:val="Hyperlink"/>
            <w:rtl/>
          </w:rPr>
          <w:t>' 34 יד'</w:t>
        </w:r>
      </w:hyperlink>
      <w:r>
        <w:rPr>
          <w:rFonts w:hint="cs"/>
          <w:rtl/>
        </w:rPr>
        <w:t xml:space="preserve"> לחוק (כניסה למצב בהתנהגות פסולה), הרי שהנאשם נקלע למצב פסיכוטי עקב התנהגותו הפסולה, וזאת משום צריכת אלכוהול במינונים גבוהים (ר' פסקה עז' לפסק דינו של בית המשפט המחוזי).</w:t>
      </w:r>
    </w:p>
    <w:p w14:paraId="72F43BEB" w14:textId="77777777" w:rsidR="00C00B30" w:rsidRDefault="00C00B30">
      <w:pPr>
        <w:spacing w:line="360" w:lineRule="auto"/>
        <w:jc w:val="both"/>
      </w:pPr>
    </w:p>
    <w:p w14:paraId="1EAB90B2" w14:textId="77777777" w:rsidR="00C00B30" w:rsidRDefault="00B101A0">
      <w:pPr>
        <w:numPr>
          <w:ilvl w:val="0"/>
          <w:numId w:val="1"/>
        </w:numPr>
        <w:spacing w:line="360" w:lineRule="auto"/>
        <w:jc w:val="both"/>
      </w:pPr>
      <w:r>
        <w:rPr>
          <w:rFonts w:hint="cs"/>
          <w:rtl/>
        </w:rPr>
        <w:t xml:space="preserve">בתאריך 28/3/11, התייצבו הצדדים בפני והסכימו כי אין מקום לשמיעת ראיות נוספות. המאשימה הגישה סיכומים משלימים וכן הפנתה לסיכומים שהוגשו עוד בטרם הכרעת דיני הקודמת; גם ב"כ הנאשם הפנה לסיכומים הקודמים וכן הגיש, בתאריך 1/5/11, סיכומים משלימים. משכך, אפנה לבחינת טענות ההגנה שהועלו על ידי הנאשם. </w:t>
      </w:r>
    </w:p>
    <w:p w14:paraId="36DACCEA" w14:textId="77777777" w:rsidR="00C00B30" w:rsidRDefault="00C00B30">
      <w:pPr>
        <w:spacing w:line="360" w:lineRule="auto"/>
        <w:jc w:val="both"/>
      </w:pPr>
    </w:p>
    <w:p w14:paraId="02F3F518" w14:textId="77777777" w:rsidR="00C00B30" w:rsidRDefault="00B101A0">
      <w:pPr>
        <w:spacing w:line="360" w:lineRule="auto"/>
        <w:ind w:left="360"/>
        <w:jc w:val="both"/>
        <w:rPr>
          <w:b/>
          <w:bCs/>
          <w:u w:val="single"/>
          <w:rtl/>
        </w:rPr>
      </w:pPr>
      <w:r>
        <w:rPr>
          <w:rFonts w:hint="cs"/>
          <w:b/>
          <w:bCs/>
          <w:u w:val="single"/>
          <w:rtl/>
        </w:rPr>
        <w:t>טענות ההגנה של הנאשם</w:t>
      </w:r>
    </w:p>
    <w:p w14:paraId="640E4327" w14:textId="77777777" w:rsidR="00C00B30" w:rsidRDefault="00B101A0">
      <w:pPr>
        <w:numPr>
          <w:ilvl w:val="0"/>
          <w:numId w:val="1"/>
        </w:numPr>
        <w:spacing w:line="360" w:lineRule="auto"/>
        <w:jc w:val="both"/>
      </w:pPr>
      <w:r>
        <w:rPr>
          <w:rFonts w:hint="cs"/>
          <w:rtl/>
        </w:rPr>
        <w:t>טענת ההגנה הראשונה של הנאשם נוגעת לעבירה של החזקת סכין שיוחסה לנאשם, וזה היה טיעונו:</w:t>
      </w:r>
    </w:p>
    <w:p w14:paraId="12331A2C" w14:textId="77777777" w:rsidR="00C00B30" w:rsidRDefault="00C00B30">
      <w:pPr>
        <w:spacing w:line="360" w:lineRule="auto"/>
        <w:ind w:left="360"/>
        <w:jc w:val="both"/>
      </w:pPr>
    </w:p>
    <w:p w14:paraId="4D7FBCC9" w14:textId="77777777" w:rsidR="00C00B30" w:rsidRDefault="00B101A0">
      <w:pPr>
        <w:spacing w:line="360" w:lineRule="auto"/>
        <w:ind w:left="360"/>
        <w:jc w:val="both"/>
        <w:rPr>
          <w:rtl/>
        </w:rPr>
      </w:pPr>
      <w:r>
        <w:rPr>
          <w:rFonts w:hint="cs"/>
          <w:rtl/>
        </w:rPr>
        <w:t>ראשית, טען ב"כ הנאשם, בהתבסס על פסק דינו של בית המשפט המחוזי, כי הסייג שחל על המקרה הוא סייג השכרות. טענה זו אינה עומדת לדיון.</w:t>
      </w:r>
    </w:p>
    <w:p w14:paraId="387A4AB4" w14:textId="77777777" w:rsidR="00C00B30" w:rsidRDefault="00C00B30">
      <w:pPr>
        <w:spacing w:line="360" w:lineRule="auto"/>
        <w:ind w:left="360"/>
        <w:jc w:val="both"/>
        <w:rPr>
          <w:rtl/>
        </w:rPr>
      </w:pPr>
    </w:p>
    <w:p w14:paraId="4690B382" w14:textId="77777777" w:rsidR="00C00B30" w:rsidRDefault="00B101A0">
      <w:pPr>
        <w:spacing w:line="360" w:lineRule="auto"/>
        <w:ind w:left="360"/>
        <w:jc w:val="both"/>
      </w:pPr>
      <w:r>
        <w:rPr>
          <w:rFonts w:hint="cs"/>
          <w:rtl/>
        </w:rPr>
        <w:t>שנית, נטען (וטענה זו תבחן בהמשך), כי העבירה של החזקת סכין הינה עבירה מסוג "מטרה" (עבירות שכונו בעבר ולעיתים מכונות בטעות גם כיום עבירות של:"כוונה מיוחדת").</w:t>
      </w:r>
    </w:p>
    <w:p w14:paraId="38434D15" w14:textId="77777777" w:rsidR="00C00B30" w:rsidRDefault="00B101A0">
      <w:pPr>
        <w:spacing w:line="360" w:lineRule="auto"/>
        <w:ind w:left="360"/>
        <w:jc w:val="both"/>
        <w:rPr>
          <w:rtl/>
        </w:rPr>
      </w:pPr>
      <w:r>
        <w:rPr>
          <w:rFonts w:hint="cs"/>
          <w:rtl/>
        </w:rPr>
        <w:t xml:space="preserve"> </w:t>
      </w:r>
    </w:p>
    <w:p w14:paraId="08F0E3B7" w14:textId="77777777" w:rsidR="00C00B30" w:rsidRDefault="00B101A0">
      <w:pPr>
        <w:spacing w:line="360" w:lineRule="auto"/>
        <w:ind w:left="360"/>
        <w:jc w:val="both"/>
      </w:pPr>
      <w:r>
        <w:rPr>
          <w:rFonts w:hint="cs"/>
          <w:rtl/>
        </w:rPr>
        <w:t>שלישית, נטען כי יש להחיל על עבירות מטרה את הדין החל על עבירות תוצאתיות מסוג כוונה, כקבוע ב</w:t>
      </w:r>
      <w:hyperlink r:id="rId25" w:history="1">
        <w:r w:rsidR="001D52A1" w:rsidRPr="001D52A1">
          <w:rPr>
            <w:color w:val="0000FF"/>
            <w:u w:val="single"/>
            <w:rtl/>
          </w:rPr>
          <w:t>ס' 34 ט'(ב)</w:t>
        </w:r>
      </w:hyperlink>
      <w:r>
        <w:rPr>
          <w:rFonts w:hint="cs"/>
          <w:rtl/>
        </w:rPr>
        <w:t xml:space="preserve"> לחוק. </w:t>
      </w:r>
      <w:hyperlink r:id="rId26" w:history="1">
        <w:r w:rsidR="001D52A1" w:rsidRPr="001D52A1">
          <w:rPr>
            <w:rStyle w:val="Hyperlink"/>
            <w:rFonts w:hint="eastAsia"/>
            <w:rtl/>
          </w:rPr>
          <w:t>ס</w:t>
        </w:r>
        <w:r w:rsidR="001D52A1" w:rsidRPr="001D52A1">
          <w:rPr>
            <w:rStyle w:val="Hyperlink"/>
            <w:rtl/>
          </w:rPr>
          <w:t>' 34 ט'(ב)</w:t>
        </w:r>
      </w:hyperlink>
      <w:r>
        <w:rPr>
          <w:rFonts w:hint="cs"/>
          <w:rtl/>
        </w:rPr>
        <w:t xml:space="preserve"> לחוק קובע, כי כאשר מבוצעת עבירה במצב של שכרות והעבירה הינה עבירה תוצאתית מסוג כוונה, הרי שניתן להרשיע את הנאשם  [בהתעלם מ</w:t>
      </w:r>
      <w:hyperlink r:id="rId27" w:history="1">
        <w:r w:rsidR="001D52A1" w:rsidRPr="001D52A1">
          <w:rPr>
            <w:rStyle w:val="Hyperlink"/>
            <w:rFonts w:hint="eastAsia"/>
            <w:rtl/>
          </w:rPr>
          <w:t>ס</w:t>
        </w:r>
        <w:r w:rsidR="001D52A1" w:rsidRPr="001D52A1">
          <w:rPr>
            <w:rStyle w:val="Hyperlink"/>
            <w:rtl/>
          </w:rPr>
          <w:t>' 34 ט' (ג)</w:t>
        </w:r>
      </w:hyperlink>
      <w:r>
        <w:rPr>
          <w:rFonts w:hint="cs"/>
          <w:rtl/>
        </w:rPr>
        <w:t xml:space="preserve"> שאינו מענייננו כעת] "רק" בעבירה מקבילה הדורשת יסוד נפשי של אדישות, ככל שקיימת כזו. אציין, כי לאחר שהוגשו הסיכומים המשלימים מטעם הנאשם, ניתן פסק דינו של בית המשפט המחוזי במסגרת </w:t>
      </w:r>
      <w:hyperlink r:id="rId28" w:history="1">
        <w:r w:rsidR="00A164F8" w:rsidRPr="00A164F8">
          <w:rPr>
            <w:rStyle w:val="Hyperlink"/>
            <w:rFonts w:hint="eastAsia"/>
            <w:rtl/>
          </w:rPr>
          <w:t>ע</w:t>
        </w:r>
        <w:r w:rsidR="00A164F8" w:rsidRPr="00A164F8">
          <w:rPr>
            <w:rStyle w:val="Hyperlink"/>
            <w:rtl/>
          </w:rPr>
          <w:t>"פ (מחוזי חיפה) 18028-12-10</w:t>
        </w:r>
      </w:hyperlink>
      <w:r>
        <w:rPr>
          <w:rFonts w:hint="cs"/>
          <w:rtl/>
        </w:rPr>
        <w:t xml:space="preserve"> (</w:t>
      </w:r>
      <w:r>
        <w:rPr>
          <w:rFonts w:hint="cs"/>
          <w:b/>
          <w:bCs/>
          <w:rtl/>
        </w:rPr>
        <w:t>נאיף קאדריה נ' מדינת ישראל</w:t>
      </w:r>
      <w:r>
        <w:rPr>
          <w:rFonts w:hint="cs"/>
          <w:rtl/>
        </w:rPr>
        <w:t xml:space="preserve">, ניתן בתאריך 7/7/11), אשר אימץ את עמדת ב"כ הנאשם (שאף קודם לכן היו לה תימוכין מסוימים בפסיקה) בהקשר להחלת </w:t>
      </w:r>
      <w:hyperlink r:id="rId29" w:history="1">
        <w:r w:rsidR="001D52A1" w:rsidRPr="001D52A1">
          <w:rPr>
            <w:rStyle w:val="Hyperlink"/>
            <w:rFonts w:hint="eastAsia"/>
            <w:rtl/>
          </w:rPr>
          <w:t>ס</w:t>
        </w:r>
        <w:r w:rsidR="001D52A1" w:rsidRPr="001D52A1">
          <w:rPr>
            <w:rStyle w:val="Hyperlink"/>
            <w:rtl/>
          </w:rPr>
          <w:t>' 34 ט (ב)</w:t>
        </w:r>
      </w:hyperlink>
      <w:r>
        <w:rPr>
          <w:rFonts w:hint="cs"/>
          <w:rtl/>
        </w:rPr>
        <w:t xml:space="preserve"> על עבירות מסוג מטרה ומניע. </w:t>
      </w:r>
    </w:p>
    <w:p w14:paraId="1C5CA917" w14:textId="77777777" w:rsidR="00C00B30" w:rsidRDefault="00C00B30">
      <w:pPr>
        <w:spacing w:line="360" w:lineRule="auto"/>
        <w:ind w:left="360"/>
        <w:jc w:val="both"/>
        <w:rPr>
          <w:rtl/>
        </w:rPr>
      </w:pPr>
    </w:p>
    <w:p w14:paraId="29CFA761" w14:textId="77777777" w:rsidR="00C00B30" w:rsidRDefault="00B101A0">
      <w:pPr>
        <w:spacing w:line="360" w:lineRule="auto"/>
        <w:ind w:left="360"/>
        <w:jc w:val="both"/>
      </w:pPr>
      <w:r>
        <w:rPr>
          <w:rFonts w:hint="cs"/>
          <w:rtl/>
        </w:rPr>
        <w:t>מנגד, טענה המאשימה בהקשר לעיל – ואקדים ואומר כי אני מסכים עמה – כי העבירה של החזקת סכין אינה עבירת התנהגות מסוג מטרה.</w:t>
      </w:r>
    </w:p>
    <w:p w14:paraId="1E550DC8" w14:textId="77777777" w:rsidR="00C00B30" w:rsidRDefault="00B101A0">
      <w:pPr>
        <w:spacing w:line="360" w:lineRule="auto"/>
        <w:ind w:left="360"/>
        <w:jc w:val="both"/>
        <w:rPr>
          <w:rtl/>
        </w:rPr>
      </w:pPr>
      <w:r>
        <w:rPr>
          <w:rFonts w:hint="cs"/>
          <w:rtl/>
        </w:rPr>
        <w:t xml:space="preserve"> </w:t>
      </w:r>
    </w:p>
    <w:p w14:paraId="3FFE6775" w14:textId="77777777" w:rsidR="00C00B30" w:rsidRDefault="00B101A0">
      <w:pPr>
        <w:spacing w:line="360" w:lineRule="auto"/>
        <w:ind w:left="360"/>
        <w:jc w:val="both"/>
        <w:rPr>
          <w:rStyle w:val="default"/>
        </w:rPr>
      </w:pPr>
      <w:r>
        <w:rPr>
          <w:rFonts w:hint="cs"/>
          <w:rtl/>
        </w:rPr>
        <w:lastRenderedPageBreak/>
        <w:t xml:space="preserve">נפנה איפוא ונבחן את </w:t>
      </w:r>
      <w:hyperlink r:id="rId30" w:history="1">
        <w:r w:rsidR="001D52A1" w:rsidRPr="001D52A1">
          <w:rPr>
            <w:rStyle w:val="Hyperlink"/>
            <w:rFonts w:hint="eastAsia"/>
            <w:rtl/>
          </w:rPr>
          <w:t>ס</w:t>
        </w:r>
        <w:r w:rsidR="001D52A1" w:rsidRPr="001D52A1">
          <w:rPr>
            <w:rStyle w:val="Hyperlink"/>
            <w:rtl/>
          </w:rPr>
          <w:t>' 186</w:t>
        </w:r>
      </w:hyperlink>
      <w:r>
        <w:rPr>
          <w:rFonts w:hint="cs"/>
          <w:rtl/>
        </w:rPr>
        <w:t xml:space="preserve"> לחוק. סעיף זה קובע כי:"</w:t>
      </w:r>
      <w:r>
        <w:rPr>
          <w:rStyle w:val="default"/>
          <w:rFonts w:hint="cs"/>
          <w:b/>
          <w:bCs/>
          <w:rtl/>
        </w:rPr>
        <w:t>המחזיק אגרופן או סכין מחוץ לתחום ביתו או חצריו ולא הוכיח כי החזיקם למטרה כשרה, דינו - מאסר חמש שנים</w:t>
      </w:r>
      <w:r>
        <w:rPr>
          <w:rStyle w:val="default"/>
          <w:rFonts w:hint="cs"/>
          <w:rtl/>
        </w:rPr>
        <w:t xml:space="preserve">". </w:t>
      </w:r>
    </w:p>
    <w:p w14:paraId="1DD3B704" w14:textId="77777777" w:rsidR="00C00B30" w:rsidRDefault="00C00B30">
      <w:pPr>
        <w:spacing w:line="360" w:lineRule="auto"/>
        <w:ind w:left="360"/>
        <w:jc w:val="both"/>
        <w:rPr>
          <w:rStyle w:val="default"/>
          <w:rtl/>
        </w:rPr>
      </w:pPr>
    </w:p>
    <w:p w14:paraId="5E20E12E" w14:textId="77777777" w:rsidR="00C00B30" w:rsidRDefault="00B101A0">
      <w:pPr>
        <w:spacing w:line="360" w:lineRule="auto"/>
        <w:ind w:left="360"/>
        <w:jc w:val="both"/>
        <w:rPr>
          <w:rStyle w:val="default"/>
          <w:rtl/>
        </w:rPr>
      </w:pPr>
      <w:r>
        <w:rPr>
          <w:rStyle w:val="default"/>
          <w:rFonts w:hint="cs"/>
          <w:rtl/>
        </w:rPr>
        <w:t>לשיטת ב"כ הנאשם, בפסיקה טרם נדונה השאלה, באם עבירה החזקת הסכין הינה עבירת התנהגות מסוג מטרה אם לאו, והתשובה לשאלה זו צריכה להינתן על פי קריטריונים מהותיים וצורניים: שאלת הרצון / מטרה / מניע בהתנהגות מבצע עבירה; השאלה באם מטרה זו משתרעת על רכיב שהינו חיצוני ליסוד העובדתי של העבירה; והשאלה באם דרישת המטרה או המניע מופיעה מפורשות בהגדרת העבירה. מכאן, המשיך ב"כ הנאשם וטען, כי בעבירה של החזקת סכין נדרשת מטרה לא כשרה מצד מבצע העבירה דבר הנלמד מפורשות מלשון החוק. אכן, ב"כ הנאשם היה ער לכך כי הסעיף לא נוקט לתבנית הלשון:"מטרה לא כשרה" אולם הוסיף כי קריאת כלל הסעיף (</w:t>
      </w:r>
      <w:r>
        <w:rPr>
          <w:rStyle w:val="default"/>
          <w:rFonts w:hint="cs"/>
          <w:b/>
          <w:bCs/>
          <w:rtl/>
        </w:rPr>
        <w:t xml:space="preserve">. . ולא הוכיח כי החזיקם למטרה כשרה . </w:t>
      </w:r>
      <w:r>
        <w:rPr>
          <w:rStyle w:val="default"/>
          <w:rFonts w:hint="cs"/>
          <w:rtl/>
        </w:rPr>
        <w:t xml:space="preserve">.") מוליך למסקנה  דלעיל. </w:t>
      </w:r>
    </w:p>
    <w:p w14:paraId="2E6B7B8D" w14:textId="77777777" w:rsidR="00C00B30" w:rsidRDefault="00C00B30">
      <w:pPr>
        <w:spacing w:line="360" w:lineRule="auto"/>
        <w:ind w:left="360"/>
        <w:jc w:val="both"/>
        <w:rPr>
          <w:rStyle w:val="default"/>
          <w:rtl/>
        </w:rPr>
      </w:pPr>
    </w:p>
    <w:p w14:paraId="6C6FA1E4" w14:textId="77777777" w:rsidR="00C00B30" w:rsidRDefault="00B101A0">
      <w:pPr>
        <w:spacing w:line="360" w:lineRule="auto"/>
        <w:ind w:left="360"/>
        <w:jc w:val="both"/>
      </w:pPr>
      <w:r>
        <w:rPr>
          <w:rStyle w:val="default"/>
          <w:rFonts w:hint="cs"/>
          <w:rtl/>
        </w:rPr>
        <w:t xml:space="preserve">סבורני, כי עבירת החזקת הסכין הינה עבירת התנהגות "רגילה" ולא עבירת התנהגות מסוג מטרה. התביעה אינה נדרשת להוכיח "מטרה לא כשרה", או מטרה אחרת. נפנה לצורך ההדגמה וההשוואה לעבירות התנהגותיות מסוג מטרה. כך, לדוגמה, בעבירה של מעשה מגונה לפי </w:t>
      </w:r>
      <w:hyperlink r:id="rId31" w:history="1">
        <w:r w:rsidR="001D52A1" w:rsidRPr="001D52A1">
          <w:rPr>
            <w:rStyle w:val="default"/>
            <w:color w:val="0000FF"/>
            <w:u w:val="single"/>
            <w:rtl/>
          </w:rPr>
          <w:t>ס' 348</w:t>
        </w:r>
      </w:hyperlink>
      <w:r>
        <w:rPr>
          <w:rStyle w:val="default"/>
          <w:rFonts w:hint="cs"/>
          <w:rtl/>
        </w:rPr>
        <w:t xml:space="preserve"> לחוק. מעבר לרכיב הפיסי ומעבר למודעות הנאשם לעצם ביצוע מעשיו, נדרשת התביעה להוכיח כי המעשה נעשה :"</w:t>
      </w:r>
      <w:r>
        <w:rPr>
          <w:rStyle w:val="default"/>
          <w:rFonts w:hint="cs"/>
          <w:b/>
          <w:bCs/>
          <w:rtl/>
        </w:rPr>
        <w:t>לשם גירוי, סיפוק או ביזוי מיניים"</w:t>
      </w:r>
      <w:r>
        <w:rPr>
          <w:rStyle w:val="default"/>
          <w:rFonts w:hint="cs"/>
          <w:rtl/>
        </w:rPr>
        <w:t xml:space="preserve">. היינו, מדובר ביסוד מיסודות העבירה שאם התביעה לא תוכיח – יזוכה הנאשם. כך גם, לדוגמה, בעבירת האיומים, שם קובע </w:t>
      </w:r>
      <w:hyperlink r:id="rId32" w:history="1">
        <w:r w:rsidR="001D52A1" w:rsidRPr="001D52A1">
          <w:rPr>
            <w:rStyle w:val="default"/>
            <w:color w:val="0000FF"/>
            <w:u w:val="single"/>
            <w:rtl/>
          </w:rPr>
          <w:t>ס' 192</w:t>
        </w:r>
      </w:hyperlink>
      <w:r>
        <w:rPr>
          <w:rStyle w:val="default"/>
          <w:rFonts w:hint="cs"/>
          <w:rtl/>
        </w:rPr>
        <w:t xml:space="preserve"> לחוק כי</w:t>
      </w:r>
      <w:r>
        <w:rPr>
          <w:rFonts w:hint="cs"/>
          <w:rtl/>
        </w:rPr>
        <w:t>:"</w:t>
      </w:r>
      <w:r>
        <w:rPr>
          <w:rFonts w:hint="cs"/>
          <w:b/>
          <w:bCs/>
          <w:rtl/>
        </w:rPr>
        <w:t>המאיים על אדם בכל דרך שהיא . . . בכוונה להפחיד את האדם או להקניטו, דינו . . .</w:t>
      </w:r>
      <w:r>
        <w:rPr>
          <w:rFonts w:hint="cs"/>
          <w:rtl/>
        </w:rPr>
        <w:t xml:space="preserve">".  וכיוב' לגבי עבירות התנהגותיות מסוג מטרה אחרות. בכל אותן עבירות, נדרשת התביעה להוכיח, והדבר מובן וברור מאליו, את כל רכיבי העבירה ובכלל זאת גם את רכיב המטרה. בהקשר לכך נדונה זה מכבר הסוגיה, באם ניתן להחיל את הלכת הצפיות (אשר חלה במקור רק על עבירות כוונה, היינו עבירות תוצאתיות) גם על עבירות התנהגות מסוג מטרה (ור' לדוגמה, את </w:t>
      </w:r>
      <w:hyperlink r:id="rId33" w:history="1">
        <w:r w:rsidR="00A164F8" w:rsidRPr="00A164F8">
          <w:rPr>
            <w:rStyle w:val="Hyperlink"/>
            <w:rFonts w:hint="eastAsia"/>
            <w:rtl/>
          </w:rPr>
          <w:t>רע</w:t>
        </w:r>
        <w:r w:rsidR="00A164F8" w:rsidRPr="00A164F8">
          <w:rPr>
            <w:rStyle w:val="Hyperlink"/>
            <w:rtl/>
          </w:rPr>
          <w:t>"פ 7153/99 אלגד נ' מדינת ישראל ישראל, פ"ד נה</w:t>
        </w:r>
      </w:hyperlink>
      <w:r>
        <w:rPr>
          <w:rFonts w:hint="cs"/>
          <w:rtl/>
        </w:rPr>
        <w:t xml:space="preserve">(5) 729; </w:t>
      </w:r>
      <w:hyperlink r:id="rId34" w:history="1">
        <w:r w:rsidR="00A164F8" w:rsidRPr="00A164F8">
          <w:rPr>
            <w:rStyle w:val="Hyperlink"/>
            <w:rFonts w:hint="eastAsia"/>
            <w:rtl/>
          </w:rPr>
          <w:t>רע</w:t>
        </w:r>
        <w:r w:rsidR="00A164F8" w:rsidRPr="00A164F8">
          <w:rPr>
            <w:rStyle w:val="Hyperlink"/>
            <w:rtl/>
          </w:rPr>
          <w:t>"פ 2038/04 לם נ' מדינת ישראל, פ"ד ס</w:t>
        </w:r>
      </w:hyperlink>
      <w:r>
        <w:rPr>
          <w:rFonts w:hint="cs"/>
          <w:rtl/>
        </w:rPr>
        <w:t xml:space="preserve">' (4), 95). </w:t>
      </w:r>
    </w:p>
    <w:p w14:paraId="11A2A796" w14:textId="77777777" w:rsidR="00C00B30" w:rsidRDefault="00C00B30">
      <w:pPr>
        <w:spacing w:line="360" w:lineRule="auto"/>
        <w:ind w:left="360"/>
        <w:jc w:val="both"/>
        <w:rPr>
          <w:rtl/>
        </w:rPr>
      </w:pPr>
    </w:p>
    <w:p w14:paraId="2803CD6E" w14:textId="77777777" w:rsidR="00C00B30" w:rsidRDefault="00B101A0">
      <w:pPr>
        <w:spacing w:line="360" w:lineRule="auto"/>
        <w:ind w:left="360"/>
        <w:jc w:val="both"/>
      </w:pPr>
      <w:r>
        <w:rPr>
          <w:rFonts w:hint="cs"/>
          <w:rtl/>
        </w:rPr>
        <w:t>בענייננו, בעבירה של החזקת סכין, לא נדרשת התביעה להוכיח כי הנאשם נשא סכין למטרה שאינה כשרה. כל שהתביעה צריכה להוכיח הוא את ההחזקה (מחוץ לתחום ביתו) ואת מודעותו לכך, הא ותו לא. וכך באו הדברים לידי ביטוי ב</w:t>
      </w:r>
      <w:hyperlink r:id="rId35" w:history="1">
        <w:r w:rsidR="00A164F8" w:rsidRPr="00A164F8">
          <w:rPr>
            <w:rStyle w:val="Hyperlink"/>
            <w:rtl/>
          </w:rPr>
          <w:t>רע"פ 7484/08</w:t>
        </w:r>
      </w:hyperlink>
      <w:r>
        <w:rPr>
          <w:rFonts w:hint="cs"/>
          <w:rtl/>
        </w:rPr>
        <w:t xml:space="preserve"> </w:t>
      </w:r>
      <w:r>
        <w:rPr>
          <w:rFonts w:hint="cs"/>
          <w:b/>
          <w:bCs/>
          <w:rtl/>
        </w:rPr>
        <w:t>פלוני נ' מדינת ישראל</w:t>
      </w:r>
      <w:r>
        <w:rPr>
          <w:rFonts w:hint="cs"/>
          <w:rtl/>
        </w:rPr>
        <w:t>, ניתן בתאריך 22/12/2009:"</w:t>
      </w:r>
      <w:r>
        <w:rPr>
          <w:rFonts w:hint="cs"/>
          <w:b/>
          <w:bCs/>
          <w:rtl/>
        </w:rPr>
        <w:t xml:space="preserve">. . . כפי שאמר בית המשפט המחוזי, </w:t>
      </w:r>
      <w:hyperlink r:id="rId36" w:history="1">
        <w:r w:rsidR="001D52A1" w:rsidRPr="001D52A1">
          <w:rPr>
            <w:b/>
            <w:bCs/>
            <w:color w:val="0000FF"/>
            <w:u w:val="single"/>
            <w:rtl/>
          </w:rPr>
          <w:t>סעיף 186(א)</w:t>
        </w:r>
      </w:hyperlink>
      <w:r>
        <w:rPr>
          <w:rFonts w:hint="cs"/>
          <w:b/>
          <w:bCs/>
          <w:rtl/>
        </w:rPr>
        <w:t xml:space="preserve"> קובע חזקה משפטית ולפיה משהוכיחה התביעה את היסוד העובדתי – "ההחזקה"; את נסיבותיה – "מחוץ לביתו או חצריו"; ואת היסוד הנפשי – המודעות, הרי שיצאה ידי חובתה להוכחתו של המעשה האסור. ואולם, על מנת למתן את התוצאה הנובעת מקביעת החזקה, בידי הנאשם נתונה האפשרות להפרכתה על ידי הבאת ראיות להוכחת קיומה של מטרה כשרה. כפי שטוענת המשיבה, אילו די היה בכך שהנאשם יעורר ספק סביר, ניתן היה לנקוט בניסוח "המחזיק למטרה לא כשרה אגרופן או סכין מחוץ לתחום ביתו או חצריו...". ניסוח כזה היה מבהיר כי על הנאשם לעורר ספק סביר בלבד לעניין כשרות המטרה של החזקת הסכין, וכי על התביעה להוכיח כי הסכין הוחזקה לצורך מטרה לא כשרה, וזאת, כמקובל בפלילים, מעבר לכל ספק סביר. . . .</w:t>
      </w:r>
      <w:r>
        <w:rPr>
          <w:rFonts w:hint="cs"/>
          <w:rtl/>
        </w:rPr>
        <w:t>" אכן, עיקרו של פסק הדין בעניין פלוני נסוב סביב נטל ההוכחה שנדרש מהנאשם להראות את אותה מטרה כשרה (האם ספק סביר או מאזן ההסתברויות), אולם הדברים לעיל יפים גם לענייננו, ודי בהם כדי לדחות את טענת הנאשם בנדון.</w:t>
      </w:r>
    </w:p>
    <w:p w14:paraId="34ECC7AF" w14:textId="77777777" w:rsidR="00C00B30" w:rsidRDefault="00C00B30">
      <w:pPr>
        <w:spacing w:line="360" w:lineRule="auto"/>
        <w:ind w:left="360"/>
        <w:jc w:val="both"/>
        <w:rPr>
          <w:rtl/>
        </w:rPr>
      </w:pPr>
    </w:p>
    <w:p w14:paraId="7AB54C6D" w14:textId="77777777" w:rsidR="00C00B30" w:rsidRDefault="00B101A0">
      <w:pPr>
        <w:numPr>
          <w:ilvl w:val="0"/>
          <w:numId w:val="1"/>
        </w:numPr>
        <w:spacing w:line="360" w:lineRule="auto"/>
        <w:jc w:val="both"/>
      </w:pPr>
      <w:r>
        <w:rPr>
          <w:rFonts w:hint="cs"/>
          <w:rtl/>
        </w:rPr>
        <w:t xml:space="preserve">ב"כ הנאשם העלה טענות בדבר חלותם של סייגים נוספים לאחריותו הפלילית של הנאשם המחייבים, לשיטתו, את זיכויו של הנאשם. </w:t>
      </w:r>
    </w:p>
    <w:p w14:paraId="1841F938" w14:textId="77777777" w:rsidR="00C00B30" w:rsidRDefault="00C00B30">
      <w:pPr>
        <w:spacing w:line="360" w:lineRule="auto"/>
        <w:jc w:val="both"/>
      </w:pPr>
    </w:p>
    <w:p w14:paraId="3602AA7E" w14:textId="77777777" w:rsidR="00C00B30" w:rsidRDefault="00B101A0">
      <w:pPr>
        <w:spacing w:line="360" w:lineRule="auto"/>
        <w:ind w:left="360"/>
        <w:jc w:val="both"/>
        <w:rPr>
          <w:rtl/>
        </w:rPr>
      </w:pPr>
      <w:r>
        <w:rPr>
          <w:rFonts w:hint="cs"/>
          <w:rtl/>
        </w:rPr>
        <w:t xml:space="preserve">כך, טען, כי עומדים לו הסייגים הבאים: טעות במצב דברים בשילוב הגנה עצמית (הגנה עצמית מדומה) ו/או הגנת בית מגורים (מדומה) ו/או צורך מדומה. לטענתו, היה הנאשם משוכנע כי נשקפה לו סכנה מוחשית על ידי אנשים דמיוניים שלדעתו פרצו לדירתו. לשיטת ב"כ הנאשם גם אם אמונתו של הנאשם היתה (ועל כך אין מחלוקת) מוטעית הרי שיש לבחון את התנהגותו במשקפיו הוא ועליו לשאת באחריות פלילית רק במידה והיה נושא בה אם היה המצב לאמיתו, כפי שדימה אותו. </w:t>
      </w:r>
    </w:p>
    <w:p w14:paraId="1F5372C0" w14:textId="77777777" w:rsidR="00C00B30" w:rsidRDefault="00C00B30">
      <w:pPr>
        <w:spacing w:line="360" w:lineRule="auto"/>
        <w:jc w:val="both"/>
      </w:pPr>
    </w:p>
    <w:p w14:paraId="5F65F475" w14:textId="77777777" w:rsidR="00C00B30" w:rsidRDefault="00B101A0">
      <w:pPr>
        <w:spacing w:line="360" w:lineRule="auto"/>
        <w:ind w:left="360"/>
        <w:jc w:val="both"/>
      </w:pPr>
      <w:r>
        <w:rPr>
          <w:rFonts w:hint="cs"/>
          <w:rtl/>
        </w:rPr>
        <w:t xml:space="preserve">דין הטענות לעיל להדחות. על פי קביעת בית המשפט המחוזי בענייננו, הסייג הרלוונטי הוא סייג השכרות. הנאשם במקרנו היה במצב פסיכוטי. אכן, אין מחלוקת שהוא אכן סבר, באמת ובתמים (מבחינתו) כי אנשים זרים פרצו לביתו וביקשו להרע לאשתו. יחד עם זאת, נקבע בפסק דינו של בית המשפט המחוזי, כי מצב זה היה קשור בקשר סיבתי ומשפטי לשימוש באלכוהול (ר' לדוגמה פסקה ע"ג לפסק הדין). </w:t>
      </w:r>
    </w:p>
    <w:p w14:paraId="65601BFF" w14:textId="77777777" w:rsidR="00C00B30" w:rsidRDefault="00C00B30">
      <w:pPr>
        <w:spacing w:line="360" w:lineRule="auto"/>
        <w:ind w:left="360"/>
        <w:jc w:val="both"/>
        <w:rPr>
          <w:rtl/>
        </w:rPr>
      </w:pPr>
    </w:p>
    <w:p w14:paraId="331EEA44" w14:textId="77777777" w:rsidR="00C00B30" w:rsidRDefault="00B101A0">
      <w:pPr>
        <w:spacing w:line="360" w:lineRule="auto"/>
        <w:ind w:left="360"/>
        <w:jc w:val="both"/>
        <w:rPr>
          <w:rtl/>
        </w:rPr>
      </w:pPr>
      <w:r>
        <w:rPr>
          <w:rFonts w:hint="cs"/>
          <w:rtl/>
        </w:rPr>
        <w:t xml:space="preserve">נזכור, כי סייג השכרות מהווה בפועל "הגנה מדומה". מדובר בכלי משפטי שמרחיב בפועל את האחריות הפלילית וגם אם מבצע העבירה השיכור לא היה מודע למעשיו, הרי הוא לא יישמע בטענה זו (בחריג למצב בו השכרות נגרמה שלא מרצון ושלא מדעת). </w:t>
      </w:r>
    </w:p>
    <w:p w14:paraId="440E0A5F" w14:textId="77777777" w:rsidR="00C00B30" w:rsidRDefault="00C00B30">
      <w:pPr>
        <w:spacing w:line="360" w:lineRule="auto"/>
        <w:ind w:left="360"/>
        <w:jc w:val="both"/>
        <w:rPr>
          <w:rtl/>
        </w:rPr>
      </w:pPr>
    </w:p>
    <w:p w14:paraId="69B0A5EB" w14:textId="77777777" w:rsidR="00C00B30" w:rsidRDefault="00B101A0">
      <w:pPr>
        <w:spacing w:line="360" w:lineRule="auto"/>
        <w:ind w:left="360"/>
        <w:jc w:val="both"/>
        <w:rPr>
          <w:rtl/>
        </w:rPr>
      </w:pPr>
      <w:r>
        <w:rPr>
          <w:rFonts w:hint="cs"/>
          <w:rtl/>
        </w:rPr>
        <w:t xml:space="preserve">עמד על כך בית המשפט במסגרת </w:t>
      </w:r>
      <w:hyperlink r:id="rId37" w:history="1">
        <w:r w:rsidR="00A164F8" w:rsidRPr="00A164F8">
          <w:rPr>
            <w:rStyle w:val="Hyperlink"/>
            <w:rtl/>
          </w:rPr>
          <w:t>ע"פ 6656/08</w:t>
        </w:r>
      </w:hyperlink>
      <w:r>
        <w:rPr>
          <w:rFonts w:hint="cs"/>
          <w:rtl/>
        </w:rPr>
        <w:t xml:space="preserve"> </w:t>
      </w:r>
      <w:r>
        <w:rPr>
          <w:rFonts w:hint="cs"/>
          <w:b/>
          <w:bCs/>
          <w:rtl/>
        </w:rPr>
        <w:t>חביבולין נ' מדינת ישראל</w:t>
      </w:r>
      <w:r>
        <w:rPr>
          <w:rFonts w:hint="cs"/>
          <w:rtl/>
        </w:rPr>
        <w:t>, ניתן בתאריך 6/1/2010, באמרו את הדברים הבאים:"</w:t>
      </w:r>
      <w:r>
        <w:rPr>
          <w:rFonts w:hint="cs"/>
          <w:b/>
          <w:bCs/>
          <w:rtl/>
        </w:rPr>
        <w:t>. . השכרות אינה מהווה הגנה של ממש, למעט במצב הנדיר והלא שכיח של שכרות שנגרמה שלא מרצונו ומדעתו של הנאשם. אך במצב הדברים הרגיל, כאשר אדם משתכר מרצונו החופשי, קובע המחוקק חזקה משפטית כי מתקיימת בו המחשבה הפלילית הנדרשת לביצוע העבירה</w:t>
      </w:r>
      <w:r>
        <w:rPr>
          <w:rFonts w:hint="cs"/>
          <w:rtl/>
        </w:rPr>
        <w:t>" ובהמשך:".</w:t>
      </w:r>
      <w:r>
        <w:rPr>
          <w:rFonts w:ascii="Arial" w:hAnsi="Arial" w:hint="cs"/>
          <w:rtl/>
        </w:rPr>
        <w:t xml:space="preserve"> </w:t>
      </w:r>
      <w:r>
        <w:rPr>
          <w:rFonts w:ascii="Arial" w:hAnsi="Arial" w:hint="cs"/>
          <w:b/>
          <w:bCs/>
          <w:rtl/>
        </w:rPr>
        <w:t>ב</w:t>
      </w:r>
      <w:r>
        <w:rPr>
          <w:rFonts w:hint="cs"/>
          <w:b/>
          <w:bCs/>
          <w:rtl/>
        </w:rPr>
        <w:t xml:space="preserve">סופו של דבר, ומטעמים של מדיניות משפטית, הגנת השכרות היא "הגנה מדומה", שלמעשה </w:t>
      </w:r>
      <w:r>
        <w:rPr>
          <w:rFonts w:hint="cs"/>
          <w:b/>
          <w:bCs/>
          <w:u w:val="single"/>
          <w:rtl/>
        </w:rPr>
        <w:t>מרחיבה</w:t>
      </w:r>
      <w:r>
        <w:rPr>
          <w:rFonts w:hint="cs"/>
          <w:b/>
          <w:bCs/>
          <w:rtl/>
        </w:rPr>
        <w:t xml:space="preserve"> את אחריותו של מבצע העבירה"</w:t>
      </w:r>
      <w:r>
        <w:rPr>
          <w:rFonts w:hint="cs"/>
          <w:rtl/>
        </w:rPr>
        <w:t xml:space="preserve"> (ההדגשה במקור – י.ל.). </w:t>
      </w:r>
    </w:p>
    <w:p w14:paraId="38DA062F" w14:textId="77777777" w:rsidR="00C00B30" w:rsidRDefault="00C00B30">
      <w:pPr>
        <w:spacing w:line="360" w:lineRule="auto"/>
        <w:ind w:left="360"/>
        <w:jc w:val="both"/>
        <w:rPr>
          <w:rtl/>
        </w:rPr>
      </w:pPr>
    </w:p>
    <w:p w14:paraId="1F2BFC70" w14:textId="77777777" w:rsidR="00C00B30" w:rsidRDefault="00B101A0">
      <w:pPr>
        <w:spacing w:line="360" w:lineRule="auto"/>
        <w:ind w:left="360"/>
        <w:jc w:val="both"/>
        <w:rPr>
          <w:rtl/>
        </w:rPr>
      </w:pPr>
      <w:r>
        <w:rPr>
          <w:rFonts w:hint="cs"/>
          <w:rtl/>
        </w:rPr>
        <w:t>אשר על כן, לא יכולה להיטען, זו לצד זו טענת שכרות לצד טענת טעות במצב דברים:</w:t>
      </w:r>
      <w:r>
        <w:rPr>
          <w:rFonts w:hint="cs"/>
          <w:b/>
          <w:bCs/>
          <w:rtl/>
        </w:rPr>
        <w:t xml:space="preserve">". . מכאן שטענת טעות במצב דברים כאשר עסקינן במצב של שכרות היא תרתי דסתרי, שכן במצב של שכרות (מלאה או חלקית) כתוצאה מהתנהגות חופשית במקור, קמה חזקה של מודעות. . ." </w:t>
      </w:r>
      <w:r>
        <w:rPr>
          <w:rFonts w:hint="cs"/>
          <w:rtl/>
        </w:rPr>
        <w:t xml:space="preserve">(פס"ד חביבולין לעיל). </w:t>
      </w:r>
    </w:p>
    <w:p w14:paraId="75801379" w14:textId="77777777" w:rsidR="00C00B30" w:rsidRDefault="00C00B30">
      <w:pPr>
        <w:spacing w:line="360" w:lineRule="auto"/>
        <w:ind w:left="360"/>
        <w:jc w:val="both"/>
        <w:rPr>
          <w:rtl/>
        </w:rPr>
      </w:pPr>
    </w:p>
    <w:p w14:paraId="4D781167" w14:textId="77777777" w:rsidR="00C00B30" w:rsidRDefault="00B101A0">
      <w:pPr>
        <w:spacing w:line="360" w:lineRule="auto"/>
        <w:ind w:left="360"/>
        <w:jc w:val="both"/>
      </w:pPr>
      <w:r>
        <w:rPr>
          <w:rFonts w:hint="cs"/>
          <w:rtl/>
        </w:rPr>
        <w:t>עוד אזכיר, כי על פי קביעת בית המשפט המחוזי (פסקה עז' לפסק הדין), הביא את עצמו הנאשם בהתנהגותו הפסולה (צריכת אלכוהול במינונים גבוהים) למצב בו היה והדברים היו בהתייחס ל</w:t>
      </w:r>
      <w:hyperlink r:id="rId38" w:history="1">
        <w:r w:rsidR="001D52A1" w:rsidRPr="001D52A1">
          <w:rPr>
            <w:rStyle w:val="Hyperlink"/>
            <w:rFonts w:hint="eastAsia"/>
            <w:rtl/>
          </w:rPr>
          <w:t>ס</w:t>
        </w:r>
        <w:r w:rsidR="001D52A1" w:rsidRPr="001D52A1">
          <w:rPr>
            <w:rStyle w:val="Hyperlink"/>
            <w:rtl/>
          </w:rPr>
          <w:t>' 34 יד'</w:t>
        </w:r>
      </w:hyperlink>
      <w:r>
        <w:rPr>
          <w:rFonts w:hint="cs"/>
          <w:rtl/>
        </w:rPr>
        <w:t xml:space="preserve"> (כניסה למצב בהתנהגות פסולה). לא נעלמה מעיני התייחסות ב"כ הנאשם לכך, כי קביעה זו אינה מצומצמת יחסית ביחס לסייג של ההגנה העצמית והגנת בית מגורים (שם נדרשת צפיות בפועל בלבד ולא גם של האדם הסביר), אולם לאור האמור לעיל, לעניין אי יכולתן של שתי ההגנות לדור זו לצד זו, איני מוצא מקום להתייחס לכך. </w:t>
      </w:r>
    </w:p>
    <w:p w14:paraId="12406D6B" w14:textId="77777777" w:rsidR="00C00B30" w:rsidRDefault="00C00B30">
      <w:pPr>
        <w:spacing w:line="360" w:lineRule="auto"/>
        <w:ind w:left="360"/>
        <w:jc w:val="both"/>
        <w:rPr>
          <w:rtl/>
        </w:rPr>
      </w:pPr>
    </w:p>
    <w:p w14:paraId="4CB262E9" w14:textId="77777777" w:rsidR="00C00B30" w:rsidRDefault="00B101A0">
      <w:pPr>
        <w:numPr>
          <w:ilvl w:val="0"/>
          <w:numId w:val="1"/>
        </w:numPr>
        <w:spacing w:line="360" w:lineRule="auto"/>
        <w:jc w:val="both"/>
      </w:pPr>
      <w:r>
        <w:rPr>
          <w:rFonts w:hint="cs"/>
          <w:rtl/>
        </w:rPr>
        <w:t xml:space="preserve">טענתו הבאה של ב"כ הנאשם היתה, כי במקרים אחרים הסכימה המאשימה לפטור מאחריות פלילית נאשמים שעברו עבירות בהיותם במצב של דליריום טרמנס או כתוצאה משימוש ממושך באלכוהול. </w:t>
      </w:r>
    </w:p>
    <w:p w14:paraId="72895198" w14:textId="77777777" w:rsidR="00C00B30" w:rsidRDefault="00C00B30">
      <w:pPr>
        <w:spacing w:line="360" w:lineRule="auto"/>
        <w:jc w:val="both"/>
      </w:pPr>
    </w:p>
    <w:p w14:paraId="190C22F7" w14:textId="77777777" w:rsidR="00C00B30" w:rsidRDefault="00B101A0">
      <w:pPr>
        <w:spacing w:line="360" w:lineRule="auto"/>
        <w:ind w:left="360"/>
        <w:jc w:val="both"/>
        <w:rPr>
          <w:rtl/>
        </w:rPr>
      </w:pPr>
      <w:r>
        <w:rPr>
          <w:rFonts w:hint="cs"/>
          <w:rtl/>
        </w:rPr>
        <w:t xml:space="preserve">בהקשר לכך, הפנה ב"כ הנאשם ל 3 מקרים שנדונו בבתי המשפט השלום והמחוזי. מדובר, לשיטת ב"כ הנאשם במאשימה הטוענת טענות משפטיות הפוכות וסותרות ולפיכך היא מנועה מלטעון כיום את טענותיה ומשכך יש להחיל בנדון את הסעד של הגנה מן הצדק. ב"כ הנאשם אף צירף (במסגרת הסיכומים שהוגשו כבר בתאריך 19/7/10) פרוטוקולים מתוך אותם הליכים (ת.פ. שלום נצרת 2200/05 </w:t>
      </w:r>
      <w:r>
        <w:rPr>
          <w:rFonts w:hint="cs"/>
          <w:b/>
          <w:bCs/>
          <w:rtl/>
        </w:rPr>
        <w:t>מדינת ישראל נ' ספטור</w:t>
      </w:r>
      <w:r>
        <w:rPr>
          <w:rFonts w:hint="cs"/>
          <w:rtl/>
        </w:rPr>
        <w:t xml:space="preserve">; החלטה מתאריך 5/5/2005; ת.פ. שלום חדרה 2052/07 </w:t>
      </w:r>
      <w:r>
        <w:rPr>
          <w:rFonts w:hint="cs"/>
          <w:b/>
          <w:bCs/>
          <w:rtl/>
        </w:rPr>
        <w:t>מדינת ישראל נ' זילברגרג</w:t>
      </w:r>
      <w:r>
        <w:rPr>
          <w:rFonts w:hint="cs"/>
          <w:rtl/>
        </w:rPr>
        <w:t xml:space="preserve">, החלטה מתאריך 5/12/2007; וכן הפנה לת.פ. (מחוזי באר שבע) מדינת </w:t>
      </w:r>
      <w:r>
        <w:rPr>
          <w:rFonts w:hint="cs"/>
          <w:b/>
          <w:bCs/>
          <w:rtl/>
        </w:rPr>
        <w:t>ישראל נ' ליסיאקוב</w:t>
      </w:r>
      <w:r>
        <w:rPr>
          <w:rFonts w:hint="cs"/>
          <w:rtl/>
        </w:rPr>
        <w:t xml:space="preserve">, ניתן בתאריך 13/1/1997). </w:t>
      </w:r>
    </w:p>
    <w:p w14:paraId="01A62331" w14:textId="77777777" w:rsidR="00C00B30" w:rsidRDefault="00C00B30">
      <w:pPr>
        <w:spacing w:line="360" w:lineRule="auto"/>
        <w:jc w:val="both"/>
      </w:pPr>
    </w:p>
    <w:p w14:paraId="5DA0D0E3" w14:textId="77777777" w:rsidR="00C00B30" w:rsidRDefault="00B101A0">
      <w:pPr>
        <w:spacing w:line="360" w:lineRule="auto"/>
        <w:ind w:left="360"/>
        <w:jc w:val="both"/>
      </w:pPr>
      <w:r>
        <w:rPr>
          <w:rFonts w:hint="cs"/>
          <w:rtl/>
        </w:rPr>
        <w:t xml:space="preserve">בתגובה, ציינה המאשימה כי שני המקרים הראשונים לעיל שנדונו בבתי המשפט השלום אינם רלוונטיים לענייננו. הגם שהמאשימה הסכימה באותם שני מקרים כי הנאשמים אינם כשירים לעמוד לדין, הרי אין בפרוטוקולים שצורפו אינדיקציה כי מדובר במקרים הנוגעים לדליריום טרמנס וגם אם יש קשר, הרי שלא ברור מה היה הרקע הנפשי  של אותם נאשמים ומה היו כלל נסיבות העניין - הן הנוגע לנאשמים והן הנוגע למעשים אותם ביצעו. באשר לתיק אשר נדון בשנת 1997 בבית המשפט המחוזי בבאר שבע, ציינה המאשימה כי אכן שם – והדבר עולה באופן מפורש מהחלטת בית המשפט – היה מדובר במקרה בו הנאשם ביצע את המעשה (הריגה) בהיותו במצב של דליריום טרמנס. יחד עם זאת, צויין כי המאשימה </w:t>
      </w:r>
      <w:r>
        <w:rPr>
          <w:rFonts w:hint="cs"/>
          <w:u w:val="single"/>
          <w:rtl/>
        </w:rPr>
        <w:t>שגתה</w:t>
      </w:r>
      <w:r>
        <w:rPr>
          <w:rFonts w:hint="cs"/>
          <w:rtl/>
        </w:rPr>
        <w:t xml:space="preserve"> באותו מקרה, כאשר הסכימה להפסקת ההליכים. זאת ועוד, לא ניתן להחזיק למאשימה את שגיאתה מה גם ששגיאה זו היתה לפני 14 שנים והיא אינה מייצגת מדיניות כלשהי. מדיניות המאשימה באה לידי ביטוי בתיק זה בהליך שבפני ובהליך שהיה בפני בית המשפט המחוזי. </w:t>
      </w:r>
    </w:p>
    <w:p w14:paraId="7D7A763E" w14:textId="77777777" w:rsidR="00C00B30" w:rsidRDefault="00C00B30">
      <w:pPr>
        <w:spacing w:line="360" w:lineRule="auto"/>
        <w:ind w:left="360"/>
        <w:jc w:val="both"/>
        <w:rPr>
          <w:rtl/>
        </w:rPr>
      </w:pPr>
    </w:p>
    <w:p w14:paraId="5E1735C3" w14:textId="77777777" w:rsidR="00C00B30" w:rsidRDefault="00B101A0">
      <w:pPr>
        <w:spacing w:line="360" w:lineRule="auto"/>
        <w:ind w:left="360"/>
        <w:jc w:val="both"/>
      </w:pPr>
      <w:r>
        <w:rPr>
          <w:rFonts w:hint="cs"/>
          <w:rtl/>
        </w:rPr>
        <w:t xml:space="preserve">לאחר ששקלתי את טיעוני הצדדים בנדון סבורני כי אכן אין מקום לקבל את טיעוני ב"כ הנאשם בנדון. </w:t>
      </w:r>
    </w:p>
    <w:p w14:paraId="3B7662D1" w14:textId="77777777" w:rsidR="00C00B30" w:rsidRDefault="00C00B30">
      <w:pPr>
        <w:spacing w:line="360" w:lineRule="auto"/>
        <w:ind w:left="360"/>
        <w:jc w:val="both"/>
        <w:rPr>
          <w:rtl/>
        </w:rPr>
      </w:pPr>
    </w:p>
    <w:p w14:paraId="47B9B1C2" w14:textId="77777777" w:rsidR="00C00B30" w:rsidRDefault="00B101A0">
      <w:pPr>
        <w:spacing w:line="360" w:lineRule="auto"/>
        <w:ind w:left="360"/>
        <w:jc w:val="both"/>
        <w:rPr>
          <w:rtl/>
        </w:rPr>
      </w:pPr>
      <w:r>
        <w:rPr>
          <w:rFonts w:hint="cs"/>
          <w:rtl/>
        </w:rPr>
        <w:t xml:space="preserve">עיון בפסקי הדין שניתנו בבתי המשפט השלום, אינו מלמד על זהות ואף לא על קרבה לזהות בין נתוני אותם תיקים לתיק שבפנינו. אכן, המאשימה לא פרסה בפני את אותם נתונים (הגם שיכולה היתה לעשות כן), אך גם אם הייתי מוצא דמיון בנתוני התיקים, עדיין רחוקה הדרך מהסקת מסקנות בנדון לחובת המאשימה, כי היא נהגה במקרה דנן באופן פסול. חובתה של המאשימה לשקול ולגבש את מדיניותה מעת לעת ולהביאה בפני בית המשפט, כפי שעשתה בתיק זה ובתיקים דומים אחרים, כגון מקרהו של קאדריה שנדון לעיל. </w:t>
      </w:r>
    </w:p>
    <w:p w14:paraId="39E54468" w14:textId="77777777" w:rsidR="00C00B30" w:rsidRDefault="00C00B30">
      <w:pPr>
        <w:spacing w:line="360" w:lineRule="auto"/>
        <w:ind w:left="360"/>
        <w:jc w:val="both"/>
        <w:rPr>
          <w:rtl/>
        </w:rPr>
      </w:pPr>
    </w:p>
    <w:p w14:paraId="2B7E16F5" w14:textId="77777777" w:rsidR="00C00B30" w:rsidRDefault="00B101A0">
      <w:pPr>
        <w:spacing w:line="360" w:lineRule="auto"/>
        <w:ind w:left="360"/>
        <w:jc w:val="both"/>
        <w:rPr>
          <w:rtl/>
        </w:rPr>
      </w:pPr>
      <w:r>
        <w:rPr>
          <w:rFonts w:hint="cs"/>
          <w:rtl/>
        </w:rPr>
        <w:t xml:space="preserve">אף אם אניח, כי המאשימה שגתה מבחינתה, לא רק במקרה שנדון לפני כ 14 שנים בבאר שבע, אלא גם בשני התיקים שנדונו בשנת 2005 ו 2007, הרי עדיין איני יכול לקבוע (ונזכור, כי הנטל בנדון מוטל על הנאשם) כי מעורבים בהחלטות המאשימה שיקולים זרים פסולים או שרירות לב המצדיקים את ביטולו של כתב האישום, או כי ניהול ההליך עומד בסתירה מהותית לעקרונות של צדק והגינות משפטית.  </w:t>
      </w:r>
    </w:p>
    <w:p w14:paraId="1F43924B" w14:textId="77777777" w:rsidR="00C00B30" w:rsidRDefault="00C00B30">
      <w:pPr>
        <w:spacing w:line="360" w:lineRule="auto"/>
        <w:ind w:left="360"/>
        <w:jc w:val="both"/>
        <w:rPr>
          <w:rtl/>
        </w:rPr>
      </w:pPr>
    </w:p>
    <w:p w14:paraId="7E500030" w14:textId="77777777" w:rsidR="00C00B30" w:rsidRDefault="00B101A0">
      <w:pPr>
        <w:numPr>
          <w:ilvl w:val="0"/>
          <w:numId w:val="1"/>
        </w:numPr>
        <w:spacing w:line="360" w:lineRule="auto"/>
        <w:jc w:val="both"/>
      </w:pPr>
      <w:r>
        <w:rPr>
          <w:rFonts w:hint="cs"/>
          <w:rtl/>
        </w:rPr>
        <w:t>טענתו האחרונה של ב"כ הנאשם היתה, כי גם אם ייקבע כי יש בהתנהגותו של הנאשם משום עבירה פלילית, עומד לו הסייג  הקבוע ב</w:t>
      </w:r>
      <w:hyperlink r:id="rId39" w:history="1">
        <w:r w:rsidR="001D52A1" w:rsidRPr="001D52A1">
          <w:rPr>
            <w:rStyle w:val="Hyperlink"/>
            <w:rFonts w:hint="eastAsia"/>
            <w:rtl/>
          </w:rPr>
          <w:t>סעיף</w:t>
        </w:r>
        <w:r w:rsidR="001D52A1" w:rsidRPr="001D52A1">
          <w:rPr>
            <w:rStyle w:val="Hyperlink"/>
            <w:rtl/>
          </w:rPr>
          <w:t xml:space="preserve"> 34 יז'</w:t>
        </w:r>
      </w:hyperlink>
      <w:r>
        <w:rPr>
          <w:rFonts w:hint="cs"/>
          <w:rtl/>
        </w:rPr>
        <w:t xml:space="preserve"> לחוק בדבר זוטי דברים. </w:t>
      </w:r>
    </w:p>
    <w:p w14:paraId="5E243370" w14:textId="77777777" w:rsidR="00C00B30" w:rsidRDefault="00C00B30">
      <w:pPr>
        <w:spacing w:line="360" w:lineRule="auto"/>
        <w:jc w:val="both"/>
      </w:pPr>
    </w:p>
    <w:p w14:paraId="2DD62F39" w14:textId="77777777" w:rsidR="00C00B30" w:rsidRDefault="00B101A0">
      <w:pPr>
        <w:spacing w:line="360" w:lineRule="auto"/>
        <w:ind w:left="360"/>
        <w:jc w:val="both"/>
        <w:rPr>
          <w:rtl/>
        </w:rPr>
      </w:pPr>
      <w:r>
        <w:rPr>
          <w:rFonts w:hint="cs"/>
          <w:rtl/>
        </w:rPr>
        <w:t xml:space="preserve">מדובר, כך לשיטת ב"כ הנאשם, במעשים שאינם עוברים את רף הפליליות הנדרש מבחינה מהותית לשם הרשעה. בהקשר זה נטען, כי הנאשם הינו נעדר עבר פלילי אשר פעל כפי שפעל מתוך מצוקה אישית וסברה אמיתית מבחינתו כי מעשיו נעשים לשם הגנה על חייו וחיי אשתו. </w:t>
      </w:r>
    </w:p>
    <w:p w14:paraId="0CDE67E4" w14:textId="77777777" w:rsidR="00C00B30" w:rsidRDefault="00C00B30">
      <w:pPr>
        <w:spacing w:line="360" w:lineRule="auto"/>
        <w:ind w:left="360"/>
        <w:jc w:val="both"/>
        <w:rPr>
          <w:rtl/>
        </w:rPr>
      </w:pPr>
    </w:p>
    <w:p w14:paraId="4B44428F" w14:textId="77777777" w:rsidR="00C00B30" w:rsidRDefault="00B101A0">
      <w:pPr>
        <w:spacing w:line="360" w:lineRule="auto"/>
        <w:ind w:left="360"/>
        <w:jc w:val="both"/>
        <w:rPr>
          <w:rtl/>
        </w:rPr>
      </w:pPr>
      <w:r>
        <w:rPr>
          <w:rFonts w:hint="cs"/>
          <w:rtl/>
        </w:rPr>
        <w:t xml:space="preserve">מנגד, עמדה המאשימה על נסיבות האירוע – על כך שהנאשם קפץ מדירתו על רכב המתלונן כשבידיו שני סכינים ולאחר מכן עמד כך באמצע הרחוב. המאשימה אמנם לא הזכירה כי מייד לאחר מכן ניגש הנאשם לחנות סמוכה ודאג להזעקת המשטרה למקום, אולם דומני שאין חולק כי האירוע יכול היה להסתיים בתוצאות חמורות הרבה יותר. עוד נטען בהקשר זה, כי העבירה של החזקת סכין אינה מצדיקה ברוב המוחלט של המקרים את החלת הגנת הסייג של זוטי דברים ולא ניתן לטעון, כי מדובר במעשה חסר משמעות או פעוט ערך. </w:t>
      </w:r>
    </w:p>
    <w:p w14:paraId="14BA52A6" w14:textId="77777777" w:rsidR="00C00B30" w:rsidRDefault="00C00B30">
      <w:pPr>
        <w:spacing w:line="360" w:lineRule="auto"/>
        <w:jc w:val="both"/>
      </w:pPr>
    </w:p>
    <w:p w14:paraId="4B0176F5" w14:textId="77777777" w:rsidR="00C00B30" w:rsidRDefault="00B101A0">
      <w:pPr>
        <w:spacing w:line="360" w:lineRule="auto"/>
        <w:ind w:left="360"/>
        <w:jc w:val="both"/>
      </w:pPr>
      <w:r>
        <w:rPr>
          <w:rFonts w:hint="cs"/>
          <w:rtl/>
        </w:rPr>
        <w:t xml:space="preserve">אודה, כי מכל טענות ב"כ הנאשם, טענתו האחרונה בהקשר לזוטי דברים, היתה השובה מכל. לא משום נסיבות האירוע עצמו, שכפי שציינתי לעיל לא היו קלות בעיני ורק בנס לא הסתיים האירוע באופן חמור יותר, אלא בעיקר משום מצוקתו הסובייקטיבית של הנאשם בעת ביצוע העבירה בשל המחשבות בהן היה לכוד, וכן בשל פער הזמנים הבלתי מבוטל של כשבוע, שעבר ממועד הפסקת צריכת האלכוהול ועד מועד האירוע. דא עקא, כי על אותן נסיבות בדיוק ניתן להשקיף – באותה מידה של צדק – במבט ביקורתי ולטעון כי הנאשם יכול לבא בטענות רק אל עצמו. </w:t>
      </w:r>
    </w:p>
    <w:p w14:paraId="123D67E1" w14:textId="77777777" w:rsidR="00C00B30" w:rsidRDefault="00C00B30">
      <w:pPr>
        <w:spacing w:line="360" w:lineRule="auto"/>
        <w:ind w:left="360"/>
        <w:jc w:val="both"/>
        <w:rPr>
          <w:rtl/>
        </w:rPr>
      </w:pPr>
    </w:p>
    <w:p w14:paraId="58C6D22B" w14:textId="77777777" w:rsidR="00C00B30" w:rsidRDefault="00B101A0">
      <w:pPr>
        <w:spacing w:line="360" w:lineRule="auto"/>
        <w:ind w:left="360"/>
        <w:jc w:val="both"/>
        <w:rPr>
          <w:rtl/>
        </w:rPr>
      </w:pPr>
      <w:r>
        <w:rPr>
          <w:rFonts w:hint="cs"/>
          <w:rtl/>
        </w:rPr>
        <w:t xml:space="preserve">עסקינן בסייג של זוטי דברים. </w:t>
      </w:r>
      <w:hyperlink r:id="rId40" w:history="1">
        <w:r w:rsidR="001D52A1" w:rsidRPr="001D52A1">
          <w:rPr>
            <w:color w:val="0000FF"/>
            <w:u w:val="single"/>
            <w:rtl/>
          </w:rPr>
          <w:t>ס' 34 יז'</w:t>
        </w:r>
      </w:hyperlink>
      <w:r>
        <w:rPr>
          <w:rFonts w:hint="cs"/>
          <w:rtl/>
        </w:rPr>
        <w:t xml:space="preserve"> מפרט ארבעה תנאים מצטברים ליישומו: "</w:t>
      </w:r>
      <w:r>
        <w:rPr>
          <w:rFonts w:hint="cs"/>
          <w:b/>
          <w:bCs/>
          <w:rtl/>
        </w:rPr>
        <w:t>טיבו של המעשה, נסיבותיו, תוצאותיו והאינטרס הציבורי</w:t>
      </w:r>
      <w:r>
        <w:rPr>
          <w:rFonts w:hint="cs"/>
          <w:rtl/>
        </w:rPr>
        <w:t>". כפי שנקבע ב</w:t>
      </w:r>
      <w:hyperlink r:id="rId41" w:history="1">
        <w:r w:rsidR="00A164F8" w:rsidRPr="00A164F8">
          <w:rPr>
            <w:rStyle w:val="Hyperlink"/>
            <w:rtl/>
          </w:rPr>
          <w:t>ע"פ 7829/03</w:t>
        </w:r>
      </w:hyperlink>
      <w:r>
        <w:rPr>
          <w:rFonts w:hint="cs"/>
          <w:rtl/>
        </w:rPr>
        <w:t xml:space="preserve"> </w:t>
      </w:r>
      <w:r>
        <w:rPr>
          <w:rFonts w:hint="cs"/>
          <w:b/>
          <w:bCs/>
          <w:rtl/>
        </w:rPr>
        <w:t>מדינת ישראל נ' אריאל הנדסת חשמל  רמזורים ובקרה בע"מ ואח</w:t>
      </w:r>
      <w:r>
        <w:rPr>
          <w:rFonts w:hint="cs"/>
          <w:rtl/>
        </w:rPr>
        <w:t>', ניתן בתאריך 14/7/2005:"</w:t>
      </w:r>
      <w:r>
        <w:rPr>
          <w:rFonts w:hint="cs"/>
          <w:b/>
          <w:bCs/>
          <w:rtl/>
        </w:rPr>
        <w:t>ניסוחו הכללי של הסעיף מעלה את השאלה בדבר המשקל הסגולי של כל אחד מהתנאים, וכיצד לערוך את השקלול הסופי ביניהם. נראה, שלא ניתן לקבוע מראש את המשקל המדויק שיש לייחס לכל תנאי, שכן לכל מקרה הנסיבות המיוחדות לו. עם זאת, הגישה הרווחת היא כי משקלו של התנאי האחרון, בדבר האינטרס הציבורי, רב יותר מזה של השאר (י' קדמי, על הדין בפלילים, חלק ראשון (תשס"ה), 556)</w:t>
      </w:r>
      <w:r>
        <w:rPr>
          <w:rFonts w:hint="cs"/>
          <w:rtl/>
        </w:rPr>
        <w:t xml:space="preserve">". </w:t>
      </w:r>
    </w:p>
    <w:p w14:paraId="5E7994A2" w14:textId="77777777" w:rsidR="00C00B30" w:rsidRDefault="00C00B30">
      <w:pPr>
        <w:spacing w:line="360" w:lineRule="auto"/>
        <w:ind w:left="360"/>
        <w:jc w:val="both"/>
        <w:rPr>
          <w:rtl/>
        </w:rPr>
      </w:pPr>
    </w:p>
    <w:p w14:paraId="794802F5" w14:textId="77777777" w:rsidR="00C00B30" w:rsidRDefault="00B101A0">
      <w:pPr>
        <w:spacing w:line="360" w:lineRule="auto"/>
        <w:ind w:left="360"/>
        <w:jc w:val="both"/>
        <w:rPr>
          <w:rtl/>
        </w:rPr>
      </w:pPr>
      <w:r>
        <w:rPr>
          <w:rFonts w:hint="cs"/>
          <w:rtl/>
        </w:rPr>
        <w:t xml:space="preserve">במקרה דנן, איני יכול לקבוע כי לא קיים אינטרס ציבורי בהעמדת הנאשם לדין. נהפוך הוא,  דווקא משום חוסר המודעות לסכנות האורבות בשתייה ממושכת של אלכוהול, קיים אינטרס ציבורי בהעמדת הנאשם לדין. זאת ועוד, לאור השימוש בשני סכינים וכלל נסיבות האירוע, ברור כי נשקפה ממעשה העבירה מידה של סכנה לציבור. סוף דבר, אני מורה גם על דחיית טענה זו. </w:t>
      </w:r>
    </w:p>
    <w:p w14:paraId="5AA677B9" w14:textId="77777777" w:rsidR="00C00B30" w:rsidRDefault="00C00B30">
      <w:pPr>
        <w:spacing w:line="360" w:lineRule="auto"/>
        <w:ind w:left="360"/>
        <w:jc w:val="both"/>
        <w:rPr>
          <w:rtl/>
        </w:rPr>
      </w:pPr>
    </w:p>
    <w:p w14:paraId="3F4BE4D3" w14:textId="77777777" w:rsidR="00C00B30" w:rsidRDefault="00B101A0">
      <w:pPr>
        <w:numPr>
          <w:ilvl w:val="0"/>
          <w:numId w:val="1"/>
        </w:numPr>
        <w:spacing w:line="360" w:lineRule="auto"/>
        <w:jc w:val="both"/>
      </w:pPr>
      <w:r>
        <w:rPr>
          <w:rFonts w:hint="cs"/>
          <w:rtl/>
        </w:rPr>
        <w:t xml:space="preserve">אשר על כן, אני מרשיע את הנאשם בעבירות המיוחסות לו: היזק בזדון – עבירה לפי </w:t>
      </w:r>
      <w:hyperlink r:id="rId42" w:history="1">
        <w:r w:rsidR="001D52A1" w:rsidRPr="001D52A1">
          <w:rPr>
            <w:color w:val="0000FF"/>
            <w:u w:val="single"/>
            <w:rtl/>
          </w:rPr>
          <w:t>ס' 452</w:t>
        </w:r>
      </w:hyperlink>
      <w:r>
        <w:rPr>
          <w:rFonts w:hint="cs"/>
          <w:rtl/>
        </w:rPr>
        <w:t xml:space="preserve"> לחוק וכן בעבירה של החזקת סכין – עבירה לפי </w:t>
      </w:r>
      <w:hyperlink r:id="rId43" w:history="1">
        <w:r w:rsidR="001D52A1" w:rsidRPr="001D52A1">
          <w:rPr>
            <w:color w:val="0000FF"/>
            <w:u w:val="single"/>
            <w:rtl/>
          </w:rPr>
          <w:t>ס' 186 (א)</w:t>
        </w:r>
      </w:hyperlink>
      <w:r>
        <w:rPr>
          <w:rFonts w:hint="cs"/>
          <w:rtl/>
        </w:rPr>
        <w:t xml:space="preserve"> לחוק. </w:t>
      </w:r>
    </w:p>
    <w:p w14:paraId="5D964CB7" w14:textId="77777777" w:rsidR="00C00B30" w:rsidRDefault="00A164F8">
      <w:pPr>
        <w:pStyle w:val="Ruller4"/>
        <w:rPr>
          <w:rFonts w:cs="David"/>
          <w:rtl/>
        </w:rPr>
      </w:pPr>
      <w:r>
        <w:rPr>
          <w:rFonts w:cs="David" w:hint="cs"/>
          <w:rtl/>
        </w:rPr>
        <w:t xml:space="preserve"> </w:t>
      </w:r>
    </w:p>
    <w:p w14:paraId="6A09EF0E" w14:textId="77777777" w:rsidR="00C00B30" w:rsidRDefault="00B101A0">
      <w:pPr>
        <w:spacing w:line="360" w:lineRule="auto"/>
        <w:jc w:val="both"/>
        <w:rPr>
          <w:sz w:val="6"/>
          <w:szCs w:val="6"/>
          <w:rtl/>
        </w:rPr>
      </w:pPr>
      <w:r>
        <w:rPr>
          <w:sz w:val="6"/>
          <w:szCs w:val="6"/>
          <w:rtl/>
        </w:rPr>
        <w:t>&lt;#4#&gt;</w:t>
      </w:r>
    </w:p>
    <w:p w14:paraId="1A24DF7A" w14:textId="77777777" w:rsidR="00C00B30" w:rsidRDefault="00C00B30">
      <w:pPr>
        <w:jc w:val="right"/>
        <w:rPr>
          <w:rtl/>
        </w:rPr>
      </w:pPr>
    </w:p>
    <w:p w14:paraId="139E1AAC" w14:textId="77777777" w:rsidR="00C00B30" w:rsidRDefault="00B101A0">
      <w:pPr>
        <w:spacing w:line="360" w:lineRule="auto"/>
        <w:jc w:val="both"/>
        <w:rPr>
          <w:rtl/>
        </w:rPr>
      </w:pPr>
      <w:r>
        <w:rPr>
          <w:rFonts w:hint="cs"/>
          <w:b/>
          <w:bCs/>
          <w:rtl/>
        </w:rPr>
        <w:t xml:space="preserve">ניתנה והודעה היום </w:t>
      </w:r>
      <w:r>
        <w:rPr>
          <w:b/>
          <w:bCs/>
          <w:rtl/>
        </w:rPr>
        <w:t>א' אב תשע"א</w:t>
      </w:r>
      <w:r>
        <w:rPr>
          <w:rFonts w:hint="cs"/>
          <w:b/>
          <w:bCs/>
          <w:rtl/>
        </w:rPr>
        <w:t xml:space="preserve">, </w:t>
      </w:r>
      <w:r>
        <w:rPr>
          <w:b/>
          <w:bCs/>
          <w:rtl/>
        </w:rPr>
        <w:t>01/08/2011</w:t>
      </w:r>
      <w:r>
        <w:rPr>
          <w:rFonts w:hint="cs"/>
          <w:b/>
          <w:bCs/>
          <w:rtl/>
        </w:rPr>
        <w:t xml:space="preserve"> במעמד הנוכחים.</w:t>
      </w:r>
      <w:r>
        <w:rPr>
          <w:rtl/>
        </w:rPr>
        <w:t xml:space="preserve"> </w:t>
      </w:r>
    </w:p>
    <w:p w14:paraId="3371F9AC" w14:textId="77777777" w:rsidR="00C00B30" w:rsidRDefault="00B101A0">
      <w:pPr>
        <w:jc w:val="both"/>
        <w:rPr>
          <w:rtl/>
        </w:rPr>
      </w:pPr>
      <w:r>
        <w:rPr>
          <w:rtl/>
        </w:rPr>
        <w:t xml:space="preserve"> </w:t>
      </w:r>
    </w:p>
    <w:p w14:paraId="36841660" w14:textId="77777777" w:rsidR="00C00B30" w:rsidRDefault="00C00B30">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0B30" w14:paraId="370E5C83" w14:textId="77777777">
        <w:trPr>
          <w:trHeight w:val="364"/>
          <w:jc w:val="right"/>
        </w:trPr>
        <w:tc>
          <w:tcPr>
            <w:tcW w:w="3708" w:type="dxa"/>
            <w:shd w:val="clear" w:color="auto" w:fill="auto"/>
          </w:tcPr>
          <w:p w14:paraId="045B2105" w14:textId="77777777" w:rsidR="00C00B30" w:rsidRDefault="00C00B30" w:rsidP="00341779">
            <w:pPr>
              <w:jc w:val="center"/>
              <w:rPr>
                <w:rtl/>
              </w:rPr>
            </w:pPr>
          </w:p>
        </w:tc>
      </w:tr>
      <w:tr w:rsidR="00C00B30" w14:paraId="3F69E3A0" w14:textId="77777777">
        <w:trPr>
          <w:trHeight w:val="415"/>
          <w:jc w:val="right"/>
        </w:trPr>
        <w:tc>
          <w:tcPr>
            <w:tcW w:w="3708" w:type="dxa"/>
            <w:shd w:val="clear" w:color="auto" w:fill="auto"/>
          </w:tcPr>
          <w:p w14:paraId="3CFFE10F" w14:textId="77777777" w:rsidR="00C00B30" w:rsidRPr="00341779" w:rsidRDefault="00B101A0" w:rsidP="00341779">
            <w:pPr>
              <w:jc w:val="center"/>
              <w:rPr>
                <w:b/>
                <w:bCs/>
                <w:rtl/>
              </w:rPr>
            </w:pPr>
            <w:r w:rsidRPr="00341779">
              <w:rPr>
                <w:b/>
                <w:bCs/>
                <w:rtl/>
              </w:rPr>
              <w:t>יחיאל</w:t>
            </w:r>
            <w:r w:rsidRPr="00341779">
              <w:rPr>
                <w:rFonts w:hint="cs"/>
                <w:b/>
                <w:bCs/>
                <w:rtl/>
              </w:rPr>
              <w:t xml:space="preserve"> </w:t>
            </w:r>
            <w:r w:rsidRPr="00341779">
              <w:rPr>
                <w:b/>
                <w:bCs/>
                <w:rtl/>
              </w:rPr>
              <w:t>ליפשיץ</w:t>
            </w:r>
            <w:r w:rsidRPr="00341779">
              <w:rPr>
                <w:rFonts w:hint="cs"/>
                <w:b/>
                <w:bCs/>
                <w:rtl/>
              </w:rPr>
              <w:t xml:space="preserve">, </w:t>
            </w:r>
            <w:r w:rsidRPr="00341779">
              <w:rPr>
                <w:b/>
                <w:bCs/>
                <w:rtl/>
              </w:rPr>
              <w:t>שופט</w:t>
            </w:r>
          </w:p>
        </w:tc>
      </w:tr>
    </w:tbl>
    <w:p w14:paraId="5C4E4F89" w14:textId="77777777" w:rsidR="00C00B30" w:rsidRDefault="00C00B30">
      <w:pPr>
        <w:jc w:val="right"/>
        <w:rPr>
          <w:rtl/>
        </w:rPr>
      </w:pPr>
    </w:p>
    <w:p w14:paraId="434E0F83" w14:textId="77777777" w:rsidR="00C00B30" w:rsidRDefault="00C00B30">
      <w:pPr>
        <w:spacing w:line="360" w:lineRule="auto"/>
        <w:jc w:val="center"/>
        <w:rPr>
          <w:rtl/>
        </w:rPr>
      </w:pPr>
    </w:p>
    <w:p w14:paraId="24B5FF24" w14:textId="77777777" w:rsidR="00C00B30" w:rsidRDefault="00B101A0">
      <w:pPr>
        <w:spacing w:line="360" w:lineRule="auto"/>
        <w:jc w:val="both"/>
        <w:rPr>
          <w:rFonts w:ascii="Times New Roman" w:hAnsi="Times New Roman"/>
          <w:sz w:val="6"/>
          <w:szCs w:val="6"/>
          <w:rtl/>
        </w:rPr>
      </w:pPr>
      <w:r>
        <w:rPr>
          <w:rFonts w:ascii="Times New Roman" w:hAnsi="Times New Roman"/>
          <w:sz w:val="6"/>
          <w:szCs w:val="6"/>
          <w:rtl/>
        </w:rPr>
        <w:t>&lt;#5#&gt;</w:t>
      </w:r>
    </w:p>
    <w:p w14:paraId="7509C6CA" w14:textId="77777777" w:rsidR="00C00B30" w:rsidRDefault="00B101A0">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131C34DD" w14:textId="77777777" w:rsidR="00C00B30" w:rsidRDefault="00C00B30">
      <w:pPr>
        <w:spacing w:line="360" w:lineRule="auto"/>
        <w:jc w:val="both"/>
        <w:rPr>
          <w:rtl/>
        </w:rPr>
      </w:pPr>
    </w:p>
    <w:p w14:paraId="3C24B0F7" w14:textId="77777777" w:rsidR="00C00B30" w:rsidRDefault="00B101A0">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הנאשם הורשע בביצוע 2 עבירות: היזק בזדון </w:t>
      </w:r>
      <w:r>
        <w:rPr>
          <w:rtl/>
        </w:rPr>
        <w:t>–</w:t>
      </w:r>
      <w:r>
        <w:rPr>
          <w:rFonts w:hint="cs"/>
          <w:rtl/>
        </w:rPr>
        <w:t xml:space="preserve"> עבירה לפי </w:t>
      </w:r>
      <w:hyperlink r:id="rId44" w:history="1">
        <w:r w:rsidR="001D52A1" w:rsidRPr="001D52A1">
          <w:rPr>
            <w:color w:val="0000FF"/>
            <w:u w:val="single"/>
            <w:rtl/>
          </w:rPr>
          <w:t>סעיף 452</w:t>
        </w:r>
      </w:hyperlink>
      <w:r>
        <w:rPr>
          <w:rFonts w:hint="cs"/>
          <w:rtl/>
        </w:rPr>
        <w:t xml:space="preserve"> ל</w:t>
      </w:r>
      <w:hyperlink r:id="rId45" w:history="1">
        <w:r w:rsidR="00A164F8" w:rsidRPr="00A164F8">
          <w:rPr>
            <w:rStyle w:val="Hyperlink"/>
            <w:rtl/>
          </w:rPr>
          <w:t>חוק העונשין</w:t>
        </w:r>
      </w:hyperlink>
      <w:r>
        <w:rPr>
          <w:rFonts w:hint="cs"/>
          <w:rtl/>
        </w:rPr>
        <w:t xml:space="preserve">, תשל"ז </w:t>
      </w:r>
      <w:r>
        <w:rPr>
          <w:rtl/>
        </w:rPr>
        <w:t>–</w:t>
      </w:r>
      <w:r>
        <w:rPr>
          <w:rFonts w:hint="cs"/>
          <w:rtl/>
        </w:rPr>
        <w:t xml:space="preserve"> 1977 (להלן: </w:t>
      </w:r>
      <w:r>
        <w:rPr>
          <w:rFonts w:hint="cs"/>
          <w:b/>
          <w:bCs/>
          <w:rtl/>
        </w:rPr>
        <w:t>החוק</w:t>
      </w:r>
      <w:r>
        <w:rPr>
          <w:rFonts w:hint="cs"/>
          <w:rtl/>
        </w:rPr>
        <w:t xml:space="preserve">) וכן החזקת סכין - עבירה לפי </w:t>
      </w:r>
      <w:hyperlink r:id="rId46" w:history="1">
        <w:r w:rsidR="001D52A1" w:rsidRPr="001D52A1">
          <w:rPr>
            <w:color w:val="0000FF"/>
            <w:u w:val="single"/>
            <w:rtl/>
          </w:rPr>
          <w:t>סעיף 186 (א)</w:t>
        </w:r>
      </w:hyperlink>
      <w:r>
        <w:rPr>
          <w:rFonts w:hint="cs"/>
          <w:rtl/>
        </w:rPr>
        <w:t xml:space="preserve"> לחוק. </w:t>
      </w:r>
    </w:p>
    <w:p w14:paraId="66A5D3C9" w14:textId="77777777" w:rsidR="00C00B30" w:rsidRDefault="00C00B30">
      <w:pPr>
        <w:spacing w:line="360" w:lineRule="auto"/>
        <w:ind w:left="720" w:hanging="720"/>
        <w:jc w:val="both"/>
        <w:rPr>
          <w:rtl/>
        </w:rPr>
      </w:pPr>
      <w:bookmarkStart w:id="7" w:name="ABSTRACT_END"/>
      <w:bookmarkEnd w:id="7"/>
    </w:p>
    <w:p w14:paraId="02BAC0FB" w14:textId="77777777" w:rsidR="00C00B30" w:rsidRDefault="00B101A0">
      <w:pPr>
        <w:spacing w:line="360" w:lineRule="auto"/>
        <w:ind w:left="720" w:hanging="720"/>
        <w:jc w:val="both"/>
        <w:rPr>
          <w:rtl/>
        </w:rPr>
      </w:pPr>
      <w:r>
        <w:rPr>
          <w:rFonts w:hint="cs"/>
          <w:rtl/>
        </w:rPr>
        <w:t>2.</w:t>
      </w:r>
      <w:r>
        <w:rPr>
          <w:rFonts w:hint="cs"/>
          <w:rtl/>
        </w:rPr>
        <w:tab/>
        <w:t>פרטי האירוע וכלל הנסיבות פורטו בהרחבה, הן במסגרת הכרעת דיני מתאריך 29.7.10, הן במסגרת פסק דינו של ביהמ"ש המחוזי מתאריך 24.2.11 (</w:t>
      </w:r>
      <w:hyperlink r:id="rId47" w:history="1">
        <w:r w:rsidR="00A164F8" w:rsidRPr="00A164F8">
          <w:rPr>
            <w:rStyle w:val="Hyperlink"/>
            <w:rtl/>
          </w:rPr>
          <w:t>ערעור פלילי 11620-09-10</w:t>
        </w:r>
      </w:hyperlink>
      <w:r>
        <w:rPr>
          <w:rFonts w:hint="cs"/>
          <w:rtl/>
        </w:rPr>
        <w:t xml:space="preserve">) והן במסגרת הכרעת דיני שניתנה היום בעקבות קביעות ביהמ"ש המחוזי. </w:t>
      </w:r>
    </w:p>
    <w:p w14:paraId="518A136E" w14:textId="77777777" w:rsidR="00C00B30" w:rsidRDefault="00C00B30">
      <w:pPr>
        <w:spacing w:line="360" w:lineRule="auto"/>
        <w:ind w:left="720" w:hanging="720"/>
        <w:jc w:val="both"/>
        <w:rPr>
          <w:rtl/>
        </w:rPr>
      </w:pPr>
    </w:p>
    <w:p w14:paraId="39185049" w14:textId="77777777" w:rsidR="00C00B30" w:rsidRDefault="00B101A0">
      <w:pPr>
        <w:spacing w:line="360" w:lineRule="auto"/>
        <w:ind w:left="720" w:hanging="720"/>
        <w:jc w:val="both"/>
        <w:rPr>
          <w:rtl/>
        </w:rPr>
      </w:pPr>
      <w:r>
        <w:rPr>
          <w:rFonts w:hint="cs"/>
          <w:rtl/>
        </w:rPr>
        <w:t>3.</w:t>
      </w:r>
      <w:r>
        <w:rPr>
          <w:rFonts w:hint="cs"/>
          <w:rtl/>
        </w:rPr>
        <w:tab/>
        <w:t xml:space="preserve">בקצרה, אציין כי בתאריך 01.3.10, בעת שהנאשם היה במצב של דליריום טרמנס, והיה עקב כך במצב פסיכוטי, הוא קפץ מדירתו המצויה בקומה הראשונה על גבי יריעת בד שהיתה פרושה מעל רכב, ירד מאותו רכב ונעמד בלב שכונת הדר בחיפה, כשהוא אוחז בידו 2 סכינים. </w:t>
      </w:r>
    </w:p>
    <w:p w14:paraId="74CCCB85" w14:textId="77777777" w:rsidR="00C00B30" w:rsidRDefault="00B101A0">
      <w:pPr>
        <w:spacing w:line="360" w:lineRule="auto"/>
        <w:ind w:left="720" w:hanging="720"/>
        <w:jc w:val="both"/>
        <w:rPr>
          <w:rtl/>
        </w:rPr>
      </w:pPr>
      <w:r>
        <w:rPr>
          <w:rFonts w:hint="cs"/>
          <w:rtl/>
        </w:rPr>
        <w:tab/>
        <w:t xml:space="preserve">הנאשם סבר, משום אותו מצב בו הוא היה, כי אנשים זרים פרצו לדירתו ומתכוונים להרע לרעייתו. על רקע זה, הוא ביקש מבעל חנות סמוכה להזמין משטרה. </w:t>
      </w:r>
    </w:p>
    <w:p w14:paraId="6FA8A6B3" w14:textId="77777777" w:rsidR="00C00B30" w:rsidRDefault="00C00B30">
      <w:pPr>
        <w:spacing w:line="360" w:lineRule="auto"/>
        <w:ind w:left="720" w:hanging="720"/>
        <w:jc w:val="both"/>
        <w:rPr>
          <w:rtl/>
        </w:rPr>
      </w:pPr>
    </w:p>
    <w:p w14:paraId="341004C2" w14:textId="77777777" w:rsidR="00C00B30" w:rsidRDefault="00B101A0">
      <w:pPr>
        <w:spacing w:line="360" w:lineRule="auto"/>
        <w:ind w:left="720" w:hanging="720"/>
        <w:jc w:val="both"/>
        <w:rPr>
          <w:rtl/>
        </w:rPr>
      </w:pPr>
      <w:r>
        <w:rPr>
          <w:rFonts w:hint="cs"/>
          <w:rtl/>
        </w:rPr>
        <w:t>4.</w:t>
      </w:r>
      <w:r>
        <w:rPr>
          <w:rFonts w:hint="cs"/>
          <w:rtl/>
        </w:rPr>
        <w:tab/>
        <w:t xml:space="preserve">המאשימה, שהיתה מודעת לנתוני היסוד בתיק זה ולקביעות ביהמ"ש זה וביהמ"ש המחוזי, עתרה לעונש של מאסר בפועל והפנתה לחומרת המעשה ולרמת הענישה בעבירות מעין אלו, שבהן הורשע הנאשם. </w:t>
      </w:r>
    </w:p>
    <w:p w14:paraId="65935752" w14:textId="77777777" w:rsidR="00C00B30" w:rsidRDefault="00C00B30">
      <w:pPr>
        <w:spacing w:line="360" w:lineRule="auto"/>
        <w:ind w:left="720" w:hanging="720"/>
        <w:jc w:val="both"/>
        <w:rPr>
          <w:rtl/>
        </w:rPr>
      </w:pPr>
    </w:p>
    <w:p w14:paraId="6089E49D" w14:textId="77777777" w:rsidR="00C00B30" w:rsidRDefault="00B101A0">
      <w:pPr>
        <w:spacing w:line="360" w:lineRule="auto"/>
        <w:ind w:left="720" w:hanging="720"/>
        <w:jc w:val="both"/>
        <w:rPr>
          <w:rtl/>
        </w:rPr>
      </w:pPr>
      <w:r>
        <w:rPr>
          <w:rFonts w:hint="cs"/>
          <w:rtl/>
        </w:rPr>
        <w:t>5.</w:t>
      </w:r>
      <w:r>
        <w:rPr>
          <w:rFonts w:hint="cs"/>
          <w:rtl/>
        </w:rPr>
        <w:tab/>
        <w:t xml:space="preserve">מנגד, הפנה ב"כ הנאשם לכלל הנסיבות אשר מוליכות, לשיטתו, לענישה הצופה פני עתיד בלבד. </w:t>
      </w:r>
    </w:p>
    <w:p w14:paraId="25145698" w14:textId="77777777" w:rsidR="00C00B30" w:rsidRDefault="00B101A0">
      <w:pPr>
        <w:spacing w:line="360" w:lineRule="auto"/>
        <w:ind w:left="720" w:hanging="720"/>
        <w:jc w:val="both"/>
        <w:rPr>
          <w:rtl/>
        </w:rPr>
      </w:pPr>
      <w:r>
        <w:rPr>
          <w:rFonts w:hint="cs"/>
          <w:rtl/>
        </w:rPr>
        <w:tab/>
        <w:t xml:space="preserve">בהקשר זה, בין היתר, ציין ב"כ הנאשם, את תקופת מעצרו הארוכה של הנאשם בתיק זה, בה היה מאושפז, את העובדה כי גם לאחר הכרעת דיני מתאריך 29.7.10, הוא נותר מאושפז במסלול האזרחי והמשיך לקבל טפול בבעיותיו הרפואיות, את גילו המבוגר יחסית, את העדר עבר פלילי ואת אופיו ואישיותו. </w:t>
      </w:r>
    </w:p>
    <w:p w14:paraId="184ACCDA" w14:textId="77777777" w:rsidR="00C00B30" w:rsidRDefault="00C00B30">
      <w:pPr>
        <w:spacing w:line="360" w:lineRule="auto"/>
        <w:ind w:left="720" w:hanging="720"/>
        <w:jc w:val="both"/>
        <w:rPr>
          <w:rtl/>
        </w:rPr>
      </w:pPr>
    </w:p>
    <w:p w14:paraId="08A1938D" w14:textId="77777777" w:rsidR="00C00B30" w:rsidRDefault="00B101A0">
      <w:pPr>
        <w:spacing w:line="360" w:lineRule="auto"/>
        <w:ind w:left="720" w:hanging="720"/>
        <w:jc w:val="both"/>
        <w:rPr>
          <w:rtl/>
        </w:rPr>
      </w:pPr>
      <w:r>
        <w:rPr>
          <w:rFonts w:hint="cs"/>
          <w:rtl/>
        </w:rPr>
        <w:t>6.</w:t>
      </w:r>
      <w:r>
        <w:rPr>
          <w:rFonts w:hint="cs"/>
          <w:rtl/>
        </w:rPr>
        <w:tab/>
        <w:t xml:space="preserve">לאחר ששקלתי את כלל נסיבות הענין, אני רואה עין בעין עם טענות ב"כ הנאשם, ככל שהדברים נוגעים לרמת הענישה הראויה. </w:t>
      </w:r>
    </w:p>
    <w:p w14:paraId="39A63F39" w14:textId="77777777" w:rsidR="00C00B30" w:rsidRDefault="00B101A0">
      <w:pPr>
        <w:spacing w:line="360" w:lineRule="auto"/>
        <w:ind w:left="720" w:hanging="720"/>
        <w:jc w:val="both"/>
        <w:rPr>
          <w:rtl/>
        </w:rPr>
      </w:pPr>
      <w:r>
        <w:rPr>
          <w:rFonts w:hint="cs"/>
          <w:rtl/>
        </w:rPr>
        <w:tab/>
        <w:t xml:space="preserve">הנאשם הינו יליד 1946, ללא עבר פלילי. מבלי להקל ראש בנסיבות ביצוע העבירה, אשר יכלו להסתיים באופן חמור הרבה יותר, הרי שלא ניתן להתעלם מכלל הנסיבות שפורטו בהכרעות הדין שניתנו על ידי וכן בפסק דינו של ביהמ"ש המחוזי. </w:t>
      </w:r>
    </w:p>
    <w:p w14:paraId="39D42D9F" w14:textId="77777777" w:rsidR="00C00B30" w:rsidRDefault="00B101A0">
      <w:pPr>
        <w:spacing w:line="360" w:lineRule="auto"/>
        <w:ind w:left="720" w:hanging="720"/>
        <w:jc w:val="both"/>
        <w:rPr>
          <w:rtl/>
        </w:rPr>
      </w:pPr>
      <w:r>
        <w:rPr>
          <w:rFonts w:hint="cs"/>
          <w:rtl/>
        </w:rPr>
        <w:tab/>
        <w:t>מדובר היה במי שעל רקע צריכת אלכוהול, נכנס למצב של דליריום טרמנס והיה מצוי בסכנת חיים אמיתית וכן היה מצוי במצב פסיכוטי, במסגרתו הוא סבר שאנשים זרים פרצו לביתו ומבקשים להרע לרעייתו. על רקע זה, הוא קפץ מביתו וביקש מאדם אחר להזמין משטרה.</w:t>
      </w:r>
    </w:p>
    <w:p w14:paraId="1BE70448" w14:textId="77777777" w:rsidR="00C00B30" w:rsidRDefault="00B101A0">
      <w:pPr>
        <w:spacing w:line="360" w:lineRule="auto"/>
        <w:ind w:left="720"/>
        <w:jc w:val="both"/>
        <w:rPr>
          <w:rtl/>
        </w:rPr>
      </w:pPr>
      <w:r>
        <w:rPr>
          <w:rFonts w:hint="cs"/>
          <w:rtl/>
        </w:rPr>
        <w:t>הגם שנסיבותיו של הנאשם ושל האירוע לא הצדיקו את החלת אחד מהסייגים, להם טען ב"כ הנאשם, הרי שיש מקום לשקלל את כלל נסיבות האירוע לענין העונש.</w:t>
      </w:r>
    </w:p>
    <w:p w14:paraId="089BF7A1" w14:textId="77777777" w:rsidR="00C00B30" w:rsidRDefault="00B101A0">
      <w:pPr>
        <w:spacing w:line="360" w:lineRule="auto"/>
        <w:ind w:left="720"/>
        <w:jc w:val="both"/>
        <w:rPr>
          <w:rtl/>
        </w:rPr>
      </w:pPr>
      <w:r>
        <w:rPr>
          <w:rFonts w:hint="cs"/>
          <w:rtl/>
        </w:rPr>
        <w:t xml:space="preserve">כבר נקבע: </w:t>
      </w:r>
      <w:r>
        <w:rPr>
          <w:rFonts w:hint="cs"/>
          <w:b/>
          <w:bCs/>
          <w:rtl/>
        </w:rPr>
        <w:t>"...כי שאלה מהו המשקל שיש ליתן למצבו הנפשי של הנאשם בעת ביצוע העבירה לצורך הקלה בעונש, היא שאלה "כמותית" , אשר יש לבחון בגדרה כל מקרה לגופו, על פי נסיבות ביצוע העבירה וחומרתה ועל פי נסיבותיו האישיות של הנאשם. במכלול הנסיבות הקשורות למבצע העבירה, יש לבחון את סוג ההפרעה הנפשית ועוצמתה ועד כמה הוגבלה בעטייה יכולתו להבין את אשר הוא עושה או להימנע מעשיית המעשה... מידת אחריותו המוסרית של העבריין למעשה שביצע נגזרת מגודל הפגיעה בתפיסת המציאות ובמידת השליטה שלו על מעשהו בשל מצבו הנפשי, ובהלימה לכך, על ביהמ"ש לגזור את עונשו לקולא או לחומרא..."</w:t>
      </w:r>
      <w:r>
        <w:rPr>
          <w:rFonts w:hint="cs"/>
          <w:rtl/>
        </w:rPr>
        <w:t>. (</w:t>
      </w:r>
      <w:hyperlink r:id="rId48" w:history="1">
        <w:r w:rsidR="00A164F8" w:rsidRPr="00A164F8">
          <w:rPr>
            <w:rStyle w:val="Hyperlink"/>
            <w:rtl/>
          </w:rPr>
          <w:t>ע"פ 2406/09</w:t>
        </w:r>
      </w:hyperlink>
      <w:r>
        <w:rPr>
          <w:rFonts w:hint="cs"/>
          <w:rtl/>
        </w:rPr>
        <w:t xml:space="preserve"> </w:t>
      </w:r>
      <w:r>
        <w:rPr>
          <w:rFonts w:hint="cs"/>
          <w:b/>
          <w:bCs/>
          <w:rtl/>
        </w:rPr>
        <w:t>אלבו נ' מדינת ישראל</w:t>
      </w:r>
      <w:r>
        <w:rPr>
          <w:rFonts w:hint="cs"/>
          <w:rtl/>
        </w:rPr>
        <w:t>, ניתן בתאריך 15.9.10).</w:t>
      </w:r>
    </w:p>
    <w:p w14:paraId="62779B2D" w14:textId="77777777" w:rsidR="00C00B30" w:rsidRDefault="00C00B30">
      <w:pPr>
        <w:spacing w:line="360" w:lineRule="auto"/>
        <w:jc w:val="both"/>
        <w:rPr>
          <w:rtl/>
        </w:rPr>
      </w:pPr>
    </w:p>
    <w:p w14:paraId="2188F653" w14:textId="77777777" w:rsidR="00C00B30" w:rsidRDefault="00B101A0">
      <w:pPr>
        <w:spacing w:line="360" w:lineRule="auto"/>
        <w:ind w:left="720" w:hanging="720"/>
        <w:jc w:val="both"/>
        <w:rPr>
          <w:rtl/>
        </w:rPr>
      </w:pPr>
      <w:r>
        <w:rPr>
          <w:rFonts w:hint="cs"/>
          <w:rtl/>
        </w:rPr>
        <w:t>7.</w:t>
      </w:r>
      <w:r>
        <w:rPr>
          <w:rFonts w:hint="cs"/>
          <w:rtl/>
        </w:rPr>
        <w:tab/>
        <w:t xml:space="preserve">בהקשר לנאשם שבפניי, אכן יש לקחת בחשבון את תקופת המעצר הלא מבוטלת, בה שהה הנאשם בגין תיק זה (מתאריך 01.3.10 ועד 29.7.10), את גילו, כפי שציינתי לעיל, את העובדה כי הוא נעדר עבר פלילי וכן את העובדה, כי ככל שעלה בפניי, הוא סיים בהצלחה את הטיפול הממושך אותו עבר במסגרת המרכז לבריאות הנפש בטירת הכרמל. </w:t>
      </w:r>
    </w:p>
    <w:p w14:paraId="1E5E93FD" w14:textId="77777777" w:rsidR="00C00B30" w:rsidRDefault="00C00B30">
      <w:pPr>
        <w:spacing w:line="360" w:lineRule="auto"/>
        <w:ind w:left="720" w:hanging="720"/>
        <w:jc w:val="both"/>
        <w:rPr>
          <w:rtl/>
        </w:rPr>
      </w:pPr>
    </w:p>
    <w:p w14:paraId="2D600F7A" w14:textId="77777777" w:rsidR="00C00B30" w:rsidRDefault="00B101A0">
      <w:pPr>
        <w:spacing w:line="360" w:lineRule="auto"/>
        <w:ind w:left="720" w:hanging="720"/>
        <w:jc w:val="both"/>
        <w:rPr>
          <w:rtl/>
        </w:rPr>
      </w:pPr>
      <w:r>
        <w:rPr>
          <w:rFonts w:hint="cs"/>
          <w:rtl/>
        </w:rPr>
        <w:t>8.</w:t>
      </w:r>
      <w:r>
        <w:rPr>
          <w:rFonts w:hint="cs"/>
          <w:rtl/>
        </w:rPr>
        <w:tab/>
        <w:t xml:space="preserve">סוף דבר </w:t>
      </w:r>
      <w:r>
        <w:rPr>
          <w:rtl/>
        </w:rPr>
        <w:t>–</w:t>
      </w:r>
      <w:r>
        <w:rPr>
          <w:rFonts w:hint="cs"/>
          <w:rtl/>
        </w:rPr>
        <w:t xml:space="preserve"> לאחר ששקללתי את הנתונים ואת הטיעונים לעיל, לכאן ולכאן, אני משית על הנאשם את העונש הבא:</w:t>
      </w:r>
    </w:p>
    <w:p w14:paraId="593E887F" w14:textId="77777777" w:rsidR="00C00B30" w:rsidRDefault="00B101A0">
      <w:pPr>
        <w:spacing w:line="360" w:lineRule="auto"/>
        <w:ind w:left="720" w:hanging="720"/>
        <w:jc w:val="both"/>
        <w:rPr>
          <w:rtl/>
        </w:rPr>
      </w:pPr>
      <w:r>
        <w:rPr>
          <w:rtl/>
        </w:rPr>
        <w:br w:type="page"/>
      </w:r>
      <w:r>
        <w:rPr>
          <w:rFonts w:hint="cs"/>
          <w:rtl/>
        </w:rPr>
        <w:tab/>
        <w:t xml:space="preserve">הנני דן את הנאשם למאסר לתקופה של חודשיים, וזאת על תנאי למשך 3 שנים מהיום, והתנאי הוא כי הנאשם לא יעבור את העבירות בהן הורשע. </w:t>
      </w:r>
    </w:p>
    <w:p w14:paraId="4F074D6C" w14:textId="77777777" w:rsidR="00C00B30" w:rsidRDefault="00C00B30">
      <w:pPr>
        <w:spacing w:line="360" w:lineRule="auto"/>
        <w:ind w:left="720" w:hanging="720"/>
        <w:jc w:val="both"/>
        <w:rPr>
          <w:rtl/>
        </w:rPr>
      </w:pPr>
    </w:p>
    <w:p w14:paraId="6632078B" w14:textId="77777777" w:rsidR="00C00B30" w:rsidRDefault="00B101A0">
      <w:pPr>
        <w:spacing w:line="360" w:lineRule="auto"/>
        <w:ind w:left="720" w:hanging="720"/>
        <w:jc w:val="both"/>
        <w:rPr>
          <w:b/>
          <w:bCs/>
          <w:u w:val="single"/>
          <w:rtl/>
        </w:rPr>
      </w:pPr>
      <w:r>
        <w:rPr>
          <w:rFonts w:hint="cs"/>
        </w:rPr>
        <w:tab/>
      </w:r>
      <w:r>
        <w:rPr>
          <w:rFonts w:hint="cs"/>
          <w:b/>
          <w:bCs/>
          <w:u w:val="single"/>
          <w:rtl/>
        </w:rPr>
        <w:t xml:space="preserve">זכות ערעור תוך 45 יום לביהמ"ש המחוזי. </w:t>
      </w:r>
    </w:p>
    <w:p w14:paraId="28583B23" w14:textId="77777777" w:rsidR="00C00B30" w:rsidRDefault="00C00B30">
      <w:pPr>
        <w:spacing w:line="360" w:lineRule="auto"/>
        <w:ind w:left="720"/>
        <w:jc w:val="both"/>
        <w:rPr>
          <w:rFonts w:ascii="Times New Roman" w:hAnsi="Times New Roman"/>
          <w:rtl/>
        </w:rPr>
      </w:pPr>
    </w:p>
    <w:p w14:paraId="5BE166CF" w14:textId="77777777" w:rsidR="00C00B30" w:rsidRDefault="00B101A0">
      <w:pPr>
        <w:spacing w:line="360" w:lineRule="auto"/>
        <w:ind w:left="720"/>
        <w:jc w:val="both"/>
        <w:rPr>
          <w:rFonts w:ascii="Times New Roman" w:hAnsi="Times New Roman"/>
          <w:sz w:val="6"/>
          <w:szCs w:val="6"/>
          <w:rtl/>
        </w:rPr>
      </w:pPr>
      <w:r>
        <w:rPr>
          <w:rFonts w:ascii="Times New Roman" w:hAnsi="Times New Roman"/>
          <w:sz w:val="6"/>
          <w:szCs w:val="6"/>
          <w:rtl/>
        </w:rPr>
        <w:t>&lt;#6#&gt;</w:t>
      </w:r>
    </w:p>
    <w:p w14:paraId="7131FCC5" w14:textId="77777777" w:rsidR="00C00B30" w:rsidRDefault="00C00B30">
      <w:pPr>
        <w:jc w:val="right"/>
        <w:rPr>
          <w:rtl/>
        </w:rPr>
      </w:pPr>
    </w:p>
    <w:p w14:paraId="25BB0F26" w14:textId="77777777" w:rsidR="00C00B30" w:rsidRDefault="00B101A0">
      <w:pPr>
        <w:jc w:val="both"/>
        <w:rPr>
          <w:rtl/>
        </w:rPr>
      </w:pPr>
      <w:r>
        <w:rPr>
          <w:b/>
          <w:bCs/>
          <w:rtl/>
        </w:rPr>
        <w:t xml:space="preserve">ניתן והודע היום א' אב תשע"א, 01/08/2011 במעמד הנוכחים.  </w:t>
      </w:r>
      <w:r>
        <w:rPr>
          <w:rtl/>
        </w:rPr>
        <w:t xml:space="preserve"> </w:t>
      </w:r>
    </w:p>
    <w:p w14:paraId="1440E8C5" w14:textId="77777777" w:rsidR="00B101A0" w:rsidRPr="00B101A0" w:rsidRDefault="00B101A0">
      <w:pPr>
        <w:jc w:val="center"/>
        <w:rPr>
          <w:color w:val="FFFFFF"/>
          <w:sz w:val="2"/>
          <w:szCs w:val="2"/>
          <w:rtl/>
        </w:rPr>
      </w:pPr>
    </w:p>
    <w:p w14:paraId="192E7761" w14:textId="77777777" w:rsidR="00B101A0" w:rsidRPr="00B101A0" w:rsidRDefault="00B101A0">
      <w:pPr>
        <w:jc w:val="center"/>
        <w:rPr>
          <w:color w:val="FFFFFF"/>
          <w:sz w:val="2"/>
          <w:szCs w:val="2"/>
          <w:rtl/>
        </w:rPr>
      </w:pPr>
      <w:r w:rsidRPr="00B101A0">
        <w:rPr>
          <w:color w:val="FFFFFF"/>
          <w:sz w:val="2"/>
          <w:szCs w:val="2"/>
          <w:rtl/>
        </w:rPr>
        <w:t>5129371</w:t>
      </w:r>
    </w:p>
    <w:p w14:paraId="26A6855A" w14:textId="77777777" w:rsidR="00B101A0" w:rsidRPr="00B101A0" w:rsidRDefault="00B101A0" w:rsidP="00B101A0">
      <w:pPr>
        <w:keepNext/>
        <w:rPr>
          <w:color w:val="000000"/>
          <w:sz w:val="22"/>
          <w:szCs w:val="22"/>
          <w:rtl/>
        </w:rPr>
      </w:pPr>
    </w:p>
    <w:p w14:paraId="5D56A19D" w14:textId="77777777" w:rsidR="00B101A0" w:rsidRPr="00B101A0" w:rsidRDefault="00B101A0" w:rsidP="00B101A0">
      <w:pPr>
        <w:keepNext/>
        <w:rPr>
          <w:color w:val="000000"/>
          <w:sz w:val="22"/>
          <w:szCs w:val="22"/>
          <w:rtl/>
        </w:rPr>
      </w:pPr>
      <w:r w:rsidRPr="00B101A0">
        <w:rPr>
          <w:color w:val="000000"/>
          <w:sz w:val="22"/>
          <w:szCs w:val="22"/>
          <w:rtl/>
        </w:rPr>
        <w:t>יחיאל ליפשיץ 54678313</w:t>
      </w:r>
    </w:p>
    <w:p w14:paraId="5F82EEA8" w14:textId="77777777" w:rsidR="00C00B30" w:rsidRDefault="00B101A0">
      <w:pPr>
        <w:jc w:val="center"/>
        <w:rPr>
          <w:rtl/>
        </w:rPr>
      </w:pPr>
      <w:r w:rsidRPr="00B101A0">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C00B30" w14:paraId="591FC942" w14:textId="77777777">
        <w:trPr>
          <w:trHeight w:val="364"/>
          <w:jc w:val="right"/>
        </w:trPr>
        <w:tc>
          <w:tcPr>
            <w:tcW w:w="3708" w:type="dxa"/>
            <w:shd w:val="clear" w:color="auto" w:fill="auto"/>
          </w:tcPr>
          <w:p w14:paraId="3D0A8F14" w14:textId="77777777" w:rsidR="00C00B30" w:rsidRDefault="00C00B30" w:rsidP="00341779">
            <w:pPr>
              <w:jc w:val="center"/>
              <w:rPr>
                <w:rtl/>
              </w:rPr>
            </w:pPr>
          </w:p>
        </w:tc>
      </w:tr>
      <w:tr w:rsidR="00C00B30" w14:paraId="3A2D053B" w14:textId="77777777">
        <w:trPr>
          <w:trHeight w:val="415"/>
          <w:jc w:val="right"/>
        </w:trPr>
        <w:tc>
          <w:tcPr>
            <w:tcW w:w="3708" w:type="dxa"/>
            <w:shd w:val="clear" w:color="auto" w:fill="auto"/>
          </w:tcPr>
          <w:p w14:paraId="3378BE65" w14:textId="77777777" w:rsidR="00C00B30" w:rsidRPr="00341779" w:rsidRDefault="00B101A0" w:rsidP="00341779">
            <w:pPr>
              <w:jc w:val="center"/>
              <w:rPr>
                <w:b/>
                <w:bCs/>
                <w:rtl/>
              </w:rPr>
            </w:pPr>
            <w:r w:rsidRPr="00341779">
              <w:rPr>
                <w:b/>
                <w:bCs/>
                <w:rtl/>
              </w:rPr>
              <w:t>יחיאל</w:t>
            </w:r>
            <w:r w:rsidRPr="00341779">
              <w:rPr>
                <w:rFonts w:hint="cs"/>
                <w:b/>
                <w:bCs/>
                <w:rtl/>
              </w:rPr>
              <w:t xml:space="preserve"> </w:t>
            </w:r>
            <w:r w:rsidRPr="00341779">
              <w:rPr>
                <w:b/>
                <w:bCs/>
                <w:rtl/>
              </w:rPr>
              <w:t>ליפשיץ</w:t>
            </w:r>
            <w:r w:rsidRPr="00341779">
              <w:rPr>
                <w:rFonts w:hint="cs"/>
                <w:b/>
                <w:bCs/>
                <w:rtl/>
              </w:rPr>
              <w:t xml:space="preserve">, </w:t>
            </w:r>
            <w:r w:rsidRPr="00341779">
              <w:rPr>
                <w:b/>
                <w:bCs/>
                <w:rtl/>
              </w:rPr>
              <w:t>שופט</w:t>
            </w:r>
          </w:p>
        </w:tc>
      </w:tr>
    </w:tbl>
    <w:p w14:paraId="6C2E686C" w14:textId="77777777" w:rsidR="00C00B30" w:rsidRDefault="00C00B30">
      <w:pPr>
        <w:jc w:val="right"/>
        <w:rPr>
          <w:rtl/>
        </w:rPr>
      </w:pPr>
    </w:p>
    <w:p w14:paraId="4B68D5B8" w14:textId="77777777" w:rsidR="00C00B30" w:rsidRDefault="00B101A0">
      <w:pPr>
        <w:spacing w:line="360" w:lineRule="auto"/>
        <w:ind w:left="720"/>
        <w:rPr>
          <w:rtl/>
        </w:rPr>
      </w:pPr>
      <w:r>
        <w:rPr>
          <w:rFonts w:hint="cs"/>
          <w:rtl/>
        </w:rPr>
        <w:t xml:space="preserve"> </w:t>
      </w:r>
    </w:p>
    <w:p w14:paraId="0FDBCFA2" w14:textId="77777777" w:rsidR="00C00B30" w:rsidRDefault="00B101A0">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דגנית אדרי</w:t>
      </w:r>
    </w:p>
    <w:p w14:paraId="7EB940E1" w14:textId="77777777" w:rsidR="00B101A0" w:rsidRDefault="00B101A0" w:rsidP="00B101A0">
      <w:r w:rsidRPr="00B101A0">
        <w:rPr>
          <w:color w:val="000000"/>
          <w:rtl/>
        </w:rPr>
        <w:t>נוסח מסמך זה כפוף לשינויי ניסוח ועריכה</w:t>
      </w:r>
    </w:p>
    <w:p w14:paraId="23FAFF6F" w14:textId="77777777" w:rsidR="00B101A0" w:rsidRDefault="00B101A0" w:rsidP="00B101A0">
      <w:pPr>
        <w:rPr>
          <w:rtl/>
        </w:rPr>
      </w:pPr>
    </w:p>
    <w:p w14:paraId="6F261D5D" w14:textId="77777777" w:rsidR="00B101A0" w:rsidRDefault="00B101A0" w:rsidP="00B101A0">
      <w:pPr>
        <w:jc w:val="center"/>
        <w:rPr>
          <w:color w:val="0000FF"/>
          <w:u w:val="single"/>
        </w:rPr>
      </w:pPr>
      <w:r w:rsidRPr="003047AC">
        <w:rPr>
          <w:color w:val="000000"/>
          <w:rtl/>
        </w:rPr>
        <w:t>בעניין עריכה ושינויים במסמכי פסיקה, חקיקה ועוד באתר נבו – הקש כאן</w:t>
      </w:r>
    </w:p>
    <w:p w14:paraId="24416309" w14:textId="77777777" w:rsidR="00C00B30" w:rsidRPr="00B101A0" w:rsidRDefault="00C00B30" w:rsidP="00B101A0">
      <w:pPr>
        <w:jc w:val="center"/>
        <w:rPr>
          <w:color w:val="0000FF"/>
          <w:u w:val="single"/>
        </w:rPr>
      </w:pPr>
    </w:p>
    <w:sectPr w:rsidR="00C00B30" w:rsidRPr="00B101A0" w:rsidSect="00B101A0">
      <w:headerReference w:type="even" r:id="rId49"/>
      <w:headerReference w:type="default" r:id="rId50"/>
      <w:footerReference w:type="even" r:id="rId51"/>
      <w:footerReference w:type="default" r:id="rId5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B22A" w14:textId="77777777" w:rsidR="00341779" w:rsidRPr="0025375D" w:rsidRDefault="00341779">
      <w:pPr>
        <w:rPr>
          <w:rFonts w:cs="Arial"/>
          <w:szCs w:val="20"/>
        </w:rPr>
      </w:pPr>
      <w:r>
        <w:separator/>
      </w:r>
    </w:p>
  </w:endnote>
  <w:endnote w:type="continuationSeparator" w:id="0">
    <w:p w14:paraId="259F71BD" w14:textId="77777777" w:rsidR="00341779" w:rsidRPr="0025375D" w:rsidRDefault="0034177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0E107" w14:textId="77777777" w:rsidR="00506FAD" w:rsidRDefault="00506FAD" w:rsidP="00B101A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82</w:t>
    </w:r>
    <w:r>
      <w:rPr>
        <w:rFonts w:ascii="FrankRuehl" w:hAnsi="FrankRuehl" w:cs="FrankRuehl"/>
        <w:rtl/>
      </w:rPr>
      <w:fldChar w:fldCharType="end"/>
    </w:r>
  </w:p>
  <w:p w14:paraId="0945AA6E" w14:textId="77777777" w:rsidR="00506FAD" w:rsidRPr="00B101A0" w:rsidRDefault="00506FAD" w:rsidP="00B101A0">
    <w:pPr>
      <w:pStyle w:val="Footer"/>
      <w:pBdr>
        <w:top w:val="single" w:sz="4" w:space="1" w:color="auto"/>
        <w:between w:val="single" w:sz="4" w:space="0" w:color="auto"/>
      </w:pBdr>
      <w:spacing w:after="60"/>
      <w:jc w:val="center"/>
      <w:rPr>
        <w:rFonts w:ascii="FrankRuehl" w:hAnsi="FrankRuehl" w:cs="FrankRuehl"/>
        <w:color w:val="000000"/>
      </w:rPr>
    </w:pPr>
    <w:r w:rsidRPr="00B101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108A" w14:textId="77777777" w:rsidR="00506FAD" w:rsidRDefault="00506FAD" w:rsidP="00B101A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C4530">
      <w:rPr>
        <w:rFonts w:ascii="FrankRuehl" w:hAnsi="FrankRuehl" w:cs="FrankRuehl"/>
        <w:noProof/>
        <w:rtl/>
      </w:rPr>
      <w:t>1</w:t>
    </w:r>
    <w:r>
      <w:rPr>
        <w:rFonts w:ascii="FrankRuehl" w:hAnsi="FrankRuehl" w:cs="FrankRuehl"/>
        <w:rtl/>
      </w:rPr>
      <w:fldChar w:fldCharType="end"/>
    </w:r>
  </w:p>
  <w:p w14:paraId="63F96F93" w14:textId="77777777" w:rsidR="00506FAD" w:rsidRPr="00B101A0" w:rsidRDefault="00506FAD" w:rsidP="00B101A0">
    <w:pPr>
      <w:pStyle w:val="Footer"/>
      <w:pBdr>
        <w:top w:val="single" w:sz="4" w:space="1" w:color="auto"/>
        <w:between w:val="single" w:sz="4" w:space="0" w:color="auto"/>
      </w:pBdr>
      <w:spacing w:after="60"/>
      <w:jc w:val="center"/>
      <w:rPr>
        <w:rFonts w:ascii="FrankRuehl" w:hAnsi="FrankRuehl" w:cs="FrankRuehl"/>
        <w:color w:val="000000"/>
      </w:rPr>
    </w:pPr>
    <w:r w:rsidRPr="00B101A0">
      <w:rPr>
        <w:rFonts w:ascii="FrankRuehl" w:hAnsi="FrankRuehl" w:cs="FrankRuehl"/>
        <w:color w:val="000000"/>
      </w:rPr>
      <w:pict w14:anchorId="53E82B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199F" w14:textId="77777777" w:rsidR="00341779" w:rsidRPr="0025375D" w:rsidRDefault="00341779">
      <w:pPr>
        <w:rPr>
          <w:rFonts w:cs="Arial"/>
          <w:szCs w:val="20"/>
        </w:rPr>
      </w:pPr>
      <w:r>
        <w:separator/>
      </w:r>
    </w:p>
  </w:footnote>
  <w:footnote w:type="continuationSeparator" w:id="0">
    <w:p w14:paraId="5CB64910" w14:textId="77777777" w:rsidR="00341779" w:rsidRPr="0025375D" w:rsidRDefault="0034177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DE4D3" w14:textId="77777777" w:rsidR="00506FAD" w:rsidRPr="00B101A0" w:rsidRDefault="00506FAD" w:rsidP="00B101A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6741-03-10</w:t>
    </w:r>
    <w:r>
      <w:rPr>
        <w:color w:val="000000"/>
        <w:sz w:val="22"/>
        <w:szCs w:val="22"/>
        <w:rtl/>
      </w:rPr>
      <w:tab/>
      <w:t xml:space="preserve"> מדינת ישראל נ' אנטולי צבישב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5270" w14:textId="77777777" w:rsidR="00506FAD" w:rsidRPr="00B101A0" w:rsidRDefault="00506FAD" w:rsidP="00B101A0">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6741-03-10</w:t>
    </w:r>
    <w:r>
      <w:rPr>
        <w:color w:val="000000"/>
        <w:sz w:val="22"/>
        <w:szCs w:val="22"/>
        <w:rtl/>
      </w:rPr>
      <w:tab/>
      <w:t xml:space="preserve"> מדינת ישראל נ' אנטולי צבישב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01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7778636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0B30"/>
    <w:rsid w:val="000C4530"/>
    <w:rsid w:val="0019540D"/>
    <w:rsid w:val="001D52A1"/>
    <w:rsid w:val="003047AC"/>
    <w:rsid w:val="00341779"/>
    <w:rsid w:val="00355037"/>
    <w:rsid w:val="003D79C0"/>
    <w:rsid w:val="004E2F94"/>
    <w:rsid w:val="00506FAD"/>
    <w:rsid w:val="00A164F8"/>
    <w:rsid w:val="00B101A0"/>
    <w:rsid w:val="00B76549"/>
    <w:rsid w:val="00C00B30"/>
    <w:rsid w:val="00C803D5"/>
    <w:rsid w:val="00E315BA"/>
    <w:rsid w:val="00E81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DF960E"/>
  <w15:chartTrackingRefBased/>
  <w15:docId w15:val="{83850E98-3409-4F33-AD42-7B041508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0B30"/>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C00B30"/>
  </w:style>
  <w:style w:type="paragraph" w:styleId="Header">
    <w:name w:val="header"/>
    <w:basedOn w:val="Normal"/>
    <w:rsid w:val="00C00B30"/>
    <w:pPr>
      <w:tabs>
        <w:tab w:val="center" w:pos="4153"/>
        <w:tab w:val="right" w:pos="8306"/>
      </w:tabs>
    </w:pPr>
  </w:style>
  <w:style w:type="paragraph" w:styleId="Footer">
    <w:name w:val="footer"/>
    <w:basedOn w:val="Normal"/>
    <w:rsid w:val="00C00B30"/>
    <w:pPr>
      <w:tabs>
        <w:tab w:val="center" w:pos="4153"/>
        <w:tab w:val="right" w:pos="8306"/>
      </w:tabs>
    </w:pPr>
  </w:style>
  <w:style w:type="table" w:styleId="TableGrid">
    <w:name w:val="Table Grid"/>
    <w:basedOn w:val="TableNormal"/>
    <w:rsid w:val="00C00B30"/>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00B30"/>
  </w:style>
  <w:style w:type="character" w:customStyle="1" w:styleId="TimesNewRomanTimesNewRoman">
    <w:name w:val="סגנון (לטיני) Times New Roman (עברית ושפות אחרות) Times New Roman..."/>
    <w:rsid w:val="00C00B30"/>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C00B30"/>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Normal"/>
    <w:rsid w:val="00C00B30"/>
    <w:pPr>
      <w:spacing w:line="360" w:lineRule="auto"/>
      <w:jc w:val="both"/>
    </w:pPr>
    <w:rPr>
      <w:rFonts w:ascii="Times New Roman" w:eastAsia="Times New Roman" w:hAnsi="Times New Roman"/>
    </w:rPr>
  </w:style>
  <w:style w:type="character" w:styleId="Hyperlink">
    <w:name w:val="Hyperlink"/>
    <w:semiHidden/>
    <w:rsid w:val="00C00B30"/>
    <w:rPr>
      <w:color w:val="0000FF"/>
      <w:u w:val="single"/>
    </w:rPr>
  </w:style>
  <w:style w:type="paragraph" w:customStyle="1" w:styleId="Ruller4">
    <w:name w:val="Ruller4"/>
    <w:basedOn w:val="Normal"/>
    <w:rsid w:val="00C00B30"/>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character" w:customStyle="1" w:styleId="normal-h">
    <w:name w:val="normal-h"/>
    <w:basedOn w:val="DefaultParagraphFont"/>
    <w:rsid w:val="00C00B30"/>
  </w:style>
  <w:style w:type="character" w:customStyle="1" w:styleId="default">
    <w:name w:val="default"/>
    <w:rsid w:val="00C00B30"/>
    <w:rPr>
      <w:rFonts w:ascii="Times New Roman" w:hAnsi="Times New Roman" w:cs="Times New Roman" w:hint="defaul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case/2854403" TargetMode="External"/><Relationship Id="rId26" Type="http://schemas.openxmlformats.org/officeDocument/2006/relationships/hyperlink" Target="http://www.nevo.co.il/law/70301/34i.b" TargetMode="External"/><Relationship Id="rId39" Type="http://schemas.openxmlformats.org/officeDocument/2006/relationships/hyperlink" Target="http://www.nevo.co.il/law/70301/34jg" TargetMode="External"/><Relationship Id="rId21" Type="http://schemas.openxmlformats.org/officeDocument/2006/relationships/hyperlink" Target="http://www.nevo.co.il/law/70301/452" TargetMode="External"/><Relationship Id="rId34" Type="http://schemas.openxmlformats.org/officeDocument/2006/relationships/hyperlink" Target="http://www.nevo.co.il/case/5808394" TargetMode="External"/><Relationship Id="rId42" Type="http://schemas.openxmlformats.org/officeDocument/2006/relationships/hyperlink" Target="http://www.nevo.co.il/law/70301/452" TargetMode="External"/><Relationship Id="rId47" Type="http://schemas.openxmlformats.org/officeDocument/2006/relationships/hyperlink" Target="http://www.nevo.co.il/case/2854403"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jg" TargetMode="External"/><Relationship Id="rId29" Type="http://schemas.openxmlformats.org/officeDocument/2006/relationships/hyperlink" Target="http://www.nevo.co.il/law/70301/34i.b" TargetMode="External"/><Relationship Id="rId11" Type="http://schemas.openxmlformats.org/officeDocument/2006/relationships/hyperlink" Target="http://www.nevo.co.il/law/70301/186" TargetMode="External"/><Relationship Id="rId24" Type="http://schemas.openxmlformats.org/officeDocument/2006/relationships/hyperlink" Target="http://www.nevo.co.il/law/70301/34jd" TargetMode="External"/><Relationship Id="rId32" Type="http://schemas.openxmlformats.org/officeDocument/2006/relationships/hyperlink" Target="http://www.nevo.co.il/law/70301/192" TargetMode="External"/><Relationship Id="rId37" Type="http://schemas.openxmlformats.org/officeDocument/2006/relationships/hyperlink" Target="http://www.nevo.co.il/case/6076841" TargetMode="External"/><Relationship Id="rId40" Type="http://schemas.openxmlformats.org/officeDocument/2006/relationships/hyperlink" Target="http://www.nevo.co.il/law/70301/34jg" TargetMode="External"/><Relationship Id="rId45" Type="http://schemas.openxmlformats.org/officeDocument/2006/relationships/hyperlink" Target="http://www.nevo.co.il/law/7030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34i.c" TargetMode="External"/><Relationship Id="rId19" Type="http://schemas.openxmlformats.org/officeDocument/2006/relationships/hyperlink" Target="http://www.nevo.co.il/law/70301/34jg" TargetMode="External"/><Relationship Id="rId31" Type="http://schemas.openxmlformats.org/officeDocument/2006/relationships/hyperlink" Target="http://www.nevo.co.il/law/70301/348" TargetMode="External"/><Relationship Id="rId44" Type="http://schemas.openxmlformats.org/officeDocument/2006/relationships/hyperlink" Target="http://www.nevo.co.il/law/70301/452"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i.b" TargetMode="External"/><Relationship Id="rId14" Type="http://schemas.openxmlformats.org/officeDocument/2006/relationships/hyperlink" Target="http://www.nevo.co.il/law/70301/348" TargetMode="External"/><Relationship Id="rId22" Type="http://schemas.openxmlformats.org/officeDocument/2006/relationships/hyperlink" Target="http://www.nevo.co.il/law/70301/186.a" TargetMode="External"/><Relationship Id="rId27" Type="http://schemas.openxmlformats.org/officeDocument/2006/relationships/hyperlink" Target="http://www.nevo.co.il/law/70301/34i.c" TargetMode="External"/><Relationship Id="rId30" Type="http://schemas.openxmlformats.org/officeDocument/2006/relationships/hyperlink" Target="http://www.nevo.co.il/law/70301/186" TargetMode="External"/><Relationship Id="rId35" Type="http://schemas.openxmlformats.org/officeDocument/2006/relationships/hyperlink" Target="http://www.nevo.co.il/case/5670124" TargetMode="External"/><Relationship Id="rId43" Type="http://schemas.openxmlformats.org/officeDocument/2006/relationships/hyperlink" Target="http://www.nevo.co.il/law/70301/186.a" TargetMode="External"/><Relationship Id="rId48" Type="http://schemas.openxmlformats.org/officeDocument/2006/relationships/hyperlink" Target="http://www.nevo.co.il/case/5831108" TargetMode="External"/><Relationship Id="rId8" Type="http://schemas.openxmlformats.org/officeDocument/2006/relationships/hyperlink" Target="http://www.nevo.co.il/law/70301/34i"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70301/452" TargetMode="External"/><Relationship Id="rId25" Type="http://schemas.openxmlformats.org/officeDocument/2006/relationships/hyperlink" Target="http://www.nevo.co.il/law/70301/34i.b" TargetMode="External"/><Relationship Id="rId33" Type="http://schemas.openxmlformats.org/officeDocument/2006/relationships/hyperlink" Target="http://www.nevo.co.il/case/6096785" TargetMode="External"/><Relationship Id="rId38" Type="http://schemas.openxmlformats.org/officeDocument/2006/relationships/hyperlink" Target="http://www.nevo.co.il/law/70301/34jd" TargetMode="External"/><Relationship Id="rId46" Type="http://schemas.openxmlformats.org/officeDocument/2006/relationships/hyperlink" Target="http://www.nevo.co.il/law/70301/186.a"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609450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jd" TargetMode="External"/><Relationship Id="rId23" Type="http://schemas.openxmlformats.org/officeDocument/2006/relationships/hyperlink" Target="http://www.nevo.co.il/law/70301/34i" TargetMode="External"/><Relationship Id="rId28" Type="http://schemas.openxmlformats.org/officeDocument/2006/relationships/hyperlink" Target="http://www.nevo.co.il/case/4334589" TargetMode="External"/><Relationship Id="rId36" Type="http://schemas.openxmlformats.org/officeDocument/2006/relationships/hyperlink" Target="http://www.nevo.co.il/law/70301/186.a"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3122</Words>
  <Characters>17801</Characters>
  <Application>Microsoft Office Word</Application>
  <DocSecurity>0</DocSecurity>
  <Lines>148</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20882</CharactersWithSpaces>
  <SharedDoc>false</SharedDoc>
  <HLinks>
    <vt:vector size="252" baseType="variant">
      <vt:variant>
        <vt:i4>4128893</vt:i4>
      </vt:variant>
      <vt:variant>
        <vt:i4>123</vt:i4>
      </vt:variant>
      <vt:variant>
        <vt:i4>0</vt:i4>
      </vt:variant>
      <vt:variant>
        <vt:i4>5</vt:i4>
      </vt:variant>
      <vt:variant>
        <vt:lpwstr>http://www.nevo.co.il/case/5831108</vt:lpwstr>
      </vt:variant>
      <vt:variant>
        <vt:lpwstr/>
      </vt:variant>
      <vt:variant>
        <vt:i4>3145848</vt:i4>
      </vt:variant>
      <vt:variant>
        <vt:i4>120</vt:i4>
      </vt:variant>
      <vt:variant>
        <vt:i4>0</vt:i4>
      </vt:variant>
      <vt:variant>
        <vt:i4>5</vt:i4>
      </vt:variant>
      <vt:variant>
        <vt:lpwstr>http://www.nevo.co.il/case/2854403</vt:lpwstr>
      </vt:variant>
      <vt:variant>
        <vt:lpwstr/>
      </vt:variant>
      <vt:variant>
        <vt:i4>4390994</vt:i4>
      </vt:variant>
      <vt:variant>
        <vt:i4>117</vt:i4>
      </vt:variant>
      <vt:variant>
        <vt:i4>0</vt:i4>
      </vt:variant>
      <vt:variant>
        <vt:i4>5</vt:i4>
      </vt:variant>
      <vt:variant>
        <vt:lpwstr>http://www.nevo.co.il/law/70301/186.a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6291553</vt:i4>
      </vt:variant>
      <vt:variant>
        <vt:i4>111</vt:i4>
      </vt:variant>
      <vt:variant>
        <vt:i4>0</vt:i4>
      </vt:variant>
      <vt:variant>
        <vt:i4>5</vt:i4>
      </vt:variant>
      <vt:variant>
        <vt:lpwstr>http://www.nevo.co.il/law/70301/452</vt:lpwstr>
      </vt:variant>
      <vt:variant>
        <vt:lpwstr/>
      </vt:variant>
      <vt:variant>
        <vt:i4>4390994</vt:i4>
      </vt:variant>
      <vt:variant>
        <vt:i4>108</vt:i4>
      </vt:variant>
      <vt:variant>
        <vt:i4>0</vt:i4>
      </vt:variant>
      <vt:variant>
        <vt:i4>5</vt:i4>
      </vt:variant>
      <vt:variant>
        <vt:lpwstr>http://www.nevo.co.il/law/70301/186.a</vt:lpwstr>
      </vt:variant>
      <vt:variant>
        <vt:lpwstr/>
      </vt:variant>
      <vt:variant>
        <vt:i4>6291553</vt:i4>
      </vt:variant>
      <vt:variant>
        <vt:i4>105</vt:i4>
      </vt:variant>
      <vt:variant>
        <vt:i4>0</vt:i4>
      </vt:variant>
      <vt:variant>
        <vt:i4>5</vt:i4>
      </vt:variant>
      <vt:variant>
        <vt:lpwstr>http://www.nevo.co.il/law/70301/452</vt:lpwstr>
      </vt:variant>
      <vt:variant>
        <vt:lpwstr/>
      </vt:variant>
      <vt:variant>
        <vt:i4>3670128</vt:i4>
      </vt:variant>
      <vt:variant>
        <vt:i4>102</vt:i4>
      </vt:variant>
      <vt:variant>
        <vt:i4>0</vt:i4>
      </vt:variant>
      <vt:variant>
        <vt:i4>5</vt:i4>
      </vt:variant>
      <vt:variant>
        <vt:lpwstr>http://www.nevo.co.il/case/6094502</vt:lpwstr>
      </vt:variant>
      <vt:variant>
        <vt:lpwstr/>
      </vt:variant>
      <vt:variant>
        <vt:i4>393228</vt:i4>
      </vt:variant>
      <vt:variant>
        <vt:i4>99</vt:i4>
      </vt:variant>
      <vt:variant>
        <vt:i4>0</vt:i4>
      </vt:variant>
      <vt:variant>
        <vt:i4>5</vt:i4>
      </vt:variant>
      <vt:variant>
        <vt:lpwstr>http://www.nevo.co.il/law/70301/34jg</vt:lpwstr>
      </vt:variant>
      <vt:variant>
        <vt:lpwstr/>
      </vt:variant>
      <vt:variant>
        <vt:i4>393228</vt:i4>
      </vt:variant>
      <vt:variant>
        <vt:i4>96</vt:i4>
      </vt:variant>
      <vt:variant>
        <vt:i4>0</vt:i4>
      </vt:variant>
      <vt:variant>
        <vt:i4>5</vt:i4>
      </vt:variant>
      <vt:variant>
        <vt:lpwstr>http://www.nevo.co.il/law/70301/34jg</vt:lpwstr>
      </vt:variant>
      <vt:variant>
        <vt:lpwstr/>
      </vt:variant>
      <vt:variant>
        <vt:i4>327692</vt:i4>
      </vt:variant>
      <vt:variant>
        <vt:i4>93</vt:i4>
      </vt:variant>
      <vt:variant>
        <vt:i4>0</vt:i4>
      </vt:variant>
      <vt:variant>
        <vt:i4>5</vt:i4>
      </vt:variant>
      <vt:variant>
        <vt:lpwstr>http://www.nevo.co.il/law/70301/34jd</vt:lpwstr>
      </vt:variant>
      <vt:variant>
        <vt:lpwstr/>
      </vt:variant>
      <vt:variant>
        <vt:i4>3670134</vt:i4>
      </vt:variant>
      <vt:variant>
        <vt:i4>90</vt:i4>
      </vt:variant>
      <vt:variant>
        <vt:i4>0</vt:i4>
      </vt:variant>
      <vt:variant>
        <vt:i4>5</vt:i4>
      </vt:variant>
      <vt:variant>
        <vt:lpwstr>http://www.nevo.co.il/case/6076841</vt:lpwstr>
      </vt:variant>
      <vt:variant>
        <vt:lpwstr/>
      </vt:variant>
      <vt:variant>
        <vt:i4>4390994</vt:i4>
      </vt:variant>
      <vt:variant>
        <vt:i4>87</vt:i4>
      </vt:variant>
      <vt:variant>
        <vt:i4>0</vt:i4>
      </vt:variant>
      <vt:variant>
        <vt:i4>5</vt:i4>
      </vt:variant>
      <vt:variant>
        <vt:lpwstr>http://www.nevo.co.il/law/70301/186.a</vt:lpwstr>
      </vt:variant>
      <vt:variant>
        <vt:lpwstr/>
      </vt:variant>
      <vt:variant>
        <vt:i4>3604592</vt:i4>
      </vt:variant>
      <vt:variant>
        <vt:i4>84</vt:i4>
      </vt:variant>
      <vt:variant>
        <vt:i4>0</vt:i4>
      </vt:variant>
      <vt:variant>
        <vt:i4>5</vt:i4>
      </vt:variant>
      <vt:variant>
        <vt:lpwstr>http://www.nevo.co.il/case/5670124</vt:lpwstr>
      </vt:variant>
      <vt:variant>
        <vt:lpwstr/>
      </vt:variant>
      <vt:variant>
        <vt:i4>3276925</vt:i4>
      </vt:variant>
      <vt:variant>
        <vt:i4>81</vt:i4>
      </vt:variant>
      <vt:variant>
        <vt:i4>0</vt:i4>
      </vt:variant>
      <vt:variant>
        <vt:i4>5</vt:i4>
      </vt:variant>
      <vt:variant>
        <vt:lpwstr>http://www.nevo.co.il/case/5808394</vt:lpwstr>
      </vt:variant>
      <vt:variant>
        <vt:lpwstr/>
      </vt:variant>
      <vt:variant>
        <vt:i4>3997818</vt:i4>
      </vt:variant>
      <vt:variant>
        <vt:i4>78</vt:i4>
      </vt:variant>
      <vt:variant>
        <vt:i4>0</vt:i4>
      </vt:variant>
      <vt:variant>
        <vt:i4>5</vt:i4>
      </vt:variant>
      <vt:variant>
        <vt:lpwstr>http://www.nevo.co.il/case/6096785</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6357094</vt:i4>
      </vt:variant>
      <vt:variant>
        <vt:i4>72</vt:i4>
      </vt:variant>
      <vt:variant>
        <vt:i4>0</vt:i4>
      </vt:variant>
      <vt:variant>
        <vt:i4>5</vt:i4>
      </vt:variant>
      <vt:variant>
        <vt:lpwstr>http://www.nevo.co.il/law/70301/348</vt:lpwstr>
      </vt:variant>
      <vt:variant>
        <vt:lpwstr/>
      </vt:variant>
      <vt:variant>
        <vt:i4>7143524</vt:i4>
      </vt:variant>
      <vt:variant>
        <vt:i4>69</vt:i4>
      </vt:variant>
      <vt:variant>
        <vt:i4>0</vt:i4>
      </vt:variant>
      <vt:variant>
        <vt:i4>5</vt:i4>
      </vt:variant>
      <vt:variant>
        <vt:lpwstr>http://www.nevo.co.il/law/70301/186</vt:lpwstr>
      </vt:variant>
      <vt:variant>
        <vt:lpwstr/>
      </vt:variant>
      <vt:variant>
        <vt:i4>5177359</vt:i4>
      </vt:variant>
      <vt:variant>
        <vt:i4>66</vt:i4>
      </vt:variant>
      <vt:variant>
        <vt:i4>0</vt:i4>
      </vt:variant>
      <vt:variant>
        <vt:i4>5</vt:i4>
      </vt:variant>
      <vt:variant>
        <vt:lpwstr>http://www.nevo.co.il/law/70301/34i.b</vt:lpwstr>
      </vt:variant>
      <vt:variant>
        <vt:lpwstr/>
      </vt:variant>
      <vt:variant>
        <vt:i4>3866747</vt:i4>
      </vt:variant>
      <vt:variant>
        <vt:i4>63</vt:i4>
      </vt:variant>
      <vt:variant>
        <vt:i4>0</vt:i4>
      </vt:variant>
      <vt:variant>
        <vt:i4>5</vt:i4>
      </vt:variant>
      <vt:variant>
        <vt:lpwstr>http://www.nevo.co.il/case/4334589</vt:lpwstr>
      </vt:variant>
      <vt:variant>
        <vt:lpwstr/>
      </vt:variant>
      <vt:variant>
        <vt:i4>5177359</vt:i4>
      </vt:variant>
      <vt:variant>
        <vt:i4>60</vt:i4>
      </vt:variant>
      <vt:variant>
        <vt:i4>0</vt:i4>
      </vt:variant>
      <vt:variant>
        <vt:i4>5</vt:i4>
      </vt:variant>
      <vt:variant>
        <vt:lpwstr>http://www.nevo.co.il/law/70301/34i.c</vt:lpwstr>
      </vt:variant>
      <vt:variant>
        <vt:lpwstr/>
      </vt:variant>
      <vt:variant>
        <vt:i4>5177359</vt:i4>
      </vt:variant>
      <vt:variant>
        <vt:i4>57</vt:i4>
      </vt:variant>
      <vt:variant>
        <vt:i4>0</vt:i4>
      </vt:variant>
      <vt:variant>
        <vt:i4>5</vt:i4>
      </vt:variant>
      <vt:variant>
        <vt:lpwstr>http://www.nevo.co.il/law/70301/34i.b</vt:lpwstr>
      </vt:variant>
      <vt:variant>
        <vt:lpwstr/>
      </vt:variant>
      <vt:variant>
        <vt:i4>5177359</vt:i4>
      </vt:variant>
      <vt:variant>
        <vt:i4>54</vt:i4>
      </vt:variant>
      <vt:variant>
        <vt:i4>0</vt:i4>
      </vt:variant>
      <vt:variant>
        <vt:i4>5</vt:i4>
      </vt:variant>
      <vt:variant>
        <vt:lpwstr>http://www.nevo.co.il/law/70301/34i.b</vt:lpwstr>
      </vt:variant>
      <vt:variant>
        <vt:lpwstr/>
      </vt:variant>
      <vt:variant>
        <vt:i4>327692</vt:i4>
      </vt:variant>
      <vt:variant>
        <vt:i4>51</vt:i4>
      </vt:variant>
      <vt:variant>
        <vt:i4>0</vt:i4>
      </vt:variant>
      <vt:variant>
        <vt:i4>5</vt:i4>
      </vt:variant>
      <vt:variant>
        <vt:lpwstr>http://www.nevo.co.il/law/70301/34jd</vt:lpwstr>
      </vt:variant>
      <vt:variant>
        <vt:lpwstr/>
      </vt:variant>
      <vt:variant>
        <vt:i4>6357094</vt:i4>
      </vt:variant>
      <vt:variant>
        <vt:i4>48</vt:i4>
      </vt:variant>
      <vt:variant>
        <vt:i4>0</vt:i4>
      </vt:variant>
      <vt:variant>
        <vt:i4>5</vt:i4>
      </vt:variant>
      <vt:variant>
        <vt:lpwstr>http://www.nevo.co.il/law/70301/34i</vt:lpwstr>
      </vt:variant>
      <vt:variant>
        <vt:lpwstr/>
      </vt:variant>
      <vt:variant>
        <vt:i4>4390994</vt:i4>
      </vt:variant>
      <vt:variant>
        <vt:i4>45</vt:i4>
      </vt:variant>
      <vt:variant>
        <vt:i4>0</vt:i4>
      </vt:variant>
      <vt:variant>
        <vt:i4>5</vt:i4>
      </vt:variant>
      <vt:variant>
        <vt:lpwstr>http://www.nevo.co.il/law/70301/186.a</vt:lpwstr>
      </vt:variant>
      <vt:variant>
        <vt:lpwstr/>
      </vt:variant>
      <vt:variant>
        <vt:i4>6291553</vt:i4>
      </vt:variant>
      <vt:variant>
        <vt:i4>42</vt:i4>
      </vt:variant>
      <vt:variant>
        <vt:i4>0</vt:i4>
      </vt:variant>
      <vt:variant>
        <vt:i4>5</vt:i4>
      </vt:variant>
      <vt:variant>
        <vt:lpwstr>http://www.nevo.co.il/law/70301/452</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393228</vt:i4>
      </vt:variant>
      <vt:variant>
        <vt:i4>36</vt:i4>
      </vt:variant>
      <vt:variant>
        <vt:i4>0</vt:i4>
      </vt:variant>
      <vt:variant>
        <vt:i4>5</vt:i4>
      </vt:variant>
      <vt:variant>
        <vt:lpwstr>http://www.nevo.co.il/law/70301/34jg</vt:lpwstr>
      </vt:variant>
      <vt:variant>
        <vt:lpwstr/>
      </vt:variant>
      <vt:variant>
        <vt:i4>3145848</vt:i4>
      </vt:variant>
      <vt:variant>
        <vt:i4>33</vt:i4>
      </vt:variant>
      <vt:variant>
        <vt:i4>0</vt:i4>
      </vt:variant>
      <vt:variant>
        <vt:i4>5</vt:i4>
      </vt:variant>
      <vt:variant>
        <vt:lpwstr>http://www.nevo.co.il/case/2854403</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393228</vt:i4>
      </vt:variant>
      <vt:variant>
        <vt:i4>27</vt:i4>
      </vt:variant>
      <vt:variant>
        <vt:i4>0</vt:i4>
      </vt:variant>
      <vt:variant>
        <vt:i4>5</vt:i4>
      </vt:variant>
      <vt:variant>
        <vt:lpwstr>http://www.nevo.co.il/law/70301/34jg</vt:lpwstr>
      </vt:variant>
      <vt:variant>
        <vt:lpwstr/>
      </vt:variant>
      <vt:variant>
        <vt:i4>327692</vt:i4>
      </vt:variant>
      <vt:variant>
        <vt:i4>24</vt:i4>
      </vt:variant>
      <vt:variant>
        <vt:i4>0</vt:i4>
      </vt:variant>
      <vt:variant>
        <vt:i4>5</vt:i4>
      </vt:variant>
      <vt:variant>
        <vt:lpwstr>http://www.nevo.co.il/law/70301/34jd</vt:lpwstr>
      </vt:variant>
      <vt:variant>
        <vt:lpwstr/>
      </vt:variant>
      <vt:variant>
        <vt:i4>6357094</vt:i4>
      </vt:variant>
      <vt:variant>
        <vt:i4>21</vt:i4>
      </vt:variant>
      <vt:variant>
        <vt:i4>0</vt:i4>
      </vt:variant>
      <vt:variant>
        <vt:i4>5</vt:i4>
      </vt:variant>
      <vt:variant>
        <vt:lpwstr>http://www.nevo.co.il/law/70301/348</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5177359</vt:i4>
      </vt:variant>
      <vt:variant>
        <vt:i4>9</vt:i4>
      </vt:variant>
      <vt:variant>
        <vt:i4>0</vt:i4>
      </vt:variant>
      <vt:variant>
        <vt:i4>5</vt:i4>
      </vt:variant>
      <vt:variant>
        <vt:lpwstr>http://www.nevo.co.il/law/70301/34i.c</vt:lpwstr>
      </vt:variant>
      <vt:variant>
        <vt:lpwstr/>
      </vt:variant>
      <vt:variant>
        <vt:i4>5177359</vt:i4>
      </vt:variant>
      <vt:variant>
        <vt:i4>6</vt:i4>
      </vt:variant>
      <vt:variant>
        <vt:i4>0</vt:i4>
      </vt:variant>
      <vt:variant>
        <vt:i4>5</vt:i4>
      </vt:variant>
      <vt:variant>
        <vt:lpwstr>http://www.nevo.co.il/law/70301/34i.b</vt:lpwstr>
      </vt:variant>
      <vt:variant>
        <vt:lpwstr/>
      </vt:variant>
      <vt:variant>
        <vt:i4>6357094</vt:i4>
      </vt:variant>
      <vt:variant>
        <vt:i4>3</vt:i4>
      </vt:variant>
      <vt:variant>
        <vt:i4>0</vt:i4>
      </vt:variant>
      <vt:variant>
        <vt:i4>5</vt:i4>
      </vt:variant>
      <vt:variant>
        <vt:lpwstr>http://www.nevo.co.il/law/70301/34i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2022-05-24T10:38:00Z</dcterms:created>
  <dcterms:modified xsi:type="dcterms:W3CDTF">2022-05-24T10:38:00Z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6741</vt:lpwstr>
  </property>
  <property fmtid="{D5CDD505-2E9C-101B-9397-08002B2CF9AE}" pid="6" name="NEWPARTB">
    <vt:lpwstr>03</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אנטולי צבישב</vt:lpwstr>
  </property>
  <property fmtid="{D5CDD505-2E9C-101B-9397-08002B2CF9AE}" pid="10" name="LAWYER">
    <vt:lpwstr>איציק אמיר;פרחובניק (ס. ציבורית)</vt:lpwstr>
  </property>
  <property fmtid="{D5CDD505-2E9C-101B-9397-08002B2CF9AE}" pid="11" name="JUDGE">
    <vt:lpwstr>יחיאל ליפשיץ</vt:lpwstr>
  </property>
  <property fmtid="{D5CDD505-2E9C-101B-9397-08002B2CF9AE}" pid="12" name="CITY">
    <vt:lpwstr>חי'</vt:lpwstr>
  </property>
  <property fmtid="{D5CDD505-2E9C-101B-9397-08002B2CF9AE}" pid="13" name="DATE">
    <vt:lpwstr>20110801</vt:lpwstr>
  </property>
  <property fmtid="{D5CDD505-2E9C-101B-9397-08002B2CF9AE}" pid="14" name="TYPE_N_DATE">
    <vt:lpwstr>38020110801</vt:lpwstr>
  </property>
  <property fmtid="{D5CDD505-2E9C-101B-9397-08002B2CF9AE}" pid="15" name="WORDNUMPAGES">
    <vt:lpwstr>10</vt:lpwstr>
  </property>
  <property fmtid="{D5CDD505-2E9C-101B-9397-08002B2CF9AE}" pid="16" name="TYPE_ABS_DATE">
    <vt:lpwstr>380020110801</vt:lpwstr>
  </property>
  <property fmtid="{D5CDD505-2E9C-101B-9397-08002B2CF9AE}" pid="17" name="ISABSTRACT">
    <vt:lpwstr>Y</vt:lpwstr>
  </property>
  <property fmtid="{D5CDD505-2E9C-101B-9397-08002B2CF9AE}" pid="18" name="CASESLISTTMP1">
    <vt:lpwstr>2854403:2;4334589;6096785;5808394;5670124;6076841;6094502;5831108</vt:lpwstr>
  </property>
  <property fmtid="{D5CDD505-2E9C-101B-9397-08002B2CF9AE}" pid="19" name="CASENOTES1">
    <vt:lpwstr>ProcID=213&amp;PartA=2200&amp;PartC=05</vt:lpwstr>
  </property>
  <property fmtid="{D5CDD505-2E9C-101B-9397-08002B2CF9AE}" pid="20" name="LAWLISTTMP1">
    <vt:lpwstr>70301/34jg:3;452:3;186.a:4;034i;34jd:2;034i.b:3;034i.c;186;348;192</vt:lpwstr>
  </property>
</Properties>
</file>