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851A53" w:rsidRPr="00B65784" w14:paraId="35880B3C" w14:textId="77777777">
        <w:trPr>
          <w:trHeight w:hRule="exact" w:val="418"/>
          <w:jc w:val="center"/>
        </w:trPr>
        <w:tc>
          <w:tcPr>
            <w:tcW w:w="8720" w:type="dxa"/>
            <w:gridSpan w:val="3"/>
          </w:tcPr>
          <w:p w14:paraId="24FA6882" w14:textId="77777777" w:rsidR="00851A53" w:rsidRPr="00B65784" w:rsidRDefault="00B65784">
            <w:pPr>
              <w:pStyle w:val="Header"/>
              <w:tabs>
                <w:tab w:val="clear" w:pos="8306"/>
              </w:tabs>
              <w:jc w:val="center"/>
              <w:rPr>
                <w:rFonts w:ascii="Tahoma" w:hAnsi="Tahoma" w:cs="Tahoma"/>
                <w:b/>
                <w:bCs/>
                <w:color w:val="000080"/>
                <w:sz w:val="20"/>
                <w:szCs w:val="20"/>
                <w:rtl/>
              </w:rPr>
            </w:pPr>
            <w:r w:rsidRPr="00B65784">
              <w:rPr>
                <w:rFonts w:ascii="Tahoma" w:hAnsi="Tahoma" w:cs="Tahoma"/>
                <w:b/>
                <w:bCs/>
                <w:color w:val="000080"/>
                <w:sz w:val="20"/>
                <w:szCs w:val="20"/>
                <w:rtl/>
              </w:rPr>
              <w:t>בית משפט השלום ברחובות</w:t>
            </w:r>
          </w:p>
        </w:tc>
      </w:tr>
      <w:tr w:rsidR="00851A53" w:rsidRPr="00B65784" w14:paraId="313DA6C2" w14:textId="77777777">
        <w:trPr>
          <w:trHeight w:val="337"/>
          <w:jc w:val="center"/>
        </w:trPr>
        <w:tc>
          <w:tcPr>
            <w:tcW w:w="3973" w:type="dxa"/>
          </w:tcPr>
          <w:p w14:paraId="3F23C5A1" w14:textId="77777777" w:rsidR="00851A53" w:rsidRPr="00B65784" w:rsidRDefault="00B65784">
            <w:pPr>
              <w:rPr>
                <w:b/>
                <w:bCs/>
                <w:sz w:val="26"/>
                <w:szCs w:val="26"/>
                <w:rtl/>
              </w:rPr>
            </w:pPr>
            <w:r w:rsidRPr="00B65784">
              <w:rPr>
                <w:b/>
                <w:bCs/>
                <w:sz w:val="26"/>
                <w:szCs w:val="26"/>
                <w:rtl/>
              </w:rPr>
              <w:t>ת"פ</w:t>
            </w:r>
            <w:r w:rsidRPr="00B65784">
              <w:rPr>
                <w:rFonts w:hint="cs"/>
                <w:b/>
                <w:bCs/>
                <w:sz w:val="26"/>
                <w:szCs w:val="26"/>
                <w:rtl/>
              </w:rPr>
              <w:t xml:space="preserve"> </w:t>
            </w:r>
            <w:r w:rsidRPr="00B65784">
              <w:rPr>
                <w:b/>
                <w:bCs/>
                <w:sz w:val="26"/>
                <w:szCs w:val="26"/>
                <w:rtl/>
              </w:rPr>
              <w:t>47295-08-10</w:t>
            </w:r>
            <w:r w:rsidRPr="00B65784">
              <w:rPr>
                <w:rFonts w:hint="cs"/>
                <w:b/>
                <w:bCs/>
                <w:sz w:val="26"/>
                <w:szCs w:val="26"/>
                <w:rtl/>
              </w:rPr>
              <w:t xml:space="preserve"> </w:t>
            </w:r>
            <w:r w:rsidRPr="00B65784">
              <w:rPr>
                <w:b/>
                <w:bCs/>
                <w:sz w:val="26"/>
                <w:szCs w:val="26"/>
                <w:rtl/>
              </w:rPr>
              <w:t>מדינת ישראל נ' חייט</w:t>
            </w:r>
          </w:p>
        </w:tc>
        <w:tc>
          <w:tcPr>
            <w:tcW w:w="1068" w:type="dxa"/>
          </w:tcPr>
          <w:p w14:paraId="5A617A3E" w14:textId="77777777" w:rsidR="00851A53" w:rsidRPr="00B65784" w:rsidRDefault="00851A53">
            <w:pPr>
              <w:pStyle w:val="Header"/>
              <w:jc w:val="right"/>
              <w:rPr>
                <w:b/>
                <w:bCs/>
                <w:sz w:val="26"/>
                <w:szCs w:val="26"/>
                <w:rtl/>
              </w:rPr>
            </w:pPr>
          </w:p>
        </w:tc>
        <w:tc>
          <w:tcPr>
            <w:tcW w:w="3679" w:type="dxa"/>
          </w:tcPr>
          <w:p w14:paraId="689B84AC" w14:textId="77777777" w:rsidR="00851A53" w:rsidRPr="00B65784" w:rsidRDefault="00B65784">
            <w:pPr>
              <w:pStyle w:val="Header"/>
              <w:tabs>
                <w:tab w:val="clear" w:pos="4153"/>
              </w:tabs>
              <w:jc w:val="right"/>
              <w:rPr>
                <w:b/>
                <w:bCs/>
                <w:sz w:val="26"/>
                <w:szCs w:val="26"/>
                <w:rtl/>
              </w:rPr>
            </w:pPr>
            <w:r w:rsidRPr="00B65784">
              <w:rPr>
                <w:b/>
                <w:bCs/>
                <w:sz w:val="26"/>
                <w:szCs w:val="26"/>
                <w:rtl/>
              </w:rPr>
              <w:t>17 אפריל 2011</w:t>
            </w:r>
          </w:p>
        </w:tc>
      </w:tr>
    </w:tbl>
    <w:p w14:paraId="25332603" w14:textId="77777777" w:rsidR="00851A53" w:rsidRPr="00B65784" w:rsidRDefault="00851A53">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851A53" w:rsidRPr="00B65784" w14:paraId="74B6C03B" w14:textId="77777777">
        <w:trPr>
          <w:trHeight w:val="337"/>
          <w:jc w:val="center"/>
        </w:trPr>
        <w:tc>
          <w:tcPr>
            <w:tcW w:w="1592" w:type="dxa"/>
          </w:tcPr>
          <w:p w14:paraId="36460A25" w14:textId="77777777" w:rsidR="00851A53" w:rsidRPr="00B65784" w:rsidRDefault="00B65784">
            <w:pPr>
              <w:pStyle w:val="Header"/>
              <w:spacing w:line="360" w:lineRule="auto"/>
              <w:jc w:val="both"/>
              <w:rPr>
                <w:b/>
                <w:bCs/>
                <w:rtl/>
              </w:rPr>
            </w:pPr>
            <w:r w:rsidRPr="00B65784">
              <w:rPr>
                <w:b/>
                <w:bCs/>
                <w:rtl/>
              </w:rPr>
              <w:t xml:space="preserve">   </w:t>
            </w:r>
          </w:p>
        </w:tc>
        <w:tc>
          <w:tcPr>
            <w:tcW w:w="7128" w:type="dxa"/>
          </w:tcPr>
          <w:p w14:paraId="38000B1A" w14:textId="77777777" w:rsidR="00851A53" w:rsidRPr="00B65784" w:rsidRDefault="00B65784">
            <w:pPr>
              <w:pStyle w:val="Header"/>
              <w:spacing w:line="360" w:lineRule="auto"/>
              <w:jc w:val="right"/>
              <w:rPr>
                <w:b/>
                <w:bCs/>
                <w:sz w:val="26"/>
                <w:szCs w:val="26"/>
                <w:rtl/>
              </w:rPr>
            </w:pPr>
            <w:r w:rsidRPr="00B65784">
              <w:rPr>
                <w:b/>
                <w:bCs/>
              </w:rPr>
              <w:t>47382-08-10</w:t>
            </w:r>
          </w:p>
        </w:tc>
      </w:tr>
    </w:tbl>
    <w:p w14:paraId="21F984D5" w14:textId="77777777" w:rsidR="00851A53" w:rsidRPr="00B65784" w:rsidRDefault="00851A5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851A53" w:rsidRPr="00B65784" w14:paraId="7A53204B" w14:textId="77777777">
        <w:trPr>
          <w:gridAfter w:val="1"/>
          <w:wAfter w:w="55" w:type="dxa"/>
        </w:trPr>
        <w:tc>
          <w:tcPr>
            <w:tcW w:w="8719" w:type="dxa"/>
            <w:gridSpan w:val="2"/>
            <w:shd w:val="clear" w:color="auto" w:fill="auto"/>
          </w:tcPr>
          <w:p w14:paraId="7C699A58" w14:textId="77777777" w:rsidR="00851A53" w:rsidRPr="00FB2EB7" w:rsidRDefault="00B65784" w:rsidP="00FB2EB7">
            <w:pPr>
              <w:spacing w:line="360" w:lineRule="auto"/>
              <w:jc w:val="both"/>
              <w:rPr>
                <w:rFonts w:ascii="Arial" w:hAnsi="Arial"/>
                <w:rtl/>
              </w:rPr>
            </w:pPr>
            <w:r w:rsidRPr="00FB2EB7">
              <w:rPr>
                <w:rFonts w:hint="cs"/>
                <w:b/>
                <w:bCs/>
                <w:sz w:val="26"/>
                <w:szCs w:val="26"/>
                <w:rtl/>
              </w:rPr>
              <w:t>בפני כבוד סגן הנשיאה, השופט ירון לוי</w:t>
            </w:r>
          </w:p>
        </w:tc>
      </w:tr>
      <w:tr w:rsidR="00851A53" w:rsidRPr="00B65784" w14:paraId="3B9CEAB1" w14:textId="77777777">
        <w:tc>
          <w:tcPr>
            <w:tcW w:w="2880" w:type="dxa"/>
            <w:shd w:val="clear" w:color="auto" w:fill="auto"/>
          </w:tcPr>
          <w:p w14:paraId="620AE70A" w14:textId="77777777" w:rsidR="00851A53" w:rsidRPr="00FB2EB7" w:rsidRDefault="00B65784" w:rsidP="00FB2EB7">
            <w:pPr>
              <w:spacing w:line="360" w:lineRule="auto"/>
              <w:ind w:left="26"/>
              <w:rPr>
                <w:b/>
                <w:bCs/>
                <w:sz w:val="26"/>
                <w:szCs w:val="26"/>
                <w:rtl/>
              </w:rPr>
            </w:pPr>
            <w:bookmarkStart w:id="0" w:name="FirstAppellant"/>
            <w:bookmarkStart w:id="1" w:name="FirstLawyer"/>
            <w:bookmarkStart w:id="2" w:name="LastJudge"/>
            <w:bookmarkEnd w:id="2"/>
            <w:r w:rsidRPr="00FB2EB7">
              <w:rPr>
                <w:rFonts w:hint="cs"/>
                <w:b/>
                <w:bCs/>
                <w:sz w:val="26"/>
                <w:szCs w:val="26"/>
                <w:rtl/>
              </w:rPr>
              <w:t>ה</w:t>
            </w:r>
            <w:r w:rsidRPr="00FB2EB7">
              <w:rPr>
                <w:b/>
                <w:bCs/>
                <w:sz w:val="26"/>
                <w:szCs w:val="26"/>
                <w:rtl/>
              </w:rPr>
              <w:t>מאשימה</w:t>
            </w:r>
          </w:p>
        </w:tc>
        <w:tc>
          <w:tcPr>
            <w:tcW w:w="5922" w:type="dxa"/>
            <w:gridSpan w:val="2"/>
            <w:shd w:val="clear" w:color="auto" w:fill="auto"/>
          </w:tcPr>
          <w:p w14:paraId="574E45F8" w14:textId="77777777" w:rsidR="00851A53" w:rsidRPr="00FB2EB7" w:rsidRDefault="00B65784" w:rsidP="00FB2EB7">
            <w:pPr>
              <w:spacing w:line="360" w:lineRule="auto"/>
              <w:rPr>
                <w:b/>
                <w:bCs/>
                <w:sz w:val="26"/>
                <w:szCs w:val="26"/>
                <w:rtl/>
              </w:rPr>
            </w:pPr>
            <w:r w:rsidRPr="00FB2EB7">
              <w:rPr>
                <w:rFonts w:hint="cs"/>
                <w:b/>
                <w:bCs/>
                <w:sz w:val="26"/>
                <w:szCs w:val="26"/>
                <w:rtl/>
              </w:rPr>
              <w:t xml:space="preserve"> </w:t>
            </w:r>
            <w:r w:rsidRPr="00FB2EB7">
              <w:rPr>
                <w:b/>
                <w:bCs/>
                <w:sz w:val="26"/>
                <w:szCs w:val="26"/>
                <w:rtl/>
              </w:rPr>
              <w:t>מדינת ישראל</w:t>
            </w:r>
          </w:p>
          <w:p w14:paraId="70DF250A" w14:textId="77777777" w:rsidR="00851A53" w:rsidRPr="00FB2EB7" w:rsidRDefault="00B65784" w:rsidP="00FB2EB7">
            <w:pPr>
              <w:spacing w:line="360" w:lineRule="auto"/>
              <w:rPr>
                <w:b/>
                <w:bCs/>
                <w:sz w:val="26"/>
                <w:szCs w:val="26"/>
                <w:rtl/>
              </w:rPr>
            </w:pPr>
            <w:r w:rsidRPr="00FB2EB7">
              <w:rPr>
                <w:rFonts w:hint="cs"/>
                <w:b/>
                <w:bCs/>
                <w:sz w:val="26"/>
                <w:szCs w:val="26"/>
                <w:rtl/>
              </w:rPr>
              <w:t>על ידי ב"כ עו"ד שלומית זכריה-ספיר</w:t>
            </w:r>
          </w:p>
        </w:tc>
      </w:tr>
      <w:bookmarkEnd w:id="0"/>
      <w:bookmarkEnd w:id="1"/>
      <w:tr w:rsidR="00851A53" w:rsidRPr="00B65784" w14:paraId="049BD90C" w14:textId="77777777">
        <w:tc>
          <w:tcPr>
            <w:tcW w:w="8802" w:type="dxa"/>
            <w:gridSpan w:val="3"/>
            <w:shd w:val="clear" w:color="auto" w:fill="auto"/>
          </w:tcPr>
          <w:p w14:paraId="0DE45E19" w14:textId="77777777" w:rsidR="00851A53" w:rsidRPr="00FB2EB7" w:rsidRDefault="00B65784" w:rsidP="00FB2EB7">
            <w:pPr>
              <w:spacing w:line="360" w:lineRule="auto"/>
              <w:jc w:val="center"/>
              <w:rPr>
                <w:rFonts w:ascii="Arial" w:hAnsi="Arial"/>
                <w:b/>
                <w:bCs/>
                <w:sz w:val="26"/>
                <w:szCs w:val="26"/>
                <w:rtl/>
              </w:rPr>
            </w:pPr>
            <w:r w:rsidRPr="00FB2EB7">
              <w:rPr>
                <w:rFonts w:ascii="Arial" w:hAnsi="Arial"/>
                <w:b/>
                <w:bCs/>
                <w:sz w:val="26"/>
                <w:szCs w:val="26"/>
                <w:rtl/>
              </w:rPr>
              <w:t>נגד</w:t>
            </w:r>
          </w:p>
          <w:p w14:paraId="0CFA97BD" w14:textId="77777777" w:rsidR="00851A53" w:rsidRPr="00FB2EB7" w:rsidRDefault="00851A53" w:rsidP="00FB2EB7">
            <w:pPr>
              <w:spacing w:line="360" w:lineRule="auto"/>
              <w:jc w:val="center"/>
              <w:rPr>
                <w:rFonts w:ascii="Arial" w:hAnsi="Arial"/>
                <w:b/>
                <w:bCs/>
                <w:sz w:val="26"/>
                <w:szCs w:val="26"/>
              </w:rPr>
            </w:pPr>
          </w:p>
        </w:tc>
      </w:tr>
      <w:tr w:rsidR="00851A53" w:rsidRPr="00B65784" w14:paraId="4D31556C" w14:textId="77777777">
        <w:tc>
          <w:tcPr>
            <w:tcW w:w="2880" w:type="dxa"/>
            <w:shd w:val="clear" w:color="auto" w:fill="auto"/>
          </w:tcPr>
          <w:p w14:paraId="69E25B5A" w14:textId="77777777" w:rsidR="00851A53" w:rsidRPr="00FB2EB7" w:rsidRDefault="00B65784" w:rsidP="00FB2EB7">
            <w:pPr>
              <w:spacing w:line="360" w:lineRule="auto"/>
              <w:ind w:left="26"/>
              <w:rPr>
                <w:b/>
                <w:bCs/>
                <w:sz w:val="26"/>
                <w:szCs w:val="26"/>
                <w:rtl/>
              </w:rPr>
            </w:pPr>
            <w:r w:rsidRPr="00FB2EB7">
              <w:rPr>
                <w:rFonts w:hint="cs"/>
                <w:b/>
                <w:bCs/>
                <w:sz w:val="26"/>
                <w:szCs w:val="26"/>
                <w:rtl/>
              </w:rPr>
              <w:t>ה</w:t>
            </w:r>
            <w:r w:rsidRPr="00FB2EB7">
              <w:rPr>
                <w:b/>
                <w:bCs/>
                <w:sz w:val="26"/>
                <w:szCs w:val="26"/>
                <w:rtl/>
              </w:rPr>
              <w:t>נאשם</w:t>
            </w:r>
          </w:p>
        </w:tc>
        <w:tc>
          <w:tcPr>
            <w:tcW w:w="5922" w:type="dxa"/>
            <w:gridSpan w:val="2"/>
            <w:shd w:val="clear" w:color="auto" w:fill="auto"/>
          </w:tcPr>
          <w:p w14:paraId="2BD77C2A" w14:textId="77777777" w:rsidR="00851A53" w:rsidRPr="00FB2EB7" w:rsidRDefault="00B65784" w:rsidP="00FB2EB7">
            <w:pPr>
              <w:spacing w:line="360" w:lineRule="auto"/>
              <w:rPr>
                <w:b/>
                <w:bCs/>
                <w:sz w:val="26"/>
                <w:szCs w:val="26"/>
                <w:rtl/>
              </w:rPr>
            </w:pPr>
            <w:r w:rsidRPr="00FB2EB7">
              <w:rPr>
                <w:b/>
                <w:bCs/>
                <w:sz w:val="26"/>
                <w:szCs w:val="26"/>
                <w:rtl/>
              </w:rPr>
              <w:t>יהודה חייט</w:t>
            </w:r>
          </w:p>
          <w:p w14:paraId="04C32364" w14:textId="77777777" w:rsidR="00851A53" w:rsidRPr="00FB2EB7" w:rsidRDefault="00B65784" w:rsidP="00FB2EB7">
            <w:pPr>
              <w:spacing w:line="360" w:lineRule="auto"/>
              <w:rPr>
                <w:b/>
                <w:bCs/>
                <w:sz w:val="26"/>
                <w:szCs w:val="26"/>
                <w:rtl/>
              </w:rPr>
            </w:pPr>
            <w:r w:rsidRPr="00FB2EB7">
              <w:rPr>
                <w:rFonts w:hint="cs"/>
                <w:b/>
                <w:bCs/>
                <w:sz w:val="26"/>
                <w:szCs w:val="26"/>
                <w:rtl/>
              </w:rPr>
              <w:t>על ידי ב"כ עו"ד ששי גז</w:t>
            </w:r>
          </w:p>
        </w:tc>
      </w:tr>
    </w:tbl>
    <w:p w14:paraId="78A6DC82" w14:textId="77777777" w:rsidR="00851A53" w:rsidRPr="00B65784" w:rsidRDefault="00B65784">
      <w:pPr>
        <w:pStyle w:val="12"/>
        <w:spacing w:line="360" w:lineRule="auto"/>
        <w:rPr>
          <w:u w:val="none"/>
          <w:rtl/>
        </w:rPr>
      </w:pPr>
      <w:r w:rsidRPr="00B65784">
        <w:rPr>
          <w:rFonts w:hint="cs"/>
          <w:u w:val="none"/>
          <w:rtl/>
        </w:rPr>
        <w:t>נוכחים:</w:t>
      </w:r>
    </w:p>
    <w:p w14:paraId="346663FC" w14:textId="77777777" w:rsidR="00851A53" w:rsidRPr="00B65784" w:rsidRDefault="00B65784">
      <w:pPr>
        <w:pStyle w:val="12"/>
        <w:spacing w:line="360" w:lineRule="auto"/>
        <w:rPr>
          <w:b w:val="0"/>
          <w:bCs w:val="0"/>
          <w:u w:val="none"/>
          <w:rtl/>
        </w:rPr>
      </w:pPr>
      <w:r w:rsidRPr="00B65784">
        <w:rPr>
          <w:rFonts w:hint="cs"/>
          <w:b w:val="0"/>
          <w:bCs w:val="0"/>
          <w:u w:val="none"/>
          <w:rtl/>
        </w:rPr>
        <w:t>ב"כ המאשימה עו"ד הילה נישלי</w:t>
      </w:r>
    </w:p>
    <w:p w14:paraId="57167EA8" w14:textId="77777777" w:rsidR="00A25746" w:rsidRDefault="00B65784" w:rsidP="00A25746">
      <w:pPr>
        <w:pStyle w:val="12"/>
        <w:spacing w:line="360" w:lineRule="auto"/>
        <w:rPr>
          <w:b w:val="0"/>
          <w:bCs w:val="0"/>
          <w:u w:val="none"/>
          <w:rtl/>
        </w:rPr>
      </w:pPr>
      <w:r w:rsidRPr="00B65784">
        <w:rPr>
          <w:rFonts w:hint="cs"/>
          <w:b w:val="0"/>
          <w:bCs w:val="0"/>
          <w:u w:val="none"/>
          <w:rtl/>
        </w:rPr>
        <w:t>הנאשם בעצמו וב"כ עו"ד רועי לבי</w:t>
      </w:r>
      <w:bookmarkStart w:id="3" w:name="LawTable"/>
      <w:bookmarkEnd w:id="3"/>
    </w:p>
    <w:p w14:paraId="1505D125" w14:textId="77777777" w:rsidR="00A25746" w:rsidRPr="00A25746" w:rsidRDefault="00A25746" w:rsidP="00A25746">
      <w:pPr>
        <w:pStyle w:val="12"/>
        <w:spacing w:after="120" w:line="240" w:lineRule="exact"/>
        <w:ind w:left="283" w:hanging="283"/>
        <w:jc w:val="both"/>
        <w:rPr>
          <w:rFonts w:ascii="FrankRuehl" w:hAnsi="FrankRuehl" w:cs="FrankRuehl"/>
          <w:b w:val="0"/>
          <w:bCs w:val="0"/>
          <w:u w:val="none"/>
          <w:rtl/>
        </w:rPr>
      </w:pPr>
    </w:p>
    <w:p w14:paraId="1B353151" w14:textId="77777777" w:rsidR="00A25746" w:rsidRPr="00A25746" w:rsidRDefault="00A25746" w:rsidP="00A25746">
      <w:pPr>
        <w:pStyle w:val="12"/>
        <w:spacing w:after="120" w:line="240" w:lineRule="exact"/>
        <w:ind w:left="283" w:hanging="283"/>
        <w:jc w:val="both"/>
        <w:rPr>
          <w:rFonts w:ascii="FrankRuehl" w:hAnsi="FrankRuehl" w:cs="FrankRuehl"/>
          <w:b w:val="0"/>
          <w:bCs w:val="0"/>
          <w:u w:val="none"/>
          <w:rtl/>
        </w:rPr>
      </w:pPr>
      <w:r w:rsidRPr="00A25746">
        <w:rPr>
          <w:rFonts w:ascii="FrankRuehl" w:hAnsi="FrankRuehl" w:cs="FrankRuehl"/>
          <w:b w:val="0"/>
          <w:bCs w:val="0"/>
          <w:u w:val="none"/>
          <w:rtl/>
        </w:rPr>
        <w:t xml:space="preserve">חקיקה שאוזכרה: </w:t>
      </w:r>
    </w:p>
    <w:p w14:paraId="62B19EBB" w14:textId="77777777" w:rsidR="00A25746" w:rsidRPr="00A25746" w:rsidRDefault="00A25746" w:rsidP="00A25746">
      <w:pPr>
        <w:pStyle w:val="12"/>
        <w:spacing w:after="120" w:line="240" w:lineRule="exact"/>
        <w:ind w:left="283" w:hanging="283"/>
        <w:jc w:val="both"/>
        <w:rPr>
          <w:rFonts w:ascii="FrankRuehl" w:hAnsi="FrankRuehl" w:cs="FrankRuehl"/>
          <w:b w:val="0"/>
          <w:bCs w:val="0"/>
          <w:u w:val="none"/>
          <w:rtl/>
        </w:rPr>
      </w:pPr>
      <w:hyperlink r:id="rId6" w:history="1">
        <w:r w:rsidRPr="00A25746">
          <w:rPr>
            <w:rFonts w:ascii="FrankRuehl" w:hAnsi="FrankRuehl" w:cs="FrankRuehl"/>
            <w:b w:val="0"/>
            <w:bCs w:val="0"/>
            <w:color w:val="0000FF"/>
            <w:rtl/>
          </w:rPr>
          <w:t>חוק העונשין, תשל"ז-1977</w:t>
        </w:r>
      </w:hyperlink>
      <w:r w:rsidRPr="00A25746">
        <w:rPr>
          <w:rFonts w:ascii="FrankRuehl" w:hAnsi="FrankRuehl" w:cs="FrankRuehl"/>
          <w:b w:val="0"/>
          <w:bCs w:val="0"/>
          <w:u w:val="none"/>
          <w:rtl/>
        </w:rPr>
        <w:t xml:space="preserve">: סע'  </w:t>
      </w:r>
      <w:hyperlink r:id="rId7" w:history="1">
        <w:r w:rsidRPr="00A25746">
          <w:rPr>
            <w:rFonts w:ascii="FrankRuehl" w:hAnsi="FrankRuehl" w:cs="FrankRuehl"/>
            <w:b w:val="0"/>
            <w:bCs w:val="0"/>
            <w:color w:val="0000FF"/>
            <w:rtl/>
          </w:rPr>
          <w:t>348(ג)</w:t>
        </w:r>
      </w:hyperlink>
      <w:r w:rsidRPr="00A25746">
        <w:rPr>
          <w:rFonts w:ascii="FrankRuehl" w:hAnsi="FrankRuehl" w:cs="FrankRuehl"/>
          <w:b w:val="0"/>
          <w:bCs w:val="0"/>
          <w:u w:val="none"/>
          <w:rtl/>
        </w:rPr>
        <w:t xml:space="preserve">, </w:t>
      </w:r>
      <w:hyperlink r:id="rId8" w:history="1">
        <w:r w:rsidRPr="00A25746">
          <w:rPr>
            <w:rFonts w:ascii="FrankRuehl" w:hAnsi="FrankRuehl" w:cs="FrankRuehl"/>
            <w:b w:val="0"/>
            <w:bCs w:val="0"/>
            <w:color w:val="0000FF"/>
            <w:rtl/>
          </w:rPr>
          <w:t>לפרק י'</w:t>
        </w:r>
      </w:hyperlink>
    </w:p>
    <w:p w14:paraId="53234F83" w14:textId="77777777" w:rsidR="00A25746" w:rsidRPr="00A25746" w:rsidRDefault="00A25746" w:rsidP="00A25746">
      <w:pPr>
        <w:pStyle w:val="12"/>
        <w:spacing w:after="120" w:line="240" w:lineRule="exact"/>
        <w:ind w:left="283" w:hanging="283"/>
        <w:jc w:val="both"/>
        <w:rPr>
          <w:rFonts w:ascii="FrankRuehl" w:hAnsi="FrankRuehl" w:cs="FrankRuehl"/>
          <w:b w:val="0"/>
          <w:bCs w:val="0"/>
          <w:u w:val="none"/>
          <w:rtl/>
        </w:rPr>
      </w:pPr>
      <w:hyperlink r:id="rId9" w:history="1">
        <w:r w:rsidRPr="00A25746">
          <w:rPr>
            <w:rFonts w:ascii="FrankRuehl" w:hAnsi="FrankRuehl" w:cs="FrankRuehl"/>
            <w:b w:val="0"/>
            <w:bCs w:val="0"/>
            <w:color w:val="0000FF"/>
            <w:rtl/>
          </w:rPr>
          <w:t>חוק למניעת הטרדה מינית, תשנ"ח-1998</w:t>
        </w:r>
      </w:hyperlink>
    </w:p>
    <w:p w14:paraId="0CAE3DCB" w14:textId="77777777" w:rsidR="00A25746" w:rsidRPr="00A25746" w:rsidRDefault="00A25746" w:rsidP="00A25746">
      <w:pPr>
        <w:pStyle w:val="12"/>
        <w:spacing w:after="120" w:line="240" w:lineRule="exact"/>
        <w:ind w:left="283" w:hanging="283"/>
        <w:jc w:val="both"/>
        <w:rPr>
          <w:rFonts w:ascii="FrankRuehl" w:hAnsi="FrankRuehl" w:cs="FrankRuehl"/>
          <w:b w:val="0"/>
          <w:bCs w:val="0"/>
          <w:u w:val="none"/>
          <w:rtl/>
        </w:rPr>
      </w:pPr>
    </w:p>
    <w:p w14:paraId="13854920" w14:textId="77777777" w:rsidR="00A25746" w:rsidRPr="00A25746" w:rsidRDefault="00A25746" w:rsidP="00A25746">
      <w:pPr>
        <w:pStyle w:val="12"/>
        <w:spacing w:line="360" w:lineRule="auto"/>
        <w:rPr>
          <w:b w:val="0"/>
          <w:bCs w:val="0"/>
          <w:u w:val="none"/>
          <w:rtl/>
        </w:rPr>
      </w:pPr>
      <w:bookmarkStart w:id="4" w:name="LawTable_End"/>
      <w:bookmarkEnd w:id="4"/>
    </w:p>
    <w:p w14:paraId="7B5302D3" w14:textId="77777777" w:rsidR="001F7802" w:rsidRPr="001F7802" w:rsidRDefault="001F7802">
      <w:pPr>
        <w:pStyle w:val="12"/>
        <w:spacing w:line="360" w:lineRule="auto"/>
        <w:rPr>
          <w:b w:val="0"/>
          <w:bCs w:val="0"/>
          <w:u w:val="none"/>
          <w:rtl/>
        </w:rPr>
      </w:pPr>
    </w:p>
    <w:p w14:paraId="3AA04D51" w14:textId="77777777" w:rsidR="001F7802" w:rsidRPr="001F7802" w:rsidRDefault="001F7802">
      <w:pPr>
        <w:pStyle w:val="12"/>
        <w:spacing w:line="360" w:lineRule="auto"/>
        <w:rPr>
          <w:b w:val="0"/>
          <w:bCs w:val="0"/>
          <w:u w:val="none"/>
          <w:rtl/>
        </w:rPr>
      </w:pPr>
    </w:p>
    <w:p w14:paraId="32C2EF39" w14:textId="77777777" w:rsidR="00851A53" w:rsidRPr="001F7802" w:rsidRDefault="00851A53">
      <w:pPr>
        <w:pStyle w:val="12"/>
        <w:spacing w:line="360" w:lineRule="auto"/>
        <w:rPr>
          <w:b w:val="0"/>
          <w:bCs w:val="0"/>
          <w:u w:val="none"/>
          <w:rtl/>
        </w:rPr>
      </w:pPr>
    </w:p>
    <w:p w14:paraId="7B602C87" w14:textId="77777777" w:rsidR="00B65784" w:rsidRPr="00B65784" w:rsidRDefault="00B65784" w:rsidP="00B65784">
      <w:pPr>
        <w:spacing w:line="360" w:lineRule="auto"/>
        <w:ind w:firstLine="720"/>
        <w:jc w:val="center"/>
        <w:rPr>
          <w:rFonts w:ascii="Arial" w:hAnsi="Arial"/>
          <w:b/>
          <w:bCs/>
          <w:sz w:val="28"/>
          <w:szCs w:val="28"/>
          <w:u w:val="single"/>
          <w:rtl/>
        </w:rPr>
      </w:pPr>
      <w:bookmarkStart w:id="5" w:name="PsakDin"/>
      <w:r w:rsidRPr="00B65784">
        <w:rPr>
          <w:rFonts w:ascii="Arial" w:hAnsi="Arial"/>
          <w:b/>
          <w:bCs/>
          <w:sz w:val="28"/>
          <w:szCs w:val="28"/>
          <w:u w:val="single"/>
          <w:rtl/>
        </w:rPr>
        <w:t>הכרעת דין</w:t>
      </w:r>
    </w:p>
    <w:bookmarkEnd w:id="5"/>
    <w:p w14:paraId="33993A8B" w14:textId="77777777" w:rsidR="00851A53" w:rsidRDefault="00B65784">
      <w:pPr>
        <w:spacing w:line="360" w:lineRule="auto"/>
        <w:ind w:firstLine="720"/>
        <w:jc w:val="both"/>
        <w:rPr>
          <w:b/>
          <w:bCs/>
          <w:sz w:val="28"/>
          <w:szCs w:val="28"/>
          <w:u w:val="single"/>
          <w:rtl/>
        </w:rPr>
      </w:pPr>
      <w:r>
        <w:rPr>
          <w:rFonts w:hint="cs"/>
          <w:b/>
          <w:bCs/>
          <w:sz w:val="28"/>
          <w:szCs w:val="28"/>
          <w:u w:val="single"/>
          <w:rtl/>
        </w:rPr>
        <w:t>כתב האישום</w:t>
      </w:r>
    </w:p>
    <w:p w14:paraId="1867B7F2" w14:textId="77777777" w:rsidR="00851A53" w:rsidRDefault="00B65784">
      <w:pPr>
        <w:spacing w:line="360" w:lineRule="auto"/>
        <w:ind w:left="720" w:hanging="720"/>
        <w:jc w:val="both"/>
        <w:rPr>
          <w:rtl/>
        </w:rPr>
      </w:pPr>
      <w:r>
        <w:rPr>
          <w:rFonts w:hint="cs"/>
          <w:rtl/>
        </w:rPr>
        <w:t>1.</w:t>
      </w:r>
      <w:r>
        <w:rPr>
          <w:rFonts w:hint="cs"/>
          <w:rtl/>
        </w:rPr>
        <w:tab/>
        <w:t xml:space="preserve">הנאשם, נהג אוטובוס ("אגד"). במהלך נסיעה, בהיות המתלוננת נוסעת יחידה באוטובוס, ולאחר שביקשה מהנאשם להסביר לה היכן מצויה תחנת האוטובוס הבאה, אחז הנאשם בידה של המתלוננת, קרבה לעברו ונשק, פעמיים, על צווארה. </w:t>
      </w:r>
    </w:p>
    <w:p w14:paraId="5E088366" w14:textId="77777777" w:rsidR="00851A53" w:rsidRDefault="00851A53">
      <w:pPr>
        <w:spacing w:line="360" w:lineRule="auto"/>
        <w:jc w:val="both"/>
        <w:rPr>
          <w:rtl/>
        </w:rPr>
      </w:pPr>
    </w:p>
    <w:p w14:paraId="07A5BAA6" w14:textId="77777777" w:rsidR="00851A53" w:rsidRDefault="00B65784">
      <w:pPr>
        <w:spacing w:line="360" w:lineRule="auto"/>
        <w:ind w:left="720" w:hanging="720"/>
        <w:jc w:val="both"/>
        <w:rPr>
          <w:rtl/>
        </w:rPr>
      </w:pPr>
      <w:r>
        <w:rPr>
          <w:rFonts w:hint="cs"/>
          <w:rtl/>
        </w:rPr>
        <w:t>2.</w:t>
      </w:r>
      <w:r>
        <w:rPr>
          <w:rFonts w:hint="cs"/>
          <w:rtl/>
        </w:rPr>
        <w:tab/>
      </w:r>
      <w:bookmarkStart w:id="6" w:name="ABSTRACT_START"/>
      <w:bookmarkEnd w:id="6"/>
      <w:r>
        <w:rPr>
          <w:rFonts w:hint="cs"/>
          <w:rtl/>
        </w:rPr>
        <w:t xml:space="preserve">הנאשם הודה במסגרת הסדר דיוני, בכתב אישום מתוקן, בעובדות המתוארות, בעבירה של </w:t>
      </w:r>
      <w:r>
        <w:rPr>
          <w:rFonts w:hint="cs"/>
          <w:b/>
          <w:bCs/>
          <w:rtl/>
        </w:rPr>
        <w:t>מעשה מגונה</w:t>
      </w:r>
      <w:r>
        <w:rPr>
          <w:rFonts w:hint="cs"/>
          <w:rtl/>
        </w:rPr>
        <w:t xml:space="preserve">, לפי </w:t>
      </w:r>
      <w:hyperlink r:id="rId10" w:history="1">
        <w:r w:rsidR="00A25746" w:rsidRPr="00A25746">
          <w:rPr>
            <w:color w:val="0000FF"/>
            <w:u w:val="single"/>
            <w:rtl/>
          </w:rPr>
          <w:t>סעיף 348(ג)</w:t>
        </w:r>
      </w:hyperlink>
      <w:r>
        <w:rPr>
          <w:rFonts w:hint="cs"/>
          <w:rtl/>
        </w:rPr>
        <w:t xml:space="preserve"> ל</w:t>
      </w:r>
      <w:hyperlink r:id="rId11" w:history="1">
        <w:r w:rsidR="001F7802" w:rsidRPr="001F7802">
          <w:rPr>
            <w:rStyle w:val="Hyperlink"/>
            <w:rtl/>
          </w:rPr>
          <w:t>חוק העונשין</w:t>
        </w:r>
      </w:hyperlink>
      <w:r>
        <w:rPr>
          <w:rFonts w:hint="cs"/>
          <w:rtl/>
        </w:rPr>
        <w:t xml:space="preserve">, התשל"ז-1977. </w:t>
      </w:r>
      <w:bookmarkStart w:id="7" w:name="ABSTRACT_END"/>
      <w:bookmarkEnd w:id="7"/>
    </w:p>
    <w:p w14:paraId="7BF61691" w14:textId="77777777" w:rsidR="00851A53" w:rsidRDefault="00851A53">
      <w:pPr>
        <w:spacing w:line="360" w:lineRule="auto"/>
        <w:ind w:left="720" w:hanging="720"/>
        <w:jc w:val="both"/>
        <w:rPr>
          <w:rtl/>
        </w:rPr>
      </w:pPr>
    </w:p>
    <w:p w14:paraId="2ACCB595" w14:textId="77777777" w:rsidR="00851A53" w:rsidRDefault="00B65784">
      <w:pPr>
        <w:spacing w:line="360" w:lineRule="auto"/>
        <w:ind w:left="720" w:hanging="720"/>
        <w:jc w:val="both"/>
        <w:rPr>
          <w:rtl/>
        </w:rPr>
      </w:pPr>
      <w:r>
        <w:rPr>
          <w:rFonts w:hint="cs"/>
          <w:rtl/>
        </w:rPr>
        <w:tab/>
        <w:t>לדברי התובעת, שלא נסתרו, האירוע התרחש בהיות האוטובוס באזור לא מיושב. בתגובה לשאלת המתלוננת, עצר הנאשם את האוטובוס, פתח את הדלת, קרב את המתלוננת לעברו, והצביע על התחנה.</w:t>
      </w:r>
    </w:p>
    <w:p w14:paraId="0A5EE72E" w14:textId="77777777" w:rsidR="00851A53" w:rsidRDefault="00851A53">
      <w:pPr>
        <w:spacing w:line="360" w:lineRule="auto"/>
        <w:ind w:left="720" w:hanging="720"/>
        <w:jc w:val="both"/>
        <w:rPr>
          <w:rtl/>
        </w:rPr>
      </w:pPr>
    </w:p>
    <w:p w14:paraId="75D77F36" w14:textId="77777777" w:rsidR="00851A53" w:rsidRDefault="00B65784">
      <w:pPr>
        <w:spacing w:line="360" w:lineRule="auto"/>
        <w:jc w:val="both"/>
        <w:rPr>
          <w:rtl/>
        </w:rPr>
      </w:pPr>
      <w:r>
        <w:rPr>
          <w:rFonts w:hint="cs"/>
          <w:rtl/>
        </w:rPr>
        <w:t>3.</w:t>
      </w:r>
      <w:r>
        <w:rPr>
          <w:rFonts w:hint="cs"/>
          <w:rtl/>
        </w:rPr>
        <w:tab/>
        <w:t>במסגרת ההסדר, הופנה הנאשם לקבלת תסקיר שירות המבחן.</w:t>
      </w:r>
    </w:p>
    <w:p w14:paraId="673840F6" w14:textId="77777777" w:rsidR="00851A53" w:rsidRDefault="00851A53">
      <w:pPr>
        <w:spacing w:line="360" w:lineRule="auto"/>
        <w:jc w:val="both"/>
        <w:rPr>
          <w:rtl/>
        </w:rPr>
      </w:pPr>
    </w:p>
    <w:p w14:paraId="7421116E" w14:textId="77777777" w:rsidR="00851A53" w:rsidRDefault="00851A53">
      <w:pPr>
        <w:spacing w:line="360" w:lineRule="auto"/>
        <w:jc w:val="both"/>
        <w:rPr>
          <w:rtl/>
        </w:rPr>
      </w:pPr>
    </w:p>
    <w:p w14:paraId="33A690AA" w14:textId="77777777" w:rsidR="00851A53" w:rsidRDefault="00851A53">
      <w:pPr>
        <w:spacing w:line="360" w:lineRule="auto"/>
        <w:jc w:val="both"/>
        <w:rPr>
          <w:rtl/>
        </w:rPr>
      </w:pPr>
    </w:p>
    <w:p w14:paraId="18088C39" w14:textId="77777777" w:rsidR="00851A53" w:rsidRDefault="00851A53">
      <w:pPr>
        <w:spacing w:line="360" w:lineRule="auto"/>
        <w:jc w:val="both"/>
        <w:rPr>
          <w:rtl/>
        </w:rPr>
      </w:pPr>
    </w:p>
    <w:p w14:paraId="1AF81E9B" w14:textId="77777777" w:rsidR="00851A53" w:rsidRDefault="00B65784">
      <w:pPr>
        <w:spacing w:line="360" w:lineRule="auto"/>
        <w:ind w:firstLine="720"/>
        <w:jc w:val="both"/>
        <w:rPr>
          <w:b/>
          <w:bCs/>
          <w:sz w:val="28"/>
          <w:szCs w:val="28"/>
          <w:u w:val="single"/>
          <w:rtl/>
        </w:rPr>
      </w:pPr>
      <w:r>
        <w:rPr>
          <w:rFonts w:hint="cs"/>
          <w:b/>
          <w:bCs/>
          <w:sz w:val="28"/>
          <w:szCs w:val="28"/>
          <w:u w:val="single"/>
          <w:rtl/>
        </w:rPr>
        <w:t>המחלוקת</w:t>
      </w:r>
    </w:p>
    <w:p w14:paraId="3BBAE71E" w14:textId="77777777" w:rsidR="00851A53" w:rsidRDefault="00B65784">
      <w:pPr>
        <w:spacing w:line="360" w:lineRule="auto"/>
        <w:jc w:val="both"/>
        <w:rPr>
          <w:rtl/>
        </w:rPr>
      </w:pPr>
      <w:r>
        <w:rPr>
          <w:rFonts w:hint="cs"/>
          <w:rtl/>
        </w:rPr>
        <w:t>4.</w:t>
      </w:r>
      <w:r>
        <w:rPr>
          <w:rFonts w:hint="cs"/>
          <w:rtl/>
        </w:rPr>
        <w:tab/>
        <w:t xml:space="preserve">המחלוקת בין הצדדים מתמקדת בשאלת אופן סיום ההליך. </w:t>
      </w:r>
    </w:p>
    <w:p w14:paraId="0C413654" w14:textId="77777777" w:rsidR="00851A53" w:rsidRDefault="00B65784">
      <w:pPr>
        <w:spacing w:line="360" w:lineRule="auto"/>
        <w:ind w:firstLine="720"/>
        <w:jc w:val="both"/>
        <w:rPr>
          <w:rtl/>
        </w:rPr>
      </w:pPr>
      <w:r>
        <w:rPr>
          <w:rFonts w:hint="cs"/>
          <w:rtl/>
        </w:rPr>
        <w:t xml:space="preserve">ההגנה ביקשה להורות על סיום ההליך בלא הרשעה, לצד צו מבחן. </w:t>
      </w:r>
    </w:p>
    <w:p w14:paraId="3CCDF27B" w14:textId="77777777" w:rsidR="00851A53" w:rsidRDefault="00B65784">
      <w:pPr>
        <w:tabs>
          <w:tab w:val="left" w:pos="1844"/>
        </w:tabs>
        <w:spacing w:line="360" w:lineRule="auto"/>
        <w:ind w:left="720"/>
        <w:jc w:val="both"/>
        <w:rPr>
          <w:rtl/>
        </w:rPr>
      </w:pPr>
      <w:r>
        <w:rPr>
          <w:rFonts w:hint="cs"/>
          <w:rtl/>
        </w:rPr>
        <w:t>התביעה עתרה להרשיע את הנאשם ולהשית עליו 6 חודשי מאסר שתיבחן אפשרות ריצויים בדרך של עבודות שירות, לצד מאסר מותנה, קנס, פיצוי למתלוננת וצו מבחן</w:t>
      </w:r>
    </w:p>
    <w:p w14:paraId="43DC3AD7" w14:textId="77777777" w:rsidR="00851A53" w:rsidRDefault="00851A53">
      <w:pPr>
        <w:spacing w:line="360" w:lineRule="auto"/>
        <w:jc w:val="both"/>
        <w:rPr>
          <w:rtl/>
        </w:rPr>
      </w:pPr>
    </w:p>
    <w:p w14:paraId="72CA21FE" w14:textId="77777777" w:rsidR="00851A53" w:rsidRDefault="00B65784">
      <w:pPr>
        <w:spacing w:line="360" w:lineRule="auto"/>
        <w:jc w:val="both"/>
        <w:rPr>
          <w:rtl/>
        </w:rPr>
      </w:pPr>
      <w:r>
        <w:rPr>
          <w:rFonts w:hint="cs"/>
          <w:rtl/>
        </w:rPr>
        <w:t>5.</w:t>
      </w:r>
      <w:r>
        <w:rPr>
          <w:rFonts w:hint="cs"/>
          <w:rtl/>
        </w:rPr>
        <w:tab/>
        <w:t>ההגנה נימקה עתירתה בטעמים הבאים:</w:t>
      </w:r>
    </w:p>
    <w:p w14:paraId="4F870FF3" w14:textId="77777777" w:rsidR="00851A53" w:rsidRDefault="00B65784">
      <w:pPr>
        <w:spacing w:line="360" w:lineRule="auto"/>
        <w:ind w:left="720"/>
        <w:jc w:val="both"/>
        <w:rPr>
          <w:rtl/>
        </w:rPr>
      </w:pPr>
      <w:r>
        <w:rPr>
          <w:rFonts w:hint="cs"/>
          <w:rtl/>
        </w:rPr>
        <w:t>עברו הנקי של הנאשם, על רקע גילו; הנזק שייגרם לנאשם אם יורשע, אובדן מקום עבודתו; נסיבות העבירה, שאינן ברף חומרה גבוה; הודאת הנאשם ונטילת האחריות המלאה על מעשיו.</w:t>
      </w:r>
    </w:p>
    <w:p w14:paraId="0B7BAEBA" w14:textId="77777777" w:rsidR="00851A53" w:rsidRDefault="00851A53">
      <w:pPr>
        <w:spacing w:line="360" w:lineRule="auto"/>
        <w:jc w:val="both"/>
        <w:rPr>
          <w:rtl/>
        </w:rPr>
      </w:pPr>
    </w:p>
    <w:p w14:paraId="22EADA0F" w14:textId="77777777" w:rsidR="00851A53" w:rsidRDefault="00B65784">
      <w:pPr>
        <w:spacing w:line="360" w:lineRule="auto"/>
        <w:ind w:left="720" w:hanging="720"/>
        <w:jc w:val="both"/>
        <w:rPr>
          <w:rtl/>
        </w:rPr>
      </w:pPr>
      <w:r>
        <w:rPr>
          <w:rFonts w:hint="cs"/>
          <w:rtl/>
        </w:rPr>
        <w:tab/>
        <w:t>מטעם ההגנה, הוגש מכתב מנהל סניף "אגד" ברחובות, שביקש את רחמי בית המשפט, וציין כי הנאשם עובד מסור, ללא כל בעיות משמעת (</w:t>
      </w:r>
      <w:r>
        <w:rPr>
          <w:rFonts w:hint="cs"/>
          <w:b/>
          <w:bCs/>
          <w:rtl/>
        </w:rPr>
        <w:t>נ/1</w:t>
      </w:r>
      <w:r>
        <w:rPr>
          <w:rFonts w:hint="cs"/>
          <w:rtl/>
        </w:rPr>
        <w:t>).</w:t>
      </w:r>
    </w:p>
    <w:p w14:paraId="26BC25AD" w14:textId="77777777" w:rsidR="00851A53" w:rsidRDefault="00851A53">
      <w:pPr>
        <w:spacing w:line="360" w:lineRule="auto"/>
        <w:jc w:val="both"/>
        <w:rPr>
          <w:rtl/>
        </w:rPr>
      </w:pPr>
    </w:p>
    <w:p w14:paraId="1AFE287B" w14:textId="77777777" w:rsidR="00851A53" w:rsidRDefault="00B65784">
      <w:pPr>
        <w:spacing w:line="360" w:lineRule="auto"/>
        <w:jc w:val="both"/>
        <w:rPr>
          <w:rtl/>
        </w:rPr>
      </w:pPr>
      <w:r>
        <w:rPr>
          <w:rFonts w:hint="cs"/>
          <w:rtl/>
        </w:rPr>
        <w:tab/>
        <w:t>בדברו האחרון, הביע הנאשם חרטה על מעשיו.</w:t>
      </w:r>
    </w:p>
    <w:p w14:paraId="2363A6DD" w14:textId="77777777" w:rsidR="00851A53" w:rsidRDefault="00851A53">
      <w:pPr>
        <w:spacing w:line="360" w:lineRule="auto"/>
        <w:ind w:left="720" w:hanging="720"/>
        <w:jc w:val="both"/>
        <w:rPr>
          <w:rtl/>
        </w:rPr>
      </w:pPr>
    </w:p>
    <w:p w14:paraId="41053E42" w14:textId="77777777" w:rsidR="00851A53" w:rsidRDefault="00B65784">
      <w:pPr>
        <w:spacing w:line="360" w:lineRule="auto"/>
        <w:ind w:left="720" w:hanging="720"/>
        <w:jc w:val="both"/>
        <w:rPr>
          <w:rtl/>
        </w:rPr>
      </w:pPr>
      <w:r>
        <w:rPr>
          <w:rFonts w:hint="cs"/>
          <w:rtl/>
        </w:rPr>
        <w:t>6.</w:t>
      </w:r>
      <w:r>
        <w:rPr>
          <w:rFonts w:hint="cs"/>
          <w:rtl/>
        </w:rPr>
        <w:tab/>
        <w:t>התביעה נימקה עמדתה בטעמים העיקריים הבאים:</w:t>
      </w:r>
    </w:p>
    <w:p w14:paraId="013238E1" w14:textId="77777777" w:rsidR="00851A53" w:rsidRDefault="00B65784">
      <w:pPr>
        <w:spacing w:line="360" w:lineRule="auto"/>
        <w:ind w:left="720"/>
        <w:jc w:val="both"/>
        <w:rPr>
          <w:rtl/>
        </w:rPr>
      </w:pPr>
      <w:r>
        <w:rPr>
          <w:rFonts w:hint="cs"/>
          <w:rtl/>
        </w:rPr>
        <w:t>ביצוע העבירה שעה שהנאשם שימש בתפקידו כנהג בתחבורה ציבורית; הצורך בהעברת מסר ברור ומרתיע; הפגיעה שנגרמה למתלוננת ונסיבות העבירה, עצירת הנאשם את האוטובוס, במקום לא מיושב, וכן פער הגילאים בין הנאשם לבין המתלוננת.</w:t>
      </w:r>
    </w:p>
    <w:p w14:paraId="7EBCCD7A" w14:textId="77777777" w:rsidR="00851A53" w:rsidRDefault="00B65784">
      <w:pPr>
        <w:spacing w:line="360" w:lineRule="auto"/>
        <w:ind w:left="720"/>
        <w:jc w:val="both"/>
        <w:rPr>
          <w:rtl/>
        </w:rPr>
      </w:pPr>
      <w:r>
        <w:rPr>
          <w:rFonts w:hint="cs"/>
          <w:rtl/>
        </w:rPr>
        <w:t xml:space="preserve">לדברי התובעת, לא התקבל תסקיר קרבן וכן המתלוננת, השייכת למגזר הדתי, לא פנתה לקבלת טיפול פסיכולוגי, על מנת שלא תתויג בחברתה. </w:t>
      </w:r>
    </w:p>
    <w:p w14:paraId="2C23B4F0" w14:textId="77777777" w:rsidR="00851A53" w:rsidRDefault="00B65784">
      <w:pPr>
        <w:spacing w:line="360" w:lineRule="auto"/>
        <w:ind w:left="720"/>
        <w:jc w:val="both"/>
        <w:rPr>
          <w:rtl/>
        </w:rPr>
      </w:pPr>
      <w:r>
        <w:rPr>
          <w:rFonts w:hint="cs"/>
          <w:rtl/>
        </w:rPr>
        <w:t>התביעה ציינה, כי מיתנה עתירתה, בשל עברו הנקי של הנאשם והתסקיר החיובי.</w:t>
      </w:r>
    </w:p>
    <w:p w14:paraId="70E124B1" w14:textId="77777777" w:rsidR="00851A53" w:rsidRDefault="00851A53">
      <w:pPr>
        <w:spacing w:line="360" w:lineRule="auto"/>
        <w:ind w:left="720"/>
        <w:jc w:val="both"/>
        <w:rPr>
          <w:rtl/>
        </w:rPr>
      </w:pPr>
    </w:p>
    <w:p w14:paraId="08497B69" w14:textId="77777777" w:rsidR="00851A53" w:rsidRDefault="00B65784">
      <w:pPr>
        <w:spacing w:line="360" w:lineRule="auto"/>
        <w:jc w:val="both"/>
        <w:rPr>
          <w:b/>
          <w:bCs/>
          <w:sz w:val="28"/>
          <w:szCs w:val="28"/>
          <w:u w:val="single"/>
          <w:rtl/>
        </w:rPr>
      </w:pPr>
      <w:r>
        <w:rPr>
          <w:rFonts w:hint="cs"/>
          <w:rtl/>
        </w:rPr>
        <w:tab/>
      </w:r>
      <w:r>
        <w:rPr>
          <w:rFonts w:hint="cs"/>
          <w:b/>
          <w:bCs/>
          <w:sz w:val="28"/>
          <w:szCs w:val="28"/>
          <w:u w:val="single"/>
          <w:rtl/>
        </w:rPr>
        <w:t>תסקיר שירות המבחן</w:t>
      </w:r>
    </w:p>
    <w:p w14:paraId="06102E36" w14:textId="77777777" w:rsidR="00851A53" w:rsidRDefault="00B65784">
      <w:pPr>
        <w:spacing w:line="360" w:lineRule="auto"/>
        <w:jc w:val="both"/>
        <w:rPr>
          <w:rtl/>
        </w:rPr>
      </w:pPr>
      <w:r>
        <w:rPr>
          <w:rFonts w:hint="cs"/>
          <w:rtl/>
        </w:rPr>
        <w:t>7.</w:t>
      </w:r>
      <w:r>
        <w:rPr>
          <w:rFonts w:hint="cs"/>
          <w:rtl/>
        </w:rPr>
        <w:tab/>
        <w:t>הנאשם, יליד 1960, גרוש ואב לשישה ילדים.</w:t>
      </w:r>
    </w:p>
    <w:p w14:paraId="35C97089" w14:textId="77777777" w:rsidR="00851A53" w:rsidRDefault="00B65784">
      <w:pPr>
        <w:spacing w:line="360" w:lineRule="auto"/>
        <w:ind w:left="720"/>
        <w:jc w:val="both"/>
        <w:rPr>
          <w:rtl/>
        </w:rPr>
      </w:pPr>
      <w:r>
        <w:rPr>
          <w:rFonts w:hint="cs"/>
          <w:rtl/>
        </w:rPr>
        <w:t>הנאשם תיאר קשרים מיניים שוויוניים לאורך חייו, עם בנות גילו, בהסכמה מלאה.</w:t>
      </w:r>
    </w:p>
    <w:p w14:paraId="0BEF03FA" w14:textId="77777777" w:rsidR="00851A53" w:rsidRDefault="00B65784">
      <w:pPr>
        <w:spacing w:line="360" w:lineRule="auto"/>
        <w:ind w:left="720"/>
        <w:jc w:val="both"/>
        <w:rPr>
          <w:rtl/>
        </w:rPr>
      </w:pPr>
      <w:r>
        <w:rPr>
          <w:rFonts w:hint="cs"/>
          <w:rtl/>
        </w:rPr>
        <w:t>הנאשם תיאר את המתלוננת כצעירה, והסביר שחשב שהיא כבת 24, גיל ילדיו הבוגרים, אך בדיעבד, התברר שהיא צעירה יותר.</w:t>
      </w:r>
    </w:p>
    <w:p w14:paraId="6B7836E1" w14:textId="77777777" w:rsidR="00851A53" w:rsidRDefault="00B65784">
      <w:pPr>
        <w:spacing w:line="360" w:lineRule="auto"/>
        <w:ind w:left="720"/>
        <w:jc w:val="both"/>
        <w:rPr>
          <w:rtl/>
        </w:rPr>
      </w:pPr>
      <w:r>
        <w:rPr>
          <w:rFonts w:hint="cs"/>
          <w:rtl/>
        </w:rPr>
        <w:lastRenderedPageBreak/>
        <w:t>הנאשם הסביר כי המתלוננת, נוסעת קבועה בקו האוטובוס, נהגה לשבת לצידו או במושב מאחוריו, ובמהלך הנסיעות נהגו להתלוצץ, והמתלוננת אף סיפרה לו על מקום עבודתה. בעבר אף הסיע הנאשם את המתלוננת ללא תשלום, כ"טרמפ".</w:t>
      </w:r>
    </w:p>
    <w:p w14:paraId="7DDE4441" w14:textId="77777777" w:rsidR="00851A53" w:rsidRDefault="00B65784">
      <w:pPr>
        <w:spacing w:line="360" w:lineRule="auto"/>
        <w:ind w:left="720"/>
        <w:jc w:val="both"/>
        <w:rPr>
          <w:rtl/>
        </w:rPr>
      </w:pPr>
      <w:r>
        <w:rPr>
          <w:rFonts w:hint="cs"/>
          <w:rtl/>
        </w:rPr>
        <w:t>השירות התרשם כי בקשרי הנאשם עם המתלוננת, היטשטשו הגבולות, והנאשם נתן פרשנות מעוותת להתנהגותה, ופעל מבלי לשקול משמעות והשלכות התנהגותו.</w:t>
      </w:r>
    </w:p>
    <w:p w14:paraId="52ED6ED1" w14:textId="77777777" w:rsidR="00851A53" w:rsidRDefault="00B65784">
      <w:pPr>
        <w:spacing w:line="360" w:lineRule="auto"/>
        <w:ind w:left="720"/>
        <w:jc w:val="both"/>
        <w:rPr>
          <w:rtl/>
        </w:rPr>
      </w:pPr>
      <w:r>
        <w:rPr>
          <w:rFonts w:hint="cs"/>
          <w:rtl/>
        </w:rPr>
        <w:t>הנאשם שלל תכנון מוקדם של העבירה והתקשה להסביר מה חלף בראשו.</w:t>
      </w:r>
    </w:p>
    <w:p w14:paraId="79C135D8" w14:textId="77777777" w:rsidR="00851A53" w:rsidRDefault="00B65784">
      <w:pPr>
        <w:spacing w:line="360" w:lineRule="auto"/>
        <w:ind w:left="720"/>
        <w:jc w:val="both"/>
        <w:rPr>
          <w:rtl/>
        </w:rPr>
      </w:pPr>
      <w:r>
        <w:rPr>
          <w:rFonts w:hint="cs"/>
          <w:rtl/>
        </w:rPr>
        <w:t>השירות התרשם מרמת סיכון נמוכה להישנות עבירת מין מצד הנאשם, וסבר כי הגורם למעשי הנאשם הוא קשייו ביצירת קשרים בין אישיים, ולא רמת דחפים מיניים גבוהה וחוסר שליטה.</w:t>
      </w:r>
    </w:p>
    <w:p w14:paraId="043B8B38" w14:textId="77777777" w:rsidR="00851A53" w:rsidRDefault="00851A53">
      <w:pPr>
        <w:spacing w:line="360" w:lineRule="auto"/>
        <w:ind w:left="720"/>
        <w:jc w:val="both"/>
        <w:rPr>
          <w:rtl/>
        </w:rPr>
      </w:pPr>
    </w:p>
    <w:p w14:paraId="7B589E9C" w14:textId="77777777" w:rsidR="00851A53" w:rsidRDefault="00B65784">
      <w:pPr>
        <w:spacing w:line="360" w:lineRule="auto"/>
        <w:ind w:left="720"/>
        <w:jc w:val="both"/>
        <w:rPr>
          <w:rtl/>
        </w:rPr>
      </w:pPr>
      <w:r>
        <w:rPr>
          <w:rFonts w:hint="cs"/>
          <w:rtl/>
        </w:rPr>
        <w:t>לאור כל האמור, המליץ השירות להימנע מהרשעת הנאשם לצד הטלת צו מבחן ופיצויים למתלוננת.</w:t>
      </w:r>
    </w:p>
    <w:p w14:paraId="11C9BA84" w14:textId="77777777" w:rsidR="00851A53" w:rsidRDefault="00851A53">
      <w:pPr>
        <w:spacing w:line="360" w:lineRule="auto"/>
        <w:jc w:val="both"/>
        <w:rPr>
          <w:rtl/>
        </w:rPr>
      </w:pPr>
    </w:p>
    <w:p w14:paraId="0305068A" w14:textId="77777777" w:rsidR="00851A53" w:rsidRDefault="00B65784">
      <w:pPr>
        <w:spacing w:line="360" w:lineRule="auto"/>
        <w:jc w:val="both"/>
        <w:rPr>
          <w:b/>
          <w:bCs/>
          <w:sz w:val="28"/>
          <w:szCs w:val="28"/>
          <w:u w:val="single"/>
          <w:rtl/>
        </w:rPr>
      </w:pPr>
      <w:r>
        <w:rPr>
          <w:rFonts w:hint="cs"/>
          <w:rtl/>
        </w:rPr>
        <w:tab/>
      </w:r>
      <w:r>
        <w:rPr>
          <w:rFonts w:hint="cs"/>
          <w:b/>
          <w:bCs/>
          <w:sz w:val="28"/>
          <w:szCs w:val="28"/>
          <w:u w:val="single"/>
          <w:rtl/>
        </w:rPr>
        <w:t>סיום ההליך בלא הרשעה - הכלל</w:t>
      </w:r>
    </w:p>
    <w:p w14:paraId="72D89287" w14:textId="77777777" w:rsidR="00851A53" w:rsidRDefault="00B65784">
      <w:pPr>
        <w:spacing w:line="360" w:lineRule="auto"/>
        <w:ind w:left="720" w:hanging="720"/>
        <w:jc w:val="both"/>
        <w:rPr>
          <w:rtl/>
        </w:rPr>
      </w:pPr>
      <w:r>
        <w:rPr>
          <w:rFonts w:hint="cs"/>
          <w:rtl/>
        </w:rPr>
        <w:t>8.</w:t>
      </w:r>
      <w:r>
        <w:rPr>
          <w:rFonts w:hint="cs"/>
          <w:rtl/>
        </w:rPr>
        <w:tab/>
        <w:t>הכלל הוא כי משהוכח ביצוע עבירה, יש להרשיע את הנאשם. סיום ההליך בלא הרשעה הוא החריג לכלל.</w:t>
      </w:r>
    </w:p>
    <w:p w14:paraId="797A404D" w14:textId="77777777" w:rsidR="00851A53" w:rsidRDefault="00B65784">
      <w:pPr>
        <w:spacing w:line="360" w:lineRule="auto"/>
        <w:ind w:left="720"/>
        <w:jc w:val="both"/>
        <w:rPr>
          <w:rtl/>
        </w:rPr>
      </w:pPr>
      <w:r>
        <w:rPr>
          <w:rFonts w:hint="cs"/>
          <w:rtl/>
        </w:rPr>
        <w:t xml:space="preserve">נקבע, כי הימנעות מהרשעה אפשרית בהצטבר שני גורמים: על ההרשעה לפגוע פגיעה חמורה בשיקום הנאשם וכן סוג העבירה מאפשר לוותר, בנסיבות המקרה המסוים, על ההרשעה, בלי לפגוע באופן מהותי בשיקולי הענישה האחרים (ראו </w:t>
      </w:r>
      <w:hyperlink r:id="rId12" w:history="1">
        <w:r w:rsidR="001F7802" w:rsidRPr="001F7802">
          <w:rPr>
            <w:rStyle w:val="Hyperlink"/>
            <w:rtl/>
          </w:rPr>
          <w:t>ע"פ 2083/96 כתב נ' מדינת ישראל (פ"ד נב</w:t>
        </w:r>
      </w:hyperlink>
      <w:r>
        <w:rPr>
          <w:rFonts w:hint="cs"/>
          <w:rtl/>
        </w:rPr>
        <w:t>(3) 337, בעמוד 342).</w:t>
      </w:r>
    </w:p>
    <w:p w14:paraId="6201B318" w14:textId="77777777" w:rsidR="00851A53" w:rsidRDefault="00851A53">
      <w:pPr>
        <w:spacing w:line="360" w:lineRule="auto"/>
        <w:ind w:left="720"/>
        <w:jc w:val="both"/>
        <w:rPr>
          <w:rtl/>
        </w:rPr>
      </w:pPr>
    </w:p>
    <w:p w14:paraId="764099EC" w14:textId="77777777" w:rsidR="00851A53" w:rsidRDefault="00B65784">
      <w:pPr>
        <w:spacing w:line="360" w:lineRule="auto"/>
        <w:ind w:left="720"/>
        <w:jc w:val="both"/>
        <w:rPr>
          <w:b/>
          <w:bCs/>
          <w:sz w:val="28"/>
          <w:szCs w:val="28"/>
          <w:u w:val="single"/>
          <w:rtl/>
        </w:rPr>
      </w:pPr>
      <w:r>
        <w:rPr>
          <w:rFonts w:hint="cs"/>
          <w:b/>
          <w:bCs/>
          <w:sz w:val="28"/>
          <w:szCs w:val="28"/>
          <w:u w:val="single"/>
          <w:rtl/>
        </w:rPr>
        <w:t>מן הכלל אל הפרט</w:t>
      </w:r>
    </w:p>
    <w:p w14:paraId="275DFCC1" w14:textId="77777777" w:rsidR="00851A53" w:rsidRDefault="00B65784">
      <w:pPr>
        <w:spacing w:line="360" w:lineRule="auto"/>
        <w:ind w:left="720" w:hanging="720"/>
        <w:jc w:val="both"/>
        <w:rPr>
          <w:rtl/>
        </w:rPr>
      </w:pPr>
      <w:r>
        <w:rPr>
          <w:rFonts w:hint="cs"/>
          <w:rtl/>
        </w:rPr>
        <w:t>9.</w:t>
      </w:r>
      <w:r>
        <w:rPr>
          <w:rFonts w:hint="cs"/>
          <w:rtl/>
        </w:rPr>
        <w:tab/>
        <w:t xml:space="preserve">ההחלטה בעניינו של הנאשם אינה קלה. </w:t>
      </w:r>
    </w:p>
    <w:p w14:paraId="5BB64211" w14:textId="77777777" w:rsidR="00851A53" w:rsidRDefault="00B65784">
      <w:pPr>
        <w:spacing w:line="360" w:lineRule="auto"/>
        <w:ind w:left="720"/>
        <w:jc w:val="both"/>
        <w:rPr>
          <w:rtl/>
        </w:rPr>
      </w:pPr>
      <w:r>
        <w:rPr>
          <w:rFonts w:hint="cs"/>
          <w:rtl/>
        </w:rPr>
        <w:t xml:space="preserve">אל מול שיקולי החומרה - ובעיקר הצורך בהגנה על גופן של נשים מפני עבירות מין, ובמיוחד שעה שמדובר בנוסעת התלויה לחלוטין בנאשם, וביצוע העבירה תוך ניצול תפקידו של הנאשם כנהג בתחבורה הציבורית - עומדים שיקולי קולא משמעותיים, התרשמות השירות והמלצתו וכן הנזק העלול להיגרם לפרנסת הנאשם אם יורשע. </w:t>
      </w:r>
    </w:p>
    <w:p w14:paraId="7A116ABA" w14:textId="77777777" w:rsidR="00851A53" w:rsidRDefault="00851A53">
      <w:pPr>
        <w:spacing w:line="360" w:lineRule="auto"/>
        <w:ind w:left="720" w:hanging="720"/>
        <w:jc w:val="both"/>
        <w:rPr>
          <w:rtl/>
        </w:rPr>
      </w:pPr>
    </w:p>
    <w:p w14:paraId="093858A3" w14:textId="77777777" w:rsidR="00851A53" w:rsidRDefault="00851A53">
      <w:pPr>
        <w:spacing w:line="360" w:lineRule="auto"/>
        <w:ind w:left="720" w:hanging="720"/>
        <w:jc w:val="both"/>
        <w:rPr>
          <w:rtl/>
        </w:rPr>
      </w:pPr>
    </w:p>
    <w:p w14:paraId="51AD0A74" w14:textId="77777777" w:rsidR="00851A53" w:rsidRDefault="00851A53">
      <w:pPr>
        <w:spacing w:line="360" w:lineRule="auto"/>
        <w:ind w:left="720" w:hanging="720"/>
        <w:jc w:val="both"/>
        <w:rPr>
          <w:rtl/>
        </w:rPr>
      </w:pPr>
    </w:p>
    <w:p w14:paraId="7676E88B" w14:textId="77777777" w:rsidR="00851A53" w:rsidRDefault="00851A53">
      <w:pPr>
        <w:spacing w:line="360" w:lineRule="auto"/>
        <w:ind w:left="720" w:hanging="720"/>
        <w:jc w:val="both"/>
        <w:rPr>
          <w:rtl/>
        </w:rPr>
      </w:pPr>
    </w:p>
    <w:p w14:paraId="4AC4059F" w14:textId="77777777" w:rsidR="00851A53" w:rsidRDefault="00B65784">
      <w:pPr>
        <w:spacing w:line="360" w:lineRule="auto"/>
        <w:ind w:left="720" w:hanging="720"/>
        <w:jc w:val="both"/>
        <w:rPr>
          <w:rtl/>
        </w:rPr>
      </w:pPr>
      <w:r>
        <w:rPr>
          <w:rFonts w:hint="cs"/>
          <w:rtl/>
        </w:rPr>
        <w:t>10.</w:t>
      </w:r>
      <w:r>
        <w:rPr>
          <w:rFonts w:hint="cs"/>
          <w:rtl/>
        </w:rPr>
        <w:tab/>
        <w:t>לא התרשמתי שלנאשם דפוס התנהגות עברייני, וקרוב לוודאי שלמד את לקחו, ולא יחזור על מעשיו.</w:t>
      </w:r>
    </w:p>
    <w:p w14:paraId="5D18789B" w14:textId="77777777" w:rsidR="00851A53" w:rsidRDefault="00B65784">
      <w:pPr>
        <w:spacing w:line="360" w:lineRule="auto"/>
        <w:ind w:left="720"/>
        <w:jc w:val="both"/>
        <w:rPr>
          <w:rtl/>
        </w:rPr>
      </w:pPr>
      <w:r>
        <w:rPr>
          <w:rFonts w:hint="cs"/>
          <w:rtl/>
        </w:rPr>
        <w:t xml:space="preserve">יחד עם זאת, באיזון בין מכלול השיקולים, סבורני שהכף בענייננו נוטה לטובת האינטרס הציבורי והרשעת הנאשם.  </w:t>
      </w:r>
    </w:p>
    <w:p w14:paraId="0ED7B5F7" w14:textId="77777777" w:rsidR="00851A53" w:rsidRDefault="00B65784">
      <w:pPr>
        <w:spacing w:line="360" w:lineRule="auto"/>
        <w:jc w:val="both"/>
        <w:rPr>
          <w:rtl/>
        </w:rPr>
      </w:pPr>
      <w:r>
        <w:rPr>
          <w:rFonts w:hint="cs"/>
          <w:rtl/>
        </w:rPr>
        <w:tab/>
        <w:t>אלה טעמיי:</w:t>
      </w:r>
    </w:p>
    <w:p w14:paraId="046C8E8A" w14:textId="77777777" w:rsidR="00851A53" w:rsidRDefault="00B65784">
      <w:pPr>
        <w:spacing w:line="360" w:lineRule="auto"/>
        <w:jc w:val="both"/>
        <w:rPr>
          <w:rtl/>
        </w:rPr>
      </w:pPr>
      <w:r>
        <w:rPr>
          <w:rFonts w:hint="cs"/>
          <w:rtl/>
        </w:rPr>
        <w:tab/>
      </w:r>
      <w:r>
        <w:rPr>
          <w:rFonts w:hint="cs"/>
          <w:rtl/>
        </w:rPr>
        <w:tab/>
      </w:r>
    </w:p>
    <w:p w14:paraId="53A4F463" w14:textId="77777777" w:rsidR="00851A53" w:rsidRDefault="00B65784">
      <w:pPr>
        <w:spacing w:line="360" w:lineRule="auto"/>
        <w:ind w:left="1440" w:hanging="720"/>
        <w:jc w:val="both"/>
        <w:rPr>
          <w:rtl/>
        </w:rPr>
      </w:pPr>
      <w:r>
        <w:rPr>
          <w:rFonts w:hint="cs"/>
          <w:rtl/>
        </w:rPr>
        <w:lastRenderedPageBreak/>
        <w:t>א.</w:t>
      </w:r>
      <w:r>
        <w:rPr>
          <w:rFonts w:hint="cs"/>
          <w:rtl/>
        </w:rPr>
        <w:tab/>
      </w:r>
      <w:r>
        <w:rPr>
          <w:rFonts w:hint="cs"/>
          <w:u w:val="single"/>
          <w:rtl/>
        </w:rPr>
        <w:t>מהות העבירה</w:t>
      </w:r>
      <w:r>
        <w:rPr>
          <w:rFonts w:hint="cs"/>
          <w:rtl/>
        </w:rPr>
        <w:t xml:space="preserve">- אין חולק כי העבירה שביצע הנאשם היא עבירה מכוערת, המבזה את המתלוננת ופוגעת באוטונומיה על גופה. </w:t>
      </w:r>
    </w:p>
    <w:p w14:paraId="7A4052E7" w14:textId="77777777" w:rsidR="00851A53" w:rsidRDefault="00B65784">
      <w:pPr>
        <w:spacing w:line="360" w:lineRule="auto"/>
        <w:ind w:left="1440"/>
        <w:jc w:val="both"/>
        <w:rPr>
          <w:rtl/>
        </w:rPr>
      </w:pPr>
      <w:r>
        <w:rPr>
          <w:rFonts w:hint="cs"/>
          <w:rtl/>
        </w:rPr>
        <w:t xml:space="preserve">מחובת בית המשפט להעביר מסר ברור וחד משמעי כי מעשי הנאשם פסולים, בין היתר, באמצעות הטבעת חותם פליליות על המעשה. </w:t>
      </w:r>
    </w:p>
    <w:p w14:paraId="10B95910" w14:textId="77777777" w:rsidR="00851A53" w:rsidRDefault="00B65784">
      <w:pPr>
        <w:spacing w:line="360" w:lineRule="auto"/>
        <w:ind w:left="1440"/>
        <w:jc w:val="both"/>
        <w:rPr>
          <w:rtl/>
        </w:rPr>
      </w:pPr>
      <w:r>
        <w:rPr>
          <w:rFonts w:hint="cs"/>
          <w:rtl/>
        </w:rPr>
        <w:t xml:space="preserve">יפים לענייננו, דברי בית המשפט המחוזי, בפרשת רמון, לפיהם </w:t>
      </w:r>
      <w:r>
        <w:rPr>
          <w:rFonts w:hint="cs"/>
          <w:b/>
          <w:bCs/>
          <w:rtl/>
        </w:rPr>
        <w:t>"ביטול ההרשעה במקרה זה עלול לטשטש את המסר ולעמעם את הפליליות שבמעשה" (</w:t>
      </w:r>
      <w:r>
        <w:rPr>
          <w:rFonts w:hint="cs"/>
          <w:rtl/>
        </w:rPr>
        <w:t xml:space="preserve">ראו </w:t>
      </w:r>
      <w:r w:rsidRPr="00E03CF9">
        <w:rPr>
          <w:color w:val="000000"/>
          <w:rtl/>
        </w:rPr>
        <w:t xml:space="preserve">ת.פ. (ת"א) </w:t>
      </w:r>
      <w:hyperlink r:id="rId13" w:history="1">
        <w:r w:rsidR="00A25746" w:rsidRPr="00A25746">
          <w:rPr>
            <w:color w:val="0000FF"/>
            <w:u w:val="single"/>
            <w:rtl/>
          </w:rPr>
          <w:t>5461/06</w:t>
        </w:r>
      </w:hyperlink>
      <w:r>
        <w:rPr>
          <w:rFonts w:hint="cs"/>
          <w:rtl/>
        </w:rPr>
        <w:t xml:space="preserve"> </w:t>
      </w:r>
      <w:r>
        <w:rPr>
          <w:rFonts w:hint="cs"/>
          <w:b/>
          <w:bCs/>
          <w:rtl/>
        </w:rPr>
        <w:t>מדינת ישראל נ' רמון</w:t>
      </w:r>
      <w:r>
        <w:rPr>
          <w:rFonts w:hint="cs"/>
          <w:rtl/>
        </w:rPr>
        <w:t xml:space="preserve"> (לא פורסם, 29/3/2007)).</w:t>
      </w:r>
    </w:p>
    <w:p w14:paraId="319A7914" w14:textId="77777777" w:rsidR="00851A53" w:rsidRDefault="00851A53">
      <w:pPr>
        <w:spacing w:line="360" w:lineRule="auto"/>
        <w:ind w:firstLine="720"/>
        <w:jc w:val="both"/>
        <w:rPr>
          <w:u w:val="single"/>
          <w:rtl/>
        </w:rPr>
      </w:pPr>
    </w:p>
    <w:p w14:paraId="0E23CBEF" w14:textId="77777777" w:rsidR="00851A53" w:rsidRDefault="00B65784">
      <w:pPr>
        <w:spacing w:line="360" w:lineRule="auto"/>
        <w:ind w:left="1440" w:hanging="720"/>
        <w:jc w:val="both"/>
        <w:rPr>
          <w:rtl/>
        </w:rPr>
      </w:pPr>
      <w:r>
        <w:rPr>
          <w:rFonts w:hint="cs"/>
          <w:rtl/>
        </w:rPr>
        <w:t>ב.</w:t>
      </w:r>
      <w:r>
        <w:rPr>
          <w:rFonts w:hint="cs"/>
          <w:rtl/>
        </w:rPr>
        <w:tab/>
        <w:t xml:space="preserve">הנאשם ניצל את חוסר האונים של המתלוננת, והאמון שנתנה בו, והיותה הנוסעת היחידה באוטובוס. </w:t>
      </w:r>
    </w:p>
    <w:p w14:paraId="0E53573C" w14:textId="77777777" w:rsidR="00851A53" w:rsidRDefault="00851A53">
      <w:pPr>
        <w:spacing w:line="360" w:lineRule="auto"/>
        <w:jc w:val="both"/>
        <w:rPr>
          <w:rtl/>
        </w:rPr>
      </w:pPr>
    </w:p>
    <w:p w14:paraId="2E46503F" w14:textId="77777777" w:rsidR="00851A53" w:rsidRDefault="00B65784">
      <w:pPr>
        <w:spacing w:line="360" w:lineRule="auto"/>
        <w:ind w:left="1440" w:hanging="720"/>
        <w:jc w:val="both"/>
        <w:rPr>
          <w:rtl/>
        </w:rPr>
      </w:pPr>
      <w:r>
        <w:rPr>
          <w:rFonts w:hint="cs"/>
          <w:rtl/>
        </w:rPr>
        <w:t>ג.</w:t>
      </w:r>
      <w:r>
        <w:rPr>
          <w:rFonts w:hint="cs"/>
          <w:rtl/>
        </w:rPr>
        <w:tab/>
      </w:r>
      <w:r>
        <w:rPr>
          <w:rFonts w:hint="cs"/>
          <w:u w:val="single"/>
          <w:rtl/>
        </w:rPr>
        <w:t>קשר הדוק בין העבירה לבין תפקיד הנאשם</w:t>
      </w:r>
      <w:r>
        <w:rPr>
          <w:rFonts w:hint="cs"/>
          <w:rtl/>
        </w:rPr>
        <w:t>- לאור העובדה שהנאשם עבר העבירה במהלך תפקידו, כנהג בתחבורה ציבורית, ותוך ניצול תפקידו והעובדה שהמתלוננת הייתה הנוסעת היחידה באוטובוס, פוחת משקל טענת ההגנה כי הרשעה פלילית תגרום, ככל הנראה, להפסקת עבודת הנאשם כנהג אוטובוס. מקום שהעבירה בוצעה תוך ניצול התפקיד, אין זה בלתי מידתי, שעבודת הנאשם תיפגע בעקבות העבירה.</w:t>
      </w:r>
    </w:p>
    <w:p w14:paraId="5A81443F" w14:textId="77777777" w:rsidR="00851A53" w:rsidRDefault="00851A53">
      <w:pPr>
        <w:tabs>
          <w:tab w:val="left" w:pos="386"/>
        </w:tabs>
        <w:spacing w:line="360" w:lineRule="auto"/>
        <w:ind w:left="720"/>
        <w:jc w:val="both"/>
        <w:rPr>
          <w:u w:val="single"/>
          <w:rtl/>
        </w:rPr>
      </w:pPr>
    </w:p>
    <w:p w14:paraId="2C240A0B" w14:textId="77777777" w:rsidR="00851A53" w:rsidRDefault="00B65784">
      <w:pPr>
        <w:spacing w:line="360" w:lineRule="auto"/>
        <w:ind w:left="1440" w:hanging="720"/>
        <w:jc w:val="both"/>
        <w:rPr>
          <w:rtl/>
        </w:rPr>
      </w:pPr>
      <w:r>
        <w:rPr>
          <w:rFonts w:hint="cs"/>
          <w:rtl/>
        </w:rPr>
        <w:t>ד.</w:t>
      </w:r>
      <w:r>
        <w:rPr>
          <w:rFonts w:hint="cs"/>
          <w:rtl/>
        </w:rPr>
        <w:tab/>
      </w:r>
      <w:r>
        <w:rPr>
          <w:rFonts w:hint="cs"/>
          <w:u w:val="single"/>
          <w:rtl/>
        </w:rPr>
        <w:t>נסיבות העבירה</w:t>
      </w:r>
      <w:r>
        <w:rPr>
          <w:rFonts w:hint="cs"/>
          <w:rtl/>
        </w:rPr>
        <w:t xml:space="preserve">- יש בעצירת הנאשם את האוטובוס באזור בלתי מיושב ובאחיזת המתלוננת בידה וקרובה לעברו, כדי להוסיף נופך של חומרה למעשה, ולהפחית משקל טענת הנאשם כי סבר שהמתלוננת מעוניינת במעשה. </w:t>
      </w:r>
      <w:r>
        <w:rPr>
          <w:rFonts w:hint="cs"/>
          <w:rtl/>
        </w:rPr>
        <w:tab/>
      </w:r>
    </w:p>
    <w:p w14:paraId="7DA203B6" w14:textId="77777777" w:rsidR="00851A53" w:rsidRDefault="00851A53">
      <w:pPr>
        <w:tabs>
          <w:tab w:val="left" w:pos="386"/>
        </w:tabs>
        <w:spacing w:line="360" w:lineRule="auto"/>
        <w:ind w:left="720"/>
        <w:jc w:val="both"/>
        <w:rPr>
          <w:u w:val="single"/>
          <w:rtl/>
        </w:rPr>
      </w:pPr>
    </w:p>
    <w:p w14:paraId="4B755467" w14:textId="77777777" w:rsidR="00851A53" w:rsidRDefault="00851A53">
      <w:pPr>
        <w:tabs>
          <w:tab w:val="left" w:pos="386"/>
        </w:tabs>
        <w:spacing w:line="360" w:lineRule="auto"/>
        <w:ind w:left="720"/>
        <w:jc w:val="both"/>
        <w:rPr>
          <w:u w:val="single"/>
          <w:rtl/>
        </w:rPr>
      </w:pPr>
    </w:p>
    <w:p w14:paraId="6F33D3D9" w14:textId="77777777" w:rsidR="00851A53" w:rsidRDefault="00851A53">
      <w:pPr>
        <w:tabs>
          <w:tab w:val="left" w:pos="386"/>
        </w:tabs>
        <w:spacing w:line="360" w:lineRule="auto"/>
        <w:ind w:left="720"/>
        <w:jc w:val="both"/>
        <w:rPr>
          <w:u w:val="single"/>
          <w:rtl/>
        </w:rPr>
      </w:pPr>
    </w:p>
    <w:p w14:paraId="32532345" w14:textId="77777777" w:rsidR="00851A53" w:rsidRDefault="00851A53">
      <w:pPr>
        <w:tabs>
          <w:tab w:val="left" w:pos="386"/>
        </w:tabs>
        <w:spacing w:line="360" w:lineRule="auto"/>
        <w:ind w:left="720"/>
        <w:jc w:val="both"/>
        <w:rPr>
          <w:u w:val="single"/>
          <w:rtl/>
        </w:rPr>
      </w:pPr>
    </w:p>
    <w:p w14:paraId="3A7CD639" w14:textId="77777777" w:rsidR="00851A53" w:rsidRDefault="00B65784">
      <w:pPr>
        <w:tabs>
          <w:tab w:val="left" w:pos="386"/>
        </w:tabs>
        <w:spacing w:line="360" w:lineRule="auto"/>
        <w:ind w:left="1440" w:hanging="720"/>
        <w:jc w:val="both"/>
        <w:rPr>
          <w:rtl/>
        </w:rPr>
      </w:pPr>
      <w:r>
        <w:rPr>
          <w:rFonts w:hint="cs"/>
          <w:rtl/>
        </w:rPr>
        <w:t>ה.</w:t>
      </w:r>
      <w:r>
        <w:rPr>
          <w:rFonts w:hint="cs"/>
          <w:rtl/>
        </w:rPr>
        <w:tab/>
      </w:r>
      <w:r>
        <w:rPr>
          <w:rFonts w:hint="cs"/>
          <w:u w:val="single"/>
          <w:rtl/>
        </w:rPr>
        <w:t>פער הגילאים המשמעותי בין הנאשם למתלוננת</w:t>
      </w:r>
      <w:r>
        <w:rPr>
          <w:rFonts w:hint="cs"/>
          <w:rtl/>
        </w:rPr>
        <w:t>- יש בפער הגילאים המשמעותי בין הנאשם  לבין המתלוננת, למעלה מ- 25 שנים, נסיבה לחומרה.</w:t>
      </w:r>
    </w:p>
    <w:p w14:paraId="62331F79" w14:textId="77777777" w:rsidR="00851A53" w:rsidRDefault="00851A53">
      <w:pPr>
        <w:spacing w:line="360" w:lineRule="auto"/>
        <w:ind w:firstLine="720"/>
        <w:jc w:val="both"/>
        <w:rPr>
          <w:rtl/>
        </w:rPr>
      </w:pPr>
    </w:p>
    <w:p w14:paraId="5E4B4BD5" w14:textId="77777777" w:rsidR="00851A53" w:rsidRDefault="00B65784">
      <w:pPr>
        <w:spacing w:line="360" w:lineRule="auto"/>
        <w:ind w:left="1440" w:hanging="720"/>
        <w:jc w:val="both"/>
        <w:rPr>
          <w:rtl/>
        </w:rPr>
      </w:pPr>
      <w:r>
        <w:rPr>
          <w:rFonts w:hint="cs"/>
          <w:rtl/>
        </w:rPr>
        <w:t>ו.</w:t>
      </w:r>
      <w:r>
        <w:rPr>
          <w:rFonts w:hint="cs"/>
          <w:rtl/>
        </w:rPr>
        <w:tab/>
      </w:r>
      <w:r>
        <w:rPr>
          <w:rFonts w:hint="cs"/>
          <w:u w:val="single"/>
          <w:rtl/>
        </w:rPr>
        <w:t>הישנות הנשיקה, פעמיים - מהווה נסיבה לחומרה</w:t>
      </w:r>
      <w:r>
        <w:rPr>
          <w:rFonts w:hint="cs"/>
          <w:rtl/>
        </w:rPr>
        <w:t>.</w:t>
      </w:r>
    </w:p>
    <w:p w14:paraId="09A91348" w14:textId="77777777" w:rsidR="00851A53" w:rsidRDefault="00B65784">
      <w:pPr>
        <w:spacing w:line="360" w:lineRule="auto"/>
        <w:jc w:val="both"/>
        <w:rPr>
          <w:rtl/>
        </w:rPr>
      </w:pPr>
      <w:r>
        <w:rPr>
          <w:rFonts w:hint="cs"/>
          <w:rtl/>
        </w:rPr>
        <w:t xml:space="preserve"> </w:t>
      </w:r>
    </w:p>
    <w:p w14:paraId="36557006" w14:textId="77777777" w:rsidR="00851A53" w:rsidRDefault="00B65784">
      <w:pPr>
        <w:tabs>
          <w:tab w:val="left" w:pos="386"/>
        </w:tabs>
        <w:spacing w:line="360" w:lineRule="auto"/>
        <w:ind w:left="720" w:hanging="720"/>
        <w:jc w:val="both"/>
        <w:rPr>
          <w:rtl/>
        </w:rPr>
      </w:pPr>
      <w:r>
        <w:rPr>
          <w:rFonts w:hint="cs"/>
          <w:rtl/>
        </w:rPr>
        <w:t>11.</w:t>
      </w:r>
      <w:r>
        <w:rPr>
          <w:rFonts w:hint="cs"/>
          <w:rtl/>
        </w:rPr>
        <w:tab/>
      </w:r>
      <w:r>
        <w:rPr>
          <w:rFonts w:hint="cs"/>
          <w:rtl/>
        </w:rPr>
        <w:tab/>
        <w:t xml:space="preserve">לא התעלמתי מהמלצת שירות המבחן, אך כידוע, מחובת בית המשפט להביא בחשבון שיקוליו, פרט להמלצת השירות, שיקולי ענישה נוספים (ראו </w:t>
      </w:r>
      <w:hyperlink r:id="rId14" w:history="1">
        <w:r w:rsidR="001F7802" w:rsidRPr="001F7802">
          <w:rPr>
            <w:rStyle w:val="Hyperlink"/>
            <w:rtl/>
          </w:rPr>
          <w:t>רע"פ 10904/04</w:t>
        </w:r>
      </w:hyperlink>
      <w:r>
        <w:rPr>
          <w:rFonts w:hint="cs"/>
          <w:rtl/>
        </w:rPr>
        <w:t xml:space="preserve"> </w:t>
      </w:r>
      <w:r>
        <w:rPr>
          <w:rFonts w:hint="cs"/>
          <w:b/>
          <w:bCs/>
          <w:rtl/>
        </w:rPr>
        <w:t>מיארה נ' מדינת ישראל</w:t>
      </w:r>
      <w:r>
        <w:rPr>
          <w:rFonts w:hint="cs"/>
          <w:rtl/>
        </w:rPr>
        <w:t xml:space="preserve"> (לא פורסם, 9/12/2004)). </w:t>
      </w:r>
    </w:p>
    <w:p w14:paraId="06B758DF" w14:textId="77777777" w:rsidR="00851A53" w:rsidRDefault="00B65784">
      <w:pPr>
        <w:spacing w:line="360" w:lineRule="auto"/>
        <w:ind w:left="720" w:hanging="720"/>
        <w:jc w:val="both"/>
        <w:rPr>
          <w:rtl/>
        </w:rPr>
      </w:pPr>
      <w:r>
        <w:rPr>
          <w:rFonts w:hint="cs"/>
          <w:rtl/>
        </w:rPr>
        <w:tab/>
        <w:t>להמלצת השירות, וליתר נסיבות הקולא – ובעיקר עברו הנקי של הנאשם, על רקע גילו, הודאתו, הפגיעה האפשרית במקום עבודתו וכן הבעת החרטה – יינתן משקל לעניין סוג העונש ומידתו.</w:t>
      </w:r>
    </w:p>
    <w:p w14:paraId="42D90973" w14:textId="77777777" w:rsidR="00851A53" w:rsidRDefault="00851A53">
      <w:pPr>
        <w:tabs>
          <w:tab w:val="left" w:pos="720"/>
          <w:tab w:val="left" w:pos="1440"/>
          <w:tab w:val="left" w:pos="2160"/>
        </w:tabs>
        <w:spacing w:line="360" w:lineRule="auto"/>
        <w:ind w:left="720"/>
        <w:jc w:val="both"/>
        <w:rPr>
          <w:rFonts w:cs="Times New Roman"/>
          <w:rtl/>
        </w:rPr>
      </w:pPr>
    </w:p>
    <w:p w14:paraId="1B4C6196" w14:textId="77777777" w:rsidR="00851A53" w:rsidRDefault="00B65784">
      <w:pPr>
        <w:tabs>
          <w:tab w:val="left" w:pos="720"/>
          <w:tab w:val="left" w:pos="1440"/>
          <w:tab w:val="left" w:pos="2160"/>
        </w:tabs>
        <w:spacing w:line="360" w:lineRule="auto"/>
        <w:ind w:left="720" w:hanging="720"/>
        <w:jc w:val="both"/>
        <w:rPr>
          <w:rtl/>
        </w:rPr>
      </w:pPr>
      <w:r>
        <w:rPr>
          <w:rFonts w:hint="cs"/>
          <w:rtl/>
        </w:rPr>
        <w:t>12.</w:t>
      </w:r>
      <w:r>
        <w:rPr>
          <w:rFonts w:hint="cs"/>
          <w:rtl/>
        </w:rPr>
        <w:tab/>
        <w:t xml:space="preserve">בחנתי בעיון הפסיקה שהוגשה על ידי ההגנה, אך לא מצאתי שיש באיזה מפסקי הדין כדי להשליך על ענייננו. במרבית פסקי הדין, המדובר בסיום הליך בלא הרשעה, תוך אימוץ הסדרי טיעון. בחלק מפסקי הדין, היה ההסדר על דעת המתלוננת והסכמתה היוותה שיקול משמעותי לאימוצו; באחד מפסקי הדין ניתן משקל בכורה לאינטרס השיקומי ולהליך גמילה מאלכוהול שהחל הנאשם (ראו </w:t>
      </w:r>
      <w:r w:rsidRPr="00E03CF9">
        <w:rPr>
          <w:color w:val="000000"/>
          <w:rtl/>
        </w:rPr>
        <w:t>ת.פ. 3980/04</w:t>
      </w:r>
      <w:r>
        <w:rPr>
          <w:rFonts w:hint="cs"/>
          <w:rtl/>
        </w:rPr>
        <w:t xml:space="preserve"> </w:t>
      </w:r>
      <w:r>
        <w:rPr>
          <w:rFonts w:hint="cs"/>
          <w:b/>
          <w:bCs/>
          <w:rtl/>
        </w:rPr>
        <w:t>מדינת ישראל נ' עיני</w:t>
      </w:r>
      <w:r>
        <w:rPr>
          <w:rFonts w:hint="cs"/>
          <w:rtl/>
        </w:rPr>
        <w:t xml:space="preserve"> (לא פורסם, 19/4/2007); </w:t>
      </w:r>
      <w:hyperlink r:id="rId15" w:history="1">
        <w:r w:rsidR="001F7802" w:rsidRPr="001F7802">
          <w:rPr>
            <w:rStyle w:val="Hyperlink"/>
            <w:rtl/>
          </w:rPr>
          <w:t>ת.פ. 5905/05</w:t>
        </w:r>
      </w:hyperlink>
      <w:r>
        <w:rPr>
          <w:rFonts w:hint="cs"/>
          <w:rtl/>
        </w:rPr>
        <w:t xml:space="preserve"> </w:t>
      </w:r>
      <w:r>
        <w:rPr>
          <w:rFonts w:hint="cs"/>
          <w:b/>
          <w:bCs/>
          <w:rtl/>
        </w:rPr>
        <w:t>מדינת ישראל נ' אפלבאום</w:t>
      </w:r>
      <w:r>
        <w:rPr>
          <w:rFonts w:hint="cs"/>
          <w:rtl/>
        </w:rPr>
        <w:t xml:space="preserve"> (לא פורסם, 23/1/2007); </w:t>
      </w:r>
      <w:hyperlink r:id="rId16" w:history="1">
        <w:r w:rsidR="001F7802" w:rsidRPr="001F7802">
          <w:rPr>
            <w:rStyle w:val="Hyperlink"/>
            <w:rtl/>
          </w:rPr>
          <w:t>ת.פ. 4888/08</w:t>
        </w:r>
      </w:hyperlink>
      <w:r>
        <w:rPr>
          <w:rFonts w:hint="cs"/>
          <w:rtl/>
        </w:rPr>
        <w:t xml:space="preserve"> </w:t>
      </w:r>
      <w:r>
        <w:rPr>
          <w:rFonts w:hint="cs"/>
          <w:b/>
          <w:bCs/>
          <w:rtl/>
        </w:rPr>
        <w:t>מדינת ישראל נ' אור ציון</w:t>
      </w:r>
      <w:r>
        <w:rPr>
          <w:rFonts w:hint="cs"/>
          <w:rtl/>
        </w:rPr>
        <w:t xml:space="preserve"> (לא פורסם, 6/9/2010)).</w:t>
      </w:r>
    </w:p>
    <w:p w14:paraId="5C48850B" w14:textId="77777777" w:rsidR="00851A53" w:rsidRDefault="00B65784">
      <w:pPr>
        <w:tabs>
          <w:tab w:val="left" w:pos="386"/>
        </w:tabs>
        <w:spacing w:line="360" w:lineRule="auto"/>
        <w:ind w:left="386"/>
        <w:jc w:val="both"/>
        <w:rPr>
          <w:rtl/>
        </w:rPr>
      </w:pPr>
      <w:r>
        <w:rPr>
          <w:rFonts w:hint="cs"/>
          <w:rtl/>
        </w:rPr>
        <w:tab/>
        <w:t xml:space="preserve">נסיבות אלה אינן מתקיימת בענייננו. </w:t>
      </w:r>
    </w:p>
    <w:p w14:paraId="6524D0C2" w14:textId="77777777" w:rsidR="00851A53" w:rsidRDefault="00851A53">
      <w:pPr>
        <w:spacing w:line="360" w:lineRule="auto"/>
        <w:jc w:val="both"/>
        <w:rPr>
          <w:rtl/>
        </w:rPr>
      </w:pPr>
    </w:p>
    <w:p w14:paraId="5069938B" w14:textId="77777777" w:rsidR="00851A53" w:rsidRDefault="00B65784">
      <w:pPr>
        <w:spacing w:line="360" w:lineRule="auto"/>
        <w:ind w:firstLine="720"/>
        <w:jc w:val="both"/>
        <w:rPr>
          <w:b/>
          <w:bCs/>
          <w:sz w:val="28"/>
          <w:szCs w:val="28"/>
          <w:u w:val="single"/>
          <w:rtl/>
        </w:rPr>
      </w:pPr>
      <w:r>
        <w:rPr>
          <w:rFonts w:hint="cs"/>
          <w:b/>
          <w:bCs/>
          <w:sz w:val="28"/>
          <w:szCs w:val="28"/>
          <w:u w:val="single"/>
          <w:rtl/>
        </w:rPr>
        <w:t>סוף דבר</w:t>
      </w:r>
    </w:p>
    <w:p w14:paraId="7D4E1901" w14:textId="77777777" w:rsidR="00851A53" w:rsidRDefault="00B65784">
      <w:pPr>
        <w:spacing w:line="360" w:lineRule="auto"/>
        <w:ind w:left="720" w:hanging="720"/>
        <w:jc w:val="both"/>
        <w:rPr>
          <w:rtl/>
        </w:rPr>
      </w:pPr>
      <w:r>
        <w:rPr>
          <w:rFonts w:hint="cs"/>
          <w:rtl/>
        </w:rPr>
        <w:t>13.</w:t>
      </w:r>
      <w:r>
        <w:rPr>
          <w:rFonts w:hint="cs"/>
          <w:rtl/>
        </w:rPr>
        <w:tab/>
        <w:t xml:space="preserve">לאור כל האמור, ועל יסוד הודאתו, מורשע בזאת הנאשם בעבירה של </w:t>
      </w:r>
      <w:r>
        <w:rPr>
          <w:rFonts w:hint="cs"/>
          <w:b/>
          <w:bCs/>
          <w:highlight w:val="yellow"/>
          <w:rtl/>
        </w:rPr>
        <w:t>מעשה מגונה</w:t>
      </w:r>
      <w:r>
        <w:rPr>
          <w:rFonts w:hint="cs"/>
          <w:rtl/>
        </w:rPr>
        <w:t xml:space="preserve">, לפי </w:t>
      </w:r>
      <w:hyperlink r:id="rId17" w:history="1">
        <w:r w:rsidR="00A25746" w:rsidRPr="00A25746">
          <w:rPr>
            <w:color w:val="0000FF"/>
            <w:u w:val="single"/>
            <w:rtl/>
          </w:rPr>
          <w:t>סעיף 348(ג)</w:t>
        </w:r>
      </w:hyperlink>
      <w:r>
        <w:rPr>
          <w:rFonts w:hint="cs"/>
          <w:rtl/>
        </w:rPr>
        <w:t xml:space="preserve"> ל</w:t>
      </w:r>
      <w:hyperlink r:id="rId18" w:history="1">
        <w:r w:rsidR="001F7802" w:rsidRPr="001F7802">
          <w:rPr>
            <w:rStyle w:val="Hyperlink"/>
            <w:rtl/>
          </w:rPr>
          <w:t>חוק העונשין</w:t>
        </w:r>
      </w:hyperlink>
      <w:r>
        <w:rPr>
          <w:rFonts w:hint="cs"/>
          <w:rtl/>
        </w:rPr>
        <w:t>.</w:t>
      </w:r>
    </w:p>
    <w:p w14:paraId="38222F94" w14:textId="77777777" w:rsidR="00851A53" w:rsidRDefault="00B65784">
      <w:pPr>
        <w:spacing w:line="360" w:lineRule="auto"/>
        <w:ind w:left="720" w:hanging="720"/>
        <w:jc w:val="both"/>
        <w:rPr>
          <w:sz w:val="6"/>
          <w:szCs w:val="6"/>
          <w:rtl/>
        </w:rPr>
      </w:pPr>
      <w:r>
        <w:rPr>
          <w:sz w:val="6"/>
          <w:szCs w:val="6"/>
          <w:rtl/>
        </w:rPr>
        <w:t>&lt;#4#&gt;</w:t>
      </w:r>
    </w:p>
    <w:p w14:paraId="1288101E" w14:textId="77777777" w:rsidR="00851A53" w:rsidRDefault="00851A53">
      <w:pPr>
        <w:jc w:val="right"/>
        <w:rPr>
          <w:rtl/>
        </w:rPr>
      </w:pPr>
    </w:p>
    <w:p w14:paraId="08DF1017" w14:textId="77777777" w:rsidR="00851A53" w:rsidRDefault="00B65784">
      <w:pPr>
        <w:spacing w:line="360" w:lineRule="auto"/>
        <w:jc w:val="both"/>
        <w:rPr>
          <w:rtl/>
        </w:rPr>
      </w:pPr>
      <w:r>
        <w:rPr>
          <w:rFonts w:hint="cs"/>
          <w:b/>
          <w:bCs/>
          <w:rtl/>
        </w:rPr>
        <w:t xml:space="preserve">ניתנה והודעה היום </w:t>
      </w:r>
      <w:r>
        <w:rPr>
          <w:b/>
          <w:bCs/>
          <w:rtl/>
        </w:rPr>
        <w:t>י"ג ניסן תשע"א</w:t>
      </w:r>
      <w:r>
        <w:rPr>
          <w:rFonts w:hint="cs"/>
          <w:b/>
          <w:bCs/>
          <w:rtl/>
        </w:rPr>
        <w:t xml:space="preserve">, </w:t>
      </w:r>
      <w:r>
        <w:rPr>
          <w:b/>
          <w:bCs/>
          <w:rtl/>
        </w:rPr>
        <w:t>17/04/2011</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51A53" w14:paraId="6BA3FC3D" w14:textId="77777777">
        <w:trPr>
          <w:trHeight w:val="364"/>
          <w:jc w:val="right"/>
        </w:trPr>
        <w:tc>
          <w:tcPr>
            <w:tcW w:w="3708" w:type="dxa"/>
            <w:shd w:val="clear" w:color="auto" w:fill="auto"/>
          </w:tcPr>
          <w:p w14:paraId="7078F6E1" w14:textId="77777777" w:rsidR="00851A53" w:rsidRDefault="00851A53" w:rsidP="00FB2EB7">
            <w:pPr>
              <w:jc w:val="center"/>
              <w:rPr>
                <w:rtl/>
              </w:rPr>
            </w:pPr>
          </w:p>
        </w:tc>
      </w:tr>
      <w:tr w:rsidR="00851A53" w14:paraId="17EC5BA2" w14:textId="77777777">
        <w:trPr>
          <w:trHeight w:val="415"/>
          <w:jc w:val="right"/>
        </w:trPr>
        <w:tc>
          <w:tcPr>
            <w:tcW w:w="3708" w:type="dxa"/>
            <w:shd w:val="clear" w:color="auto" w:fill="auto"/>
          </w:tcPr>
          <w:p w14:paraId="0D109C96" w14:textId="77777777" w:rsidR="00851A53" w:rsidRPr="00FB2EB7" w:rsidRDefault="00B65784" w:rsidP="00FB2EB7">
            <w:pPr>
              <w:jc w:val="center"/>
              <w:rPr>
                <w:b/>
                <w:bCs/>
                <w:rtl/>
              </w:rPr>
            </w:pPr>
            <w:r w:rsidRPr="00FB2EB7">
              <w:rPr>
                <w:rFonts w:hint="cs"/>
                <w:b/>
                <w:bCs/>
                <w:rtl/>
              </w:rPr>
              <w:t>ירון לוי, שופט,</w:t>
            </w:r>
          </w:p>
          <w:p w14:paraId="5153D3AC" w14:textId="77777777" w:rsidR="00851A53" w:rsidRPr="00FB2EB7" w:rsidRDefault="00B65784" w:rsidP="00FB2EB7">
            <w:pPr>
              <w:jc w:val="center"/>
              <w:rPr>
                <w:b/>
                <w:bCs/>
                <w:rtl/>
              </w:rPr>
            </w:pPr>
            <w:r w:rsidRPr="00FB2EB7">
              <w:rPr>
                <w:rFonts w:hint="cs"/>
                <w:b/>
                <w:bCs/>
                <w:rtl/>
              </w:rPr>
              <w:t>סגן הנשיאה</w:t>
            </w:r>
          </w:p>
        </w:tc>
      </w:tr>
    </w:tbl>
    <w:p w14:paraId="618409C6" w14:textId="77777777" w:rsidR="00851A53" w:rsidRDefault="00851A53">
      <w:pPr>
        <w:jc w:val="right"/>
        <w:rPr>
          <w:rtl/>
        </w:rPr>
      </w:pPr>
    </w:p>
    <w:p w14:paraId="2177EC6A" w14:textId="77777777" w:rsidR="00851A53" w:rsidRDefault="00851A53">
      <w:pPr>
        <w:spacing w:line="360" w:lineRule="auto"/>
        <w:ind w:left="720" w:hanging="720"/>
        <w:jc w:val="center"/>
        <w:rPr>
          <w:rtl/>
        </w:rPr>
      </w:pPr>
    </w:p>
    <w:p w14:paraId="10B55F2D" w14:textId="77777777" w:rsidR="00851A53" w:rsidRDefault="00B65784">
      <w:pPr>
        <w:spacing w:line="360" w:lineRule="auto"/>
        <w:ind w:left="720" w:hanging="720"/>
        <w:jc w:val="center"/>
        <w:rPr>
          <w:b/>
          <w:bCs/>
          <w:sz w:val="6"/>
          <w:szCs w:val="6"/>
          <w:rtl/>
        </w:rPr>
      </w:pPr>
      <w:r>
        <w:rPr>
          <w:b/>
          <w:bCs/>
          <w:sz w:val="6"/>
          <w:szCs w:val="6"/>
          <w:rtl/>
        </w:rPr>
        <w:t>&lt;#5#&gt;</w:t>
      </w:r>
    </w:p>
    <w:p w14:paraId="1910EB76" w14:textId="77777777" w:rsidR="00851A53" w:rsidRDefault="00B65784">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3925C47E" w14:textId="77777777" w:rsidR="00851A53" w:rsidRDefault="00B65784">
      <w:pPr>
        <w:spacing w:line="360" w:lineRule="auto"/>
        <w:ind w:left="720" w:hanging="720"/>
        <w:jc w:val="both"/>
        <w:rPr>
          <w:rtl/>
        </w:rPr>
      </w:pPr>
      <w:r>
        <w:rPr>
          <w:rFonts w:hint="cs"/>
          <w:rtl/>
        </w:rPr>
        <w:t>1.</w:t>
      </w:r>
      <w:r>
        <w:rPr>
          <w:rFonts w:hint="cs"/>
          <w:rtl/>
        </w:rPr>
        <w:tab/>
        <w:t>נסיבות העבירה, שיקולי החומרה והקולא, פורטו בהרחבה בהכרעת הדין ואין צורך לחזור עליהם.</w:t>
      </w:r>
    </w:p>
    <w:p w14:paraId="78EFD935" w14:textId="77777777" w:rsidR="00851A53" w:rsidRDefault="00851A53">
      <w:pPr>
        <w:spacing w:line="360" w:lineRule="auto"/>
        <w:ind w:left="720" w:hanging="720"/>
        <w:jc w:val="both"/>
        <w:rPr>
          <w:rtl/>
        </w:rPr>
      </w:pPr>
    </w:p>
    <w:p w14:paraId="246CB261" w14:textId="77777777" w:rsidR="00851A53" w:rsidRDefault="00B65784">
      <w:pPr>
        <w:spacing w:line="360" w:lineRule="auto"/>
        <w:ind w:left="720" w:hanging="720"/>
        <w:jc w:val="both"/>
        <w:rPr>
          <w:rtl/>
        </w:rPr>
      </w:pPr>
      <w:r>
        <w:rPr>
          <w:rFonts w:hint="cs"/>
          <w:rtl/>
        </w:rPr>
        <w:t>2.</w:t>
      </w:r>
      <w:r>
        <w:rPr>
          <w:rFonts w:hint="cs"/>
          <w:rtl/>
        </w:rPr>
        <w:tab/>
        <w:t>להבדיל משאלת הרשעת הנאשם, סבורני שלעניין העונש, יש ליתן משקל משמעותי למכלול נסיבות הקולא בעניינו של הנאשם וכן לנזק, שככל הנראה, ייגרם לפרנסת הנאשם כתוצאה מהרשעתו.</w:t>
      </w:r>
    </w:p>
    <w:p w14:paraId="7903EAE8" w14:textId="77777777" w:rsidR="00851A53" w:rsidRDefault="00851A53">
      <w:pPr>
        <w:spacing w:line="360" w:lineRule="auto"/>
        <w:ind w:left="720" w:hanging="720"/>
        <w:jc w:val="both"/>
        <w:rPr>
          <w:rtl/>
        </w:rPr>
      </w:pPr>
    </w:p>
    <w:p w14:paraId="2657C4E9" w14:textId="77777777" w:rsidR="00851A53" w:rsidRDefault="00B65784">
      <w:pPr>
        <w:spacing w:line="360" w:lineRule="auto"/>
        <w:ind w:left="720" w:hanging="720"/>
        <w:jc w:val="both"/>
        <w:rPr>
          <w:rtl/>
        </w:rPr>
      </w:pPr>
      <w:r>
        <w:rPr>
          <w:rFonts w:hint="cs"/>
          <w:rtl/>
        </w:rPr>
        <w:t>3.</w:t>
      </w:r>
      <w:r>
        <w:rPr>
          <w:rFonts w:hint="cs"/>
          <w:rtl/>
        </w:rPr>
        <w:tab/>
        <w:t>לאור כל האמור, אני גוזר על הנאשם את העונשים הבאים:</w:t>
      </w:r>
    </w:p>
    <w:p w14:paraId="1029F796" w14:textId="77777777" w:rsidR="00851A53" w:rsidRDefault="00B65784">
      <w:pPr>
        <w:spacing w:line="360" w:lineRule="auto"/>
        <w:ind w:left="1440" w:hanging="720"/>
        <w:jc w:val="both"/>
        <w:rPr>
          <w:rtl/>
        </w:rPr>
      </w:pPr>
      <w:r>
        <w:rPr>
          <w:rFonts w:hint="cs"/>
          <w:rtl/>
        </w:rPr>
        <w:t>א.</w:t>
      </w:r>
      <w:r>
        <w:rPr>
          <w:rFonts w:hint="cs"/>
          <w:rtl/>
        </w:rPr>
        <w:tab/>
      </w:r>
      <w:r>
        <w:rPr>
          <w:rFonts w:hint="cs"/>
          <w:b/>
          <w:bCs/>
          <w:highlight w:val="yellow"/>
          <w:rtl/>
        </w:rPr>
        <w:t>6 חודשי מאסר מותנים</w:t>
      </w:r>
      <w:r>
        <w:rPr>
          <w:rFonts w:hint="cs"/>
          <w:rtl/>
        </w:rPr>
        <w:t xml:space="preserve">, למשך 3 שנים, והתנאי הוא שהנאשם לא יעבור את העבירה שבה הורשע או כל עבירה </w:t>
      </w:r>
      <w:r>
        <w:rPr>
          <w:rFonts w:hint="cs"/>
          <w:b/>
          <w:bCs/>
          <w:highlight w:val="yellow"/>
          <w:rtl/>
        </w:rPr>
        <w:t xml:space="preserve">בניגוד </w:t>
      </w:r>
      <w:hyperlink r:id="rId19" w:history="1">
        <w:r w:rsidR="00A25746" w:rsidRPr="00A25746">
          <w:rPr>
            <w:b/>
            <w:bCs/>
            <w:color w:val="0000FF"/>
            <w:highlight w:val="yellow"/>
            <w:u w:val="single"/>
            <w:rtl/>
          </w:rPr>
          <w:t>לפרק י'</w:t>
        </w:r>
      </w:hyperlink>
      <w:r>
        <w:rPr>
          <w:rFonts w:hint="cs"/>
          <w:rtl/>
        </w:rPr>
        <w:t xml:space="preserve"> ל</w:t>
      </w:r>
      <w:hyperlink r:id="rId20" w:history="1">
        <w:r w:rsidR="001F7802" w:rsidRPr="001F7802">
          <w:rPr>
            <w:rStyle w:val="Hyperlink"/>
            <w:rtl/>
          </w:rPr>
          <w:t>חוק העונשין</w:t>
        </w:r>
      </w:hyperlink>
      <w:r>
        <w:rPr>
          <w:rFonts w:hint="cs"/>
          <w:rtl/>
        </w:rPr>
        <w:t>, או כל עבירה בניגוד ל</w:t>
      </w:r>
      <w:hyperlink r:id="rId21" w:history="1">
        <w:r w:rsidR="001F7802" w:rsidRPr="001F7802">
          <w:rPr>
            <w:rStyle w:val="Hyperlink"/>
            <w:rtl/>
          </w:rPr>
          <w:t>חוק למניעת הטרדה מינית</w:t>
        </w:r>
      </w:hyperlink>
      <w:r>
        <w:rPr>
          <w:rFonts w:hint="cs"/>
          <w:rtl/>
        </w:rPr>
        <w:t>, תשנ"ח-1998.</w:t>
      </w:r>
    </w:p>
    <w:p w14:paraId="350C0046" w14:textId="77777777" w:rsidR="00851A53" w:rsidRDefault="00B65784">
      <w:pPr>
        <w:spacing w:line="360" w:lineRule="auto"/>
        <w:ind w:left="720" w:hanging="720"/>
        <w:jc w:val="both"/>
        <w:rPr>
          <w:rtl/>
        </w:rPr>
      </w:pPr>
      <w:r>
        <w:rPr>
          <w:rFonts w:hint="cs"/>
          <w:rtl/>
        </w:rPr>
        <w:tab/>
        <w:t>ב.</w:t>
      </w:r>
      <w:r>
        <w:rPr>
          <w:rFonts w:hint="cs"/>
          <w:rtl/>
        </w:rPr>
        <w:tab/>
      </w:r>
      <w:r>
        <w:rPr>
          <w:rFonts w:hint="cs"/>
          <w:b/>
          <w:bCs/>
          <w:highlight w:val="yellow"/>
          <w:rtl/>
        </w:rPr>
        <w:t>100 שעות של"צ</w:t>
      </w:r>
      <w:r>
        <w:rPr>
          <w:rFonts w:hint="cs"/>
          <w:rtl/>
        </w:rPr>
        <w:t>, בהתאם לתוכנית שיגבש השירות עד מועד הדיון הנדחה.</w:t>
      </w:r>
    </w:p>
    <w:p w14:paraId="28733B8C" w14:textId="77777777" w:rsidR="00851A53" w:rsidRDefault="00B65784">
      <w:pPr>
        <w:spacing w:line="360" w:lineRule="auto"/>
        <w:ind w:left="720" w:hanging="720"/>
        <w:jc w:val="both"/>
        <w:rPr>
          <w:rtl/>
        </w:rPr>
      </w:pPr>
      <w:r>
        <w:rPr>
          <w:rFonts w:hint="cs"/>
          <w:rtl/>
        </w:rPr>
        <w:tab/>
        <w:t>ג.</w:t>
      </w:r>
      <w:r>
        <w:rPr>
          <w:rFonts w:hint="cs"/>
          <w:rtl/>
        </w:rPr>
        <w:tab/>
      </w:r>
      <w:r>
        <w:rPr>
          <w:rFonts w:hint="cs"/>
          <w:b/>
          <w:bCs/>
          <w:highlight w:val="yellow"/>
          <w:rtl/>
        </w:rPr>
        <w:t>פיצויים למתלוננת, בסך 3,000 ₪.</w:t>
      </w:r>
    </w:p>
    <w:p w14:paraId="67C03396" w14:textId="77777777" w:rsidR="00851A53" w:rsidRDefault="00B65784">
      <w:pPr>
        <w:spacing w:line="360" w:lineRule="auto"/>
        <w:ind w:left="1440"/>
        <w:jc w:val="both"/>
        <w:rPr>
          <w:rtl/>
        </w:rPr>
      </w:pPr>
      <w:r>
        <w:rPr>
          <w:rFonts w:hint="cs"/>
          <w:rtl/>
        </w:rPr>
        <w:t>הפיצויים יופקדו בקופת בית המשפט עד ולא יאוחר מיום 15/5/2011 ויועברו למתלוננת, על פי פרטים שתמסור התביעה למזכירות עוד היום.</w:t>
      </w:r>
    </w:p>
    <w:p w14:paraId="5387F781" w14:textId="77777777" w:rsidR="00851A53" w:rsidRDefault="00851A53">
      <w:pPr>
        <w:spacing w:line="360" w:lineRule="auto"/>
        <w:ind w:left="720" w:hanging="720"/>
        <w:jc w:val="both"/>
        <w:rPr>
          <w:rtl/>
        </w:rPr>
      </w:pPr>
    </w:p>
    <w:p w14:paraId="222EECED" w14:textId="77777777" w:rsidR="00851A53" w:rsidRDefault="00B65784">
      <w:pPr>
        <w:spacing w:line="360" w:lineRule="auto"/>
        <w:ind w:left="720" w:hanging="720"/>
        <w:jc w:val="both"/>
        <w:rPr>
          <w:rtl/>
        </w:rPr>
      </w:pPr>
      <w:r>
        <w:rPr>
          <w:rFonts w:hint="cs"/>
          <w:rtl/>
        </w:rPr>
        <w:t>נדחה לקבלת תוכנית של"צ והמשך דיון ליום 29/5/2011 שעה 10:00.</w:t>
      </w:r>
    </w:p>
    <w:p w14:paraId="7D440A7F" w14:textId="77777777" w:rsidR="00851A53" w:rsidRDefault="00B65784">
      <w:pPr>
        <w:spacing w:line="360" w:lineRule="auto"/>
        <w:jc w:val="both"/>
        <w:rPr>
          <w:rtl/>
        </w:rPr>
      </w:pPr>
      <w:r>
        <w:rPr>
          <w:rFonts w:hint="cs"/>
          <w:rtl/>
        </w:rPr>
        <w:t xml:space="preserve">מוסבר לנאשם שאם לא יתייצב לדיון יהיה בית המשפט רשאי לדונו שלא בפניו ויוצא כנגדו צו הבאה. </w:t>
      </w:r>
    </w:p>
    <w:p w14:paraId="3653B880" w14:textId="77777777" w:rsidR="00851A53" w:rsidRDefault="00B65784">
      <w:pPr>
        <w:spacing w:line="360" w:lineRule="auto"/>
        <w:rPr>
          <w:rtl/>
        </w:rPr>
      </w:pPr>
      <w:r>
        <w:rPr>
          <w:rFonts w:hint="cs"/>
          <w:rtl/>
        </w:rPr>
        <w:t>המזכירות תעביר עותק ההחלטה לשירות המבחן.</w:t>
      </w:r>
    </w:p>
    <w:p w14:paraId="44D9E4D6" w14:textId="77777777" w:rsidR="00851A53" w:rsidRDefault="00B65784">
      <w:pPr>
        <w:spacing w:line="360" w:lineRule="auto"/>
        <w:jc w:val="both"/>
        <w:rPr>
          <w:rFonts w:ascii="Times New Roman" w:hAnsi="Times New Roman"/>
          <w:rtl/>
        </w:rPr>
      </w:pPr>
      <w:r>
        <w:rPr>
          <w:rFonts w:hint="cs"/>
          <w:rtl/>
        </w:rPr>
        <w:t xml:space="preserve">לנוחות שירות המבחן כתובתו של הנאשם:  יצחק מוגזח 7 רחובות. טל: </w:t>
      </w:r>
      <w:r>
        <w:rPr>
          <w:rFonts w:ascii="Times New Roman" w:hAnsi="Times New Roman"/>
        </w:rPr>
        <w:t>052-5502442</w:t>
      </w:r>
      <w:r>
        <w:rPr>
          <w:rFonts w:ascii="Times New Roman" w:hAnsi="Times New Roman" w:hint="cs"/>
          <w:rtl/>
        </w:rPr>
        <w:t xml:space="preserve">. </w:t>
      </w:r>
    </w:p>
    <w:p w14:paraId="762CB384" w14:textId="77777777" w:rsidR="00851A53" w:rsidRDefault="00B65784">
      <w:pPr>
        <w:spacing w:line="360" w:lineRule="auto"/>
        <w:jc w:val="both"/>
        <w:rPr>
          <w:sz w:val="6"/>
          <w:szCs w:val="6"/>
          <w:rtl/>
        </w:rPr>
      </w:pPr>
      <w:r>
        <w:rPr>
          <w:sz w:val="6"/>
          <w:szCs w:val="6"/>
          <w:rtl/>
        </w:rPr>
        <w:t>&lt;#6#&gt;</w:t>
      </w:r>
    </w:p>
    <w:p w14:paraId="2BEFBDA0" w14:textId="77777777" w:rsidR="00851A53" w:rsidRDefault="00851A53">
      <w:pPr>
        <w:jc w:val="right"/>
        <w:rPr>
          <w:rtl/>
        </w:rPr>
      </w:pPr>
    </w:p>
    <w:p w14:paraId="274A618B" w14:textId="77777777" w:rsidR="00851A53" w:rsidRDefault="00B65784">
      <w:pPr>
        <w:spacing w:line="360" w:lineRule="auto"/>
        <w:jc w:val="both"/>
        <w:rPr>
          <w:rtl/>
        </w:rPr>
      </w:pPr>
      <w:r>
        <w:rPr>
          <w:rFonts w:hint="cs"/>
          <w:b/>
          <w:bCs/>
          <w:rtl/>
        </w:rPr>
        <w:t xml:space="preserve">ניתנה והודעה היום </w:t>
      </w:r>
      <w:r>
        <w:rPr>
          <w:b/>
          <w:bCs/>
          <w:rtl/>
        </w:rPr>
        <w:t>י"ג ניסן תשע"א</w:t>
      </w:r>
      <w:r>
        <w:rPr>
          <w:rFonts w:hint="cs"/>
          <w:b/>
          <w:bCs/>
          <w:rtl/>
        </w:rPr>
        <w:t xml:space="preserve">, </w:t>
      </w:r>
      <w:r>
        <w:rPr>
          <w:b/>
          <w:bCs/>
          <w:rtl/>
        </w:rPr>
        <w:t>17/04/2011</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51A53" w14:paraId="1430A1D4" w14:textId="77777777">
        <w:trPr>
          <w:trHeight w:val="364"/>
          <w:jc w:val="right"/>
        </w:trPr>
        <w:tc>
          <w:tcPr>
            <w:tcW w:w="3708" w:type="dxa"/>
            <w:shd w:val="clear" w:color="auto" w:fill="auto"/>
          </w:tcPr>
          <w:p w14:paraId="6B8CD0BC" w14:textId="77777777" w:rsidR="00851A53" w:rsidRDefault="00851A53" w:rsidP="00FB2EB7">
            <w:pPr>
              <w:jc w:val="center"/>
              <w:rPr>
                <w:rtl/>
              </w:rPr>
            </w:pPr>
          </w:p>
        </w:tc>
      </w:tr>
      <w:tr w:rsidR="00851A53" w14:paraId="040BCBCF" w14:textId="77777777">
        <w:trPr>
          <w:trHeight w:val="415"/>
          <w:jc w:val="right"/>
        </w:trPr>
        <w:tc>
          <w:tcPr>
            <w:tcW w:w="3708" w:type="dxa"/>
            <w:shd w:val="clear" w:color="auto" w:fill="auto"/>
          </w:tcPr>
          <w:p w14:paraId="28BCFA4A" w14:textId="77777777" w:rsidR="00851A53" w:rsidRPr="00FB2EB7" w:rsidRDefault="00B65784" w:rsidP="00FB2EB7">
            <w:pPr>
              <w:jc w:val="center"/>
              <w:rPr>
                <w:b/>
                <w:bCs/>
                <w:rtl/>
              </w:rPr>
            </w:pPr>
            <w:r w:rsidRPr="00FB2EB7">
              <w:rPr>
                <w:rFonts w:hint="cs"/>
                <w:b/>
                <w:bCs/>
                <w:rtl/>
              </w:rPr>
              <w:t>ירון לוי, שופט,</w:t>
            </w:r>
          </w:p>
          <w:p w14:paraId="74DAAC2A" w14:textId="77777777" w:rsidR="00851A53" w:rsidRPr="00FB2EB7" w:rsidRDefault="00B65784" w:rsidP="00FB2EB7">
            <w:pPr>
              <w:jc w:val="center"/>
              <w:rPr>
                <w:b/>
                <w:bCs/>
                <w:rtl/>
              </w:rPr>
            </w:pPr>
            <w:r w:rsidRPr="00FB2EB7">
              <w:rPr>
                <w:rFonts w:hint="cs"/>
                <w:b/>
                <w:bCs/>
                <w:rtl/>
              </w:rPr>
              <w:t>סגן הנשיאה</w:t>
            </w:r>
          </w:p>
        </w:tc>
      </w:tr>
    </w:tbl>
    <w:p w14:paraId="5396841D" w14:textId="77777777" w:rsidR="00851A53" w:rsidRDefault="00851A53">
      <w:pPr>
        <w:spacing w:line="360" w:lineRule="auto"/>
        <w:rPr>
          <w:b/>
          <w:bCs/>
          <w:u w:val="single"/>
          <w:rtl/>
        </w:rPr>
      </w:pPr>
    </w:p>
    <w:p w14:paraId="5057240D" w14:textId="77777777" w:rsidR="00851A53" w:rsidRDefault="00B65784">
      <w:pPr>
        <w:spacing w:line="360" w:lineRule="auto"/>
        <w:rPr>
          <w:rtl/>
        </w:rPr>
      </w:pPr>
      <w:r>
        <w:rPr>
          <w:rFonts w:hint="cs"/>
          <w:rtl/>
        </w:rPr>
        <w:t>.</w:t>
      </w:r>
    </w:p>
    <w:p w14:paraId="3A0EE68E" w14:textId="77777777" w:rsidR="00851A53" w:rsidRDefault="00B65784">
      <w:pPr>
        <w:rPr>
          <w:sz w:val="6"/>
          <w:szCs w:val="6"/>
          <w:rtl/>
        </w:rPr>
      </w:pPr>
      <w:r>
        <w:rPr>
          <w:sz w:val="6"/>
          <w:szCs w:val="6"/>
          <w:rtl/>
        </w:rPr>
        <w:t>&lt;#7#&gt;</w:t>
      </w:r>
    </w:p>
    <w:p w14:paraId="68AFBBA3" w14:textId="77777777" w:rsidR="00851A53" w:rsidRDefault="00B6578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8BE4531" w14:textId="77777777" w:rsidR="00851A53" w:rsidRDefault="00851A53">
      <w:pPr>
        <w:jc w:val="both"/>
        <w:rPr>
          <w:rtl/>
        </w:rPr>
      </w:pPr>
    </w:p>
    <w:p w14:paraId="76712EA2" w14:textId="77777777" w:rsidR="00851A53" w:rsidRDefault="00B65784">
      <w:pPr>
        <w:jc w:val="both"/>
        <w:rPr>
          <w:rtl/>
        </w:rPr>
      </w:pPr>
      <w:r>
        <w:rPr>
          <w:rFonts w:hint="cs"/>
          <w:rtl/>
        </w:rPr>
        <w:t>הפיקדון ב</w:t>
      </w:r>
      <w:hyperlink r:id="rId22" w:history="1">
        <w:r w:rsidR="001F7802" w:rsidRPr="001F7802">
          <w:rPr>
            <w:rStyle w:val="Hyperlink"/>
            <w:rtl/>
          </w:rPr>
          <w:t>מ"ת 47382-08-10</w:t>
        </w:r>
      </w:hyperlink>
      <w:r>
        <w:rPr>
          <w:rFonts w:hint="cs"/>
          <w:rtl/>
        </w:rPr>
        <w:t xml:space="preserve"> בסך 3,000 ₪ יקוזז לטובת הפיצויים.</w:t>
      </w:r>
    </w:p>
    <w:p w14:paraId="6F16E1C7" w14:textId="77777777" w:rsidR="00851A53" w:rsidRDefault="00851A53">
      <w:pPr>
        <w:jc w:val="both"/>
        <w:rPr>
          <w:rtl/>
        </w:rPr>
      </w:pPr>
    </w:p>
    <w:p w14:paraId="5BE082E8" w14:textId="77777777" w:rsidR="00851A53" w:rsidRDefault="00B65784">
      <w:pPr>
        <w:jc w:val="both"/>
        <w:rPr>
          <w:sz w:val="6"/>
          <w:szCs w:val="6"/>
          <w:rtl/>
        </w:rPr>
      </w:pPr>
      <w:r>
        <w:rPr>
          <w:sz w:val="6"/>
          <w:szCs w:val="6"/>
          <w:rtl/>
        </w:rPr>
        <w:t>&lt;#8#&gt;</w:t>
      </w:r>
    </w:p>
    <w:p w14:paraId="4F0AE29C" w14:textId="77777777" w:rsidR="00851A53" w:rsidRDefault="00851A53">
      <w:pPr>
        <w:jc w:val="right"/>
        <w:rPr>
          <w:rtl/>
        </w:rPr>
      </w:pPr>
    </w:p>
    <w:p w14:paraId="6FA45CD3" w14:textId="77777777" w:rsidR="00851A53" w:rsidRDefault="00B65784">
      <w:pPr>
        <w:jc w:val="both"/>
        <w:rPr>
          <w:rtl/>
        </w:rPr>
      </w:pPr>
      <w:r>
        <w:rPr>
          <w:b/>
          <w:bCs/>
          <w:rtl/>
        </w:rPr>
        <w:t xml:space="preserve">ניתנה והודעה היום י"ג ניסן תשע"א, 17/04/2011 במעמד הנוכחים.  </w:t>
      </w:r>
      <w:r>
        <w:rPr>
          <w:rtl/>
        </w:rPr>
        <w:t xml:space="preserve"> </w:t>
      </w:r>
    </w:p>
    <w:p w14:paraId="0F8A08E9" w14:textId="77777777" w:rsidR="00B65784" w:rsidRPr="00B65784" w:rsidRDefault="00B65784">
      <w:pPr>
        <w:jc w:val="center"/>
        <w:rPr>
          <w:color w:val="FFFFFF"/>
          <w:sz w:val="2"/>
          <w:szCs w:val="2"/>
          <w:rtl/>
        </w:rPr>
      </w:pPr>
    </w:p>
    <w:p w14:paraId="3D8488AB" w14:textId="77777777" w:rsidR="00B65784" w:rsidRPr="00B65784" w:rsidRDefault="00B65784">
      <w:pPr>
        <w:jc w:val="center"/>
        <w:rPr>
          <w:color w:val="FFFFFF"/>
          <w:sz w:val="2"/>
          <w:szCs w:val="2"/>
          <w:rtl/>
        </w:rPr>
      </w:pPr>
      <w:r w:rsidRPr="00B65784">
        <w:rPr>
          <w:color w:val="FFFFFF"/>
          <w:sz w:val="2"/>
          <w:szCs w:val="2"/>
          <w:rtl/>
        </w:rPr>
        <w:t>5129371</w:t>
      </w:r>
    </w:p>
    <w:p w14:paraId="207BE08A" w14:textId="77777777" w:rsidR="00B65784" w:rsidRPr="00B65784" w:rsidRDefault="00B65784" w:rsidP="00B65784">
      <w:pPr>
        <w:keepNext/>
        <w:rPr>
          <w:color w:val="000000"/>
          <w:sz w:val="22"/>
          <w:szCs w:val="22"/>
          <w:rtl/>
        </w:rPr>
      </w:pPr>
    </w:p>
    <w:p w14:paraId="4B61CE7F" w14:textId="77777777" w:rsidR="002D1038" w:rsidRPr="002D1038" w:rsidRDefault="002D1038" w:rsidP="002D1038">
      <w:pPr>
        <w:keepNext/>
        <w:rPr>
          <w:rFonts w:hint="cs"/>
          <w:color w:val="000000"/>
          <w:sz w:val="22"/>
          <w:szCs w:val="22"/>
          <w:rtl/>
        </w:rPr>
      </w:pPr>
    </w:p>
    <w:p w14:paraId="023BB91B" w14:textId="77777777" w:rsidR="002D1038" w:rsidRPr="002D1038" w:rsidRDefault="002D1038" w:rsidP="002D1038">
      <w:pPr>
        <w:keepNext/>
        <w:rPr>
          <w:color w:val="000000"/>
          <w:sz w:val="22"/>
          <w:szCs w:val="22"/>
          <w:rtl/>
        </w:rPr>
      </w:pPr>
      <w:r w:rsidRPr="002D1038">
        <w:rPr>
          <w:color w:val="000000"/>
          <w:sz w:val="22"/>
          <w:szCs w:val="22"/>
          <w:rtl/>
        </w:rPr>
        <w:t>ירון לוי 54678313-/</w:t>
      </w:r>
    </w:p>
    <w:p w14:paraId="4838E18D" w14:textId="77777777" w:rsidR="00851A53" w:rsidRDefault="00B65784">
      <w:pPr>
        <w:jc w:val="center"/>
        <w:rPr>
          <w:rtl/>
        </w:rPr>
      </w:pPr>
      <w:r w:rsidRPr="00B65784">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51A53" w14:paraId="1599ED88" w14:textId="77777777">
        <w:trPr>
          <w:trHeight w:val="364"/>
          <w:jc w:val="right"/>
        </w:trPr>
        <w:tc>
          <w:tcPr>
            <w:tcW w:w="3708" w:type="dxa"/>
            <w:shd w:val="clear" w:color="auto" w:fill="auto"/>
          </w:tcPr>
          <w:p w14:paraId="4931C686" w14:textId="77777777" w:rsidR="00851A53" w:rsidRDefault="00851A53" w:rsidP="00FB2EB7">
            <w:pPr>
              <w:jc w:val="center"/>
              <w:rPr>
                <w:rtl/>
              </w:rPr>
            </w:pPr>
          </w:p>
        </w:tc>
      </w:tr>
      <w:tr w:rsidR="00851A53" w14:paraId="60C09039" w14:textId="77777777">
        <w:trPr>
          <w:trHeight w:val="415"/>
          <w:jc w:val="right"/>
        </w:trPr>
        <w:tc>
          <w:tcPr>
            <w:tcW w:w="3708" w:type="dxa"/>
            <w:shd w:val="clear" w:color="auto" w:fill="auto"/>
          </w:tcPr>
          <w:p w14:paraId="4D3A2EA1" w14:textId="77777777" w:rsidR="00851A53" w:rsidRPr="00FB2EB7" w:rsidRDefault="00B65784" w:rsidP="00FB2EB7">
            <w:pPr>
              <w:jc w:val="center"/>
              <w:rPr>
                <w:b/>
                <w:bCs/>
                <w:rtl/>
              </w:rPr>
            </w:pPr>
            <w:r w:rsidRPr="00FB2EB7">
              <w:rPr>
                <w:rFonts w:hint="cs"/>
                <w:b/>
                <w:bCs/>
                <w:rtl/>
              </w:rPr>
              <w:t>ירון לוי, שופט,</w:t>
            </w:r>
          </w:p>
          <w:p w14:paraId="4C1BC77B" w14:textId="77777777" w:rsidR="00851A53" w:rsidRPr="00FB2EB7" w:rsidRDefault="00B65784" w:rsidP="00FB2EB7">
            <w:pPr>
              <w:jc w:val="center"/>
              <w:rPr>
                <w:b/>
                <w:bCs/>
                <w:rtl/>
              </w:rPr>
            </w:pPr>
            <w:r w:rsidRPr="00FB2EB7">
              <w:rPr>
                <w:rFonts w:hint="cs"/>
                <w:b/>
                <w:bCs/>
                <w:rtl/>
              </w:rPr>
              <w:t>סגן הנשיאה</w:t>
            </w:r>
          </w:p>
        </w:tc>
      </w:tr>
    </w:tbl>
    <w:p w14:paraId="5669D30A" w14:textId="77777777" w:rsidR="002D1038" w:rsidRPr="002D1038" w:rsidRDefault="002D1038">
      <w:pPr>
        <w:jc w:val="right"/>
        <w:rPr>
          <w:color w:val="FFFFFF"/>
          <w:sz w:val="2"/>
          <w:szCs w:val="2"/>
          <w:rtl/>
        </w:rPr>
      </w:pPr>
    </w:p>
    <w:p w14:paraId="34D21BE6" w14:textId="77777777" w:rsidR="002D1038" w:rsidRPr="002D1038" w:rsidRDefault="002D1038">
      <w:pPr>
        <w:jc w:val="right"/>
        <w:rPr>
          <w:color w:val="FFFFFF"/>
          <w:sz w:val="2"/>
          <w:szCs w:val="2"/>
          <w:rtl/>
        </w:rPr>
      </w:pPr>
      <w:r w:rsidRPr="002D1038">
        <w:rPr>
          <w:color w:val="FFFFFF"/>
          <w:sz w:val="2"/>
          <w:szCs w:val="2"/>
          <w:rtl/>
        </w:rPr>
        <w:t>5129371</w:t>
      </w:r>
    </w:p>
    <w:p w14:paraId="7B85044B" w14:textId="77777777" w:rsidR="00851A53" w:rsidRDefault="002D1038">
      <w:pPr>
        <w:jc w:val="right"/>
        <w:rPr>
          <w:rtl/>
        </w:rPr>
      </w:pPr>
      <w:r w:rsidRPr="002D1038">
        <w:rPr>
          <w:color w:val="FFFFFF"/>
          <w:sz w:val="2"/>
          <w:szCs w:val="2"/>
          <w:rtl/>
        </w:rPr>
        <w:t>54678313</w:t>
      </w:r>
    </w:p>
    <w:p w14:paraId="3902A4DC" w14:textId="77777777" w:rsidR="00851A53" w:rsidRDefault="00B65784">
      <w:pPr>
        <w:jc w:val="both"/>
        <w:rPr>
          <w:rtl/>
        </w:rPr>
      </w:pPr>
      <w:r>
        <w:rPr>
          <w:rFonts w:hint="cs"/>
          <w:rtl/>
        </w:rPr>
        <w:t xml:space="preserve">קלדנית: שרה רובנס </w:t>
      </w:r>
      <w:r>
        <w:rPr>
          <w:rtl/>
        </w:rPr>
        <w:t xml:space="preserve">   </w:t>
      </w:r>
    </w:p>
    <w:p w14:paraId="357B7040" w14:textId="77777777" w:rsidR="00851A53" w:rsidRDefault="00B65784">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שרה רובנס</w:t>
      </w:r>
    </w:p>
    <w:p w14:paraId="5B8E2968" w14:textId="77777777" w:rsidR="00B65784" w:rsidRDefault="00B65784" w:rsidP="00B65784">
      <w:r w:rsidRPr="00B65784">
        <w:rPr>
          <w:color w:val="000000"/>
          <w:rtl/>
        </w:rPr>
        <w:t>נוסח מסמך זה כפוף לשינויי ניסוח ועריכה</w:t>
      </w:r>
    </w:p>
    <w:p w14:paraId="77D752AB" w14:textId="77777777" w:rsidR="00B65784" w:rsidRDefault="00B65784" w:rsidP="00B65784">
      <w:pPr>
        <w:rPr>
          <w:rtl/>
        </w:rPr>
      </w:pPr>
    </w:p>
    <w:p w14:paraId="1A8B6CCC" w14:textId="77777777" w:rsidR="00B65784" w:rsidRDefault="00B65784" w:rsidP="00B65784">
      <w:pPr>
        <w:jc w:val="center"/>
        <w:rPr>
          <w:color w:val="0000FF"/>
          <w:u w:val="single"/>
        </w:rPr>
      </w:pPr>
      <w:r w:rsidRPr="00E03CF9">
        <w:rPr>
          <w:color w:val="000000"/>
          <w:rtl/>
        </w:rPr>
        <w:t>בעניין עריכה ושינויים במסמכי פסיקה, חקיקה ועוד באתר נבו – הקש כאן</w:t>
      </w:r>
    </w:p>
    <w:sectPr w:rsidR="00B65784" w:rsidSect="002D1038">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CB89" w14:textId="77777777" w:rsidR="00FB2EB7" w:rsidRPr="005F736F" w:rsidRDefault="00FB2EB7">
      <w:pPr>
        <w:rPr>
          <w:rFonts w:cs="Arial"/>
          <w:szCs w:val="20"/>
        </w:rPr>
      </w:pPr>
      <w:r>
        <w:separator/>
      </w:r>
    </w:p>
  </w:endnote>
  <w:endnote w:type="continuationSeparator" w:id="0">
    <w:p w14:paraId="3BF95C49" w14:textId="77777777" w:rsidR="00FB2EB7" w:rsidRPr="005F736F" w:rsidRDefault="00FB2E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5810" w14:textId="77777777" w:rsidR="00255DA3" w:rsidRDefault="00255DA3" w:rsidP="002D103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C61E07" w14:textId="77777777" w:rsidR="00255DA3" w:rsidRPr="002D1038" w:rsidRDefault="00255DA3" w:rsidP="002D1038">
    <w:pPr>
      <w:pStyle w:val="Footer"/>
      <w:pBdr>
        <w:top w:val="single" w:sz="4" w:space="1" w:color="auto"/>
        <w:between w:val="single" w:sz="4" w:space="0" w:color="auto"/>
      </w:pBdr>
      <w:spacing w:after="60"/>
      <w:jc w:val="center"/>
      <w:rPr>
        <w:rFonts w:ascii="FrankRuehl" w:hAnsi="FrankRuehl" w:cs="FrankRuehl"/>
        <w:color w:val="000000"/>
      </w:rPr>
    </w:pPr>
    <w:r w:rsidRPr="002D10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1364" w14:textId="77777777" w:rsidR="00255DA3" w:rsidRDefault="00255DA3" w:rsidP="002D103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335B">
      <w:rPr>
        <w:rFonts w:ascii="FrankRuehl" w:hAnsi="FrankRuehl" w:cs="FrankRuehl"/>
        <w:noProof/>
        <w:rtl/>
      </w:rPr>
      <w:t>1</w:t>
    </w:r>
    <w:r>
      <w:rPr>
        <w:rFonts w:ascii="FrankRuehl" w:hAnsi="FrankRuehl" w:cs="FrankRuehl"/>
        <w:rtl/>
      </w:rPr>
      <w:fldChar w:fldCharType="end"/>
    </w:r>
  </w:p>
  <w:p w14:paraId="1138A485" w14:textId="77777777" w:rsidR="00255DA3" w:rsidRPr="002D1038" w:rsidRDefault="00255DA3" w:rsidP="002D1038">
    <w:pPr>
      <w:pStyle w:val="Footer"/>
      <w:pBdr>
        <w:top w:val="single" w:sz="4" w:space="1" w:color="auto"/>
        <w:between w:val="single" w:sz="4" w:space="0" w:color="auto"/>
      </w:pBdr>
      <w:spacing w:after="60"/>
      <w:jc w:val="center"/>
      <w:rPr>
        <w:rFonts w:ascii="FrankRuehl" w:hAnsi="FrankRuehl" w:cs="FrankRuehl"/>
        <w:color w:val="000000"/>
      </w:rPr>
    </w:pPr>
    <w:r w:rsidRPr="002D1038">
      <w:rPr>
        <w:rFonts w:ascii="FrankRuehl" w:hAnsi="FrankRuehl" w:cs="FrankRuehl"/>
        <w:color w:val="000000"/>
      </w:rPr>
      <w:pict w14:anchorId="31707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F8E" w14:textId="77777777" w:rsidR="00FB2EB7" w:rsidRPr="005F736F" w:rsidRDefault="00FB2EB7">
      <w:pPr>
        <w:rPr>
          <w:rFonts w:cs="Arial"/>
          <w:szCs w:val="20"/>
        </w:rPr>
      </w:pPr>
      <w:r>
        <w:separator/>
      </w:r>
    </w:p>
  </w:footnote>
  <w:footnote w:type="continuationSeparator" w:id="0">
    <w:p w14:paraId="39367E10" w14:textId="77777777" w:rsidR="00FB2EB7" w:rsidRPr="005F736F" w:rsidRDefault="00FB2E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B367" w14:textId="77777777" w:rsidR="00255DA3" w:rsidRPr="002D1038" w:rsidRDefault="00255DA3" w:rsidP="002D103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47295-08-10</w:t>
    </w:r>
    <w:r>
      <w:rPr>
        <w:color w:val="000000"/>
        <w:sz w:val="22"/>
        <w:szCs w:val="22"/>
        <w:rtl/>
      </w:rPr>
      <w:tab/>
      <w:t xml:space="preserve"> מדינת ישראל נ' יהודה חייט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F451" w14:textId="77777777" w:rsidR="00255DA3" w:rsidRPr="002D1038" w:rsidRDefault="00255DA3" w:rsidP="002D103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47295-08-10</w:t>
    </w:r>
    <w:r>
      <w:rPr>
        <w:color w:val="000000"/>
        <w:sz w:val="22"/>
        <w:szCs w:val="22"/>
        <w:rtl/>
      </w:rPr>
      <w:tab/>
      <w:t xml:space="preserve"> מדינת ישראל נ' יהודה חייט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1A53"/>
    <w:rsid w:val="0013238B"/>
    <w:rsid w:val="001F7802"/>
    <w:rsid w:val="00255DA3"/>
    <w:rsid w:val="002D1038"/>
    <w:rsid w:val="00304E8E"/>
    <w:rsid w:val="00461EB8"/>
    <w:rsid w:val="00517C13"/>
    <w:rsid w:val="00851A53"/>
    <w:rsid w:val="00A25746"/>
    <w:rsid w:val="00B65784"/>
    <w:rsid w:val="00C875EB"/>
    <w:rsid w:val="00E03CF9"/>
    <w:rsid w:val="00EC335B"/>
    <w:rsid w:val="00FB2E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9CB918"/>
  <w15:chartTrackingRefBased/>
  <w15:docId w15:val="{FE8062F6-86FA-47FC-BA58-E1B50608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A53"/>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1A53"/>
    <w:pPr>
      <w:tabs>
        <w:tab w:val="center" w:pos="4153"/>
        <w:tab w:val="right" w:pos="8306"/>
      </w:tabs>
    </w:pPr>
  </w:style>
  <w:style w:type="paragraph" w:styleId="Footer">
    <w:name w:val="footer"/>
    <w:basedOn w:val="Normal"/>
    <w:rsid w:val="00851A53"/>
    <w:pPr>
      <w:tabs>
        <w:tab w:val="center" w:pos="4153"/>
        <w:tab w:val="right" w:pos="8306"/>
      </w:tabs>
    </w:pPr>
  </w:style>
  <w:style w:type="table" w:styleId="TableGrid">
    <w:name w:val="Table Grid"/>
    <w:basedOn w:val="TableNormal"/>
    <w:rsid w:val="00851A5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1A53"/>
  </w:style>
  <w:style w:type="paragraph" w:customStyle="1" w:styleId="12">
    <w:name w:val="רגיל + ‏12 נק'"/>
    <w:aliases w:val="מיושר לשני הצדדים,מרווח בין שורות:  שורה וחצי"/>
    <w:basedOn w:val="Normal"/>
    <w:rsid w:val="00851A53"/>
    <w:rPr>
      <w:rFonts w:ascii="Times New Roman" w:eastAsia="Times New Roman" w:hAnsi="Times New Roman"/>
      <w:b/>
      <w:bCs/>
      <w:u w:val="single"/>
    </w:rPr>
  </w:style>
  <w:style w:type="character" w:styleId="LineNumber">
    <w:name w:val="line number"/>
    <w:basedOn w:val="DefaultParagraphFont"/>
    <w:rsid w:val="00851A53"/>
  </w:style>
  <w:style w:type="character" w:styleId="Hyperlink">
    <w:name w:val="Hyperlink"/>
    <w:rsid w:val="00B65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jC" TargetMode="External"/><Relationship Id="rId13" Type="http://schemas.openxmlformats.org/officeDocument/2006/relationships/hyperlink" Target="http://www.nevo.co.il/case/2257170"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2507" TargetMode="External"/><Relationship Id="rId7" Type="http://schemas.openxmlformats.org/officeDocument/2006/relationships/hyperlink" Target="http://www.nevo.co.il/law/70301/348.c" TargetMode="External"/><Relationship Id="rId12" Type="http://schemas.openxmlformats.org/officeDocument/2006/relationships/hyperlink" Target="http://www.nevo.co.il/case/5810781" TargetMode="External"/><Relationship Id="rId17" Type="http://schemas.openxmlformats.org/officeDocument/2006/relationships/hyperlink" Target="http://www.nevo.co.il/law/70301/348.c"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404354"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66614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yperlink" Target="http://www.nevo.co.il/law/70301/jC" TargetMode="External"/><Relationship Id="rId4" Type="http://schemas.openxmlformats.org/officeDocument/2006/relationships/footnotes" Target="footnotes.xml"/><Relationship Id="rId9" Type="http://schemas.openxmlformats.org/officeDocument/2006/relationships/hyperlink" Target="http://www.nevo.co.il/law/72507" TargetMode="External"/><Relationship Id="rId14" Type="http://schemas.openxmlformats.org/officeDocument/2006/relationships/hyperlink" Target="http://www.nevo.co.il/case/5937094" TargetMode="External"/><Relationship Id="rId22" Type="http://schemas.openxmlformats.org/officeDocument/2006/relationships/hyperlink" Target="http://www.nevo.co.il/case/3779436"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8588</CharactersWithSpaces>
  <SharedDoc>false</SharedDoc>
  <HLinks>
    <vt:vector size="102" baseType="variant">
      <vt:variant>
        <vt:i4>3539065</vt:i4>
      </vt:variant>
      <vt:variant>
        <vt:i4>48</vt:i4>
      </vt:variant>
      <vt:variant>
        <vt:i4>0</vt:i4>
      </vt:variant>
      <vt:variant>
        <vt:i4>5</vt:i4>
      </vt:variant>
      <vt:variant>
        <vt:lpwstr>http://www.nevo.co.il/case/3779436</vt:lpwstr>
      </vt:variant>
      <vt:variant>
        <vt:lpwstr/>
      </vt:variant>
      <vt:variant>
        <vt:i4>7864418</vt:i4>
      </vt:variant>
      <vt:variant>
        <vt:i4>45</vt:i4>
      </vt:variant>
      <vt:variant>
        <vt:i4>0</vt:i4>
      </vt:variant>
      <vt:variant>
        <vt:i4>5</vt:i4>
      </vt:variant>
      <vt:variant>
        <vt:lpwstr>http://www.nevo.co.il/law/72507</vt:lpwstr>
      </vt:variant>
      <vt:variant>
        <vt:lpwstr/>
      </vt:variant>
      <vt:variant>
        <vt:i4>7995492</vt:i4>
      </vt:variant>
      <vt:variant>
        <vt:i4>42</vt:i4>
      </vt:variant>
      <vt:variant>
        <vt:i4>0</vt:i4>
      </vt:variant>
      <vt:variant>
        <vt:i4>5</vt:i4>
      </vt:variant>
      <vt:variant>
        <vt:lpwstr>http://www.nevo.co.il/law/70301</vt:lpwstr>
      </vt:variant>
      <vt:variant>
        <vt:lpwstr/>
      </vt:variant>
      <vt:variant>
        <vt:i4>3539007</vt:i4>
      </vt:variant>
      <vt:variant>
        <vt:i4>39</vt:i4>
      </vt:variant>
      <vt:variant>
        <vt:i4>0</vt:i4>
      </vt:variant>
      <vt:variant>
        <vt:i4>5</vt:i4>
      </vt:variant>
      <vt:variant>
        <vt:lpwstr>http://www.nevo.co.il/law/70301/jC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3473521</vt:i4>
      </vt:variant>
      <vt:variant>
        <vt:i4>30</vt:i4>
      </vt:variant>
      <vt:variant>
        <vt:i4>0</vt:i4>
      </vt:variant>
      <vt:variant>
        <vt:i4>5</vt:i4>
      </vt:variant>
      <vt:variant>
        <vt:lpwstr>http://www.nevo.co.il/case/2404354</vt:lpwstr>
      </vt:variant>
      <vt:variant>
        <vt:lpwstr/>
      </vt:variant>
      <vt:variant>
        <vt:i4>3473520</vt:i4>
      </vt:variant>
      <vt:variant>
        <vt:i4>27</vt:i4>
      </vt:variant>
      <vt:variant>
        <vt:i4>0</vt:i4>
      </vt:variant>
      <vt:variant>
        <vt:i4>5</vt:i4>
      </vt:variant>
      <vt:variant>
        <vt:lpwstr>http://www.nevo.co.il/case/1666143</vt:lpwstr>
      </vt:variant>
      <vt:variant>
        <vt:lpwstr/>
      </vt:variant>
      <vt:variant>
        <vt:i4>3276915</vt:i4>
      </vt:variant>
      <vt:variant>
        <vt:i4>24</vt:i4>
      </vt:variant>
      <vt:variant>
        <vt:i4>0</vt:i4>
      </vt:variant>
      <vt:variant>
        <vt:i4>5</vt:i4>
      </vt:variant>
      <vt:variant>
        <vt:lpwstr>http://www.nevo.co.il/case/5937094</vt:lpwstr>
      </vt:variant>
      <vt:variant>
        <vt:lpwstr/>
      </vt:variant>
      <vt:variant>
        <vt:i4>3539062</vt:i4>
      </vt:variant>
      <vt:variant>
        <vt:i4>21</vt:i4>
      </vt:variant>
      <vt:variant>
        <vt:i4>0</vt:i4>
      </vt:variant>
      <vt:variant>
        <vt:i4>5</vt:i4>
      </vt:variant>
      <vt:variant>
        <vt:lpwstr>http://www.nevo.co.il/case/2257170</vt:lpwstr>
      </vt:variant>
      <vt:variant>
        <vt:lpwstr/>
      </vt:variant>
      <vt:variant>
        <vt:i4>3276916</vt:i4>
      </vt:variant>
      <vt:variant>
        <vt:i4>18</vt:i4>
      </vt:variant>
      <vt:variant>
        <vt:i4>0</vt:i4>
      </vt:variant>
      <vt:variant>
        <vt:i4>5</vt:i4>
      </vt:variant>
      <vt:variant>
        <vt:lpwstr>http://www.nevo.co.il/case/5810781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7864418</vt:i4>
      </vt:variant>
      <vt:variant>
        <vt:i4>9</vt:i4>
      </vt:variant>
      <vt:variant>
        <vt:i4>0</vt:i4>
      </vt:variant>
      <vt:variant>
        <vt:i4>5</vt:i4>
      </vt:variant>
      <vt:variant>
        <vt:lpwstr>http://www.nevo.co.il/law/72507</vt:lpwstr>
      </vt:variant>
      <vt:variant>
        <vt:lpwstr/>
      </vt:variant>
      <vt:variant>
        <vt:i4>3539007</vt:i4>
      </vt:variant>
      <vt:variant>
        <vt:i4>6</vt:i4>
      </vt:variant>
      <vt:variant>
        <vt:i4>0</vt:i4>
      </vt:variant>
      <vt:variant>
        <vt:i4>5</vt:i4>
      </vt:variant>
      <vt:variant>
        <vt:lpwstr>http://www.nevo.co.il/law/70301/jC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dc:creator>
  <cp:keywords/>
  <dc:description/>
  <cp:lastModifiedBy>Eliya Habba</cp:lastModifiedBy>
  <cp:revision>2</cp:revision>
  <dcterms:created xsi:type="dcterms:W3CDTF">2022-05-24T10:39:00Z</dcterms:created>
  <dcterms:modified xsi:type="dcterms:W3CDTF">2022-05-24T10:39:00Z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47295</vt:lpwstr>
  </property>
  <property fmtid="{D5CDD505-2E9C-101B-9397-08002B2CF9AE}" pid="6" name="NEWPARTB">
    <vt:lpwstr>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יהודה חייט</vt:lpwstr>
  </property>
  <property fmtid="{D5CDD505-2E9C-101B-9397-08002B2CF9AE}" pid="10" name="LAWYER">
    <vt:lpwstr>שלומית זכריה ספיר;ששי גז;הילה נישלי;רועי לביא</vt:lpwstr>
  </property>
  <property fmtid="{D5CDD505-2E9C-101B-9397-08002B2CF9AE}" pid="11" name="JUDGE">
    <vt:lpwstr>ירון לוי</vt:lpwstr>
  </property>
  <property fmtid="{D5CDD505-2E9C-101B-9397-08002B2CF9AE}" pid="12" name="CITY">
    <vt:lpwstr>רח'</vt:lpwstr>
  </property>
  <property fmtid="{D5CDD505-2E9C-101B-9397-08002B2CF9AE}" pid="13" name="DATE">
    <vt:lpwstr>20110417</vt:lpwstr>
  </property>
  <property fmtid="{D5CDD505-2E9C-101B-9397-08002B2CF9AE}" pid="14" name="TYPE_N_DATE">
    <vt:lpwstr>38020110417</vt:lpwstr>
  </property>
  <property fmtid="{D5CDD505-2E9C-101B-9397-08002B2CF9AE}" pid="15" name="WORDNUMPAGES">
    <vt:lpwstr>6</vt:lpwstr>
  </property>
  <property fmtid="{D5CDD505-2E9C-101B-9397-08002B2CF9AE}" pid="16" name="TYPE_ABS_DATE">
    <vt:lpwstr>380020110417</vt:lpwstr>
  </property>
  <property fmtid="{D5CDD505-2E9C-101B-9397-08002B2CF9AE}" pid="17" name="RemarkFileName">
    <vt:lpwstr>shalom sh 10 08 47295 411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5810781;2257170;5937094;1666143;2404354;3779436</vt:lpwstr>
  </property>
  <property fmtid="{D5CDD505-2E9C-101B-9397-08002B2CF9AE}" pid="40" name="LAWLISTTMP1">
    <vt:lpwstr>70301/348.c:2;jC</vt:lpwstr>
  </property>
  <property fmtid="{D5CDD505-2E9C-101B-9397-08002B2CF9AE}" pid="41" name="LAWLISTTMP2">
    <vt:lpwstr>72507</vt:lpwstr>
  </property>
</Properties>
</file>