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FE45E4" w:rsidRPr="00B02876" w14:paraId="17286DF0" w14:textId="77777777">
        <w:trPr>
          <w:trHeight w:hRule="exact" w:val="418"/>
          <w:jc w:val="center"/>
        </w:trPr>
        <w:tc>
          <w:tcPr>
            <w:tcW w:w="8721" w:type="dxa"/>
            <w:gridSpan w:val="2"/>
          </w:tcPr>
          <w:p w14:paraId="0D33CC11" w14:textId="77777777" w:rsidR="00FE45E4" w:rsidRPr="00B02876" w:rsidRDefault="00B02876">
            <w:pPr>
              <w:pStyle w:val="Header"/>
              <w:jc w:val="center"/>
              <w:rPr>
                <w:rFonts w:ascii="Tahoma" w:hAnsi="Tahoma" w:cs="Tahoma"/>
                <w:color w:val="000080"/>
                <w:rtl/>
              </w:rPr>
            </w:pPr>
            <w:bookmarkStart w:id="0" w:name="LastJudge"/>
            <w:r w:rsidRPr="00B02876">
              <w:rPr>
                <w:rFonts w:ascii="Tahoma" w:hAnsi="Tahoma" w:cs="Tahoma"/>
                <w:b/>
                <w:bCs/>
                <w:color w:val="000080"/>
                <w:rtl/>
              </w:rPr>
              <w:t>בית משפט השלום בתל אביב - יפו</w:t>
            </w:r>
          </w:p>
        </w:tc>
      </w:tr>
      <w:tr w:rsidR="00FE45E4" w:rsidRPr="00B02876" w14:paraId="54F2EF56" w14:textId="77777777">
        <w:trPr>
          <w:trHeight w:val="337"/>
          <w:jc w:val="center"/>
        </w:trPr>
        <w:tc>
          <w:tcPr>
            <w:tcW w:w="5047" w:type="dxa"/>
          </w:tcPr>
          <w:p w14:paraId="050E47CA" w14:textId="77777777" w:rsidR="00FE45E4" w:rsidRPr="00B02876" w:rsidRDefault="00FE45E4">
            <w:pPr>
              <w:pStyle w:val="Header"/>
              <w:rPr>
                <w:rFonts w:cs="FrankRuehl"/>
                <w:sz w:val="28"/>
                <w:szCs w:val="28"/>
                <w:rtl/>
              </w:rPr>
            </w:pPr>
          </w:p>
        </w:tc>
        <w:tc>
          <w:tcPr>
            <w:tcW w:w="3674" w:type="dxa"/>
          </w:tcPr>
          <w:p w14:paraId="0FE4BB52" w14:textId="77777777" w:rsidR="00FE45E4" w:rsidRPr="00B02876" w:rsidRDefault="00FE45E4">
            <w:pPr>
              <w:pStyle w:val="Header"/>
              <w:jc w:val="right"/>
              <w:rPr>
                <w:rFonts w:cs="FrankRuehl"/>
                <w:sz w:val="28"/>
                <w:szCs w:val="28"/>
                <w:rtl/>
              </w:rPr>
            </w:pPr>
          </w:p>
        </w:tc>
      </w:tr>
      <w:tr w:rsidR="00FE45E4" w:rsidRPr="00B02876" w14:paraId="3AC5D13E" w14:textId="77777777">
        <w:trPr>
          <w:trHeight w:val="337"/>
          <w:jc w:val="center"/>
        </w:trPr>
        <w:tc>
          <w:tcPr>
            <w:tcW w:w="8721" w:type="dxa"/>
            <w:gridSpan w:val="2"/>
          </w:tcPr>
          <w:p w14:paraId="06D49914" w14:textId="77777777" w:rsidR="00FE45E4" w:rsidRPr="00B02876" w:rsidRDefault="00B02876">
            <w:pPr>
              <w:rPr>
                <w:rFonts w:cs="FrankRuehl"/>
                <w:sz w:val="28"/>
                <w:szCs w:val="28"/>
                <w:rtl/>
              </w:rPr>
            </w:pPr>
            <w:r w:rsidRPr="00B02876">
              <w:rPr>
                <w:rFonts w:cs="FrankRuehl"/>
                <w:sz w:val="28"/>
                <w:szCs w:val="28"/>
                <w:rtl/>
              </w:rPr>
              <w:t>ת"פ</w:t>
            </w:r>
            <w:r w:rsidRPr="00B02876">
              <w:rPr>
                <w:rFonts w:cs="FrankRuehl" w:hint="cs"/>
                <w:sz w:val="28"/>
                <w:szCs w:val="28"/>
                <w:rtl/>
              </w:rPr>
              <w:t xml:space="preserve"> </w:t>
            </w:r>
            <w:r w:rsidRPr="00B02876">
              <w:rPr>
                <w:rFonts w:cs="FrankRuehl"/>
                <w:sz w:val="28"/>
                <w:szCs w:val="28"/>
                <w:rtl/>
              </w:rPr>
              <w:t>53929-10-10</w:t>
            </w:r>
            <w:r w:rsidRPr="00B02876">
              <w:rPr>
                <w:rFonts w:cs="FrankRuehl" w:hint="cs"/>
                <w:sz w:val="28"/>
                <w:szCs w:val="28"/>
                <w:rtl/>
              </w:rPr>
              <w:t xml:space="preserve"> </w:t>
            </w:r>
            <w:r w:rsidRPr="00B02876">
              <w:rPr>
                <w:rFonts w:cs="FrankRuehl"/>
                <w:sz w:val="28"/>
                <w:szCs w:val="28"/>
                <w:rtl/>
              </w:rPr>
              <w:t>מדינת ישראל נ' פדלון</w:t>
            </w:r>
          </w:p>
          <w:p w14:paraId="250137C9" w14:textId="77777777" w:rsidR="00FE45E4" w:rsidRPr="00B02876" w:rsidRDefault="00FE45E4">
            <w:pPr>
              <w:pStyle w:val="Header"/>
              <w:rPr>
                <w:rtl/>
              </w:rPr>
            </w:pPr>
          </w:p>
        </w:tc>
      </w:tr>
    </w:tbl>
    <w:p w14:paraId="51F90C57" w14:textId="77777777" w:rsidR="00FE45E4" w:rsidRPr="00B02876" w:rsidRDefault="00B02876">
      <w:pPr>
        <w:pStyle w:val="Header"/>
      </w:pPr>
      <w:r w:rsidRPr="00B02876">
        <w:rPr>
          <w:rFonts w:hint="cs"/>
          <w:rtl/>
        </w:rPr>
        <w:t xml:space="preserve"> </w:t>
      </w:r>
    </w:p>
    <w:p w14:paraId="5A5B571F" w14:textId="77777777" w:rsidR="00FE45E4" w:rsidRPr="00B02876" w:rsidRDefault="00936872">
      <w:pPr>
        <w:rPr>
          <w:rFonts w:hint="cs"/>
          <w:rtl/>
        </w:rPr>
      </w:pPr>
      <w:r>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FE45E4" w:rsidRPr="00B02876" w14:paraId="18AF88FB" w14:textId="77777777">
        <w:trPr>
          <w:trHeight w:val="295"/>
          <w:jc w:val="center"/>
        </w:trPr>
        <w:tc>
          <w:tcPr>
            <w:tcW w:w="743" w:type="dxa"/>
            <w:tcBorders>
              <w:top w:val="nil"/>
              <w:left w:val="nil"/>
              <w:bottom w:val="nil"/>
              <w:right w:val="nil"/>
            </w:tcBorders>
          </w:tcPr>
          <w:p w14:paraId="7D2A2137" w14:textId="77777777" w:rsidR="00FE45E4" w:rsidRPr="00B02876" w:rsidRDefault="00B02876">
            <w:pPr>
              <w:jc w:val="both"/>
              <w:rPr>
                <w:rFonts w:ascii="Arial" w:hAnsi="Arial"/>
                <w:b/>
                <w:bCs/>
              </w:rPr>
            </w:pPr>
            <w:r w:rsidRPr="00B02876">
              <w:rPr>
                <w:rFonts w:ascii="Arial" w:hAnsi="Arial"/>
                <w:b/>
                <w:bCs/>
                <w:rtl/>
              </w:rPr>
              <w:t xml:space="preserve">בפני </w:t>
            </w:r>
          </w:p>
        </w:tc>
        <w:tc>
          <w:tcPr>
            <w:tcW w:w="8077" w:type="dxa"/>
            <w:tcBorders>
              <w:top w:val="nil"/>
              <w:left w:val="nil"/>
              <w:bottom w:val="nil"/>
              <w:right w:val="nil"/>
            </w:tcBorders>
          </w:tcPr>
          <w:p w14:paraId="54493CD5" w14:textId="77777777" w:rsidR="00FE45E4" w:rsidRPr="00B02876" w:rsidRDefault="00B02876">
            <w:pPr>
              <w:rPr>
                <w:rFonts w:ascii="Arial" w:hAnsi="Arial"/>
                <w:b/>
                <w:bCs/>
                <w:highlight w:val="yellow"/>
              </w:rPr>
            </w:pPr>
            <w:r w:rsidRPr="00B02876">
              <w:rPr>
                <w:rFonts w:ascii="Arial" w:hAnsi="Arial" w:hint="cs"/>
                <w:b/>
                <w:bCs/>
                <w:rtl/>
              </w:rPr>
              <w:t>כב' ה</w:t>
            </w:r>
            <w:r w:rsidRPr="00B02876">
              <w:rPr>
                <w:rFonts w:hint="cs"/>
                <w:rtl/>
              </w:rPr>
              <w:t>שופטת</w:t>
            </w:r>
            <w:r w:rsidRPr="00B02876">
              <w:rPr>
                <w:rFonts w:ascii="Arial" w:hAnsi="Arial"/>
                <w:b/>
                <w:bCs/>
                <w:rtl/>
              </w:rPr>
              <w:t xml:space="preserve"> </w:t>
            </w:r>
            <w:r w:rsidRPr="00B02876">
              <w:rPr>
                <w:rFonts w:hint="cs"/>
                <w:rtl/>
              </w:rPr>
              <w:t>הדסה נאור</w:t>
            </w:r>
          </w:p>
        </w:tc>
      </w:tr>
    </w:tbl>
    <w:p w14:paraId="2126B13E" w14:textId="77777777" w:rsidR="00FE45E4" w:rsidRPr="00B02876" w:rsidRDefault="00FE45E4">
      <w:pPr>
        <w:rPr>
          <w:rtl/>
        </w:rPr>
      </w:pPr>
    </w:p>
    <w:p w14:paraId="646A69DE" w14:textId="77777777" w:rsidR="00FE45E4" w:rsidRPr="00B02876" w:rsidRDefault="00FE45E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FE45E4" w:rsidRPr="00B02876" w14:paraId="638C7AC0" w14:textId="77777777">
        <w:trPr>
          <w:trHeight w:val="355"/>
          <w:jc w:val="center"/>
        </w:trPr>
        <w:tc>
          <w:tcPr>
            <w:tcW w:w="852" w:type="dxa"/>
            <w:tcBorders>
              <w:top w:val="nil"/>
              <w:left w:val="nil"/>
              <w:bottom w:val="nil"/>
              <w:right w:val="nil"/>
            </w:tcBorders>
          </w:tcPr>
          <w:p w14:paraId="616C5B63" w14:textId="77777777" w:rsidR="00FE45E4" w:rsidRPr="00B02876" w:rsidRDefault="00FE45E4">
            <w:pPr>
              <w:jc w:val="both"/>
              <w:rPr>
                <w:rFonts w:ascii="Arial" w:hAnsi="Arial" w:cs="FrankRuehl"/>
                <w:b/>
                <w:bCs/>
                <w:sz w:val="28"/>
                <w:szCs w:val="28"/>
                <w:rtl/>
              </w:rPr>
            </w:pPr>
            <w:bookmarkStart w:id="1" w:name="FirstAppellant"/>
          </w:p>
          <w:p w14:paraId="14FADAD4" w14:textId="77777777" w:rsidR="00FE45E4" w:rsidRPr="00B02876" w:rsidRDefault="00B02876">
            <w:pPr>
              <w:jc w:val="both"/>
              <w:rPr>
                <w:rFonts w:ascii="Arial" w:hAnsi="Arial" w:cs="FrankRuehl"/>
                <w:b/>
                <w:bCs/>
                <w:sz w:val="28"/>
                <w:szCs w:val="28"/>
              </w:rPr>
            </w:pPr>
            <w:r w:rsidRPr="00B02876">
              <w:rPr>
                <w:rFonts w:ascii="Arial" w:hAnsi="Arial" w:cs="FrankRuehl"/>
                <w:b/>
                <w:bCs/>
                <w:sz w:val="28"/>
                <w:szCs w:val="28"/>
                <w:rtl/>
              </w:rPr>
              <w:t>בעניין:</w:t>
            </w:r>
          </w:p>
        </w:tc>
        <w:tc>
          <w:tcPr>
            <w:tcW w:w="4241" w:type="dxa"/>
            <w:tcBorders>
              <w:top w:val="nil"/>
              <w:left w:val="nil"/>
              <w:bottom w:val="nil"/>
              <w:right w:val="nil"/>
            </w:tcBorders>
          </w:tcPr>
          <w:p w14:paraId="76A9C623" w14:textId="77777777" w:rsidR="00FE45E4" w:rsidRPr="00B02876" w:rsidRDefault="00FE45E4">
            <w:pPr>
              <w:jc w:val="both"/>
              <w:rPr>
                <w:rFonts w:ascii="Arial" w:hAnsi="Arial"/>
                <w:b/>
                <w:bCs/>
                <w:sz w:val="26"/>
                <w:szCs w:val="26"/>
                <w:rtl/>
              </w:rPr>
            </w:pPr>
          </w:p>
          <w:p w14:paraId="6A2325B9" w14:textId="77777777" w:rsidR="00FE45E4" w:rsidRPr="00B02876" w:rsidRDefault="00B02876">
            <w:pPr>
              <w:jc w:val="both"/>
              <w:rPr>
                <w:rFonts w:ascii="Arial" w:hAnsi="Arial"/>
                <w:b/>
                <w:bCs/>
                <w:sz w:val="26"/>
                <w:szCs w:val="26"/>
              </w:rPr>
            </w:pPr>
            <w:r w:rsidRPr="00B02876">
              <w:rPr>
                <w:rFonts w:hint="cs"/>
                <w:rtl/>
              </w:rPr>
              <w:t>מדינת ישראל</w:t>
            </w:r>
          </w:p>
        </w:tc>
        <w:tc>
          <w:tcPr>
            <w:tcW w:w="3727" w:type="dxa"/>
            <w:tcBorders>
              <w:top w:val="nil"/>
              <w:left w:val="nil"/>
              <w:bottom w:val="nil"/>
              <w:right w:val="nil"/>
            </w:tcBorders>
          </w:tcPr>
          <w:p w14:paraId="616B1188" w14:textId="77777777" w:rsidR="00FE45E4" w:rsidRPr="00B02876" w:rsidRDefault="00FE45E4">
            <w:pPr>
              <w:jc w:val="both"/>
              <w:rPr>
                <w:rFonts w:ascii="Arial" w:hAnsi="Arial"/>
                <w:b/>
                <w:bCs/>
                <w:sz w:val="26"/>
                <w:szCs w:val="26"/>
              </w:rPr>
            </w:pPr>
          </w:p>
        </w:tc>
      </w:tr>
      <w:tr w:rsidR="00FE45E4" w:rsidRPr="00B02876" w14:paraId="58768F46" w14:textId="77777777">
        <w:trPr>
          <w:trHeight w:val="355"/>
          <w:jc w:val="center"/>
        </w:trPr>
        <w:tc>
          <w:tcPr>
            <w:tcW w:w="852" w:type="dxa"/>
            <w:tcBorders>
              <w:top w:val="nil"/>
              <w:left w:val="nil"/>
              <w:bottom w:val="nil"/>
              <w:right w:val="nil"/>
            </w:tcBorders>
          </w:tcPr>
          <w:p w14:paraId="1F4E0A9E" w14:textId="77777777" w:rsidR="00FE45E4" w:rsidRPr="00B02876" w:rsidRDefault="00FE45E4">
            <w:pPr>
              <w:jc w:val="both"/>
              <w:rPr>
                <w:rFonts w:ascii="Arial" w:hAnsi="Arial" w:cs="FrankRuehl"/>
                <w:b/>
                <w:bCs/>
                <w:sz w:val="28"/>
                <w:szCs w:val="28"/>
                <w:rtl/>
              </w:rPr>
            </w:pPr>
            <w:bookmarkStart w:id="2" w:name="FirstLawyer"/>
            <w:bookmarkEnd w:id="1"/>
          </w:p>
        </w:tc>
        <w:tc>
          <w:tcPr>
            <w:tcW w:w="4241" w:type="dxa"/>
            <w:tcBorders>
              <w:top w:val="nil"/>
              <w:left w:val="nil"/>
              <w:bottom w:val="nil"/>
              <w:right w:val="nil"/>
            </w:tcBorders>
          </w:tcPr>
          <w:p w14:paraId="0FFA1456" w14:textId="77777777" w:rsidR="00FE45E4" w:rsidRPr="00B02876" w:rsidRDefault="00B02876">
            <w:pPr>
              <w:jc w:val="both"/>
              <w:rPr>
                <w:b/>
                <w:bCs/>
                <w:sz w:val="26"/>
                <w:szCs w:val="26"/>
                <w:rtl/>
              </w:rPr>
            </w:pPr>
            <w:r w:rsidRPr="00B02876">
              <w:rPr>
                <w:rFonts w:hint="cs"/>
                <w:b/>
                <w:bCs/>
                <w:sz w:val="26"/>
                <w:szCs w:val="26"/>
                <w:rtl/>
              </w:rPr>
              <w:t>ע"י ב"כ עו"ד מור ברכה</w:t>
            </w:r>
          </w:p>
        </w:tc>
        <w:tc>
          <w:tcPr>
            <w:tcW w:w="3727" w:type="dxa"/>
            <w:tcBorders>
              <w:top w:val="nil"/>
              <w:left w:val="nil"/>
              <w:bottom w:val="nil"/>
              <w:right w:val="nil"/>
            </w:tcBorders>
          </w:tcPr>
          <w:p w14:paraId="07EADEEB" w14:textId="77777777" w:rsidR="00FE45E4" w:rsidRPr="00B02876" w:rsidRDefault="00B02876">
            <w:pPr>
              <w:jc w:val="right"/>
              <w:rPr>
                <w:rFonts w:ascii="Arial" w:hAnsi="Arial"/>
                <w:b/>
                <w:bCs/>
                <w:sz w:val="26"/>
                <w:szCs w:val="26"/>
                <w:rtl/>
              </w:rPr>
            </w:pPr>
            <w:r w:rsidRPr="00B02876">
              <w:rPr>
                <w:rFonts w:ascii="Arial" w:hAnsi="Arial"/>
                <w:b/>
                <w:bCs/>
                <w:sz w:val="26"/>
                <w:szCs w:val="26"/>
                <w:rtl/>
              </w:rPr>
              <w:t>ה</w:t>
            </w:r>
            <w:r w:rsidRPr="00B02876">
              <w:rPr>
                <w:rFonts w:hint="cs"/>
                <w:rtl/>
              </w:rPr>
              <w:t>מאשימה</w:t>
            </w:r>
          </w:p>
        </w:tc>
      </w:tr>
      <w:bookmarkEnd w:id="2"/>
      <w:tr w:rsidR="00FE45E4" w:rsidRPr="00B02876" w14:paraId="7199ED03" w14:textId="77777777">
        <w:trPr>
          <w:trHeight w:val="355"/>
          <w:jc w:val="center"/>
        </w:trPr>
        <w:tc>
          <w:tcPr>
            <w:tcW w:w="852" w:type="dxa"/>
            <w:tcBorders>
              <w:top w:val="nil"/>
              <w:left w:val="nil"/>
              <w:bottom w:val="nil"/>
              <w:right w:val="nil"/>
            </w:tcBorders>
          </w:tcPr>
          <w:p w14:paraId="57634938" w14:textId="77777777" w:rsidR="00FE45E4" w:rsidRPr="00B02876" w:rsidRDefault="00FE45E4">
            <w:pPr>
              <w:jc w:val="both"/>
              <w:rPr>
                <w:rFonts w:ascii="Arial" w:hAnsi="Arial" w:cs="FrankRuehl"/>
                <w:b/>
                <w:bCs/>
                <w:sz w:val="28"/>
                <w:szCs w:val="28"/>
                <w:rtl/>
              </w:rPr>
            </w:pPr>
          </w:p>
        </w:tc>
        <w:tc>
          <w:tcPr>
            <w:tcW w:w="7968" w:type="dxa"/>
            <w:gridSpan w:val="2"/>
            <w:tcBorders>
              <w:top w:val="nil"/>
              <w:left w:val="nil"/>
              <w:bottom w:val="nil"/>
              <w:right w:val="nil"/>
            </w:tcBorders>
          </w:tcPr>
          <w:p w14:paraId="16FCCC8D" w14:textId="77777777" w:rsidR="00FE45E4" w:rsidRPr="00B02876" w:rsidRDefault="00FE45E4">
            <w:pPr>
              <w:jc w:val="center"/>
              <w:rPr>
                <w:rFonts w:ascii="Arial" w:hAnsi="Arial"/>
                <w:b/>
                <w:bCs/>
                <w:sz w:val="26"/>
                <w:szCs w:val="26"/>
                <w:rtl/>
              </w:rPr>
            </w:pPr>
          </w:p>
          <w:p w14:paraId="7B400394" w14:textId="77777777" w:rsidR="00FE45E4" w:rsidRPr="00B02876" w:rsidRDefault="00B02876">
            <w:pPr>
              <w:jc w:val="center"/>
              <w:rPr>
                <w:rFonts w:ascii="Arial" w:hAnsi="Arial"/>
                <w:b/>
                <w:bCs/>
                <w:sz w:val="26"/>
                <w:szCs w:val="26"/>
                <w:rtl/>
              </w:rPr>
            </w:pPr>
            <w:r w:rsidRPr="00B02876">
              <w:rPr>
                <w:rFonts w:ascii="Arial" w:hAnsi="Arial"/>
                <w:b/>
                <w:bCs/>
                <w:sz w:val="26"/>
                <w:szCs w:val="26"/>
                <w:rtl/>
              </w:rPr>
              <w:t>נגד</w:t>
            </w:r>
          </w:p>
          <w:p w14:paraId="61D6341B" w14:textId="77777777" w:rsidR="00FE45E4" w:rsidRPr="00B02876" w:rsidRDefault="00FE45E4">
            <w:pPr>
              <w:jc w:val="both"/>
              <w:rPr>
                <w:rFonts w:ascii="Arial" w:hAnsi="Arial"/>
                <w:b/>
                <w:bCs/>
                <w:sz w:val="26"/>
                <w:szCs w:val="26"/>
              </w:rPr>
            </w:pPr>
          </w:p>
        </w:tc>
      </w:tr>
      <w:tr w:rsidR="00FE45E4" w:rsidRPr="00B02876" w14:paraId="6BDDA32B" w14:textId="77777777">
        <w:trPr>
          <w:trHeight w:val="355"/>
          <w:jc w:val="center"/>
        </w:trPr>
        <w:tc>
          <w:tcPr>
            <w:tcW w:w="852" w:type="dxa"/>
            <w:tcBorders>
              <w:top w:val="nil"/>
              <w:left w:val="nil"/>
              <w:bottom w:val="nil"/>
              <w:right w:val="nil"/>
            </w:tcBorders>
          </w:tcPr>
          <w:p w14:paraId="392679EF" w14:textId="77777777" w:rsidR="00FE45E4" w:rsidRPr="00B02876" w:rsidRDefault="00FE45E4">
            <w:pPr>
              <w:jc w:val="both"/>
              <w:rPr>
                <w:rFonts w:ascii="Arial" w:hAnsi="Arial" w:cs="FrankRuehl"/>
                <w:b/>
                <w:bCs/>
                <w:sz w:val="28"/>
                <w:szCs w:val="28"/>
                <w:rtl/>
              </w:rPr>
            </w:pPr>
          </w:p>
        </w:tc>
        <w:tc>
          <w:tcPr>
            <w:tcW w:w="4241" w:type="dxa"/>
            <w:tcBorders>
              <w:top w:val="nil"/>
              <w:left w:val="nil"/>
              <w:bottom w:val="nil"/>
              <w:right w:val="nil"/>
            </w:tcBorders>
          </w:tcPr>
          <w:p w14:paraId="1420AAC1" w14:textId="77777777" w:rsidR="00FE45E4" w:rsidRPr="00B02876" w:rsidRDefault="00B02876">
            <w:pPr>
              <w:jc w:val="both"/>
              <w:rPr>
                <w:b/>
                <w:bCs/>
                <w:sz w:val="26"/>
                <w:szCs w:val="26"/>
                <w:rtl/>
              </w:rPr>
            </w:pPr>
            <w:r w:rsidRPr="00B02876">
              <w:rPr>
                <w:rFonts w:hint="cs"/>
                <w:rtl/>
              </w:rPr>
              <w:t>נצח פדלון</w:t>
            </w:r>
          </w:p>
        </w:tc>
        <w:tc>
          <w:tcPr>
            <w:tcW w:w="3727" w:type="dxa"/>
            <w:tcBorders>
              <w:top w:val="nil"/>
              <w:left w:val="nil"/>
              <w:bottom w:val="nil"/>
              <w:right w:val="nil"/>
            </w:tcBorders>
          </w:tcPr>
          <w:p w14:paraId="44437B4A" w14:textId="77777777" w:rsidR="00FE45E4" w:rsidRPr="00B02876" w:rsidRDefault="00FE45E4">
            <w:pPr>
              <w:jc w:val="right"/>
              <w:rPr>
                <w:rFonts w:ascii="Arial" w:hAnsi="Arial"/>
                <w:b/>
                <w:bCs/>
                <w:sz w:val="26"/>
                <w:szCs w:val="26"/>
              </w:rPr>
            </w:pPr>
          </w:p>
        </w:tc>
      </w:tr>
      <w:tr w:rsidR="00FE45E4" w:rsidRPr="00B02876" w14:paraId="380DD6B5" w14:textId="77777777">
        <w:trPr>
          <w:trHeight w:val="355"/>
          <w:jc w:val="center"/>
        </w:trPr>
        <w:tc>
          <w:tcPr>
            <w:tcW w:w="852" w:type="dxa"/>
            <w:tcBorders>
              <w:top w:val="nil"/>
              <w:left w:val="nil"/>
              <w:bottom w:val="nil"/>
              <w:right w:val="nil"/>
            </w:tcBorders>
          </w:tcPr>
          <w:p w14:paraId="30C987EE" w14:textId="77777777" w:rsidR="00FE45E4" w:rsidRPr="00B02876" w:rsidRDefault="00FE45E4">
            <w:pPr>
              <w:jc w:val="both"/>
              <w:rPr>
                <w:rFonts w:ascii="Arial" w:hAnsi="Arial" w:cs="FrankRuehl"/>
                <w:b/>
                <w:bCs/>
                <w:sz w:val="28"/>
                <w:szCs w:val="28"/>
                <w:rtl/>
              </w:rPr>
            </w:pPr>
          </w:p>
        </w:tc>
        <w:tc>
          <w:tcPr>
            <w:tcW w:w="4241" w:type="dxa"/>
            <w:tcBorders>
              <w:top w:val="nil"/>
              <w:left w:val="nil"/>
              <w:bottom w:val="nil"/>
              <w:right w:val="nil"/>
            </w:tcBorders>
          </w:tcPr>
          <w:p w14:paraId="3E709119" w14:textId="77777777" w:rsidR="00FE45E4" w:rsidRPr="00B02876" w:rsidRDefault="00B02876">
            <w:pPr>
              <w:jc w:val="both"/>
              <w:rPr>
                <w:b/>
                <w:bCs/>
                <w:sz w:val="26"/>
                <w:szCs w:val="26"/>
                <w:rtl/>
              </w:rPr>
            </w:pPr>
            <w:r w:rsidRPr="00B02876">
              <w:rPr>
                <w:rFonts w:hint="cs"/>
                <w:b/>
                <w:bCs/>
                <w:sz w:val="26"/>
                <w:szCs w:val="26"/>
                <w:rtl/>
              </w:rPr>
              <w:t>ע"י ב"כ עו"ד שירן ברגמן</w:t>
            </w:r>
          </w:p>
        </w:tc>
        <w:tc>
          <w:tcPr>
            <w:tcW w:w="3727" w:type="dxa"/>
            <w:tcBorders>
              <w:top w:val="nil"/>
              <w:left w:val="nil"/>
              <w:bottom w:val="nil"/>
              <w:right w:val="nil"/>
            </w:tcBorders>
          </w:tcPr>
          <w:p w14:paraId="7F7B4B8A" w14:textId="77777777" w:rsidR="00FE45E4" w:rsidRPr="00B02876" w:rsidRDefault="00B02876">
            <w:pPr>
              <w:jc w:val="right"/>
              <w:rPr>
                <w:rFonts w:ascii="Arial" w:hAnsi="Arial"/>
                <w:b/>
                <w:bCs/>
                <w:sz w:val="26"/>
                <w:szCs w:val="26"/>
              </w:rPr>
            </w:pPr>
            <w:r w:rsidRPr="00B02876">
              <w:rPr>
                <w:rFonts w:ascii="Arial" w:hAnsi="Arial"/>
                <w:b/>
                <w:bCs/>
                <w:sz w:val="26"/>
                <w:szCs w:val="26"/>
                <w:rtl/>
              </w:rPr>
              <w:t>ה</w:t>
            </w:r>
            <w:r w:rsidRPr="00B02876">
              <w:rPr>
                <w:rFonts w:hint="cs"/>
                <w:rtl/>
              </w:rPr>
              <w:t>נאשם</w:t>
            </w:r>
          </w:p>
        </w:tc>
      </w:tr>
    </w:tbl>
    <w:p w14:paraId="05F2B50D" w14:textId="77777777" w:rsidR="004F70FD" w:rsidRDefault="00936872">
      <w:pPr>
        <w:rPr>
          <w:rFonts w:hint="cs"/>
          <w:rtl/>
        </w:rPr>
      </w:pPr>
      <w:bookmarkStart w:id="3" w:name="LawTable"/>
      <w:bookmarkEnd w:id="3"/>
      <w:r>
        <w:rPr>
          <w:rFonts w:hint="cs"/>
          <w:rtl/>
        </w:rPr>
        <w:t xml:space="preserve">   </w:t>
      </w:r>
    </w:p>
    <w:p w14:paraId="4B18584A" w14:textId="77777777" w:rsidR="004F70FD" w:rsidRPr="004F70FD" w:rsidRDefault="004F70FD" w:rsidP="004F70FD">
      <w:pPr>
        <w:spacing w:after="120" w:line="240" w:lineRule="exact"/>
        <w:ind w:left="283" w:hanging="283"/>
        <w:jc w:val="both"/>
        <w:rPr>
          <w:rFonts w:ascii="FrankRuehl" w:hAnsi="FrankRuehl" w:cs="FrankRuehl"/>
          <w:rtl/>
        </w:rPr>
      </w:pPr>
    </w:p>
    <w:p w14:paraId="7FFFDAEE" w14:textId="77777777" w:rsidR="004F70FD" w:rsidRPr="004F70FD" w:rsidRDefault="004F70FD" w:rsidP="004F70FD">
      <w:pPr>
        <w:spacing w:after="120" w:line="240" w:lineRule="exact"/>
        <w:ind w:left="283" w:hanging="283"/>
        <w:jc w:val="both"/>
        <w:rPr>
          <w:rFonts w:ascii="FrankRuehl" w:hAnsi="FrankRuehl" w:cs="FrankRuehl"/>
          <w:rtl/>
        </w:rPr>
      </w:pPr>
      <w:r w:rsidRPr="004F70FD">
        <w:rPr>
          <w:rFonts w:ascii="FrankRuehl" w:hAnsi="FrankRuehl" w:cs="FrankRuehl" w:hint="eastAsia"/>
          <w:rtl/>
        </w:rPr>
        <w:t>חקיקה</w:t>
      </w:r>
      <w:r w:rsidRPr="004F70FD">
        <w:rPr>
          <w:rFonts w:ascii="FrankRuehl" w:hAnsi="FrankRuehl" w:cs="FrankRuehl"/>
          <w:rtl/>
        </w:rPr>
        <w:t xml:space="preserve"> </w:t>
      </w:r>
      <w:r w:rsidRPr="004F70FD">
        <w:rPr>
          <w:rFonts w:ascii="FrankRuehl" w:hAnsi="FrankRuehl" w:cs="FrankRuehl" w:hint="eastAsia"/>
          <w:rtl/>
        </w:rPr>
        <w:t>שאוזכרה</w:t>
      </w:r>
      <w:r w:rsidRPr="004F70FD">
        <w:rPr>
          <w:rFonts w:ascii="FrankRuehl" w:hAnsi="FrankRuehl" w:cs="FrankRuehl"/>
          <w:rtl/>
        </w:rPr>
        <w:t xml:space="preserve">: </w:t>
      </w:r>
    </w:p>
    <w:p w14:paraId="157EEAAE" w14:textId="77777777" w:rsidR="004F70FD" w:rsidRPr="004F70FD" w:rsidRDefault="004F70FD" w:rsidP="004F70FD">
      <w:pPr>
        <w:spacing w:after="120" w:line="240" w:lineRule="exact"/>
        <w:ind w:left="283" w:hanging="283"/>
        <w:jc w:val="both"/>
        <w:rPr>
          <w:rFonts w:ascii="FrankRuehl" w:hAnsi="FrankRuehl" w:cs="FrankRuehl"/>
          <w:rtl/>
        </w:rPr>
      </w:pPr>
      <w:hyperlink r:id="rId7" w:history="1">
        <w:r w:rsidRPr="004F70FD">
          <w:rPr>
            <w:rFonts w:ascii="FrankRuehl" w:hAnsi="FrankRuehl" w:cs="FrankRuehl" w:hint="eastAsia"/>
            <w:color w:val="0000FF"/>
            <w:u w:val="single"/>
            <w:rtl/>
          </w:rPr>
          <w:t>חוק</w:t>
        </w:r>
        <w:r w:rsidRPr="004F70FD">
          <w:rPr>
            <w:rFonts w:ascii="FrankRuehl" w:hAnsi="FrankRuehl" w:cs="FrankRuehl"/>
            <w:color w:val="0000FF"/>
            <w:u w:val="single"/>
            <w:rtl/>
          </w:rPr>
          <w:t xml:space="preserve"> </w:t>
        </w:r>
        <w:r w:rsidRPr="004F70FD">
          <w:rPr>
            <w:rFonts w:ascii="FrankRuehl" w:hAnsi="FrankRuehl" w:cs="FrankRuehl" w:hint="eastAsia"/>
            <w:color w:val="0000FF"/>
            <w:u w:val="single"/>
            <w:rtl/>
          </w:rPr>
          <w:t>העונשין</w:t>
        </w:r>
        <w:r w:rsidRPr="004F70FD">
          <w:rPr>
            <w:rFonts w:ascii="FrankRuehl" w:hAnsi="FrankRuehl" w:cs="FrankRuehl"/>
            <w:color w:val="0000FF"/>
            <w:u w:val="single"/>
            <w:rtl/>
          </w:rPr>
          <w:t xml:space="preserve">, </w:t>
        </w:r>
        <w:r w:rsidRPr="004F70FD">
          <w:rPr>
            <w:rFonts w:ascii="FrankRuehl" w:hAnsi="FrankRuehl" w:cs="FrankRuehl" w:hint="eastAsia"/>
            <w:color w:val="0000FF"/>
            <w:u w:val="single"/>
            <w:rtl/>
          </w:rPr>
          <w:t>תשל</w:t>
        </w:r>
        <w:r w:rsidRPr="004F70FD">
          <w:rPr>
            <w:rFonts w:ascii="FrankRuehl" w:hAnsi="FrankRuehl" w:cs="FrankRuehl"/>
            <w:color w:val="0000FF"/>
            <w:u w:val="single"/>
            <w:rtl/>
          </w:rPr>
          <w:t>"</w:t>
        </w:r>
        <w:r w:rsidRPr="004F70FD">
          <w:rPr>
            <w:rFonts w:ascii="FrankRuehl" w:hAnsi="FrankRuehl" w:cs="FrankRuehl" w:hint="eastAsia"/>
            <w:color w:val="0000FF"/>
            <w:u w:val="single"/>
            <w:rtl/>
          </w:rPr>
          <w:t>ז</w:t>
        </w:r>
        <w:r w:rsidRPr="004F70FD">
          <w:rPr>
            <w:rFonts w:ascii="FrankRuehl" w:hAnsi="FrankRuehl" w:cs="FrankRuehl"/>
            <w:color w:val="0000FF"/>
            <w:u w:val="single"/>
            <w:rtl/>
          </w:rPr>
          <w:t>-1977</w:t>
        </w:r>
      </w:hyperlink>
      <w:r w:rsidRPr="004F70FD">
        <w:rPr>
          <w:rFonts w:ascii="FrankRuehl" w:hAnsi="FrankRuehl" w:cs="FrankRuehl"/>
          <w:rtl/>
        </w:rPr>
        <w:t xml:space="preserve">: </w:t>
      </w:r>
      <w:r w:rsidRPr="004F70FD">
        <w:rPr>
          <w:rFonts w:ascii="FrankRuehl" w:hAnsi="FrankRuehl" w:cs="FrankRuehl" w:hint="eastAsia"/>
          <w:rtl/>
        </w:rPr>
        <w:t>סע</w:t>
      </w:r>
      <w:r w:rsidRPr="004F70FD">
        <w:rPr>
          <w:rFonts w:ascii="FrankRuehl" w:hAnsi="FrankRuehl" w:cs="FrankRuehl"/>
          <w:rtl/>
        </w:rPr>
        <w:t xml:space="preserve">'  </w:t>
      </w:r>
      <w:hyperlink r:id="rId8" w:history="1">
        <w:r w:rsidRPr="004F70FD">
          <w:rPr>
            <w:rFonts w:ascii="FrankRuehl" w:hAnsi="FrankRuehl" w:cs="FrankRuehl"/>
            <w:color w:val="0000FF"/>
            <w:u w:val="single"/>
            <w:rtl/>
          </w:rPr>
          <w:t>192</w:t>
        </w:r>
      </w:hyperlink>
      <w:r w:rsidRPr="004F70FD">
        <w:rPr>
          <w:rFonts w:ascii="FrankRuehl" w:hAnsi="FrankRuehl" w:cs="FrankRuehl"/>
          <w:rtl/>
        </w:rPr>
        <w:t xml:space="preserve">, </w:t>
      </w:r>
      <w:hyperlink r:id="rId9" w:history="1">
        <w:r w:rsidRPr="004F70FD">
          <w:rPr>
            <w:rFonts w:ascii="FrankRuehl" w:hAnsi="FrankRuehl" w:cs="FrankRuehl"/>
            <w:color w:val="0000FF"/>
            <w:u w:val="single"/>
            <w:rtl/>
          </w:rPr>
          <w:t>349(</w:t>
        </w:r>
        <w:r w:rsidRPr="004F70FD">
          <w:rPr>
            <w:rFonts w:ascii="FrankRuehl" w:hAnsi="FrankRuehl" w:cs="FrankRuehl" w:hint="eastAsia"/>
            <w:color w:val="0000FF"/>
            <w:u w:val="single"/>
            <w:rtl/>
          </w:rPr>
          <w:t>א</w:t>
        </w:r>
        <w:r w:rsidRPr="004F70FD">
          <w:rPr>
            <w:rFonts w:ascii="FrankRuehl" w:hAnsi="FrankRuehl" w:cs="FrankRuehl"/>
            <w:color w:val="0000FF"/>
            <w:u w:val="single"/>
            <w:rtl/>
          </w:rPr>
          <w:t>)</w:t>
        </w:r>
      </w:hyperlink>
      <w:r w:rsidRPr="004F70FD">
        <w:rPr>
          <w:rFonts w:ascii="FrankRuehl" w:hAnsi="FrankRuehl" w:cs="FrankRuehl"/>
          <w:rtl/>
        </w:rPr>
        <w:t xml:space="preserve">, </w:t>
      </w:r>
      <w:hyperlink r:id="rId10" w:history="1">
        <w:r w:rsidRPr="004F70FD">
          <w:rPr>
            <w:rFonts w:ascii="FrankRuehl" w:hAnsi="FrankRuehl" w:cs="FrankRuehl"/>
            <w:color w:val="0000FF"/>
            <w:u w:val="single"/>
            <w:rtl/>
          </w:rPr>
          <w:t>379</w:t>
        </w:r>
      </w:hyperlink>
      <w:r w:rsidRPr="004F70FD">
        <w:rPr>
          <w:rFonts w:ascii="FrankRuehl" w:hAnsi="FrankRuehl" w:cs="FrankRuehl"/>
          <w:rtl/>
        </w:rPr>
        <w:t xml:space="preserve">, </w:t>
      </w:r>
      <w:hyperlink r:id="rId11" w:history="1">
        <w:r w:rsidRPr="004F70FD">
          <w:rPr>
            <w:rFonts w:ascii="FrankRuehl" w:hAnsi="FrankRuehl" w:cs="FrankRuehl"/>
            <w:color w:val="0000FF"/>
            <w:u w:val="single"/>
            <w:rtl/>
          </w:rPr>
          <w:t>380</w:t>
        </w:r>
      </w:hyperlink>
    </w:p>
    <w:p w14:paraId="40FDBF65" w14:textId="77777777" w:rsidR="004F70FD" w:rsidRPr="004F70FD" w:rsidRDefault="004F70FD" w:rsidP="004F70FD">
      <w:pPr>
        <w:spacing w:after="120" w:line="240" w:lineRule="exact"/>
        <w:ind w:left="283" w:hanging="283"/>
        <w:jc w:val="both"/>
        <w:rPr>
          <w:rFonts w:ascii="FrankRuehl" w:hAnsi="FrankRuehl" w:cs="FrankRuehl"/>
          <w:rtl/>
        </w:rPr>
      </w:pPr>
      <w:hyperlink r:id="rId12" w:history="1">
        <w:r w:rsidRPr="004F70FD">
          <w:rPr>
            <w:rFonts w:ascii="FrankRuehl" w:hAnsi="FrankRuehl" w:cs="FrankRuehl" w:hint="eastAsia"/>
            <w:color w:val="0000FF"/>
            <w:u w:val="single"/>
            <w:rtl/>
          </w:rPr>
          <w:t>חוק</w:t>
        </w:r>
        <w:r w:rsidRPr="004F70FD">
          <w:rPr>
            <w:rFonts w:ascii="FrankRuehl" w:hAnsi="FrankRuehl" w:cs="FrankRuehl"/>
            <w:color w:val="0000FF"/>
            <w:u w:val="single"/>
            <w:rtl/>
          </w:rPr>
          <w:t xml:space="preserve"> </w:t>
        </w:r>
        <w:r w:rsidRPr="004F70FD">
          <w:rPr>
            <w:rFonts w:ascii="FrankRuehl" w:hAnsi="FrankRuehl" w:cs="FrankRuehl" w:hint="eastAsia"/>
            <w:color w:val="0000FF"/>
            <w:u w:val="single"/>
            <w:rtl/>
          </w:rPr>
          <w:t>למניעת</w:t>
        </w:r>
        <w:r w:rsidRPr="004F70FD">
          <w:rPr>
            <w:rFonts w:ascii="FrankRuehl" w:hAnsi="FrankRuehl" w:cs="FrankRuehl"/>
            <w:color w:val="0000FF"/>
            <w:u w:val="single"/>
            <w:rtl/>
          </w:rPr>
          <w:t xml:space="preserve"> </w:t>
        </w:r>
        <w:r w:rsidRPr="004F70FD">
          <w:rPr>
            <w:rFonts w:ascii="FrankRuehl" w:hAnsi="FrankRuehl" w:cs="FrankRuehl" w:hint="eastAsia"/>
            <w:color w:val="0000FF"/>
            <w:u w:val="single"/>
            <w:rtl/>
          </w:rPr>
          <w:t>הטרדה</w:t>
        </w:r>
        <w:r w:rsidRPr="004F70FD">
          <w:rPr>
            <w:rFonts w:ascii="FrankRuehl" w:hAnsi="FrankRuehl" w:cs="FrankRuehl"/>
            <w:color w:val="0000FF"/>
            <w:u w:val="single"/>
            <w:rtl/>
          </w:rPr>
          <w:t xml:space="preserve"> </w:t>
        </w:r>
        <w:r w:rsidRPr="004F70FD">
          <w:rPr>
            <w:rFonts w:ascii="FrankRuehl" w:hAnsi="FrankRuehl" w:cs="FrankRuehl" w:hint="eastAsia"/>
            <w:color w:val="0000FF"/>
            <w:u w:val="single"/>
            <w:rtl/>
          </w:rPr>
          <w:t>מינית</w:t>
        </w:r>
        <w:r w:rsidRPr="004F70FD">
          <w:rPr>
            <w:rFonts w:ascii="FrankRuehl" w:hAnsi="FrankRuehl" w:cs="FrankRuehl"/>
            <w:color w:val="0000FF"/>
            <w:u w:val="single"/>
            <w:rtl/>
          </w:rPr>
          <w:t xml:space="preserve">, </w:t>
        </w:r>
        <w:r w:rsidRPr="004F70FD">
          <w:rPr>
            <w:rFonts w:ascii="FrankRuehl" w:hAnsi="FrankRuehl" w:cs="FrankRuehl" w:hint="eastAsia"/>
            <w:color w:val="0000FF"/>
            <w:u w:val="single"/>
            <w:rtl/>
          </w:rPr>
          <w:t>תשנ</w:t>
        </w:r>
        <w:r w:rsidRPr="004F70FD">
          <w:rPr>
            <w:rFonts w:ascii="FrankRuehl" w:hAnsi="FrankRuehl" w:cs="FrankRuehl"/>
            <w:color w:val="0000FF"/>
            <w:u w:val="single"/>
            <w:rtl/>
          </w:rPr>
          <w:t>"</w:t>
        </w:r>
        <w:r w:rsidRPr="004F70FD">
          <w:rPr>
            <w:rFonts w:ascii="FrankRuehl" w:hAnsi="FrankRuehl" w:cs="FrankRuehl" w:hint="eastAsia"/>
            <w:color w:val="0000FF"/>
            <w:u w:val="single"/>
            <w:rtl/>
          </w:rPr>
          <w:t>ח</w:t>
        </w:r>
        <w:r w:rsidRPr="004F70FD">
          <w:rPr>
            <w:rFonts w:ascii="FrankRuehl" w:hAnsi="FrankRuehl" w:cs="FrankRuehl"/>
            <w:color w:val="0000FF"/>
            <w:u w:val="single"/>
            <w:rtl/>
          </w:rPr>
          <w:t>-1998</w:t>
        </w:r>
      </w:hyperlink>
      <w:r w:rsidRPr="004F70FD">
        <w:rPr>
          <w:rFonts w:ascii="FrankRuehl" w:hAnsi="FrankRuehl" w:cs="FrankRuehl"/>
          <w:rtl/>
        </w:rPr>
        <w:t xml:space="preserve">: </w:t>
      </w:r>
      <w:r w:rsidRPr="004F70FD">
        <w:rPr>
          <w:rFonts w:ascii="FrankRuehl" w:hAnsi="FrankRuehl" w:cs="FrankRuehl" w:hint="eastAsia"/>
          <w:rtl/>
        </w:rPr>
        <w:t>סע</w:t>
      </w:r>
      <w:r w:rsidRPr="004F70FD">
        <w:rPr>
          <w:rFonts w:ascii="FrankRuehl" w:hAnsi="FrankRuehl" w:cs="FrankRuehl"/>
          <w:rtl/>
        </w:rPr>
        <w:t xml:space="preserve">'  </w:t>
      </w:r>
      <w:hyperlink r:id="rId13" w:history="1">
        <w:r w:rsidRPr="004F70FD">
          <w:rPr>
            <w:rFonts w:ascii="FrankRuehl" w:hAnsi="FrankRuehl" w:cs="FrankRuehl"/>
            <w:color w:val="0000FF"/>
            <w:u w:val="single"/>
            <w:rtl/>
          </w:rPr>
          <w:t>3(</w:t>
        </w:r>
        <w:r w:rsidRPr="004F70FD">
          <w:rPr>
            <w:rFonts w:ascii="FrankRuehl" w:hAnsi="FrankRuehl" w:cs="FrankRuehl" w:hint="eastAsia"/>
            <w:color w:val="0000FF"/>
            <w:u w:val="single"/>
            <w:rtl/>
          </w:rPr>
          <w:t>א</w:t>
        </w:r>
        <w:r w:rsidRPr="004F70FD">
          <w:rPr>
            <w:rFonts w:ascii="FrankRuehl" w:hAnsi="FrankRuehl" w:cs="FrankRuehl"/>
            <w:color w:val="0000FF"/>
            <w:u w:val="single"/>
            <w:rtl/>
          </w:rPr>
          <w:t>)(5)</w:t>
        </w:r>
      </w:hyperlink>
      <w:r w:rsidRPr="004F70FD">
        <w:rPr>
          <w:rFonts w:ascii="FrankRuehl" w:hAnsi="FrankRuehl" w:cs="FrankRuehl"/>
          <w:rtl/>
        </w:rPr>
        <w:t xml:space="preserve">, </w:t>
      </w:r>
      <w:hyperlink r:id="rId14" w:history="1">
        <w:r w:rsidRPr="004F70FD">
          <w:rPr>
            <w:rFonts w:ascii="FrankRuehl" w:hAnsi="FrankRuehl" w:cs="FrankRuehl"/>
            <w:color w:val="0000FF"/>
            <w:u w:val="single"/>
            <w:rtl/>
          </w:rPr>
          <w:t>5(</w:t>
        </w:r>
        <w:r w:rsidRPr="004F70FD">
          <w:rPr>
            <w:rFonts w:ascii="FrankRuehl" w:hAnsi="FrankRuehl" w:cs="FrankRuehl" w:hint="eastAsia"/>
            <w:color w:val="0000FF"/>
            <w:u w:val="single"/>
            <w:rtl/>
          </w:rPr>
          <w:t>א</w:t>
        </w:r>
        <w:r w:rsidRPr="004F70FD">
          <w:rPr>
            <w:rFonts w:ascii="FrankRuehl" w:hAnsi="FrankRuehl" w:cs="FrankRuehl"/>
            <w:color w:val="0000FF"/>
            <w:u w:val="single"/>
            <w:rtl/>
          </w:rPr>
          <w:t>)</w:t>
        </w:r>
      </w:hyperlink>
    </w:p>
    <w:p w14:paraId="61A469A5" w14:textId="77777777" w:rsidR="004F70FD" w:rsidRPr="004F70FD" w:rsidRDefault="004F70FD" w:rsidP="004F70FD">
      <w:pPr>
        <w:spacing w:after="120" w:line="240" w:lineRule="exact"/>
        <w:ind w:left="283" w:hanging="283"/>
        <w:jc w:val="both"/>
        <w:rPr>
          <w:rFonts w:ascii="FrankRuehl" w:hAnsi="FrankRuehl" w:cs="FrankRuehl"/>
          <w:rtl/>
        </w:rPr>
      </w:pPr>
    </w:p>
    <w:p w14:paraId="7B75C49E" w14:textId="77777777" w:rsidR="004F70FD" w:rsidRPr="004F70FD" w:rsidRDefault="004F70FD">
      <w:pPr>
        <w:rPr>
          <w:rtl/>
        </w:rPr>
      </w:pPr>
      <w:bookmarkStart w:id="4" w:name="LawTable_End"/>
      <w:bookmarkEnd w:id="4"/>
    </w:p>
    <w:p w14:paraId="7004CDE4" w14:textId="77777777" w:rsidR="00016A27" w:rsidRPr="00016A27" w:rsidRDefault="00016A27">
      <w:pPr>
        <w:rPr>
          <w:rtl/>
        </w:rPr>
      </w:pPr>
    </w:p>
    <w:p w14:paraId="035BA4A2" w14:textId="77777777" w:rsidR="00FE45E4" w:rsidRPr="00B02876" w:rsidRDefault="00FE45E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45E4" w14:paraId="1A5E9B6C" w14:textId="77777777">
        <w:trPr>
          <w:trHeight w:val="355"/>
          <w:jc w:val="center"/>
        </w:trPr>
        <w:tc>
          <w:tcPr>
            <w:tcW w:w="8820" w:type="dxa"/>
            <w:tcBorders>
              <w:top w:val="nil"/>
              <w:left w:val="nil"/>
              <w:bottom w:val="nil"/>
              <w:right w:val="nil"/>
            </w:tcBorders>
          </w:tcPr>
          <w:p w14:paraId="6DC7979E" w14:textId="77777777" w:rsidR="00B02876" w:rsidRPr="00B02876" w:rsidRDefault="00B02876" w:rsidP="00B02876">
            <w:pPr>
              <w:jc w:val="center"/>
              <w:rPr>
                <w:rFonts w:ascii="Arial" w:hAnsi="Arial"/>
                <w:b/>
                <w:bCs/>
                <w:sz w:val="28"/>
                <w:szCs w:val="28"/>
                <w:u w:val="single"/>
                <w:rtl/>
              </w:rPr>
            </w:pPr>
            <w:bookmarkStart w:id="5" w:name="PsakDin" w:colFirst="0" w:colLast="0"/>
            <w:bookmarkEnd w:id="0"/>
            <w:r w:rsidRPr="00B02876">
              <w:rPr>
                <w:rFonts w:ascii="Arial" w:hAnsi="Arial"/>
                <w:b/>
                <w:bCs/>
                <w:sz w:val="28"/>
                <w:szCs w:val="28"/>
                <w:u w:val="single"/>
                <w:rtl/>
              </w:rPr>
              <w:t>הכרעת דין</w:t>
            </w:r>
          </w:p>
          <w:p w14:paraId="1D106E27" w14:textId="77777777" w:rsidR="00FE45E4" w:rsidRPr="00B02876" w:rsidRDefault="00FE45E4" w:rsidP="00B02876">
            <w:pPr>
              <w:jc w:val="center"/>
              <w:rPr>
                <w:rFonts w:ascii="Arial" w:hAnsi="Arial"/>
                <w:bCs/>
                <w:sz w:val="28"/>
                <w:szCs w:val="28"/>
                <w:u w:val="single"/>
                <w:rtl/>
              </w:rPr>
            </w:pPr>
          </w:p>
        </w:tc>
      </w:tr>
      <w:bookmarkEnd w:id="5"/>
    </w:tbl>
    <w:p w14:paraId="3A7D3C20" w14:textId="77777777" w:rsidR="00FE45E4" w:rsidRDefault="00FE45E4">
      <w:pPr>
        <w:rPr>
          <w:rFonts w:ascii="Arial" w:hAnsi="Arial" w:cs="FrankRuehl"/>
          <w:sz w:val="28"/>
          <w:szCs w:val="28"/>
          <w:rtl/>
        </w:rPr>
      </w:pPr>
    </w:p>
    <w:p w14:paraId="717872CF" w14:textId="77777777" w:rsidR="00FE45E4" w:rsidRDefault="00B02876">
      <w:pPr>
        <w:numPr>
          <w:ilvl w:val="0"/>
          <w:numId w:val="1"/>
        </w:numPr>
        <w:tabs>
          <w:tab w:val="clear" w:pos="1080"/>
          <w:tab w:val="num" w:pos="540"/>
        </w:tabs>
        <w:spacing w:line="360" w:lineRule="auto"/>
        <w:ind w:left="540" w:hanging="540"/>
        <w:jc w:val="both"/>
        <w:rPr>
          <w:sz w:val="28"/>
          <w:szCs w:val="28"/>
        </w:rPr>
      </w:pPr>
      <w:bookmarkStart w:id="6" w:name="ABSTRACT_START"/>
      <w:bookmarkEnd w:id="6"/>
      <w:r>
        <w:rPr>
          <w:sz w:val="28"/>
          <w:szCs w:val="28"/>
          <w:rtl/>
        </w:rPr>
        <w:t>סכסוך השכנים, בין הנאשם לבין המתלוננים, הגב' נטליה אבנר (להלן: "</w:t>
      </w:r>
      <w:r>
        <w:rPr>
          <w:b/>
          <w:bCs/>
          <w:sz w:val="28"/>
          <w:szCs w:val="28"/>
          <w:rtl/>
        </w:rPr>
        <w:t>המתלוננת</w:t>
      </w:r>
      <w:r>
        <w:rPr>
          <w:sz w:val="28"/>
          <w:szCs w:val="28"/>
          <w:rtl/>
        </w:rPr>
        <w:t>") ומר יוסי אבנר (להלן: "</w:t>
      </w:r>
      <w:r>
        <w:rPr>
          <w:b/>
          <w:bCs/>
          <w:sz w:val="28"/>
          <w:szCs w:val="28"/>
          <w:rtl/>
        </w:rPr>
        <w:t>המתלונן</w:t>
      </w:r>
      <w:r>
        <w:rPr>
          <w:sz w:val="28"/>
          <w:szCs w:val="28"/>
          <w:rtl/>
        </w:rPr>
        <w:t>"), המתגוררים בבניין משותף ברח' טשרניחובסקי 12 בתל-אביב (להלן: "</w:t>
      </w:r>
      <w:r>
        <w:rPr>
          <w:b/>
          <w:bCs/>
          <w:sz w:val="28"/>
          <w:szCs w:val="28"/>
          <w:rtl/>
        </w:rPr>
        <w:t>המקום</w:t>
      </w:r>
      <w:r>
        <w:rPr>
          <w:sz w:val="28"/>
          <w:szCs w:val="28"/>
          <w:rtl/>
        </w:rPr>
        <w:t>" או "</w:t>
      </w:r>
      <w:r>
        <w:rPr>
          <w:b/>
          <w:bCs/>
          <w:sz w:val="28"/>
          <w:szCs w:val="28"/>
          <w:rtl/>
        </w:rPr>
        <w:t>הבניין</w:t>
      </w:r>
      <w:r>
        <w:rPr>
          <w:sz w:val="28"/>
          <w:szCs w:val="28"/>
          <w:rtl/>
        </w:rPr>
        <w:t>"), פרץ בעקבות שיפוץ שהחל הנאשם לבצע בדירתו בקומת הקרקע ובחצר הבניין, הסמוכה לדירתו, ותלונה שהוגשה על כך על ידי המתלוננים לעירייה</w:t>
      </w:r>
      <w:bookmarkStart w:id="7" w:name="ABSTRACT_END"/>
      <w:bookmarkEnd w:id="7"/>
      <w:r>
        <w:rPr>
          <w:sz w:val="28"/>
          <w:szCs w:val="28"/>
          <w:rtl/>
        </w:rPr>
        <w:t>.</w:t>
      </w:r>
    </w:p>
    <w:p w14:paraId="34D97193" w14:textId="77777777" w:rsidR="00FE45E4" w:rsidRDefault="00FE45E4">
      <w:pPr>
        <w:spacing w:line="360" w:lineRule="auto"/>
        <w:ind w:left="540"/>
        <w:jc w:val="both"/>
        <w:rPr>
          <w:sz w:val="28"/>
          <w:szCs w:val="28"/>
          <w:rtl/>
        </w:rPr>
      </w:pPr>
    </w:p>
    <w:p w14:paraId="14E6F058" w14:textId="77777777" w:rsidR="00FE45E4" w:rsidRDefault="00B02876">
      <w:pPr>
        <w:spacing w:line="360" w:lineRule="auto"/>
        <w:ind w:left="540"/>
        <w:jc w:val="both"/>
        <w:rPr>
          <w:sz w:val="28"/>
          <w:szCs w:val="28"/>
          <w:rtl/>
        </w:rPr>
      </w:pPr>
      <w:r>
        <w:rPr>
          <w:sz w:val="28"/>
          <w:szCs w:val="28"/>
          <w:rtl/>
        </w:rPr>
        <w:t>על רקע עבודות השיפוץ וטענת המתלוננים ושכנים נוספים בבניין, על השתלטות הנאשם על רכוש משותף, אף הוגשה נגדו תביעה בפני המפקחת על רישום מקרקעין בתל-אביב, שמצאה אותה מוצדקת.</w:t>
      </w:r>
    </w:p>
    <w:p w14:paraId="7A9F0E92" w14:textId="77777777" w:rsidR="00FE45E4" w:rsidRDefault="00FE45E4">
      <w:pPr>
        <w:spacing w:line="360" w:lineRule="auto"/>
        <w:ind w:left="540"/>
        <w:jc w:val="both"/>
        <w:rPr>
          <w:sz w:val="28"/>
          <w:szCs w:val="28"/>
          <w:rtl/>
        </w:rPr>
      </w:pPr>
    </w:p>
    <w:p w14:paraId="42FEF67E" w14:textId="77777777" w:rsidR="00FE45E4" w:rsidRDefault="00B02876">
      <w:pPr>
        <w:spacing w:line="360" w:lineRule="auto"/>
        <w:ind w:left="540"/>
        <w:jc w:val="both"/>
        <w:rPr>
          <w:sz w:val="28"/>
          <w:szCs w:val="28"/>
          <w:rtl/>
        </w:rPr>
      </w:pPr>
      <w:r>
        <w:rPr>
          <w:sz w:val="28"/>
          <w:szCs w:val="28"/>
          <w:rtl/>
        </w:rPr>
        <w:t xml:space="preserve">הסכסוך בין הצדדים הסלים ובמהלך שנת 2009 הוגשו על ידי המתלוננים שתי תלונות למשטרה נגד הנאשם, שהובילו להגשת כתב האישום, המונח לפניי והמחזיק שני אישומים נגדו, בגין שלושה אירועים.  </w:t>
      </w:r>
    </w:p>
    <w:p w14:paraId="4A431890" w14:textId="77777777" w:rsidR="00FE45E4" w:rsidRDefault="00FE45E4">
      <w:pPr>
        <w:tabs>
          <w:tab w:val="num" w:pos="540"/>
        </w:tabs>
        <w:spacing w:line="360" w:lineRule="auto"/>
        <w:ind w:left="540" w:hanging="540"/>
        <w:jc w:val="both"/>
        <w:rPr>
          <w:sz w:val="28"/>
          <w:szCs w:val="28"/>
        </w:rPr>
      </w:pPr>
    </w:p>
    <w:p w14:paraId="0B122F85"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 xml:space="preserve">על פי המיוחס לנאשם </w:t>
      </w:r>
      <w:r>
        <w:rPr>
          <w:b/>
          <w:bCs/>
          <w:sz w:val="28"/>
          <w:szCs w:val="28"/>
          <w:rtl/>
        </w:rPr>
        <w:t>באישום הראשון</w:t>
      </w:r>
      <w:r>
        <w:rPr>
          <w:sz w:val="28"/>
          <w:szCs w:val="28"/>
          <w:rtl/>
        </w:rPr>
        <w:t xml:space="preserve">, בתאריך 15.6.09 בשעה 10:54 או בסמוך לכך, על רקע סירובו של הנאשם לאפשר לטכנאי, שהזמינה המתלוננת, להיכנס לשטח במקום, ניגשו המתלוננים לכניסה לחצר המשותפת, להם ולנאשם, על מנת לאפשר לטכנאי להיכנס. </w:t>
      </w:r>
    </w:p>
    <w:p w14:paraId="53B5C7AC" w14:textId="77777777" w:rsidR="00FE45E4" w:rsidRDefault="00B02876">
      <w:pPr>
        <w:spacing w:line="360" w:lineRule="auto"/>
        <w:ind w:left="540"/>
        <w:jc w:val="both"/>
        <w:rPr>
          <w:sz w:val="28"/>
          <w:szCs w:val="28"/>
          <w:rtl/>
        </w:rPr>
      </w:pPr>
      <w:r>
        <w:rPr>
          <w:sz w:val="28"/>
          <w:szCs w:val="28"/>
          <w:rtl/>
        </w:rPr>
        <w:t xml:space="preserve">על פי הנטען, בנסיבות אלה תקף הנאשם את המתלוננת, בכך שהכה בה בפניה בידו, דחף אותה אל המדרגות במקום, ואיים עליה בפגיעה שלא כדין בגופה, בכך שאמר לה "אני אזיין אותך ואת הבנות שלך ואת אמא שלך ולא אתן לך שנייה אחת נשימה עד שתעופי מהבניין הזה. את עשית איתי מלחמה תראי מה אני אעשה לך" . </w:t>
      </w:r>
    </w:p>
    <w:p w14:paraId="7FBA00D3" w14:textId="77777777" w:rsidR="00FE45E4" w:rsidRDefault="00B02876">
      <w:pPr>
        <w:spacing w:line="360" w:lineRule="auto"/>
        <w:ind w:left="540"/>
        <w:jc w:val="both"/>
        <w:rPr>
          <w:sz w:val="28"/>
          <w:szCs w:val="28"/>
        </w:rPr>
      </w:pPr>
      <w:r>
        <w:rPr>
          <w:sz w:val="28"/>
          <w:szCs w:val="28"/>
          <w:rtl/>
        </w:rPr>
        <w:t>כתוצאה מתקיפה זו נגרמו למתלוננת סימנים בפניה בסמוך לגבה השמאלית והעפעף השמאלי המהווים חבלה של ממש.</w:t>
      </w:r>
    </w:p>
    <w:p w14:paraId="1DBE9BB6" w14:textId="77777777" w:rsidR="00FE45E4" w:rsidRDefault="00B02876">
      <w:pPr>
        <w:tabs>
          <w:tab w:val="num" w:pos="540"/>
        </w:tabs>
        <w:spacing w:line="360" w:lineRule="auto"/>
        <w:ind w:left="540" w:hanging="540"/>
        <w:jc w:val="both"/>
        <w:rPr>
          <w:sz w:val="28"/>
          <w:szCs w:val="28"/>
          <w:rtl/>
        </w:rPr>
      </w:pPr>
      <w:r>
        <w:rPr>
          <w:sz w:val="28"/>
          <w:szCs w:val="28"/>
          <w:rtl/>
        </w:rPr>
        <w:tab/>
        <w:t>במהלך האירוע, נטען, תקף הנאשם גם את המתלונן, בכך שהכה בו בפניו, דחף אותו ובהמשך איים עליו בכך שאמר לו "אני אמרר לכם את החיים עד שתעזבו את הבניין ואני אדאג שתעופו מפה".</w:t>
      </w:r>
    </w:p>
    <w:p w14:paraId="34684EBD" w14:textId="77777777" w:rsidR="00FE45E4" w:rsidRDefault="00B02876">
      <w:pPr>
        <w:tabs>
          <w:tab w:val="num" w:pos="540"/>
        </w:tabs>
        <w:spacing w:line="360" w:lineRule="auto"/>
        <w:ind w:left="540" w:hanging="540"/>
        <w:jc w:val="both"/>
        <w:rPr>
          <w:sz w:val="28"/>
          <w:szCs w:val="28"/>
          <w:rtl/>
        </w:rPr>
      </w:pPr>
      <w:r>
        <w:rPr>
          <w:sz w:val="28"/>
          <w:szCs w:val="28"/>
          <w:rtl/>
        </w:rPr>
        <w:tab/>
      </w:r>
    </w:p>
    <w:p w14:paraId="20A1764A" w14:textId="77777777" w:rsidR="00FE45E4" w:rsidRDefault="00B02876">
      <w:pPr>
        <w:tabs>
          <w:tab w:val="num" w:pos="540"/>
        </w:tabs>
        <w:spacing w:line="360" w:lineRule="auto"/>
        <w:ind w:left="540" w:hanging="540"/>
        <w:jc w:val="both"/>
        <w:rPr>
          <w:sz w:val="28"/>
          <w:szCs w:val="28"/>
          <w:rtl/>
        </w:rPr>
      </w:pPr>
      <w:r>
        <w:rPr>
          <w:sz w:val="28"/>
          <w:szCs w:val="28"/>
          <w:rtl/>
        </w:rPr>
        <w:tab/>
        <w:t xml:space="preserve">על פי המתואר באישום זה, באותו יום, בשעה 20:00, שבה המתלוננת לביתה ונוכחה לדעת שהנאשם חסם את החנייה שלה. </w:t>
      </w:r>
    </w:p>
    <w:p w14:paraId="6D43AF40" w14:textId="77777777" w:rsidR="00FE45E4" w:rsidRDefault="00B02876">
      <w:pPr>
        <w:tabs>
          <w:tab w:val="num" w:pos="540"/>
        </w:tabs>
        <w:spacing w:line="360" w:lineRule="auto"/>
        <w:ind w:left="540" w:hanging="540"/>
        <w:jc w:val="both"/>
        <w:rPr>
          <w:sz w:val="28"/>
          <w:szCs w:val="28"/>
          <w:rtl/>
        </w:rPr>
      </w:pPr>
      <w:r>
        <w:rPr>
          <w:sz w:val="28"/>
          <w:szCs w:val="28"/>
          <w:rtl/>
        </w:rPr>
        <w:tab/>
        <w:t>המתלוננת פנתה לנאשם וביקשה ממנו להזיז את הרכב ובמקביל הזעיקה למקום ניידת שיטור.</w:t>
      </w:r>
    </w:p>
    <w:p w14:paraId="58A71732" w14:textId="77777777" w:rsidR="00FE45E4" w:rsidRDefault="00B02876">
      <w:pPr>
        <w:tabs>
          <w:tab w:val="num" w:pos="540"/>
        </w:tabs>
        <w:spacing w:line="360" w:lineRule="auto"/>
        <w:ind w:left="540" w:hanging="540"/>
        <w:jc w:val="both"/>
        <w:rPr>
          <w:sz w:val="28"/>
          <w:szCs w:val="28"/>
          <w:rtl/>
        </w:rPr>
      </w:pPr>
      <w:r>
        <w:rPr>
          <w:sz w:val="28"/>
          <w:szCs w:val="28"/>
          <w:rtl/>
        </w:rPr>
        <w:tab/>
        <w:t>מששמע זאת הנאשם הזיז את רכבו ונכנס לביתו. אך כעבור כ-10 דקות נעמד בקרבת רכבה של המתלוננת, שהבחינה בו מדירתה, והטרידה מינית, בהתייחסות מבזה או משפילה, בכך שאמר לה: "מה את חושבת שהמשטרה תעזור... שרמוטה אני אזיין אותך, יש לי זין כזה גדול אני אכניס לך, אני אקרע אותך מה שבעלך הקוקסינל לא עושה אני אלמד אותך מה זה גבר".</w:t>
      </w:r>
    </w:p>
    <w:p w14:paraId="1D31B734" w14:textId="77777777" w:rsidR="00FE45E4" w:rsidRDefault="00FE45E4">
      <w:pPr>
        <w:tabs>
          <w:tab w:val="num" w:pos="540"/>
        </w:tabs>
        <w:spacing w:line="360" w:lineRule="auto"/>
        <w:ind w:left="540" w:hanging="540"/>
        <w:jc w:val="both"/>
        <w:rPr>
          <w:sz w:val="28"/>
          <w:szCs w:val="28"/>
          <w:rtl/>
        </w:rPr>
      </w:pPr>
    </w:p>
    <w:p w14:paraId="174DF7CC" w14:textId="77777777" w:rsidR="00FE45E4" w:rsidRDefault="00B02876">
      <w:pPr>
        <w:tabs>
          <w:tab w:val="num" w:pos="540"/>
        </w:tabs>
        <w:spacing w:line="360" w:lineRule="auto"/>
        <w:ind w:left="540" w:hanging="540"/>
        <w:jc w:val="both"/>
        <w:rPr>
          <w:sz w:val="28"/>
          <w:szCs w:val="28"/>
          <w:rtl/>
        </w:rPr>
      </w:pPr>
      <w:r>
        <w:rPr>
          <w:sz w:val="28"/>
          <w:szCs w:val="28"/>
          <w:rtl/>
        </w:rPr>
        <w:lastRenderedPageBreak/>
        <w:tab/>
        <w:t xml:space="preserve">בגין אישום זה מואשם הנאשם, בפרק הוראות החיקוק, בעבירה של תקיפה הגורמת חבלה ממשית, על פי </w:t>
      </w:r>
      <w:hyperlink r:id="rId15" w:history="1">
        <w:r w:rsidR="004F70FD" w:rsidRPr="004F70FD">
          <w:rPr>
            <w:rFonts w:hint="eastAsia"/>
            <w:color w:val="0000FF"/>
            <w:sz w:val="28"/>
            <w:szCs w:val="28"/>
            <w:u w:val="single"/>
            <w:rtl/>
          </w:rPr>
          <w:t>סעיף</w:t>
        </w:r>
        <w:r w:rsidR="004F70FD" w:rsidRPr="004F70FD">
          <w:rPr>
            <w:color w:val="0000FF"/>
            <w:sz w:val="28"/>
            <w:szCs w:val="28"/>
            <w:u w:val="single"/>
            <w:rtl/>
          </w:rPr>
          <w:t xml:space="preserve"> 380</w:t>
        </w:r>
      </w:hyperlink>
      <w:r>
        <w:rPr>
          <w:sz w:val="28"/>
          <w:szCs w:val="28"/>
          <w:rtl/>
        </w:rPr>
        <w:t xml:space="preserve"> ל</w:t>
      </w:r>
      <w:hyperlink r:id="rId16" w:history="1">
        <w:r w:rsidR="00016A27" w:rsidRPr="00016A27">
          <w:rPr>
            <w:rStyle w:val="Hyperlink"/>
            <w:rFonts w:hint="eastAsia"/>
            <w:sz w:val="28"/>
            <w:szCs w:val="28"/>
            <w:rtl/>
          </w:rPr>
          <w:t>חוק</w:t>
        </w:r>
        <w:r w:rsidR="00016A27" w:rsidRPr="00016A27">
          <w:rPr>
            <w:rStyle w:val="Hyperlink"/>
            <w:sz w:val="28"/>
            <w:szCs w:val="28"/>
            <w:rtl/>
          </w:rPr>
          <w:t xml:space="preserve"> </w:t>
        </w:r>
        <w:r w:rsidR="00016A27" w:rsidRPr="00016A27">
          <w:rPr>
            <w:rStyle w:val="Hyperlink"/>
            <w:rFonts w:hint="eastAsia"/>
            <w:sz w:val="28"/>
            <w:szCs w:val="28"/>
            <w:rtl/>
          </w:rPr>
          <w:t>העונשין</w:t>
        </w:r>
      </w:hyperlink>
      <w:r>
        <w:rPr>
          <w:sz w:val="28"/>
          <w:szCs w:val="28"/>
          <w:rtl/>
        </w:rPr>
        <w:t>, התשל"ז-1977 (להלן: "</w:t>
      </w:r>
      <w:r>
        <w:rPr>
          <w:b/>
          <w:bCs/>
          <w:sz w:val="28"/>
          <w:szCs w:val="28"/>
          <w:rtl/>
        </w:rPr>
        <w:t>חוק העונשין</w:t>
      </w:r>
      <w:r>
        <w:rPr>
          <w:sz w:val="28"/>
          <w:szCs w:val="28"/>
          <w:rtl/>
        </w:rPr>
        <w:t xml:space="preserve">"), בעבירה של תקיפה סתם, על פי </w:t>
      </w:r>
      <w:hyperlink r:id="rId17" w:history="1">
        <w:r w:rsidR="004F70FD" w:rsidRPr="004F70FD">
          <w:rPr>
            <w:rFonts w:hint="eastAsia"/>
            <w:color w:val="0000FF"/>
            <w:sz w:val="28"/>
            <w:szCs w:val="28"/>
            <w:u w:val="single"/>
            <w:rtl/>
          </w:rPr>
          <w:t>סעיף</w:t>
        </w:r>
        <w:r w:rsidR="004F70FD" w:rsidRPr="004F70FD">
          <w:rPr>
            <w:color w:val="0000FF"/>
            <w:sz w:val="28"/>
            <w:szCs w:val="28"/>
            <w:u w:val="single"/>
            <w:rtl/>
          </w:rPr>
          <w:t xml:space="preserve"> 379</w:t>
        </w:r>
      </w:hyperlink>
      <w:r>
        <w:rPr>
          <w:sz w:val="28"/>
          <w:szCs w:val="28"/>
          <w:rtl/>
        </w:rPr>
        <w:t xml:space="preserve"> לחוק העונשין, בשתי עבירות של איומים, על פי </w:t>
      </w:r>
      <w:hyperlink r:id="rId18" w:history="1">
        <w:r w:rsidR="004F70FD" w:rsidRPr="004F70FD">
          <w:rPr>
            <w:rFonts w:hint="eastAsia"/>
            <w:color w:val="0000FF"/>
            <w:sz w:val="28"/>
            <w:szCs w:val="28"/>
            <w:u w:val="single"/>
            <w:rtl/>
          </w:rPr>
          <w:t>סעיף</w:t>
        </w:r>
        <w:r w:rsidR="004F70FD" w:rsidRPr="004F70FD">
          <w:rPr>
            <w:color w:val="0000FF"/>
            <w:sz w:val="28"/>
            <w:szCs w:val="28"/>
            <w:u w:val="single"/>
            <w:rtl/>
          </w:rPr>
          <w:t xml:space="preserve"> 192</w:t>
        </w:r>
      </w:hyperlink>
      <w:r>
        <w:rPr>
          <w:sz w:val="28"/>
          <w:szCs w:val="28"/>
          <w:rtl/>
        </w:rPr>
        <w:t xml:space="preserve"> לחוק העונשין ובעבירה של הטרדה מינית, על פי סעיף </w:t>
      </w:r>
      <w:hyperlink r:id="rId19" w:history="1">
        <w:r w:rsidR="004F70FD" w:rsidRPr="004F70FD">
          <w:rPr>
            <w:rStyle w:val="Hyperlink"/>
            <w:sz w:val="28"/>
            <w:szCs w:val="28"/>
            <w:rtl/>
          </w:rPr>
          <w:t>3(</w:t>
        </w:r>
        <w:r w:rsidR="004F70FD" w:rsidRPr="004F70FD">
          <w:rPr>
            <w:rStyle w:val="Hyperlink"/>
            <w:rFonts w:hint="eastAsia"/>
            <w:sz w:val="28"/>
            <w:szCs w:val="28"/>
            <w:rtl/>
          </w:rPr>
          <w:t>א</w:t>
        </w:r>
        <w:r w:rsidR="004F70FD" w:rsidRPr="004F70FD">
          <w:rPr>
            <w:rStyle w:val="Hyperlink"/>
            <w:sz w:val="28"/>
            <w:szCs w:val="28"/>
            <w:rtl/>
          </w:rPr>
          <w:t>)(5)</w:t>
        </w:r>
      </w:hyperlink>
      <w:r>
        <w:rPr>
          <w:sz w:val="28"/>
          <w:szCs w:val="28"/>
          <w:rtl/>
        </w:rPr>
        <w:t>+</w:t>
      </w:r>
      <w:hyperlink r:id="rId20" w:history="1">
        <w:r w:rsidR="004F70FD" w:rsidRPr="004F70FD">
          <w:rPr>
            <w:color w:val="0000FF"/>
            <w:sz w:val="28"/>
            <w:szCs w:val="28"/>
            <w:u w:val="single"/>
            <w:rtl/>
          </w:rPr>
          <w:t>5(</w:t>
        </w:r>
        <w:r w:rsidR="004F70FD" w:rsidRPr="004F70FD">
          <w:rPr>
            <w:rFonts w:hint="eastAsia"/>
            <w:color w:val="0000FF"/>
            <w:sz w:val="28"/>
            <w:szCs w:val="28"/>
            <w:u w:val="single"/>
            <w:rtl/>
          </w:rPr>
          <w:t>א</w:t>
        </w:r>
        <w:r w:rsidR="004F70FD" w:rsidRPr="004F70FD">
          <w:rPr>
            <w:color w:val="0000FF"/>
            <w:sz w:val="28"/>
            <w:szCs w:val="28"/>
            <w:u w:val="single"/>
            <w:rtl/>
          </w:rPr>
          <w:t>)</w:t>
        </w:r>
      </w:hyperlink>
      <w:r>
        <w:rPr>
          <w:sz w:val="28"/>
          <w:szCs w:val="28"/>
          <w:rtl/>
        </w:rPr>
        <w:t xml:space="preserve"> ל</w:t>
      </w:r>
      <w:hyperlink r:id="rId21" w:history="1">
        <w:r w:rsidR="00016A27" w:rsidRPr="00016A27">
          <w:rPr>
            <w:rStyle w:val="Hyperlink"/>
            <w:rFonts w:hint="eastAsia"/>
            <w:sz w:val="28"/>
            <w:szCs w:val="28"/>
            <w:rtl/>
          </w:rPr>
          <w:t>חוק</w:t>
        </w:r>
        <w:r w:rsidR="00016A27" w:rsidRPr="00016A27">
          <w:rPr>
            <w:rStyle w:val="Hyperlink"/>
            <w:sz w:val="28"/>
            <w:szCs w:val="28"/>
            <w:rtl/>
          </w:rPr>
          <w:t xml:space="preserve"> </w:t>
        </w:r>
        <w:r w:rsidR="00016A27" w:rsidRPr="00016A27">
          <w:rPr>
            <w:rStyle w:val="Hyperlink"/>
            <w:rFonts w:hint="eastAsia"/>
            <w:sz w:val="28"/>
            <w:szCs w:val="28"/>
            <w:rtl/>
          </w:rPr>
          <w:t>למניעת</w:t>
        </w:r>
        <w:r w:rsidR="00016A27" w:rsidRPr="00016A27">
          <w:rPr>
            <w:rStyle w:val="Hyperlink"/>
            <w:sz w:val="28"/>
            <w:szCs w:val="28"/>
            <w:rtl/>
          </w:rPr>
          <w:t xml:space="preserve"> </w:t>
        </w:r>
        <w:r w:rsidR="00016A27" w:rsidRPr="00016A27">
          <w:rPr>
            <w:rStyle w:val="Hyperlink"/>
            <w:rFonts w:hint="eastAsia"/>
            <w:sz w:val="28"/>
            <w:szCs w:val="28"/>
            <w:rtl/>
          </w:rPr>
          <w:t>הטרדה</w:t>
        </w:r>
        <w:r w:rsidR="00016A27" w:rsidRPr="00016A27">
          <w:rPr>
            <w:rStyle w:val="Hyperlink"/>
            <w:sz w:val="28"/>
            <w:szCs w:val="28"/>
            <w:rtl/>
          </w:rPr>
          <w:t xml:space="preserve"> </w:t>
        </w:r>
        <w:r w:rsidR="00016A27" w:rsidRPr="00016A27">
          <w:rPr>
            <w:rStyle w:val="Hyperlink"/>
            <w:rFonts w:hint="eastAsia"/>
            <w:sz w:val="28"/>
            <w:szCs w:val="28"/>
            <w:rtl/>
          </w:rPr>
          <w:t>מינית</w:t>
        </w:r>
      </w:hyperlink>
      <w:r>
        <w:rPr>
          <w:sz w:val="28"/>
          <w:szCs w:val="28"/>
          <w:rtl/>
        </w:rPr>
        <w:t xml:space="preserve"> תשנ"ח-1998 (להלן: "</w:t>
      </w:r>
      <w:r>
        <w:rPr>
          <w:b/>
          <w:bCs/>
          <w:sz w:val="28"/>
          <w:szCs w:val="28"/>
          <w:rtl/>
        </w:rPr>
        <w:t>החוק למניעת הטרדה מינית</w:t>
      </w:r>
      <w:r>
        <w:rPr>
          <w:sz w:val="28"/>
          <w:szCs w:val="28"/>
          <w:rtl/>
        </w:rPr>
        <w:t xml:space="preserve">"). </w:t>
      </w:r>
    </w:p>
    <w:p w14:paraId="2527FF8A"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 xml:space="preserve">על פי המיוחס לנאשם </w:t>
      </w:r>
      <w:r>
        <w:rPr>
          <w:b/>
          <w:bCs/>
          <w:sz w:val="28"/>
          <w:szCs w:val="28"/>
          <w:rtl/>
        </w:rPr>
        <w:t>באישום השני</w:t>
      </w:r>
      <w:r>
        <w:rPr>
          <w:sz w:val="28"/>
          <w:szCs w:val="28"/>
          <w:rtl/>
        </w:rPr>
        <w:t xml:space="preserve">, בתאריך 9.10.09 בשעה 16:00, או בסמוך לכך, הבחין המתלונן מחלון דירתו בעובד של הנאשם שובר מרצפות בחצר המשותפת של הבניין. </w:t>
      </w:r>
    </w:p>
    <w:p w14:paraId="0A830DFA" w14:textId="77777777" w:rsidR="00FE45E4" w:rsidRDefault="00FE45E4">
      <w:pPr>
        <w:spacing w:line="360" w:lineRule="auto"/>
        <w:ind w:left="540"/>
        <w:jc w:val="both"/>
        <w:rPr>
          <w:sz w:val="28"/>
          <w:szCs w:val="28"/>
          <w:rtl/>
        </w:rPr>
      </w:pPr>
    </w:p>
    <w:p w14:paraId="60BBF62D" w14:textId="77777777" w:rsidR="00FE45E4" w:rsidRDefault="00B02876">
      <w:pPr>
        <w:spacing w:line="360" w:lineRule="auto"/>
        <w:ind w:left="540"/>
        <w:jc w:val="both"/>
        <w:rPr>
          <w:sz w:val="28"/>
          <w:szCs w:val="28"/>
          <w:rtl/>
        </w:rPr>
      </w:pPr>
      <w:r>
        <w:rPr>
          <w:sz w:val="28"/>
          <w:szCs w:val="28"/>
          <w:rtl/>
        </w:rPr>
        <w:t xml:space="preserve">המתלונן פנה אל הנאשם, על מנת לברר את פשר העניין, ושאל אותו מדוע הוא שובר מרצפות וגורם לנזק. </w:t>
      </w:r>
    </w:p>
    <w:p w14:paraId="25E00BB1" w14:textId="77777777" w:rsidR="00FE45E4" w:rsidRDefault="00B02876">
      <w:pPr>
        <w:spacing w:line="360" w:lineRule="auto"/>
        <w:ind w:left="540"/>
        <w:jc w:val="both"/>
        <w:rPr>
          <w:sz w:val="28"/>
          <w:szCs w:val="28"/>
          <w:rtl/>
        </w:rPr>
      </w:pPr>
      <w:r>
        <w:rPr>
          <w:sz w:val="28"/>
          <w:szCs w:val="28"/>
          <w:rtl/>
        </w:rPr>
        <w:t xml:space="preserve">בתגובה ובעודו עומד בחצר החל הנאשם לצעוק ולקלל, וכן ניסה לתקוף את המתלונן בכך שנטל אבן והשליכה לעבר המתלונן, שעמד ליד חלון דירתו. האבן פגעה בקיר הסמוך לחלון. </w:t>
      </w:r>
    </w:p>
    <w:p w14:paraId="1F2D5BFF" w14:textId="77777777" w:rsidR="00FE45E4" w:rsidRDefault="00FE45E4">
      <w:pPr>
        <w:spacing w:line="360" w:lineRule="auto"/>
        <w:ind w:left="540"/>
        <w:jc w:val="both"/>
        <w:rPr>
          <w:sz w:val="28"/>
          <w:szCs w:val="28"/>
          <w:rtl/>
        </w:rPr>
      </w:pPr>
    </w:p>
    <w:p w14:paraId="2A2EFF2F" w14:textId="77777777" w:rsidR="00FE45E4" w:rsidRDefault="00B02876">
      <w:pPr>
        <w:spacing w:line="360" w:lineRule="auto"/>
        <w:ind w:left="540"/>
        <w:jc w:val="both"/>
        <w:rPr>
          <w:sz w:val="28"/>
          <w:szCs w:val="28"/>
          <w:rtl/>
        </w:rPr>
      </w:pPr>
      <w:r>
        <w:rPr>
          <w:sz w:val="28"/>
          <w:szCs w:val="28"/>
          <w:rtl/>
        </w:rPr>
        <w:t xml:space="preserve">באותו זמן החלה המתלוננת לתעד את המתרחש בחצר, באמצעות מצלמה מחלון הדירה. </w:t>
      </w:r>
    </w:p>
    <w:p w14:paraId="680074BB" w14:textId="77777777" w:rsidR="00FE45E4" w:rsidRDefault="00B02876">
      <w:pPr>
        <w:spacing w:line="360" w:lineRule="auto"/>
        <w:ind w:left="540"/>
        <w:jc w:val="both"/>
        <w:rPr>
          <w:sz w:val="28"/>
          <w:szCs w:val="28"/>
          <w:rtl/>
        </w:rPr>
      </w:pPr>
      <w:r>
        <w:rPr>
          <w:sz w:val="28"/>
          <w:szCs w:val="28"/>
          <w:rtl/>
        </w:rPr>
        <w:t xml:space="preserve">משהבחין הנאשם במעשי המתלוננת הטריד אותה מינית, בכך שאמר לה: את זונה מרוסיה מזיינים אותך ב-20 שקל. בואי תמצצי לי ב-20 שקל". </w:t>
      </w:r>
    </w:p>
    <w:p w14:paraId="748B0EC9" w14:textId="77777777" w:rsidR="00FE45E4" w:rsidRDefault="00B02876">
      <w:pPr>
        <w:pStyle w:val="ListParagraph"/>
        <w:spacing w:line="360" w:lineRule="auto"/>
        <w:ind w:left="540"/>
        <w:jc w:val="both"/>
        <w:rPr>
          <w:rFonts w:cs="David"/>
          <w:sz w:val="28"/>
          <w:szCs w:val="28"/>
        </w:rPr>
      </w:pPr>
      <w:r>
        <w:rPr>
          <w:rFonts w:cs="David" w:hint="eastAsia"/>
          <w:sz w:val="28"/>
          <w:szCs w:val="28"/>
          <w:rtl/>
        </w:rPr>
        <w:t>בהמשך</w:t>
      </w:r>
      <w:r>
        <w:rPr>
          <w:rFonts w:cs="David"/>
          <w:sz w:val="28"/>
          <w:szCs w:val="28"/>
          <w:rtl/>
        </w:rPr>
        <w:t xml:space="preserve">, </w:t>
      </w:r>
      <w:r>
        <w:rPr>
          <w:rFonts w:cs="David" w:hint="eastAsia"/>
          <w:sz w:val="28"/>
          <w:szCs w:val="28"/>
          <w:rtl/>
        </w:rPr>
        <w:t>נטען</w:t>
      </w:r>
      <w:r>
        <w:rPr>
          <w:rFonts w:cs="David"/>
          <w:sz w:val="28"/>
          <w:szCs w:val="28"/>
          <w:rtl/>
        </w:rPr>
        <w:t xml:space="preserve">, </w:t>
      </w:r>
      <w:r>
        <w:rPr>
          <w:rFonts w:cs="David" w:hint="eastAsia"/>
          <w:sz w:val="28"/>
          <w:szCs w:val="28"/>
          <w:rtl/>
        </w:rPr>
        <w:t>פתח</w:t>
      </w:r>
      <w:r>
        <w:rPr>
          <w:rFonts w:cs="David"/>
          <w:sz w:val="28"/>
          <w:szCs w:val="28"/>
          <w:rtl/>
        </w:rPr>
        <w:t xml:space="preserve"> </w:t>
      </w:r>
      <w:r>
        <w:rPr>
          <w:rFonts w:cs="David" w:hint="eastAsia"/>
          <w:sz w:val="28"/>
          <w:szCs w:val="28"/>
          <w:rtl/>
        </w:rPr>
        <w:t>את</w:t>
      </w:r>
      <w:r>
        <w:rPr>
          <w:rFonts w:cs="David"/>
          <w:sz w:val="28"/>
          <w:szCs w:val="28"/>
          <w:rtl/>
        </w:rPr>
        <w:t xml:space="preserve"> </w:t>
      </w:r>
      <w:r>
        <w:rPr>
          <w:rFonts w:cs="David" w:hint="eastAsia"/>
          <w:sz w:val="28"/>
          <w:szCs w:val="28"/>
          <w:rtl/>
        </w:rPr>
        <w:t>רוכסן</w:t>
      </w:r>
      <w:r>
        <w:rPr>
          <w:rFonts w:cs="David"/>
          <w:sz w:val="28"/>
          <w:szCs w:val="28"/>
          <w:rtl/>
        </w:rPr>
        <w:t xml:space="preserve"> </w:t>
      </w:r>
      <w:r>
        <w:rPr>
          <w:rFonts w:cs="David" w:hint="eastAsia"/>
          <w:sz w:val="28"/>
          <w:szCs w:val="28"/>
          <w:rtl/>
        </w:rPr>
        <w:t>מכנסיו</w:t>
      </w:r>
      <w:r>
        <w:rPr>
          <w:rFonts w:cs="David"/>
          <w:sz w:val="28"/>
          <w:szCs w:val="28"/>
          <w:rtl/>
        </w:rPr>
        <w:t xml:space="preserve"> </w:t>
      </w:r>
      <w:r>
        <w:rPr>
          <w:rFonts w:cs="David" w:hint="eastAsia"/>
          <w:sz w:val="28"/>
          <w:szCs w:val="28"/>
          <w:rtl/>
        </w:rPr>
        <w:t>וחשף</w:t>
      </w:r>
      <w:r>
        <w:rPr>
          <w:rFonts w:cs="David"/>
          <w:sz w:val="28"/>
          <w:szCs w:val="28"/>
          <w:rtl/>
        </w:rPr>
        <w:t xml:space="preserve"> </w:t>
      </w:r>
      <w:r>
        <w:rPr>
          <w:rFonts w:cs="David" w:hint="eastAsia"/>
          <w:sz w:val="28"/>
          <w:szCs w:val="28"/>
          <w:rtl/>
        </w:rPr>
        <w:t>את</w:t>
      </w:r>
      <w:r>
        <w:rPr>
          <w:rFonts w:cs="David"/>
          <w:sz w:val="28"/>
          <w:szCs w:val="28"/>
          <w:rtl/>
        </w:rPr>
        <w:t xml:space="preserve"> </w:t>
      </w:r>
      <w:r>
        <w:rPr>
          <w:rFonts w:cs="David" w:hint="eastAsia"/>
          <w:sz w:val="28"/>
          <w:szCs w:val="28"/>
          <w:rtl/>
        </w:rPr>
        <w:t>איבר</w:t>
      </w:r>
      <w:r>
        <w:rPr>
          <w:rFonts w:cs="David"/>
          <w:sz w:val="28"/>
          <w:szCs w:val="28"/>
          <w:rtl/>
        </w:rPr>
        <w:t xml:space="preserve"> </w:t>
      </w:r>
      <w:r>
        <w:rPr>
          <w:rFonts w:cs="David" w:hint="eastAsia"/>
          <w:sz w:val="28"/>
          <w:szCs w:val="28"/>
          <w:rtl/>
        </w:rPr>
        <w:t>מינו</w:t>
      </w:r>
      <w:r>
        <w:rPr>
          <w:rFonts w:cs="David"/>
          <w:sz w:val="28"/>
          <w:szCs w:val="28"/>
          <w:rtl/>
        </w:rPr>
        <w:t xml:space="preserve"> </w:t>
      </w:r>
      <w:r>
        <w:rPr>
          <w:rFonts w:cs="David" w:hint="eastAsia"/>
          <w:sz w:val="28"/>
          <w:szCs w:val="28"/>
          <w:rtl/>
        </w:rPr>
        <w:t>בפני</w:t>
      </w:r>
      <w:r>
        <w:rPr>
          <w:rFonts w:cs="David"/>
          <w:sz w:val="28"/>
          <w:szCs w:val="28"/>
          <w:rtl/>
        </w:rPr>
        <w:t xml:space="preserve"> </w:t>
      </w:r>
      <w:r>
        <w:rPr>
          <w:rFonts w:cs="David" w:hint="eastAsia"/>
          <w:sz w:val="28"/>
          <w:szCs w:val="28"/>
          <w:rtl/>
        </w:rPr>
        <w:t>המתלוננת</w:t>
      </w:r>
      <w:r>
        <w:rPr>
          <w:rFonts w:cs="David"/>
          <w:sz w:val="28"/>
          <w:szCs w:val="28"/>
          <w:rtl/>
        </w:rPr>
        <w:t xml:space="preserve">. </w:t>
      </w:r>
    </w:p>
    <w:p w14:paraId="15C32198" w14:textId="77777777" w:rsidR="00FE45E4" w:rsidRDefault="00B02876">
      <w:pPr>
        <w:pStyle w:val="ListParagraph"/>
        <w:spacing w:line="360" w:lineRule="auto"/>
        <w:ind w:left="540"/>
        <w:jc w:val="both"/>
        <w:rPr>
          <w:rFonts w:cs="David"/>
          <w:sz w:val="28"/>
          <w:szCs w:val="28"/>
          <w:rtl/>
        </w:rPr>
      </w:pPr>
      <w:r>
        <w:rPr>
          <w:rFonts w:cs="David" w:hint="eastAsia"/>
          <w:sz w:val="28"/>
          <w:szCs w:val="28"/>
          <w:rtl/>
        </w:rPr>
        <w:t>בגין</w:t>
      </w:r>
      <w:r>
        <w:rPr>
          <w:rFonts w:cs="David"/>
          <w:sz w:val="28"/>
          <w:szCs w:val="28"/>
          <w:rtl/>
        </w:rPr>
        <w:t xml:space="preserve"> </w:t>
      </w:r>
      <w:r>
        <w:rPr>
          <w:rFonts w:cs="David" w:hint="eastAsia"/>
          <w:sz w:val="28"/>
          <w:szCs w:val="28"/>
          <w:rtl/>
        </w:rPr>
        <w:t>אישום</w:t>
      </w:r>
      <w:r>
        <w:rPr>
          <w:rFonts w:cs="David"/>
          <w:sz w:val="28"/>
          <w:szCs w:val="28"/>
          <w:rtl/>
        </w:rPr>
        <w:t xml:space="preserve"> </w:t>
      </w:r>
      <w:r>
        <w:rPr>
          <w:rFonts w:cs="David" w:hint="eastAsia"/>
          <w:sz w:val="28"/>
          <w:szCs w:val="28"/>
          <w:rtl/>
        </w:rPr>
        <w:t>זה</w:t>
      </w:r>
      <w:r>
        <w:rPr>
          <w:rFonts w:cs="David"/>
          <w:sz w:val="28"/>
          <w:szCs w:val="28"/>
          <w:rtl/>
        </w:rPr>
        <w:t xml:space="preserve"> </w:t>
      </w:r>
      <w:r>
        <w:rPr>
          <w:rFonts w:cs="David" w:hint="eastAsia"/>
          <w:sz w:val="28"/>
          <w:szCs w:val="28"/>
          <w:rtl/>
        </w:rPr>
        <w:t>מואשם</w:t>
      </w:r>
      <w:r>
        <w:rPr>
          <w:rFonts w:cs="David"/>
          <w:sz w:val="28"/>
          <w:szCs w:val="28"/>
          <w:rtl/>
        </w:rPr>
        <w:t xml:space="preserve"> </w:t>
      </w:r>
      <w:r>
        <w:rPr>
          <w:rFonts w:cs="David" w:hint="eastAsia"/>
          <w:sz w:val="28"/>
          <w:szCs w:val="28"/>
          <w:rtl/>
        </w:rPr>
        <w:t>הנאשם</w:t>
      </w:r>
      <w:r>
        <w:rPr>
          <w:rFonts w:cs="David"/>
          <w:sz w:val="28"/>
          <w:szCs w:val="28"/>
          <w:rtl/>
        </w:rPr>
        <w:t xml:space="preserve">, </w:t>
      </w:r>
      <w:r>
        <w:rPr>
          <w:rFonts w:cs="David" w:hint="eastAsia"/>
          <w:sz w:val="28"/>
          <w:szCs w:val="28"/>
          <w:rtl/>
        </w:rPr>
        <w:t>בפרק</w:t>
      </w:r>
      <w:r>
        <w:rPr>
          <w:rFonts w:cs="David"/>
          <w:sz w:val="28"/>
          <w:szCs w:val="28"/>
          <w:rtl/>
        </w:rPr>
        <w:t xml:space="preserve"> </w:t>
      </w:r>
      <w:r>
        <w:rPr>
          <w:rFonts w:cs="David" w:hint="eastAsia"/>
          <w:sz w:val="28"/>
          <w:szCs w:val="28"/>
          <w:rtl/>
        </w:rPr>
        <w:t>הוראות</w:t>
      </w:r>
      <w:r>
        <w:rPr>
          <w:rFonts w:cs="David"/>
          <w:sz w:val="28"/>
          <w:szCs w:val="28"/>
          <w:rtl/>
        </w:rPr>
        <w:t xml:space="preserve"> </w:t>
      </w:r>
      <w:r>
        <w:rPr>
          <w:rFonts w:cs="David" w:hint="eastAsia"/>
          <w:sz w:val="28"/>
          <w:szCs w:val="28"/>
          <w:rtl/>
        </w:rPr>
        <w:t>החיקוק</w:t>
      </w:r>
      <w:r>
        <w:rPr>
          <w:rFonts w:cs="David"/>
          <w:sz w:val="28"/>
          <w:szCs w:val="28"/>
          <w:rtl/>
        </w:rPr>
        <w:t xml:space="preserve">, </w:t>
      </w:r>
      <w:r>
        <w:rPr>
          <w:rFonts w:cs="David" w:hint="eastAsia"/>
          <w:sz w:val="28"/>
          <w:szCs w:val="28"/>
          <w:rtl/>
        </w:rPr>
        <w:t>בעבירה</w:t>
      </w:r>
      <w:r>
        <w:rPr>
          <w:sz w:val="28"/>
          <w:szCs w:val="28"/>
          <w:rtl/>
        </w:rPr>
        <w:t xml:space="preserve"> </w:t>
      </w:r>
      <w:r>
        <w:rPr>
          <w:rFonts w:cs="David" w:hint="eastAsia"/>
          <w:sz w:val="28"/>
          <w:szCs w:val="28"/>
          <w:rtl/>
        </w:rPr>
        <w:t>של</w:t>
      </w:r>
      <w:r>
        <w:rPr>
          <w:rFonts w:cs="David"/>
          <w:sz w:val="28"/>
          <w:szCs w:val="28"/>
          <w:rtl/>
        </w:rPr>
        <w:t xml:space="preserve"> </w:t>
      </w:r>
      <w:r>
        <w:rPr>
          <w:rFonts w:cs="David" w:hint="eastAsia"/>
          <w:sz w:val="28"/>
          <w:szCs w:val="28"/>
          <w:rtl/>
        </w:rPr>
        <w:t>מעשה</w:t>
      </w:r>
      <w:r>
        <w:rPr>
          <w:rFonts w:cs="David"/>
          <w:sz w:val="28"/>
          <w:szCs w:val="28"/>
          <w:rtl/>
        </w:rPr>
        <w:t xml:space="preserve"> </w:t>
      </w:r>
      <w:r>
        <w:rPr>
          <w:rFonts w:cs="David" w:hint="eastAsia"/>
          <w:sz w:val="28"/>
          <w:szCs w:val="28"/>
          <w:rtl/>
        </w:rPr>
        <w:t>מגונה</w:t>
      </w:r>
      <w:r>
        <w:rPr>
          <w:rFonts w:cs="David"/>
          <w:sz w:val="28"/>
          <w:szCs w:val="28"/>
          <w:rtl/>
        </w:rPr>
        <w:t xml:space="preserve"> </w:t>
      </w:r>
      <w:r>
        <w:rPr>
          <w:rFonts w:cs="David" w:hint="eastAsia"/>
          <w:sz w:val="28"/>
          <w:szCs w:val="28"/>
          <w:rtl/>
        </w:rPr>
        <w:t>בפומבי</w:t>
      </w:r>
      <w:r>
        <w:rPr>
          <w:rFonts w:cs="David"/>
          <w:sz w:val="28"/>
          <w:szCs w:val="28"/>
          <w:rtl/>
        </w:rPr>
        <w:t xml:space="preserve">, </w:t>
      </w:r>
      <w:r>
        <w:rPr>
          <w:rFonts w:cs="David" w:hint="eastAsia"/>
          <w:sz w:val="28"/>
          <w:szCs w:val="28"/>
          <w:rtl/>
        </w:rPr>
        <w:t>על</w:t>
      </w:r>
      <w:r>
        <w:rPr>
          <w:rFonts w:cs="David"/>
          <w:sz w:val="28"/>
          <w:szCs w:val="28"/>
          <w:rtl/>
        </w:rPr>
        <w:t xml:space="preserve"> </w:t>
      </w:r>
      <w:r>
        <w:rPr>
          <w:rFonts w:cs="David" w:hint="eastAsia"/>
          <w:sz w:val="28"/>
          <w:szCs w:val="28"/>
          <w:rtl/>
        </w:rPr>
        <w:t>פי</w:t>
      </w:r>
      <w:r>
        <w:rPr>
          <w:rFonts w:cs="David"/>
          <w:sz w:val="28"/>
          <w:szCs w:val="28"/>
          <w:rtl/>
        </w:rPr>
        <w:t xml:space="preserve"> </w:t>
      </w:r>
      <w:hyperlink r:id="rId22" w:history="1">
        <w:r w:rsidR="004F70FD" w:rsidRPr="004F70FD">
          <w:rPr>
            <w:rFonts w:cs="David" w:hint="eastAsia"/>
            <w:color w:val="0000FF"/>
            <w:sz w:val="28"/>
            <w:szCs w:val="28"/>
            <w:u w:val="single"/>
            <w:rtl/>
          </w:rPr>
          <w:t>סעיף</w:t>
        </w:r>
        <w:r w:rsidR="004F70FD" w:rsidRPr="004F70FD">
          <w:rPr>
            <w:rFonts w:cs="David"/>
            <w:color w:val="0000FF"/>
            <w:sz w:val="28"/>
            <w:szCs w:val="28"/>
            <w:u w:val="single"/>
            <w:rtl/>
          </w:rPr>
          <w:t xml:space="preserve"> 349(</w:t>
        </w:r>
        <w:r w:rsidR="004F70FD" w:rsidRPr="004F70FD">
          <w:rPr>
            <w:rFonts w:cs="David" w:hint="eastAsia"/>
            <w:color w:val="0000FF"/>
            <w:sz w:val="28"/>
            <w:szCs w:val="28"/>
            <w:u w:val="single"/>
            <w:rtl/>
          </w:rPr>
          <w:t>א</w:t>
        </w:r>
        <w:r w:rsidR="004F70FD" w:rsidRPr="004F70FD">
          <w:rPr>
            <w:rFonts w:cs="David"/>
            <w:color w:val="0000FF"/>
            <w:sz w:val="28"/>
            <w:szCs w:val="28"/>
            <w:u w:val="single"/>
            <w:rtl/>
          </w:rPr>
          <w:t>)</w:t>
        </w:r>
      </w:hyperlink>
      <w:r>
        <w:rPr>
          <w:rFonts w:cs="David"/>
          <w:sz w:val="28"/>
          <w:szCs w:val="28"/>
          <w:rtl/>
        </w:rPr>
        <w:t xml:space="preserve"> </w:t>
      </w:r>
      <w:r>
        <w:rPr>
          <w:rFonts w:cs="David" w:hint="eastAsia"/>
          <w:sz w:val="28"/>
          <w:szCs w:val="28"/>
          <w:rtl/>
        </w:rPr>
        <w:t>ל</w:t>
      </w:r>
      <w:hyperlink r:id="rId23" w:history="1">
        <w:r w:rsidR="00016A27" w:rsidRPr="00016A27">
          <w:rPr>
            <w:rStyle w:val="Hyperlink"/>
            <w:rFonts w:cs="David" w:hint="eastAsia"/>
            <w:sz w:val="28"/>
            <w:szCs w:val="28"/>
            <w:rtl/>
          </w:rPr>
          <w:t>חוק</w:t>
        </w:r>
        <w:r w:rsidR="00016A27" w:rsidRPr="00016A27">
          <w:rPr>
            <w:rStyle w:val="Hyperlink"/>
            <w:rFonts w:cs="David"/>
            <w:sz w:val="28"/>
            <w:szCs w:val="28"/>
            <w:rtl/>
          </w:rPr>
          <w:t xml:space="preserve"> </w:t>
        </w:r>
        <w:r w:rsidR="00016A27" w:rsidRPr="00016A27">
          <w:rPr>
            <w:rStyle w:val="Hyperlink"/>
            <w:rFonts w:cs="David" w:hint="eastAsia"/>
            <w:sz w:val="28"/>
            <w:szCs w:val="28"/>
            <w:rtl/>
          </w:rPr>
          <w:t>העונשין</w:t>
        </w:r>
      </w:hyperlink>
      <w:r>
        <w:rPr>
          <w:rFonts w:cs="David"/>
          <w:sz w:val="28"/>
          <w:szCs w:val="28"/>
          <w:rtl/>
        </w:rPr>
        <w:t xml:space="preserve">, </w:t>
      </w:r>
      <w:r>
        <w:rPr>
          <w:rFonts w:cs="David" w:hint="eastAsia"/>
          <w:sz w:val="28"/>
          <w:szCs w:val="28"/>
          <w:rtl/>
        </w:rPr>
        <w:t>בעבירה</w:t>
      </w:r>
      <w:r>
        <w:rPr>
          <w:rFonts w:cs="David"/>
          <w:sz w:val="28"/>
          <w:szCs w:val="28"/>
          <w:rtl/>
        </w:rPr>
        <w:t xml:space="preserve"> </w:t>
      </w:r>
      <w:r>
        <w:rPr>
          <w:rFonts w:cs="David" w:hint="eastAsia"/>
          <w:sz w:val="28"/>
          <w:szCs w:val="28"/>
          <w:rtl/>
        </w:rPr>
        <w:t>של</w:t>
      </w:r>
      <w:r>
        <w:rPr>
          <w:rFonts w:cs="David"/>
          <w:sz w:val="28"/>
          <w:szCs w:val="28"/>
          <w:rtl/>
        </w:rPr>
        <w:t xml:space="preserve"> </w:t>
      </w:r>
      <w:r>
        <w:rPr>
          <w:rFonts w:cs="David" w:hint="eastAsia"/>
          <w:sz w:val="28"/>
          <w:szCs w:val="28"/>
          <w:rtl/>
        </w:rPr>
        <w:t>תקיפה</w:t>
      </w:r>
      <w:r>
        <w:rPr>
          <w:rFonts w:cs="David"/>
          <w:sz w:val="28"/>
          <w:szCs w:val="28"/>
          <w:rtl/>
        </w:rPr>
        <w:t xml:space="preserve"> </w:t>
      </w:r>
      <w:r>
        <w:rPr>
          <w:rFonts w:cs="David" w:hint="eastAsia"/>
          <w:sz w:val="28"/>
          <w:szCs w:val="28"/>
          <w:rtl/>
        </w:rPr>
        <w:t>סתם</w:t>
      </w:r>
      <w:r>
        <w:rPr>
          <w:rFonts w:cs="David"/>
          <w:sz w:val="28"/>
          <w:szCs w:val="28"/>
          <w:rtl/>
        </w:rPr>
        <w:t xml:space="preserve">, </w:t>
      </w:r>
      <w:r>
        <w:rPr>
          <w:rFonts w:cs="David" w:hint="eastAsia"/>
          <w:sz w:val="28"/>
          <w:szCs w:val="28"/>
          <w:rtl/>
        </w:rPr>
        <w:t>על</w:t>
      </w:r>
      <w:r>
        <w:rPr>
          <w:rFonts w:cs="David"/>
          <w:sz w:val="28"/>
          <w:szCs w:val="28"/>
          <w:rtl/>
        </w:rPr>
        <w:t xml:space="preserve"> </w:t>
      </w:r>
      <w:r>
        <w:rPr>
          <w:rFonts w:cs="David" w:hint="eastAsia"/>
          <w:sz w:val="28"/>
          <w:szCs w:val="28"/>
          <w:rtl/>
        </w:rPr>
        <w:t>פי</w:t>
      </w:r>
      <w:r>
        <w:rPr>
          <w:rFonts w:cs="David"/>
          <w:sz w:val="28"/>
          <w:szCs w:val="28"/>
          <w:rtl/>
        </w:rPr>
        <w:t xml:space="preserve"> </w:t>
      </w:r>
      <w:hyperlink r:id="rId24" w:history="1">
        <w:r w:rsidR="004F70FD" w:rsidRPr="004F70FD">
          <w:rPr>
            <w:rFonts w:cs="David" w:hint="eastAsia"/>
            <w:color w:val="0000FF"/>
            <w:sz w:val="28"/>
            <w:szCs w:val="28"/>
            <w:u w:val="single"/>
            <w:rtl/>
          </w:rPr>
          <w:t>סעיף</w:t>
        </w:r>
        <w:r w:rsidR="004F70FD" w:rsidRPr="004F70FD">
          <w:rPr>
            <w:rFonts w:cs="David"/>
            <w:color w:val="0000FF"/>
            <w:sz w:val="28"/>
            <w:szCs w:val="28"/>
            <w:u w:val="single"/>
            <w:rtl/>
          </w:rPr>
          <w:t xml:space="preserve"> 379</w:t>
        </w:r>
      </w:hyperlink>
      <w:r>
        <w:rPr>
          <w:rFonts w:cs="David"/>
          <w:sz w:val="28"/>
          <w:szCs w:val="28"/>
          <w:rtl/>
        </w:rPr>
        <w:t xml:space="preserve"> </w:t>
      </w:r>
      <w:r>
        <w:rPr>
          <w:rFonts w:cs="David" w:hint="eastAsia"/>
          <w:sz w:val="28"/>
          <w:szCs w:val="28"/>
          <w:rtl/>
        </w:rPr>
        <w:t>לחוק</w:t>
      </w:r>
      <w:r>
        <w:rPr>
          <w:rFonts w:cs="David"/>
          <w:sz w:val="28"/>
          <w:szCs w:val="28"/>
          <w:rtl/>
        </w:rPr>
        <w:t xml:space="preserve"> </w:t>
      </w:r>
      <w:r>
        <w:rPr>
          <w:rFonts w:cs="David" w:hint="eastAsia"/>
          <w:sz w:val="28"/>
          <w:szCs w:val="28"/>
          <w:rtl/>
        </w:rPr>
        <w:t>העונשין</w:t>
      </w:r>
      <w:r>
        <w:rPr>
          <w:rFonts w:cs="David"/>
          <w:sz w:val="28"/>
          <w:szCs w:val="28"/>
          <w:rtl/>
        </w:rPr>
        <w:t xml:space="preserve"> </w:t>
      </w:r>
      <w:r>
        <w:rPr>
          <w:rFonts w:cs="David" w:hint="eastAsia"/>
          <w:sz w:val="28"/>
          <w:szCs w:val="28"/>
          <w:rtl/>
        </w:rPr>
        <w:t>ובעבירה</w:t>
      </w:r>
      <w:r>
        <w:rPr>
          <w:rFonts w:cs="David"/>
          <w:sz w:val="28"/>
          <w:szCs w:val="28"/>
          <w:rtl/>
        </w:rPr>
        <w:t xml:space="preserve"> </w:t>
      </w:r>
      <w:r>
        <w:rPr>
          <w:rFonts w:cs="David" w:hint="eastAsia"/>
          <w:sz w:val="28"/>
          <w:szCs w:val="28"/>
          <w:rtl/>
        </w:rPr>
        <w:t>של</w:t>
      </w:r>
      <w:r>
        <w:rPr>
          <w:rFonts w:cs="David"/>
          <w:sz w:val="28"/>
          <w:szCs w:val="28"/>
          <w:rtl/>
        </w:rPr>
        <w:t xml:space="preserve"> </w:t>
      </w:r>
      <w:r>
        <w:rPr>
          <w:rFonts w:cs="David" w:hint="eastAsia"/>
          <w:sz w:val="28"/>
          <w:szCs w:val="28"/>
          <w:rtl/>
        </w:rPr>
        <w:t>הטרדה</w:t>
      </w:r>
      <w:r>
        <w:rPr>
          <w:rFonts w:cs="David"/>
          <w:sz w:val="28"/>
          <w:szCs w:val="28"/>
          <w:rtl/>
        </w:rPr>
        <w:t xml:space="preserve"> </w:t>
      </w:r>
      <w:r>
        <w:rPr>
          <w:rFonts w:cs="David" w:hint="eastAsia"/>
          <w:sz w:val="28"/>
          <w:szCs w:val="28"/>
          <w:rtl/>
        </w:rPr>
        <w:t>מינית</w:t>
      </w:r>
      <w:r>
        <w:rPr>
          <w:rFonts w:cs="David"/>
          <w:sz w:val="28"/>
          <w:szCs w:val="28"/>
          <w:rtl/>
        </w:rPr>
        <w:t>,</w:t>
      </w:r>
      <w:r>
        <w:rPr>
          <w:sz w:val="28"/>
          <w:szCs w:val="28"/>
          <w:rtl/>
        </w:rPr>
        <w:t xml:space="preserve"> </w:t>
      </w:r>
      <w:r>
        <w:rPr>
          <w:rFonts w:cs="David" w:hint="eastAsia"/>
          <w:sz w:val="28"/>
          <w:szCs w:val="28"/>
          <w:rtl/>
        </w:rPr>
        <w:t>על</w:t>
      </w:r>
      <w:r>
        <w:rPr>
          <w:rFonts w:cs="David"/>
          <w:sz w:val="28"/>
          <w:szCs w:val="28"/>
          <w:rtl/>
        </w:rPr>
        <w:t xml:space="preserve"> </w:t>
      </w:r>
      <w:r>
        <w:rPr>
          <w:rFonts w:cs="David" w:hint="eastAsia"/>
          <w:sz w:val="28"/>
          <w:szCs w:val="28"/>
          <w:rtl/>
        </w:rPr>
        <w:t>פי</w:t>
      </w:r>
      <w:r>
        <w:rPr>
          <w:sz w:val="28"/>
          <w:szCs w:val="28"/>
          <w:rtl/>
        </w:rPr>
        <w:t xml:space="preserve"> </w:t>
      </w:r>
      <w:r>
        <w:rPr>
          <w:rFonts w:cs="David" w:hint="eastAsia"/>
          <w:sz w:val="28"/>
          <w:szCs w:val="28"/>
          <w:rtl/>
        </w:rPr>
        <w:t>סעיף</w:t>
      </w:r>
      <w:r>
        <w:rPr>
          <w:rFonts w:cs="David"/>
          <w:sz w:val="28"/>
          <w:szCs w:val="28"/>
          <w:rtl/>
        </w:rPr>
        <w:t xml:space="preserve"> </w:t>
      </w:r>
      <w:hyperlink r:id="rId25" w:history="1">
        <w:r w:rsidR="004F70FD" w:rsidRPr="004F70FD">
          <w:rPr>
            <w:rFonts w:cs="David"/>
            <w:color w:val="0000FF"/>
            <w:sz w:val="28"/>
            <w:szCs w:val="28"/>
            <w:u w:val="single"/>
            <w:rtl/>
          </w:rPr>
          <w:t>3(</w:t>
        </w:r>
        <w:r w:rsidR="004F70FD" w:rsidRPr="004F70FD">
          <w:rPr>
            <w:rFonts w:cs="David" w:hint="eastAsia"/>
            <w:color w:val="0000FF"/>
            <w:sz w:val="28"/>
            <w:szCs w:val="28"/>
            <w:u w:val="single"/>
            <w:rtl/>
          </w:rPr>
          <w:t>א</w:t>
        </w:r>
        <w:r w:rsidR="004F70FD" w:rsidRPr="004F70FD">
          <w:rPr>
            <w:rFonts w:cs="David"/>
            <w:color w:val="0000FF"/>
            <w:sz w:val="28"/>
            <w:szCs w:val="28"/>
            <w:u w:val="single"/>
            <w:rtl/>
          </w:rPr>
          <w:t>)(5)</w:t>
        </w:r>
      </w:hyperlink>
      <w:r>
        <w:rPr>
          <w:rFonts w:cs="David"/>
          <w:sz w:val="28"/>
          <w:szCs w:val="28"/>
          <w:rtl/>
        </w:rPr>
        <w:t>+</w:t>
      </w:r>
      <w:hyperlink r:id="rId26" w:history="1">
        <w:r w:rsidR="004F70FD" w:rsidRPr="004F70FD">
          <w:rPr>
            <w:rFonts w:cs="David"/>
            <w:color w:val="0000FF"/>
            <w:sz w:val="28"/>
            <w:szCs w:val="28"/>
            <w:u w:val="single"/>
            <w:rtl/>
          </w:rPr>
          <w:t>5(</w:t>
        </w:r>
        <w:r w:rsidR="004F70FD" w:rsidRPr="004F70FD">
          <w:rPr>
            <w:rFonts w:cs="David" w:hint="eastAsia"/>
            <w:color w:val="0000FF"/>
            <w:sz w:val="28"/>
            <w:szCs w:val="28"/>
            <w:u w:val="single"/>
            <w:rtl/>
          </w:rPr>
          <w:t>א</w:t>
        </w:r>
        <w:r w:rsidR="004F70FD" w:rsidRPr="004F70FD">
          <w:rPr>
            <w:rFonts w:cs="David"/>
            <w:color w:val="0000FF"/>
            <w:sz w:val="28"/>
            <w:szCs w:val="28"/>
            <w:u w:val="single"/>
            <w:rtl/>
          </w:rPr>
          <w:t>)</w:t>
        </w:r>
      </w:hyperlink>
      <w:r>
        <w:rPr>
          <w:rFonts w:cs="David"/>
          <w:sz w:val="28"/>
          <w:szCs w:val="28"/>
          <w:rtl/>
        </w:rPr>
        <w:t xml:space="preserve"> </w:t>
      </w:r>
      <w:r>
        <w:rPr>
          <w:rFonts w:cs="David" w:hint="eastAsia"/>
          <w:sz w:val="28"/>
          <w:szCs w:val="28"/>
          <w:rtl/>
        </w:rPr>
        <w:t>ל</w:t>
      </w:r>
      <w:hyperlink r:id="rId27" w:history="1">
        <w:r w:rsidR="00016A27" w:rsidRPr="00016A27">
          <w:rPr>
            <w:rStyle w:val="Hyperlink"/>
            <w:rFonts w:cs="David" w:hint="eastAsia"/>
            <w:sz w:val="28"/>
            <w:szCs w:val="28"/>
            <w:rtl/>
          </w:rPr>
          <w:t>חוק</w:t>
        </w:r>
        <w:r w:rsidR="00016A27" w:rsidRPr="00016A27">
          <w:rPr>
            <w:rStyle w:val="Hyperlink"/>
            <w:rFonts w:cs="David"/>
            <w:sz w:val="28"/>
            <w:szCs w:val="28"/>
            <w:rtl/>
          </w:rPr>
          <w:t xml:space="preserve"> </w:t>
        </w:r>
        <w:r w:rsidR="00016A27" w:rsidRPr="00016A27">
          <w:rPr>
            <w:rStyle w:val="Hyperlink"/>
            <w:rFonts w:cs="David" w:hint="eastAsia"/>
            <w:sz w:val="28"/>
            <w:szCs w:val="28"/>
            <w:rtl/>
          </w:rPr>
          <w:t>למניעת</w:t>
        </w:r>
        <w:r w:rsidR="00016A27" w:rsidRPr="00016A27">
          <w:rPr>
            <w:rStyle w:val="Hyperlink"/>
            <w:rFonts w:cs="David"/>
            <w:sz w:val="28"/>
            <w:szCs w:val="28"/>
            <w:rtl/>
          </w:rPr>
          <w:t xml:space="preserve"> </w:t>
        </w:r>
        <w:r w:rsidR="00016A27" w:rsidRPr="00016A27">
          <w:rPr>
            <w:rStyle w:val="Hyperlink"/>
            <w:rFonts w:cs="David" w:hint="eastAsia"/>
            <w:sz w:val="28"/>
            <w:szCs w:val="28"/>
            <w:rtl/>
          </w:rPr>
          <w:t>הטרדה</w:t>
        </w:r>
        <w:r w:rsidR="00016A27" w:rsidRPr="00016A27">
          <w:rPr>
            <w:rStyle w:val="Hyperlink"/>
            <w:rFonts w:cs="David"/>
            <w:sz w:val="28"/>
            <w:szCs w:val="28"/>
            <w:rtl/>
          </w:rPr>
          <w:t xml:space="preserve"> </w:t>
        </w:r>
        <w:r w:rsidR="00016A27" w:rsidRPr="00016A27">
          <w:rPr>
            <w:rStyle w:val="Hyperlink"/>
            <w:rFonts w:cs="David" w:hint="eastAsia"/>
            <w:sz w:val="28"/>
            <w:szCs w:val="28"/>
            <w:rtl/>
          </w:rPr>
          <w:t>מינית</w:t>
        </w:r>
      </w:hyperlink>
      <w:r>
        <w:rPr>
          <w:rFonts w:cs="David"/>
          <w:sz w:val="28"/>
          <w:szCs w:val="28"/>
          <w:rtl/>
        </w:rPr>
        <w:t xml:space="preserve">. </w:t>
      </w:r>
    </w:p>
    <w:p w14:paraId="79EC7F55"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במענה לכתב האישום</w:t>
      </w:r>
      <w:r>
        <w:rPr>
          <w:rtl/>
        </w:rPr>
        <w:t xml:space="preserve">, </w:t>
      </w:r>
      <w:r>
        <w:rPr>
          <w:sz w:val="28"/>
          <w:szCs w:val="28"/>
          <w:rtl/>
        </w:rPr>
        <w:t>אישר</w:t>
      </w:r>
      <w:r>
        <w:rPr>
          <w:rtl/>
        </w:rPr>
        <w:t xml:space="preserve"> </w:t>
      </w:r>
      <w:r>
        <w:rPr>
          <w:sz w:val="28"/>
          <w:szCs w:val="28"/>
          <w:rtl/>
        </w:rPr>
        <w:t xml:space="preserve">הנאשם, באמצעות בא כוחו שקיים סכסוך בינו לבין המתלוננים, אך כפר בביצוען של העבירות המיוחסות לו, כשלטענתו לא איים, לא תקף, לא הטריד מינית ולא ביצע מעשה מגונה בפומבי. </w:t>
      </w:r>
    </w:p>
    <w:p w14:paraId="00DDEC26" w14:textId="77777777" w:rsidR="00FE45E4" w:rsidRDefault="00FE45E4">
      <w:pPr>
        <w:tabs>
          <w:tab w:val="num" w:pos="540"/>
        </w:tabs>
        <w:spacing w:line="360" w:lineRule="auto"/>
        <w:ind w:left="540"/>
        <w:jc w:val="both"/>
        <w:rPr>
          <w:sz w:val="28"/>
          <w:szCs w:val="28"/>
          <w:rtl/>
        </w:rPr>
      </w:pPr>
    </w:p>
    <w:p w14:paraId="5CB9227A"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lastRenderedPageBreak/>
        <w:t>האישום הראשון כולל למעשה שני אירועים, שהתרחשו במהלך אותו יום, הראשון - בבוקרו של היום והשני - בערבו של יום.</w:t>
      </w:r>
    </w:p>
    <w:p w14:paraId="456C96C3" w14:textId="77777777" w:rsidR="00FE45E4" w:rsidRDefault="00FE45E4">
      <w:pPr>
        <w:spacing w:line="360" w:lineRule="auto"/>
        <w:ind w:left="540"/>
        <w:jc w:val="both"/>
        <w:rPr>
          <w:sz w:val="28"/>
          <w:szCs w:val="28"/>
          <w:rtl/>
        </w:rPr>
      </w:pPr>
    </w:p>
    <w:p w14:paraId="71E0801E" w14:textId="77777777" w:rsidR="00FE45E4" w:rsidRDefault="00B02876">
      <w:pPr>
        <w:spacing w:line="360" w:lineRule="auto"/>
        <w:ind w:left="540"/>
        <w:jc w:val="both"/>
        <w:rPr>
          <w:sz w:val="28"/>
          <w:szCs w:val="28"/>
          <w:rtl/>
        </w:rPr>
      </w:pPr>
      <w:r>
        <w:rPr>
          <w:sz w:val="28"/>
          <w:szCs w:val="28"/>
          <w:rtl/>
        </w:rPr>
        <w:t>מטעם המאשימה העידו, על שני האירועים, שני המתלוננים ומטעם ההגנה העיד הנאשם.</w:t>
      </w:r>
    </w:p>
    <w:p w14:paraId="4C9FF177" w14:textId="77777777" w:rsidR="00FE45E4" w:rsidRDefault="00FE45E4">
      <w:pPr>
        <w:spacing w:line="360" w:lineRule="auto"/>
        <w:ind w:left="540"/>
        <w:jc w:val="both"/>
        <w:rPr>
          <w:sz w:val="28"/>
          <w:szCs w:val="28"/>
          <w:rtl/>
        </w:rPr>
      </w:pPr>
    </w:p>
    <w:p w14:paraId="2EFF31BB" w14:textId="77777777" w:rsidR="00FE45E4" w:rsidRDefault="00B02876">
      <w:pPr>
        <w:spacing w:line="360" w:lineRule="auto"/>
        <w:ind w:left="540"/>
        <w:jc w:val="both"/>
        <w:rPr>
          <w:sz w:val="28"/>
          <w:szCs w:val="28"/>
          <w:rtl/>
        </w:rPr>
      </w:pPr>
      <w:r>
        <w:rPr>
          <w:sz w:val="28"/>
          <w:szCs w:val="28"/>
          <w:rtl/>
        </w:rPr>
        <w:t>אף שעולה מהראיות, מעדויות המתלוננים ומדוח הפעולה שערך השוטר רס"ב משה אבנעים (להלן: "</w:t>
      </w:r>
      <w:r>
        <w:rPr>
          <w:b/>
          <w:bCs/>
          <w:sz w:val="28"/>
          <w:szCs w:val="28"/>
          <w:rtl/>
        </w:rPr>
        <w:t>השוטר</w:t>
      </w:r>
      <w:r>
        <w:rPr>
          <w:sz w:val="28"/>
          <w:szCs w:val="28"/>
          <w:rtl/>
        </w:rPr>
        <w:t>"), שהשכן אמיר כץ היה עד ראייה לאירוע הראשון מהבוקר, ושעדותו, לטענת ב"כ הנאשם, יכולה הייתה לשפוך אור על האירוע, לא עשתה המשטרה כל מאמץ אמיתי לאתרו ולזמנו לחקירה, אף שידעה את פרטיו ואת מענו, והסתפקה בכך שהשאירה לו הזמנה להתייצב לחקירה. משלא התייצב – ויתרה על גרסתו ועדותו.</w:t>
      </w:r>
    </w:p>
    <w:p w14:paraId="0F23A210" w14:textId="77777777" w:rsidR="00FE45E4" w:rsidRDefault="00B02876">
      <w:pPr>
        <w:spacing w:line="360" w:lineRule="auto"/>
        <w:ind w:left="540"/>
        <w:jc w:val="both"/>
        <w:rPr>
          <w:sz w:val="28"/>
          <w:szCs w:val="28"/>
          <w:rtl/>
        </w:rPr>
      </w:pPr>
      <w:r>
        <w:rPr>
          <w:sz w:val="28"/>
          <w:szCs w:val="28"/>
          <w:rtl/>
        </w:rPr>
        <w:t>לטענת ב"כ הנאשם מדובר במחדל חקירתי, המשמיט את הקרקע מתחת לראיות התביעה, במיוחד כשקשה לתת אמון בגרסאות המתלוננים ולבסס על פיהן הרשעה מעבר לכל ספק סביר.</w:t>
      </w:r>
    </w:p>
    <w:p w14:paraId="650CEC18" w14:textId="77777777" w:rsidR="00FE45E4" w:rsidRDefault="00FE45E4">
      <w:pPr>
        <w:spacing w:line="360" w:lineRule="auto"/>
        <w:ind w:left="540"/>
        <w:jc w:val="both"/>
        <w:rPr>
          <w:sz w:val="28"/>
          <w:szCs w:val="28"/>
          <w:rtl/>
        </w:rPr>
      </w:pPr>
    </w:p>
    <w:p w14:paraId="3BCA3BF8" w14:textId="77777777" w:rsidR="00FE45E4" w:rsidRDefault="00B02876">
      <w:pPr>
        <w:spacing w:line="360" w:lineRule="auto"/>
        <w:ind w:left="540"/>
        <w:jc w:val="both"/>
        <w:rPr>
          <w:sz w:val="28"/>
          <w:szCs w:val="28"/>
          <w:rtl/>
        </w:rPr>
      </w:pPr>
      <w:r>
        <w:rPr>
          <w:sz w:val="28"/>
          <w:szCs w:val="28"/>
          <w:rtl/>
        </w:rPr>
        <w:t>נבחן,</w:t>
      </w:r>
      <w:r>
        <w:rPr>
          <w:rtl/>
        </w:rPr>
        <w:t xml:space="preserve"> </w:t>
      </w:r>
      <w:r>
        <w:rPr>
          <w:sz w:val="28"/>
          <w:szCs w:val="28"/>
          <w:rtl/>
        </w:rPr>
        <w:t xml:space="preserve">אפוא, את גרסאות המתלוננים אל מול גרסת הנאשם, ככל שהן מתייחסות </w:t>
      </w:r>
      <w:r>
        <w:rPr>
          <w:b/>
          <w:bCs/>
          <w:sz w:val="28"/>
          <w:szCs w:val="28"/>
          <w:rtl/>
        </w:rPr>
        <w:t>לאירוע הראשון</w:t>
      </w:r>
      <w:r>
        <w:rPr>
          <w:sz w:val="28"/>
          <w:szCs w:val="28"/>
          <w:rtl/>
        </w:rPr>
        <w:t>.</w:t>
      </w:r>
    </w:p>
    <w:p w14:paraId="586B7E78" w14:textId="77777777" w:rsidR="00FE45E4" w:rsidRDefault="00B02876">
      <w:pPr>
        <w:spacing w:line="360" w:lineRule="auto"/>
        <w:ind w:left="540"/>
        <w:jc w:val="both"/>
        <w:rPr>
          <w:sz w:val="28"/>
          <w:szCs w:val="28"/>
          <w:rtl/>
        </w:rPr>
      </w:pPr>
      <w:r>
        <w:rPr>
          <w:sz w:val="28"/>
          <w:szCs w:val="28"/>
          <w:rtl/>
        </w:rPr>
        <w:t xml:space="preserve">אין מחלוקת, בין הנאשם למתלוננים, על הרקע לאירוע המדובר וכי הוא נולד סביב הגעתו של טכנאי בזק לתקן תקלה שארעה בקווי בזק בבניין וכי לצורך התיקון היה על הטכנאי להיכנס לחצר המשותפת של הבניין, אשר גודרה על ידי הנאשם, לצרכיו הפרטיים. </w:t>
      </w:r>
    </w:p>
    <w:p w14:paraId="2EDFB895" w14:textId="77777777" w:rsidR="00FE45E4" w:rsidRDefault="00B02876">
      <w:pPr>
        <w:spacing w:line="360" w:lineRule="auto"/>
        <w:ind w:left="540"/>
        <w:jc w:val="both"/>
        <w:rPr>
          <w:sz w:val="28"/>
          <w:szCs w:val="28"/>
          <w:rtl/>
        </w:rPr>
      </w:pPr>
      <w:r>
        <w:rPr>
          <w:sz w:val="28"/>
          <w:szCs w:val="28"/>
          <w:rtl/>
        </w:rPr>
        <w:t xml:space="preserve">המחלוקת סבה סביב השאלה האם אכן, כטענת המתלוננים, מנע הנאשם את כניסת הטכנאי לחצר, או, כטענתו, פתח אותה בפניו ואפשר לו גישה לתיקון התקלה. </w:t>
      </w:r>
    </w:p>
    <w:p w14:paraId="57B8F0B0" w14:textId="77777777" w:rsidR="00FE45E4" w:rsidRDefault="00B02876">
      <w:pPr>
        <w:spacing w:line="360" w:lineRule="auto"/>
        <w:ind w:left="540"/>
        <w:jc w:val="both"/>
        <w:rPr>
          <w:sz w:val="28"/>
          <w:szCs w:val="28"/>
          <w:rtl/>
        </w:rPr>
      </w:pPr>
      <w:r>
        <w:rPr>
          <w:sz w:val="28"/>
          <w:szCs w:val="28"/>
          <w:rtl/>
        </w:rPr>
        <w:t>על פי גרסת המתלוננים יום קודם לאירוע ארעה התקלה וכשהתקשרו ביום האירוע לבזק לברר מדוע לא הגיע טכנאי לתקן נמסר להם שהטכנאי הגיע אך סולק משם בטענה שמדובר בשטח פרטי. סוכם כי ישלח שוב טכנאי והם ירדו למטה על מנת להמתין לו ועל מנת להבטיח שהגישה למתקן של בזק תהא חופשית.</w:t>
      </w:r>
    </w:p>
    <w:p w14:paraId="6CF6717E" w14:textId="77777777" w:rsidR="00FE45E4" w:rsidRDefault="00B02876">
      <w:pPr>
        <w:spacing w:line="360" w:lineRule="auto"/>
        <w:ind w:left="540"/>
        <w:jc w:val="both"/>
        <w:rPr>
          <w:sz w:val="28"/>
          <w:szCs w:val="28"/>
          <w:rtl/>
        </w:rPr>
      </w:pPr>
      <w:r>
        <w:rPr>
          <w:sz w:val="28"/>
          <w:szCs w:val="28"/>
          <w:rtl/>
        </w:rPr>
        <w:t xml:space="preserve">לטענת </w:t>
      </w:r>
      <w:r>
        <w:rPr>
          <w:b/>
          <w:bCs/>
          <w:sz w:val="28"/>
          <w:szCs w:val="28"/>
          <w:rtl/>
        </w:rPr>
        <w:t>המתלוננת</w:t>
      </w:r>
      <w:r>
        <w:rPr>
          <w:sz w:val="28"/>
          <w:szCs w:val="28"/>
          <w:rtl/>
        </w:rPr>
        <w:t xml:space="preserve"> בהגיעה למקום ביקשה מהפועלים, שעבדו בתוך החצר המגודרת, לקרוא לנאשם. לאחר שנאמר לה על ידי הפועלים שהוא לא נמצא במקום, ביקשה מהם לפתוח את הכניסה לחצר על מנת לאפשר את כניסת הטכנאי, שאמור היה להגיע, אך הם השיבו שאינם יכולים להיענות לבקשתה ללא קבלת אישורו של הנאשם. לכן החליטה לפתוח את הכניסה המגודרת לחצר ובעלה הצטרף אליה.</w:t>
      </w:r>
    </w:p>
    <w:p w14:paraId="456CDBA5" w14:textId="77777777" w:rsidR="00FE45E4" w:rsidRDefault="00FE45E4">
      <w:pPr>
        <w:spacing w:line="360" w:lineRule="auto"/>
        <w:ind w:left="540"/>
        <w:jc w:val="both"/>
        <w:rPr>
          <w:sz w:val="28"/>
          <w:szCs w:val="28"/>
          <w:rtl/>
        </w:rPr>
      </w:pPr>
    </w:p>
    <w:p w14:paraId="7C331FEE" w14:textId="77777777" w:rsidR="00FE45E4" w:rsidRDefault="00B02876">
      <w:pPr>
        <w:spacing w:line="360" w:lineRule="auto"/>
        <w:ind w:left="540"/>
        <w:jc w:val="both"/>
        <w:rPr>
          <w:sz w:val="28"/>
          <w:szCs w:val="28"/>
          <w:rtl/>
        </w:rPr>
      </w:pPr>
      <w:r>
        <w:rPr>
          <w:sz w:val="28"/>
          <w:szCs w:val="28"/>
          <w:rtl/>
        </w:rPr>
        <w:t xml:space="preserve">לטענת </w:t>
      </w:r>
      <w:r>
        <w:rPr>
          <w:b/>
          <w:bCs/>
          <w:sz w:val="28"/>
          <w:szCs w:val="28"/>
          <w:rtl/>
        </w:rPr>
        <w:t>הנאשם</w:t>
      </w:r>
      <w:r>
        <w:rPr>
          <w:sz w:val="28"/>
          <w:szCs w:val="28"/>
          <w:rtl/>
        </w:rPr>
        <w:t>, בחקירתו הראשית בבית המשפט, לא היה נוכח בבית בעת שהטכנאי הגיע והיה צריך להיכנס לחצר. המשפצים, שעבדו במקום, התקשרו אליו ואמרו לו שהמתלוננת ובעלה ניסו לפרוץ את הדלת עם גרזן. לכן הגיע למקום וכשהתברר לו שהטכנאי רוצה להיכנס לתחום החצר נתן לו להיכנס וכלשונו "</w:t>
      </w:r>
      <w:r>
        <w:rPr>
          <w:b/>
          <w:bCs/>
          <w:sz w:val="28"/>
          <w:szCs w:val="28"/>
          <w:rtl/>
        </w:rPr>
        <w:t>נתתי לטכנאי להיכנס ועשיתי כל מה שצריך</w:t>
      </w:r>
      <w:r>
        <w:rPr>
          <w:sz w:val="28"/>
          <w:szCs w:val="28"/>
          <w:rtl/>
        </w:rPr>
        <w:t xml:space="preserve">". </w:t>
      </w:r>
    </w:p>
    <w:p w14:paraId="505CE93E" w14:textId="77777777" w:rsidR="00FE45E4" w:rsidRDefault="00B02876">
      <w:pPr>
        <w:spacing w:line="360" w:lineRule="auto"/>
        <w:ind w:left="540"/>
        <w:jc w:val="both"/>
        <w:rPr>
          <w:sz w:val="28"/>
          <w:szCs w:val="28"/>
          <w:rtl/>
        </w:rPr>
      </w:pPr>
      <w:r>
        <w:rPr>
          <w:sz w:val="28"/>
          <w:szCs w:val="28"/>
          <w:rtl/>
        </w:rPr>
        <w:t>משמעות גרסתו של הנאשם היא, שעשה ברכוש המשותף כבשלו ובכך תמך למעשה בגרסת המתלוננים שהיה צורך באישורו כדי להיכנס לחצר, שהמפקחת הבכירה על רישום מקרקעין קבעה שהיא חלק מהרכוש המשותף.</w:t>
      </w:r>
    </w:p>
    <w:p w14:paraId="176CCC10" w14:textId="77777777" w:rsidR="00FE45E4" w:rsidRDefault="00FE45E4">
      <w:pPr>
        <w:spacing w:line="360" w:lineRule="auto"/>
        <w:ind w:left="540"/>
        <w:jc w:val="both"/>
        <w:rPr>
          <w:sz w:val="28"/>
          <w:szCs w:val="28"/>
          <w:rtl/>
        </w:rPr>
      </w:pPr>
    </w:p>
    <w:p w14:paraId="43DD41CD" w14:textId="77777777" w:rsidR="00FE45E4" w:rsidRDefault="00B02876">
      <w:pPr>
        <w:spacing w:line="360" w:lineRule="auto"/>
        <w:ind w:left="540"/>
        <w:jc w:val="both"/>
        <w:rPr>
          <w:sz w:val="28"/>
          <w:szCs w:val="28"/>
          <w:rtl/>
        </w:rPr>
      </w:pPr>
      <w:r>
        <w:rPr>
          <w:sz w:val="28"/>
          <w:szCs w:val="28"/>
          <w:rtl/>
        </w:rPr>
        <w:t>מחלוקת נוספת שהתגלעה בין הצדדים והמתייחסת לאירוע הראשון נוגעת בליבת האירוע ובשאלה האם אכן הותקפו המתלוננים על ידי הנאשם ואוימו על ידו כטענתם, או שמא היו אלה הם שקיללו וגידפו את הנאשם, כטענתו ואילו הוא לא נקט כלפיהם בכל אקט אלים - פיזית או מילולית.</w:t>
      </w:r>
    </w:p>
    <w:p w14:paraId="1A3233F6" w14:textId="77777777" w:rsidR="00FE45E4" w:rsidRDefault="00FE45E4">
      <w:pPr>
        <w:spacing w:line="360" w:lineRule="auto"/>
        <w:ind w:left="540"/>
        <w:jc w:val="both"/>
        <w:rPr>
          <w:sz w:val="28"/>
          <w:szCs w:val="28"/>
          <w:rtl/>
        </w:rPr>
      </w:pPr>
    </w:p>
    <w:p w14:paraId="130019B8" w14:textId="77777777" w:rsidR="00FE45E4" w:rsidRDefault="00B02876">
      <w:pPr>
        <w:spacing w:line="360" w:lineRule="auto"/>
        <w:ind w:left="540"/>
        <w:jc w:val="both"/>
        <w:rPr>
          <w:sz w:val="28"/>
          <w:szCs w:val="28"/>
          <w:rtl/>
        </w:rPr>
      </w:pPr>
      <w:r>
        <w:rPr>
          <w:b/>
          <w:bCs/>
          <w:sz w:val="28"/>
          <w:szCs w:val="28"/>
          <w:rtl/>
        </w:rPr>
        <w:t>המתלוננת</w:t>
      </w:r>
      <w:r>
        <w:rPr>
          <w:sz w:val="28"/>
          <w:szCs w:val="28"/>
          <w:rtl/>
        </w:rPr>
        <w:t xml:space="preserve"> סיפרה בעדותה שכדקה לאחר שהחלה לפתוח את שער הכניסה לחצר, שגידר הנאשם, הגיע הנאשם מאחור, הכה עם ידו בפניה ודחף אותה על המדרגות. בעלה ניסה לתפוס אותו והנאשם החל לאיים עליה בהטיחו בפניה "</w:t>
      </w:r>
      <w:r>
        <w:rPr>
          <w:b/>
          <w:bCs/>
          <w:sz w:val="28"/>
          <w:szCs w:val="28"/>
          <w:rtl/>
        </w:rPr>
        <w:t>שהוא יזיין אותי ואת הבנות שלי. הוא אמר שהוא לא ינוח עד שלא אעוף מהבניין</w:t>
      </w:r>
      <w:r>
        <w:rPr>
          <w:sz w:val="28"/>
          <w:szCs w:val="28"/>
          <w:rtl/>
        </w:rPr>
        <w:t>". בהמשך לכך הוא התחיל לתקוף את בעלה והיא עלתה הביתה כדי להזמין את המשטרה וכשירדה ראתה את הנאשם דוחף את בעלה.</w:t>
      </w:r>
    </w:p>
    <w:p w14:paraId="05E767E9" w14:textId="77777777" w:rsidR="00FE45E4" w:rsidRDefault="00FE45E4">
      <w:pPr>
        <w:spacing w:line="360" w:lineRule="auto"/>
        <w:ind w:left="540"/>
        <w:jc w:val="both"/>
        <w:rPr>
          <w:sz w:val="28"/>
          <w:szCs w:val="28"/>
          <w:rtl/>
        </w:rPr>
      </w:pPr>
    </w:p>
    <w:p w14:paraId="198A14BD" w14:textId="77777777" w:rsidR="00FE45E4" w:rsidRDefault="00B02876">
      <w:pPr>
        <w:spacing w:line="360" w:lineRule="auto"/>
        <w:ind w:left="540"/>
        <w:jc w:val="both"/>
        <w:rPr>
          <w:sz w:val="28"/>
          <w:szCs w:val="28"/>
          <w:rtl/>
        </w:rPr>
      </w:pPr>
      <w:r>
        <w:rPr>
          <w:sz w:val="28"/>
          <w:szCs w:val="28"/>
          <w:rtl/>
        </w:rPr>
        <w:t xml:space="preserve">דברים דומים סיפר </w:t>
      </w:r>
      <w:r>
        <w:rPr>
          <w:b/>
          <w:bCs/>
          <w:sz w:val="28"/>
          <w:szCs w:val="28"/>
          <w:rtl/>
        </w:rPr>
        <w:t>המתלונן</w:t>
      </w:r>
      <w:r>
        <w:rPr>
          <w:sz w:val="28"/>
          <w:szCs w:val="28"/>
          <w:rtl/>
        </w:rPr>
        <w:t>, שתיאר בעדותו כי בעת שהוא והמתלוננת ניסו לפנות את מצבור הקרשים, המקלות והברזלים, כדי לפנות דרך לחברת בזק, הגיח מאחור הנאשם ותקף את המתלוננת בכך שסטר לה. לכן, אחז בידו כדי לאפשר למתלוננת להשתחרר. לאחר שהצליחה להשתחרר ברחה הביתה, אלא שאז גם הוא הותקף על ידי הנאשם שהכה בפניו והדף אותו לקיר ואף איים עליו, כשאמר "</w:t>
      </w:r>
      <w:r>
        <w:rPr>
          <w:b/>
          <w:bCs/>
          <w:sz w:val="28"/>
          <w:szCs w:val="28"/>
          <w:rtl/>
        </w:rPr>
        <w:t>שהוא יראה לנו ולא נשאר דקה, הוא ידאג שנעוף מהמקום, שלא נחיה כאן דקה הוא אמר 'אני עבריין ואדאג שתעופו מפה' הוא הזכיר אותי, את אשתי ואת בנותיי</w:t>
      </w:r>
      <w:r>
        <w:rPr>
          <w:sz w:val="28"/>
          <w:szCs w:val="28"/>
          <w:rtl/>
        </w:rPr>
        <w:t>".</w:t>
      </w:r>
    </w:p>
    <w:p w14:paraId="614A47E3" w14:textId="77777777" w:rsidR="00FE45E4" w:rsidRDefault="00B02876">
      <w:pPr>
        <w:spacing w:line="360" w:lineRule="auto"/>
        <w:ind w:left="540"/>
        <w:jc w:val="both"/>
        <w:rPr>
          <w:sz w:val="28"/>
          <w:szCs w:val="28"/>
          <w:rtl/>
        </w:rPr>
      </w:pPr>
      <w:r>
        <w:rPr>
          <w:sz w:val="28"/>
          <w:szCs w:val="28"/>
          <w:rtl/>
        </w:rPr>
        <w:t>בחקירתו הנגדית הוסיף העד וסיפר שהשוטר שהגיע למקום "</w:t>
      </w:r>
      <w:r>
        <w:rPr>
          <w:b/>
          <w:bCs/>
          <w:sz w:val="28"/>
          <w:szCs w:val="28"/>
          <w:rtl/>
        </w:rPr>
        <w:t>המתין לנאשם, שלא חזר ונעלם</w:t>
      </w:r>
      <w:r>
        <w:rPr>
          <w:sz w:val="28"/>
          <w:szCs w:val="28"/>
          <w:rtl/>
        </w:rPr>
        <w:t>".</w:t>
      </w:r>
    </w:p>
    <w:p w14:paraId="79B4B643" w14:textId="77777777" w:rsidR="00FE45E4" w:rsidRDefault="00B02876">
      <w:pPr>
        <w:spacing w:line="360" w:lineRule="auto"/>
        <w:ind w:left="540"/>
        <w:jc w:val="both"/>
        <w:rPr>
          <w:sz w:val="28"/>
          <w:szCs w:val="28"/>
          <w:rtl/>
        </w:rPr>
      </w:pPr>
      <w:r>
        <w:rPr>
          <w:sz w:val="28"/>
          <w:szCs w:val="28"/>
          <w:rtl/>
        </w:rPr>
        <w:t xml:space="preserve">אל מול עדותם של המתלוננים ניצבה עדותו של </w:t>
      </w:r>
      <w:r>
        <w:rPr>
          <w:b/>
          <w:bCs/>
          <w:sz w:val="28"/>
          <w:szCs w:val="28"/>
          <w:rtl/>
        </w:rPr>
        <w:t>הנאשם</w:t>
      </w:r>
      <w:r>
        <w:rPr>
          <w:sz w:val="28"/>
          <w:szCs w:val="28"/>
          <w:rtl/>
        </w:rPr>
        <w:t>, שחלקה נשענת על עדותם של הפועלים ומהווה עדות שמועה. לטענתו סיפרו לו הפועלים שבתגובה לסירובם לאפשר למתלוננים להיכנס לחצר, הניפה המתלוננת גרזן, עמו הגיעה, ודחפה אותם.</w:t>
      </w:r>
    </w:p>
    <w:p w14:paraId="24C130A3" w14:textId="77777777" w:rsidR="00FE45E4" w:rsidRDefault="00B02876">
      <w:pPr>
        <w:spacing w:line="360" w:lineRule="auto"/>
        <w:ind w:left="540"/>
        <w:jc w:val="both"/>
        <w:rPr>
          <w:sz w:val="28"/>
          <w:szCs w:val="28"/>
          <w:rtl/>
        </w:rPr>
      </w:pPr>
      <w:r>
        <w:rPr>
          <w:sz w:val="28"/>
          <w:szCs w:val="28"/>
          <w:rtl/>
        </w:rPr>
        <w:t>בעדותו במשטרה טען הנאשם שביכולתו להביא את הפועלים לעדות - ולא עשה כן - ובבית המשפט טען שאינו יודע כיצד להשיגם. כך או כך עדותם לא נשמעה ומשקל עדותו של הנאשם בעניין זה – אפסי.</w:t>
      </w:r>
    </w:p>
    <w:p w14:paraId="2273A047" w14:textId="77777777" w:rsidR="00FE45E4" w:rsidRDefault="00B02876">
      <w:pPr>
        <w:spacing w:line="360" w:lineRule="auto"/>
        <w:ind w:left="540"/>
        <w:jc w:val="both"/>
        <w:rPr>
          <w:sz w:val="28"/>
          <w:szCs w:val="28"/>
          <w:rtl/>
        </w:rPr>
      </w:pPr>
      <w:r>
        <w:rPr>
          <w:sz w:val="28"/>
          <w:szCs w:val="28"/>
          <w:rtl/>
        </w:rPr>
        <w:t>על מה שארע מרגע הגעתו סיפר הנאשם, בהודעתו במשטרה, כי כשהגיע למקום נתן לטכנאי להיכנס "</w:t>
      </w:r>
      <w:r>
        <w:rPr>
          <w:b/>
          <w:bCs/>
          <w:sz w:val="28"/>
          <w:szCs w:val="28"/>
          <w:rtl/>
        </w:rPr>
        <w:t>הוא תיקן את מה שהיה צריך</w:t>
      </w:r>
      <w:r>
        <w:rPr>
          <w:sz w:val="28"/>
          <w:szCs w:val="28"/>
          <w:rtl/>
        </w:rPr>
        <w:t>" ולא הזכיר כלל את נוכחותם של המתלוננים במקום. רק בתשובה לבקשת החוקר להתייחס לטענת המתלוננת שהותקפה על ידו טען "</w:t>
      </w:r>
      <w:r>
        <w:rPr>
          <w:b/>
          <w:bCs/>
          <w:sz w:val="28"/>
          <w:szCs w:val="28"/>
          <w:rtl/>
        </w:rPr>
        <w:t>לא נגעתי בה, אני לא נוגע בנשים אני שומר נגיעה</w:t>
      </w:r>
      <w:r>
        <w:rPr>
          <w:sz w:val="28"/>
          <w:szCs w:val="28"/>
          <w:rtl/>
        </w:rPr>
        <w:t>".</w:t>
      </w:r>
    </w:p>
    <w:p w14:paraId="48D88D13" w14:textId="77777777" w:rsidR="00FE45E4" w:rsidRDefault="00B02876">
      <w:pPr>
        <w:spacing w:line="360" w:lineRule="auto"/>
        <w:ind w:left="540"/>
        <w:jc w:val="both"/>
        <w:rPr>
          <w:sz w:val="28"/>
          <w:szCs w:val="28"/>
          <w:rtl/>
        </w:rPr>
      </w:pPr>
      <w:r>
        <w:rPr>
          <w:sz w:val="28"/>
          <w:szCs w:val="28"/>
          <w:rtl/>
        </w:rPr>
        <w:t>בעדותו בבית המשפט, לראשונה, ממקם הנאשם את המתלוננים במקום האירוע בעת הגעתו, אך לטענתו דווקא המתלוננים הם אלה שתקפו אותו מילולית "</w:t>
      </w:r>
      <w:r>
        <w:rPr>
          <w:b/>
          <w:bCs/>
          <w:sz w:val="28"/>
          <w:szCs w:val="28"/>
          <w:rtl/>
        </w:rPr>
        <w:t>התחילו לקלל ולגדף – בעיקר המתלוננת. היא יותר דומיננטית</w:t>
      </w:r>
      <w:r>
        <w:rPr>
          <w:sz w:val="28"/>
          <w:szCs w:val="28"/>
          <w:rtl/>
        </w:rPr>
        <w:t>" ובהתייחסו לטענות נגדו לפיהן תקף את המתלוננים ואיים עליהם הגיב שמדובר במסכת שקרים, שנמשכת זמן רב כשהמתלוננים "ממציאים" דברים שלא היו ולא נבראו .</w:t>
      </w:r>
    </w:p>
    <w:p w14:paraId="36A8DE1B" w14:textId="77777777" w:rsidR="00FE45E4" w:rsidRDefault="00B02876">
      <w:pPr>
        <w:spacing w:line="360" w:lineRule="auto"/>
        <w:ind w:left="540"/>
        <w:jc w:val="both"/>
        <w:rPr>
          <w:sz w:val="28"/>
          <w:szCs w:val="28"/>
          <w:rtl/>
        </w:rPr>
      </w:pPr>
      <w:r>
        <w:rPr>
          <w:sz w:val="28"/>
          <w:szCs w:val="28"/>
          <w:rtl/>
        </w:rPr>
        <w:t>בהתייחסו להזמנת המשטרה למקום על ידי המתלוננים מסר הנאשם שתי גרסאות סותרות בתוך משפט קצר אחד, שבראשיתו סיפר כי לאחר שהמתלוננים קיללו וגידפו אותו הם הזמינו משטרה, אך מיד בהמשך ובאותה נשימה הוסיף כי אינו יודע אם הם הזמינו משטרה.</w:t>
      </w:r>
    </w:p>
    <w:p w14:paraId="075D813D" w14:textId="77777777" w:rsidR="00FE45E4" w:rsidRDefault="00FE45E4">
      <w:pPr>
        <w:tabs>
          <w:tab w:val="num" w:pos="540"/>
        </w:tabs>
        <w:spacing w:line="360" w:lineRule="auto"/>
        <w:ind w:left="540" w:hanging="540"/>
        <w:jc w:val="both"/>
        <w:rPr>
          <w:sz w:val="28"/>
          <w:szCs w:val="28"/>
          <w:rtl/>
        </w:rPr>
      </w:pPr>
    </w:p>
    <w:p w14:paraId="2933A2F4"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לטענת ב"כ הנאשם, בסיכומיו, למתלוננים אינטרס משותף, כמו גם הזדמנויות לרוב וזמן למכביר לתאם גרסאות ביניהם, לכן יש להיזהר מלראות בעדויותיהם עדויות התומכות זו בזו ויש לראותן כעדות אחת בלבד, כשהוא סומך טיעון זה על אמירות השזורות בפסיקה אליה הפנה.</w:t>
      </w:r>
    </w:p>
    <w:p w14:paraId="3CFF4168" w14:textId="77777777" w:rsidR="00FE45E4" w:rsidRDefault="00FE45E4">
      <w:pPr>
        <w:spacing w:line="360" w:lineRule="auto"/>
        <w:ind w:left="540"/>
        <w:jc w:val="both"/>
        <w:rPr>
          <w:sz w:val="28"/>
          <w:szCs w:val="28"/>
          <w:rtl/>
        </w:rPr>
      </w:pPr>
    </w:p>
    <w:p w14:paraId="277D19A9" w14:textId="77777777" w:rsidR="00FE45E4" w:rsidRDefault="00B02876">
      <w:pPr>
        <w:spacing w:line="360" w:lineRule="auto"/>
        <w:ind w:left="540"/>
        <w:jc w:val="both"/>
        <w:rPr>
          <w:sz w:val="28"/>
          <w:szCs w:val="28"/>
          <w:rtl/>
        </w:rPr>
      </w:pPr>
      <w:r>
        <w:rPr>
          <w:sz w:val="28"/>
          <w:szCs w:val="28"/>
          <w:rtl/>
        </w:rPr>
        <w:t>אכן, ככל עדות, על בית המשפט להזהיר עצמו בטרם יקבע ממצאי מהימנות ויסמוך פסיקתו על עדות כזו או אחרת ושבעתיים עליו להיזהר כשמדובר בעדויות מפלילות של שני בני זוג כנגד הנאשם.</w:t>
      </w:r>
    </w:p>
    <w:p w14:paraId="054E2AEF" w14:textId="77777777" w:rsidR="00FE45E4" w:rsidRDefault="00B02876">
      <w:pPr>
        <w:spacing w:line="360" w:lineRule="auto"/>
        <w:ind w:left="540"/>
        <w:jc w:val="both"/>
        <w:rPr>
          <w:sz w:val="28"/>
          <w:szCs w:val="28"/>
          <w:rtl/>
        </w:rPr>
      </w:pPr>
      <w:r>
        <w:rPr>
          <w:sz w:val="28"/>
          <w:szCs w:val="28"/>
          <w:rtl/>
        </w:rPr>
        <w:t xml:space="preserve">ב"כ הנאשם אף מצא מספר סתירות בין עדויותיהם, בעיקר לגבי תוכן האיומים, שלטענת המתלוננים הטיח בהם הנאשם ואף הצביע בסקירה קצרה על תמיהות ותהיות, שעלו לדעתו מדרך התנהלותם של המתלוננים, בהם בין היתר, העובדה שהמתלונן לא סיפר בהזדמנות הראשונה לשוטר בשטח כי הנאשם תקף אותו בפניו והגיע למסירת תלונתו רק כארבעה חודשים לאחר האירוע. </w:t>
      </w:r>
    </w:p>
    <w:p w14:paraId="22D1D1B1" w14:textId="77777777" w:rsidR="00FE45E4" w:rsidRDefault="00B02876">
      <w:pPr>
        <w:spacing w:line="360" w:lineRule="auto"/>
        <w:ind w:left="540"/>
        <w:jc w:val="both"/>
        <w:rPr>
          <w:sz w:val="28"/>
          <w:szCs w:val="28"/>
          <w:rtl/>
        </w:rPr>
      </w:pPr>
      <w:r>
        <w:rPr>
          <w:sz w:val="28"/>
          <w:szCs w:val="28"/>
          <w:rtl/>
        </w:rPr>
        <w:t xml:space="preserve">לטענתו יש לדחות כבלתי אמינה ובלתי סבירה את הסבריו של המתלונן לתמיהות אלה. </w:t>
      </w:r>
    </w:p>
    <w:p w14:paraId="666635FC" w14:textId="77777777" w:rsidR="00FE45E4" w:rsidRDefault="00B02876">
      <w:pPr>
        <w:spacing w:line="360" w:lineRule="auto"/>
        <w:ind w:left="540"/>
        <w:jc w:val="both"/>
        <w:rPr>
          <w:sz w:val="28"/>
          <w:szCs w:val="28"/>
          <w:rtl/>
        </w:rPr>
      </w:pPr>
      <w:r>
        <w:rPr>
          <w:sz w:val="28"/>
          <w:szCs w:val="28"/>
          <w:rtl/>
        </w:rPr>
        <w:t>עוד ביקש להפנות לטענות שהעלה המתלונן בתצהיר שהגיש לתמיכה בבקשתו להוצאת צו הגנה, שעומדות  בסתירה לטענותיו שהותקף על ידי ההנאשם, באירוע הראשון, עפ"י לוחות הזמנים המוזכרים בתצהיר.</w:t>
      </w:r>
    </w:p>
    <w:p w14:paraId="7A31F7B5" w14:textId="77777777" w:rsidR="00FE45E4" w:rsidRDefault="00FE45E4">
      <w:pPr>
        <w:spacing w:line="360" w:lineRule="auto"/>
        <w:ind w:left="540"/>
        <w:jc w:val="both"/>
        <w:rPr>
          <w:sz w:val="28"/>
          <w:szCs w:val="28"/>
          <w:rtl/>
        </w:rPr>
      </w:pPr>
    </w:p>
    <w:p w14:paraId="69F8E1EC" w14:textId="77777777" w:rsidR="00FE45E4" w:rsidRDefault="00B02876">
      <w:pPr>
        <w:spacing w:line="360" w:lineRule="auto"/>
        <w:ind w:left="540"/>
        <w:jc w:val="both"/>
        <w:rPr>
          <w:sz w:val="28"/>
          <w:szCs w:val="28"/>
          <w:rtl/>
        </w:rPr>
      </w:pPr>
      <w:r>
        <w:rPr>
          <w:sz w:val="28"/>
          <w:szCs w:val="28"/>
          <w:rtl/>
        </w:rPr>
        <w:t>באשר למהימנות גרסתה של המתלוננת טען שהמתלוננת ביקשה להשחיר את פניו של הנאשם בכוח לכן בעדותה הוסיפה שמדובר בנאשם נרקומן, סיפרה שהתלוננה נגדו על אירוע נוסף, כשמדוח פעולה שהוגש ע"י ההגנה עולה כי התלוננה נגד חמיו, שהוא בעל הדירה והצביע על כך, שבמזכר, שנרשם על ידי איש משטרה, הוזכר שבשיחה עם פקח בשם מוטי, שלטענת המתלוננת היה עד כשהנאשם הטריד אותה מינית, ציין הפקח שלא שמע את הדברים ורק היה עד לכך שהמתלוננת צועקת מחלון דירתה.</w:t>
      </w:r>
    </w:p>
    <w:p w14:paraId="0C000EA7" w14:textId="77777777" w:rsidR="00FE45E4" w:rsidRDefault="00B02876">
      <w:pPr>
        <w:spacing w:line="360" w:lineRule="auto"/>
        <w:ind w:left="540"/>
        <w:jc w:val="both"/>
        <w:rPr>
          <w:sz w:val="28"/>
          <w:szCs w:val="28"/>
          <w:rtl/>
        </w:rPr>
      </w:pPr>
      <w:r>
        <w:rPr>
          <w:sz w:val="28"/>
          <w:szCs w:val="28"/>
          <w:rtl/>
        </w:rPr>
        <w:t xml:space="preserve"> </w:t>
      </w:r>
    </w:p>
    <w:p w14:paraId="793ED011"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אף שמדובר בטענות כלליות לגבי מהימנות עדותם של המתלוננים ואין הן נוגעות באופן ישיר דווקא לגרסתם באשר לאירוע הראשון, מצאתי להרחיב בשאלת המהימנות כבר עכשיו, כשלהכרעתי בעניין תהא השלכה גם לגבי האירועים האחרים.</w:t>
      </w:r>
    </w:p>
    <w:p w14:paraId="79C10D3D" w14:textId="77777777" w:rsidR="00FE45E4" w:rsidRDefault="00B02876">
      <w:pPr>
        <w:spacing w:line="360" w:lineRule="auto"/>
        <w:ind w:left="540"/>
        <w:jc w:val="both"/>
        <w:rPr>
          <w:sz w:val="28"/>
          <w:szCs w:val="28"/>
          <w:rtl/>
        </w:rPr>
      </w:pPr>
      <w:r>
        <w:rPr>
          <w:sz w:val="28"/>
          <w:szCs w:val="28"/>
          <w:rtl/>
        </w:rPr>
        <w:t xml:space="preserve">בהתייחס לטענות שהועלו כנגד </w:t>
      </w:r>
      <w:r>
        <w:rPr>
          <w:b/>
          <w:bCs/>
          <w:sz w:val="28"/>
          <w:szCs w:val="28"/>
          <w:rtl/>
        </w:rPr>
        <w:t>המתלונן</w:t>
      </w:r>
      <w:r>
        <w:rPr>
          <w:sz w:val="28"/>
          <w:szCs w:val="28"/>
          <w:rtl/>
        </w:rPr>
        <w:t xml:space="preserve">, מצאתי כי הסבריו לשיהוי בהגשת התלונה בכלל ולעובדה כי הוכה בפניו, בפרט,  הינם סבירים והגיוניים. </w:t>
      </w:r>
    </w:p>
    <w:p w14:paraId="7E25E11B" w14:textId="77777777" w:rsidR="00FE45E4" w:rsidRDefault="00B02876">
      <w:pPr>
        <w:spacing w:line="360" w:lineRule="auto"/>
        <w:ind w:left="540"/>
        <w:jc w:val="both"/>
        <w:rPr>
          <w:sz w:val="28"/>
          <w:szCs w:val="28"/>
          <w:rtl/>
        </w:rPr>
      </w:pPr>
      <w:r>
        <w:rPr>
          <w:sz w:val="28"/>
          <w:szCs w:val="28"/>
          <w:rtl/>
        </w:rPr>
        <w:t xml:space="preserve">הסבריו כי הבין שדי בכך שאשתו והשכן מסרו לשוטר שהגיע למקום את שאירע, וכי הגיע למשטרה לאחר שהוזמן על ידי החוקרת למסור את גרסתו, מתיישבת עם ההיגיון והתרשמתי כי דבריו נאמרו בכנות, מתוך תפיסתו את התנהלות המשטרה בטיפול בתלונה שנמסרה, כאמור, בשטח. </w:t>
      </w:r>
    </w:p>
    <w:p w14:paraId="0E39C412" w14:textId="77777777" w:rsidR="00FE45E4" w:rsidRDefault="00FE45E4">
      <w:pPr>
        <w:spacing w:line="360" w:lineRule="auto"/>
        <w:ind w:left="540"/>
        <w:jc w:val="both"/>
        <w:rPr>
          <w:sz w:val="28"/>
          <w:szCs w:val="28"/>
          <w:rtl/>
        </w:rPr>
      </w:pPr>
    </w:p>
    <w:p w14:paraId="5923925F" w14:textId="77777777" w:rsidR="00FE45E4" w:rsidRDefault="00B02876">
      <w:pPr>
        <w:spacing w:line="360" w:lineRule="auto"/>
        <w:ind w:left="540"/>
        <w:jc w:val="both"/>
        <w:rPr>
          <w:sz w:val="28"/>
          <w:szCs w:val="28"/>
          <w:rtl/>
        </w:rPr>
      </w:pPr>
      <w:r>
        <w:rPr>
          <w:sz w:val="28"/>
          <w:szCs w:val="28"/>
          <w:rtl/>
        </w:rPr>
        <w:t>גם הסברו לדברים החלקיים שנמסרו מפיו לשוטר על האופן בו הותקף, אינו בלתי סביר, אך בהתחשב בשיהוי במסירת גרסה זו ובכך שהמתלוננת לא תמכה בכך בעדותה, לא אתן משקל לחלק זה בגרסת המתלונן, אולם, אין בכך כדי לפגום במהימנות גרסתו בכלל, בהיותה שוטפת, בהירה, לא מתלהמת ומתיישבת עם הנסיבות, עליהן אין מחלוקת, לפיה ניסה יחד עם המתלוננת לפרוץ את המחסום שהקים הנאשם סביב החצר, המהווה חלק מהרכוש המשותף של הבניין, אותה סיפח הנאשם ליחידת המגורים שלו.</w:t>
      </w:r>
    </w:p>
    <w:p w14:paraId="44B32A51" w14:textId="77777777" w:rsidR="00FE45E4" w:rsidRDefault="00B02876">
      <w:pPr>
        <w:spacing w:line="360" w:lineRule="auto"/>
        <w:ind w:left="540"/>
        <w:jc w:val="both"/>
        <w:rPr>
          <w:sz w:val="28"/>
          <w:szCs w:val="28"/>
          <w:rtl/>
        </w:rPr>
      </w:pPr>
      <w:r>
        <w:rPr>
          <w:sz w:val="28"/>
          <w:szCs w:val="28"/>
          <w:rtl/>
        </w:rPr>
        <w:t>ב"כ הנאשם, כאמור העלה טענה, המתייחסת לתצהיר שהגיש המתלונן בתמיכה לבקשתו לצו ההגנה. דא עקא ב"כ הנאשם סרב להגשת הבקשה והתצהיר, כראיה במשפט, וכשכל אלה לא עומדים במלואם בפני בית המשפט קשה לקבוע ממצאים על פיהם, לא לחובת הנאשם אף לא לזכותו.</w:t>
      </w:r>
    </w:p>
    <w:p w14:paraId="286B3D2B" w14:textId="77777777" w:rsidR="00FE45E4" w:rsidRDefault="00FE45E4">
      <w:pPr>
        <w:spacing w:line="360" w:lineRule="auto"/>
        <w:ind w:left="540"/>
        <w:jc w:val="both"/>
        <w:rPr>
          <w:sz w:val="28"/>
          <w:szCs w:val="28"/>
          <w:rtl/>
        </w:rPr>
      </w:pPr>
    </w:p>
    <w:p w14:paraId="351668FF" w14:textId="77777777" w:rsidR="00FE45E4" w:rsidRDefault="00B02876">
      <w:pPr>
        <w:spacing w:line="360" w:lineRule="auto"/>
        <w:ind w:left="540"/>
        <w:jc w:val="both"/>
        <w:rPr>
          <w:sz w:val="28"/>
          <w:szCs w:val="28"/>
          <w:rtl/>
        </w:rPr>
      </w:pPr>
      <w:r>
        <w:rPr>
          <w:sz w:val="28"/>
          <w:szCs w:val="28"/>
          <w:rtl/>
        </w:rPr>
        <w:t xml:space="preserve">בהתייחס לטענות שהועלו נגד </w:t>
      </w:r>
      <w:r>
        <w:rPr>
          <w:b/>
          <w:bCs/>
          <w:sz w:val="28"/>
          <w:szCs w:val="28"/>
          <w:rtl/>
        </w:rPr>
        <w:t>המתלוננת</w:t>
      </w:r>
      <w:r>
        <w:rPr>
          <w:sz w:val="28"/>
          <w:szCs w:val="28"/>
          <w:rtl/>
        </w:rPr>
        <w:t xml:space="preserve"> אין באף אחת מהן כשלעצמה, אף לא בהצטברותן כדי לפגוע במהימנות גרסתה. כל "התוספות" כביכול על התנהלותו של הנאשם, שלטענת ב"כ הנאשם באו כדי להשחיר פניו של הנאשם, באו בתשובה לשאלות ב"כ הנאשם. </w:t>
      </w:r>
    </w:p>
    <w:p w14:paraId="37C6D854" w14:textId="77777777" w:rsidR="00FE45E4" w:rsidRDefault="00B02876">
      <w:pPr>
        <w:spacing w:line="360" w:lineRule="auto"/>
        <w:ind w:left="540"/>
        <w:jc w:val="both"/>
        <w:rPr>
          <w:sz w:val="28"/>
          <w:szCs w:val="28"/>
          <w:rtl/>
        </w:rPr>
      </w:pPr>
      <w:r>
        <w:rPr>
          <w:sz w:val="28"/>
          <w:szCs w:val="28"/>
          <w:rtl/>
        </w:rPr>
        <w:t>המתלוננת לא אמרה מיוזמתה כל אמירה שיש בה כדי להשחיר את פניו של הנאשם והתרשמתי שאמרה את אשר אמרה בהתייחסות לדברים שנשאלה בחקירתה הנגדית, כשנדחקה לפינה וביקשה לשכנע בסבירות גרסתה על רקע התנהלותו של הנאשם בדרך כלל.</w:t>
      </w:r>
    </w:p>
    <w:p w14:paraId="6265D240" w14:textId="77777777" w:rsidR="00FE45E4" w:rsidRDefault="00B02876">
      <w:pPr>
        <w:spacing w:line="360" w:lineRule="auto"/>
        <w:ind w:left="540"/>
        <w:jc w:val="both"/>
        <w:rPr>
          <w:sz w:val="28"/>
          <w:szCs w:val="28"/>
          <w:rtl/>
        </w:rPr>
      </w:pPr>
      <w:r>
        <w:rPr>
          <w:sz w:val="28"/>
          <w:szCs w:val="28"/>
          <w:rtl/>
        </w:rPr>
        <w:t>התרשמותי זו נובעת גם מכך שהמתלוננת דווקא לא ביקשה להחמיר את מצבו של הנאשם והקפידה להדגיש כי אחרי האירועים נשוא כתב האישום לא תקף אותה הנאשם יותר, גם אם המתיחות ביניהם המשיכה, ההליכים המשפטיים בפני המפקחת המשיכו להתנהל, וכי מאז מעשיו של הנאשם לא חרגו מכך שקילל אותה קצת והסתכל עליה בכעס, מעשים שלא הצריכו את התערבות המשטרה ולכן אף לא דיווחה עליהם ולא התלוננה נגדו על כך.</w:t>
      </w:r>
    </w:p>
    <w:p w14:paraId="773FC2E1" w14:textId="77777777" w:rsidR="00FE45E4" w:rsidRDefault="00FE45E4">
      <w:pPr>
        <w:spacing w:line="360" w:lineRule="auto"/>
        <w:ind w:left="540"/>
        <w:jc w:val="both"/>
        <w:rPr>
          <w:sz w:val="28"/>
          <w:szCs w:val="28"/>
          <w:rtl/>
        </w:rPr>
      </w:pPr>
    </w:p>
    <w:p w14:paraId="64242593" w14:textId="77777777" w:rsidR="00FE45E4" w:rsidRDefault="00B02876">
      <w:pPr>
        <w:spacing w:line="360" w:lineRule="auto"/>
        <w:ind w:left="540"/>
        <w:jc w:val="both"/>
        <w:rPr>
          <w:sz w:val="28"/>
          <w:szCs w:val="28"/>
          <w:rtl/>
        </w:rPr>
      </w:pPr>
      <w:r>
        <w:rPr>
          <w:sz w:val="28"/>
          <w:szCs w:val="28"/>
          <w:rtl/>
        </w:rPr>
        <w:t xml:space="preserve">מאידך, גרסתו של </w:t>
      </w:r>
      <w:r>
        <w:rPr>
          <w:b/>
          <w:bCs/>
          <w:sz w:val="28"/>
          <w:szCs w:val="28"/>
          <w:rtl/>
        </w:rPr>
        <w:t>הנאשם</w:t>
      </w:r>
      <w:r>
        <w:rPr>
          <w:sz w:val="28"/>
          <w:szCs w:val="28"/>
          <w:rtl/>
        </w:rPr>
        <w:t xml:space="preserve"> לא הייתה מהימנה עליי ולו מהטעם שהרחיק עצמו במשטרה מכל מגע עם המתלוננים באירוע הראשון, כשלא הזכיר את נוכחותם במקום וטענתו כלפיהם כי קיללו וגידפו אותו הינה כבושה ללא כל מתן הסבר לכבישתה.</w:t>
      </w:r>
    </w:p>
    <w:p w14:paraId="59C271B6"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עובדת הימלטותו של הנאשם מהזירה, טרם הגעת המשטרה, כפי שנמצאנו למדים, מעדות המתלונן ומדוח הפעולה שערך השוטר, אף שידע שזו הוזמנה, כפי שעלה מעדותו, אף שניסה לחזור מהודאתו בכך, כאמור לעיל, מצביעה על תחושת אשם וחשש מפני תוצאות מעשיו ותומכת בגרסת המתלוננים על כך שהותקפו על ידו.</w:t>
      </w:r>
    </w:p>
    <w:p w14:paraId="13912FE2" w14:textId="77777777" w:rsidR="00FE45E4" w:rsidRDefault="00FE45E4">
      <w:pPr>
        <w:spacing w:line="360" w:lineRule="auto"/>
        <w:ind w:left="540"/>
        <w:jc w:val="both"/>
        <w:rPr>
          <w:sz w:val="28"/>
          <w:szCs w:val="28"/>
          <w:rtl/>
        </w:rPr>
      </w:pPr>
    </w:p>
    <w:p w14:paraId="43E69FA2" w14:textId="77777777" w:rsidR="00FE45E4" w:rsidRDefault="00B02876">
      <w:pPr>
        <w:spacing w:line="360" w:lineRule="auto"/>
        <w:ind w:left="540"/>
        <w:jc w:val="both"/>
        <w:rPr>
          <w:sz w:val="28"/>
          <w:szCs w:val="28"/>
          <w:rtl/>
        </w:rPr>
      </w:pPr>
      <w:r>
        <w:rPr>
          <w:sz w:val="28"/>
          <w:szCs w:val="28"/>
          <w:rtl/>
        </w:rPr>
        <w:t>לכל אלה יש להוסיף את גרסת המתלוננת לפיה היה עד ראייה לאירוע, שניסה להתערב ו"זכה" לכך שהנאשם ישליך לעברו בלוק.</w:t>
      </w:r>
    </w:p>
    <w:p w14:paraId="0186DBFA" w14:textId="77777777" w:rsidR="00FE45E4" w:rsidRDefault="00B02876">
      <w:pPr>
        <w:spacing w:line="360" w:lineRule="auto"/>
        <w:ind w:left="540"/>
        <w:jc w:val="both"/>
        <w:rPr>
          <w:sz w:val="28"/>
          <w:szCs w:val="28"/>
        </w:rPr>
      </w:pPr>
      <w:r>
        <w:rPr>
          <w:sz w:val="28"/>
          <w:szCs w:val="28"/>
          <w:rtl/>
        </w:rPr>
        <w:t>אמנם, כפי שהוזכר לעיל, המשטרה לא פעלה בשקידה סבירה על מנת להביא עד זה לחקירה ואין חולק שהדברים שאמר אותו עד ראיה לשוטר, הינם בבחינת עדות שמועה ומשקלה לעניין אמיתותה הינה אפסית. אולם יש משקל לעצם אמירת הדברים על ידי עד הראייה לשוטר, ועצם אמירתם יכולה להוות חיזוק לאמיתות גרסתה של המתלוננת.</w:t>
      </w:r>
    </w:p>
    <w:p w14:paraId="2DB1BC4B" w14:textId="77777777" w:rsidR="00FE45E4" w:rsidRDefault="00FE45E4">
      <w:pPr>
        <w:tabs>
          <w:tab w:val="num" w:pos="540"/>
        </w:tabs>
        <w:spacing w:line="360" w:lineRule="auto"/>
        <w:ind w:left="540" w:hanging="540"/>
        <w:jc w:val="both"/>
        <w:rPr>
          <w:sz w:val="28"/>
          <w:szCs w:val="28"/>
          <w:rtl/>
        </w:rPr>
      </w:pPr>
    </w:p>
    <w:p w14:paraId="1691651D"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לאור האמור לעיל אני קובעת כי המאשימה עמדה בנטל להוכיח כי המתלוננים הותקפו ואוימו, באירוע הראשון, על ידי הנאשם, אך בהעדר כל ראיה לפיה נגרמו למתלוננת חבלות עקב תקיפתה, כמיוחס לנאשם בכתב האישום, אני קובעת כי לא הוכח היסוד של גרימת החבלה של ממש למתלוננת.</w:t>
      </w:r>
    </w:p>
    <w:p w14:paraId="62E0BCAC" w14:textId="77777777" w:rsidR="00FE45E4" w:rsidRDefault="00FE45E4">
      <w:pPr>
        <w:tabs>
          <w:tab w:val="num" w:pos="540"/>
        </w:tabs>
        <w:spacing w:line="360" w:lineRule="auto"/>
        <w:ind w:left="540" w:hanging="540"/>
        <w:jc w:val="both"/>
        <w:rPr>
          <w:sz w:val="28"/>
          <w:szCs w:val="28"/>
          <w:rtl/>
        </w:rPr>
      </w:pPr>
    </w:p>
    <w:p w14:paraId="62B2FE58"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 xml:space="preserve">עתה נעבור לבחון את גרסאות המתלוננים אל מול גרסת הנאשם, ככל שהן מתייחסות </w:t>
      </w:r>
      <w:r>
        <w:rPr>
          <w:b/>
          <w:bCs/>
          <w:sz w:val="28"/>
          <w:szCs w:val="28"/>
          <w:rtl/>
        </w:rPr>
        <w:t>לאירוע השני</w:t>
      </w:r>
      <w:r>
        <w:rPr>
          <w:sz w:val="28"/>
          <w:szCs w:val="28"/>
          <w:rtl/>
        </w:rPr>
        <w:t>.</w:t>
      </w:r>
    </w:p>
    <w:p w14:paraId="07D44EB0" w14:textId="77777777" w:rsidR="00FE45E4" w:rsidRDefault="00B02876">
      <w:pPr>
        <w:spacing w:line="360" w:lineRule="auto"/>
        <w:ind w:left="540"/>
        <w:jc w:val="both"/>
        <w:rPr>
          <w:sz w:val="28"/>
          <w:szCs w:val="28"/>
          <w:rtl/>
        </w:rPr>
      </w:pPr>
      <w:r>
        <w:rPr>
          <w:sz w:val="28"/>
          <w:szCs w:val="28"/>
          <w:rtl/>
        </w:rPr>
        <w:t xml:space="preserve">הראיה המרכזית לאירוע זה הינה עדותה של </w:t>
      </w:r>
      <w:r>
        <w:rPr>
          <w:b/>
          <w:bCs/>
          <w:sz w:val="28"/>
          <w:szCs w:val="28"/>
          <w:rtl/>
        </w:rPr>
        <w:t>המתלוננת</w:t>
      </w:r>
      <w:r>
        <w:rPr>
          <w:sz w:val="28"/>
          <w:szCs w:val="28"/>
          <w:rtl/>
        </w:rPr>
        <w:t xml:space="preserve"> שסיפרה על שאירע בערבו של  אותו יום, שעות מספר לאחר שהסתיים האירוע הראשון.</w:t>
      </w:r>
    </w:p>
    <w:p w14:paraId="76DB6BCF" w14:textId="77777777" w:rsidR="00FE45E4" w:rsidRDefault="00B02876">
      <w:pPr>
        <w:spacing w:line="360" w:lineRule="auto"/>
        <w:ind w:left="540"/>
        <w:jc w:val="both"/>
        <w:rPr>
          <w:b/>
          <w:bCs/>
          <w:sz w:val="28"/>
          <w:szCs w:val="28"/>
          <w:rtl/>
        </w:rPr>
      </w:pPr>
      <w:r>
        <w:rPr>
          <w:sz w:val="28"/>
          <w:szCs w:val="28"/>
          <w:rtl/>
        </w:rPr>
        <w:t xml:space="preserve">על פי גרסתה, כששבה באותו ערב הביתה מצאה שהנאשם חסם את הכניסה לחניית רכבה לכן פנתה לנאשם, על מנת שיסיר את החסימה, כדי שתוכל להיכנס ולהחנות את רכבה ובמקביל התקשרה למשטרה. הנאשם אמנם הזיז את הרכב שחסם את חנייתה, אך סמוך לאחר מכן, בעת שפתחה את התריסים על מנת לתלות כביסה, הבחינה בו עומד ליד רכבה וצוחק. לשאלתה לפשר צחוקו השיב </w:t>
      </w:r>
      <w:r>
        <w:rPr>
          <w:b/>
          <w:bCs/>
          <w:sz w:val="28"/>
          <w:szCs w:val="28"/>
          <w:rtl/>
        </w:rPr>
        <w:t>"מה את חושבת שהמשטרה תעזור לך? אני אזיין אותך ואקרע אותך. יש לי זין כזה גדול. מה שבעלך הקוקסינל לא עשה, אני אלמד אותך מה זה גבר".</w:t>
      </w:r>
    </w:p>
    <w:p w14:paraId="5AC3D50A" w14:textId="77777777" w:rsidR="00FE45E4" w:rsidRDefault="00B02876">
      <w:pPr>
        <w:spacing w:line="360" w:lineRule="auto"/>
        <w:ind w:left="540"/>
        <w:jc w:val="both"/>
        <w:rPr>
          <w:b/>
          <w:bCs/>
          <w:sz w:val="28"/>
          <w:szCs w:val="28"/>
          <w:rtl/>
        </w:rPr>
      </w:pPr>
      <w:r>
        <w:rPr>
          <w:sz w:val="28"/>
          <w:szCs w:val="28"/>
          <w:rtl/>
        </w:rPr>
        <w:t xml:space="preserve">דברים דומים סיפר </w:t>
      </w:r>
      <w:r>
        <w:rPr>
          <w:b/>
          <w:bCs/>
          <w:sz w:val="28"/>
          <w:szCs w:val="28"/>
          <w:rtl/>
        </w:rPr>
        <w:t>המתלונן</w:t>
      </w:r>
      <w:r>
        <w:rPr>
          <w:sz w:val="28"/>
          <w:szCs w:val="28"/>
          <w:rtl/>
        </w:rPr>
        <w:t xml:space="preserve"> בעדותו, כשלדבריו בעת האירוע עמד כמטר וחצי מאחורי המתלוננת ושמע את הנאשם קורא לעברה: </w:t>
      </w:r>
      <w:r>
        <w:rPr>
          <w:b/>
          <w:bCs/>
          <w:sz w:val="28"/>
          <w:szCs w:val="28"/>
          <w:rtl/>
        </w:rPr>
        <w:t>"אני אזיין אותך. אראה לך איזה זין גדול יש לי ומה שבעלך ההומו לא יודע לעשות – אני אעשה לך".</w:t>
      </w:r>
    </w:p>
    <w:p w14:paraId="25D0CFC1" w14:textId="77777777" w:rsidR="00FE45E4" w:rsidRDefault="00B02876">
      <w:pPr>
        <w:spacing w:line="360" w:lineRule="auto"/>
        <w:ind w:left="540"/>
        <w:jc w:val="both"/>
        <w:rPr>
          <w:sz w:val="28"/>
          <w:szCs w:val="28"/>
          <w:rtl/>
        </w:rPr>
      </w:pPr>
      <w:r>
        <w:rPr>
          <w:b/>
          <w:bCs/>
          <w:sz w:val="28"/>
          <w:szCs w:val="28"/>
          <w:rtl/>
        </w:rPr>
        <w:t>הנאשם</w:t>
      </w:r>
      <w:r>
        <w:rPr>
          <w:sz w:val="28"/>
          <w:szCs w:val="28"/>
          <w:rtl/>
        </w:rPr>
        <w:t xml:space="preserve"> נחקר על כך, במהלך חקירתו במשטרה, והתבקש להגיב לדברים המיוחסים לו, בהקשר של "מקרה חסימת הרכב". </w:t>
      </w:r>
    </w:p>
    <w:p w14:paraId="56BEE0E6" w14:textId="77777777" w:rsidR="00FE45E4" w:rsidRDefault="00B02876">
      <w:pPr>
        <w:spacing w:line="360" w:lineRule="auto"/>
        <w:ind w:left="540"/>
        <w:jc w:val="both"/>
        <w:rPr>
          <w:sz w:val="28"/>
          <w:szCs w:val="28"/>
          <w:rtl/>
        </w:rPr>
      </w:pPr>
      <w:r>
        <w:rPr>
          <w:sz w:val="28"/>
          <w:szCs w:val="28"/>
          <w:rtl/>
        </w:rPr>
        <w:t xml:space="preserve">אף שמצופה היה שיזעק את חפותו, אם אכן לא היו דברים מעולם, ויספר את גרסתו על מה שארע באותו מקרה של "חסימת הרכב", האם היו בינו לבין המתלוננת חילופי דברים ואם כן מה היה לגרסתו תוכנם, כל שהיה לו לומר היה שאמר פעם למתלונן, </w:t>
      </w:r>
      <w:r>
        <w:rPr>
          <w:sz w:val="28"/>
          <w:szCs w:val="28"/>
          <w:u w:val="single"/>
          <w:rtl/>
        </w:rPr>
        <w:t>שלא</w:t>
      </w:r>
      <w:r>
        <w:rPr>
          <w:sz w:val="28"/>
          <w:szCs w:val="28"/>
          <w:rtl/>
        </w:rPr>
        <w:t xml:space="preserve"> בנוכחות המתלוננת "</w:t>
      </w:r>
      <w:r>
        <w:rPr>
          <w:b/>
          <w:bCs/>
          <w:sz w:val="28"/>
          <w:szCs w:val="28"/>
          <w:rtl/>
        </w:rPr>
        <w:t>שהוא קוקסינל כמו אישה... אבל לא אמרתי לה את המילים האלה אני לא מדבר ככה</w:t>
      </w:r>
      <w:r>
        <w:rPr>
          <w:sz w:val="28"/>
          <w:szCs w:val="28"/>
          <w:rtl/>
        </w:rPr>
        <w:t>".</w:t>
      </w:r>
    </w:p>
    <w:p w14:paraId="73C6C3D3" w14:textId="77777777" w:rsidR="00FE45E4" w:rsidRDefault="00B02876">
      <w:pPr>
        <w:spacing w:line="360" w:lineRule="auto"/>
        <w:ind w:left="540"/>
        <w:jc w:val="both"/>
        <w:rPr>
          <w:sz w:val="28"/>
          <w:szCs w:val="28"/>
          <w:rtl/>
        </w:rPr>
      </w:pPr>
      <w:r>
        <w:rPr>
          <w:sz w:val="28"/>
          <w:szCs w:val="28"/>
          <w:rtl/>
        </w:rPr>
        <w:t>בחקירתו הנגדית בבית המשפט הסביר כי "</w:t>
      </w:r>
      <w:r>
        <w:rPr>
          <w:b/>
          <w:bCs/>
          <w:sz w:val="28"/>
          <w:szCs w:val="28"/>
          <w:rtl/>
        </w:rPr>
        <w:t>אצלנו המושג הזה (קוקסינל – ה.נ.) מראה על אחד שמפחד מאשתו ורועד. זה מה שהתכוונתי, כל הפחדנות שלו</w:t>
      </w:r>
      <w:r>
        <w:rPr>
          <w:sz w:val="28"/>
          <w:szCs w:val="28"/>
          <w:rtl/>
        </w:rPr>
        <w:t>".</w:t>
      </w:r>
    </w:p>
    <w:p w14:paraId="2B53618D" w14:textId="77777777" w:rsidR="00FE45E4" w:rsidRDefault="00B02876">
      <w:pPr>
        <w:spacing w:line="360" w:lineRule="auto"/>
        <w:ind w:left="540"/>
        <w:jc w:val="both"/>
        <w:rPr>
          <w:sz w:val="28"/>
          <w:szCs w:val="28"/>
          <w:rtl/>
        </w:rPr>
      </w:pPr>
      <w:r>
        <w:rPr>
          <w:sz w:val="28"/>
          <w:szCs w:val="28"/>
          <w:rtl/>
        </w:rPr>
        <w:t>דבריו של הנאשם מעוררים כמה קשיים.</w:t>
      </w:r>
    </w:p>
    <w:p w14:paraId="38D22747" w14:textId="77777777" w:rsidR="00FE45E4" w:rsidRDefault="00B02876">
      <w:pPr>
        <w:spacing w:line="360" w:lineRule="auto"/>
        <w:ind w:left="540"/>
        <w:jc w:val="both"/>
        <w:rPr>
          <w:sz w:val="28"/>
          <w:szCs w:val="28"/>
          <w:rtl/>
        </w:rPr>
      </w:pPr>
      <w:r>
        <w:rPr>
          <w:sz w:val="28"/>
          <w:szCs w:val="28"/>
          <w:rtl/>
        </w:rPr>
        <w:t>האחד – מי זה אצלנו ומה הקשר בין המושג קוקסינל לבין ייחוסו למי שמפחד מאשתו.</w:t>
      </w:r>
    </w:p>
    <w:p w14:paraId="7139AC73" w14:textId="77777777" w:rsidR="00FE45E4" w:rsidRDefault="00B02876">
      <w:pPr>
        <w:spacing w:line="360" w:lineRule="auto"/>
        <w:ind w:left="540"/>
        <w:jc w:val="both"/>
        <w:rPr>
          <w:sz w:val="28"/>
          <w:szCs w:val="28"/>
          <w:rtl/>
        </w:rPr>
      </w:pPr>
      <w:r>
        <w:rPr>
          <w:sz w:val="28"/>
          <w:szCs w:val="28"/>
          <w:rtl/>
        </w:rPr>
        <w:t>השני – המתלונן כלל לא עומת, בחקירתו הנגדית, עם גרסתו של הנאשם ומכאן שתגובתו והתייחסותו לטענה לא נשמעו.</w:t>
      </w:r>
    </w:p>
    <w:p w14:paraId="4C99B9ED" w14:textId="77777777" w:rsidR="00FE45E4" w:rsidRDefault="00B02876">
      <w:pPr>
        <w:spacing w:line="360" w:lineRule="auto"/>
        <w:ind w:left="540"/>
        <w:jc w:val="both"/>
        <w:rPr>
          <w:sz w:val="28"/>
          <w:szCs w:val="28"/>
          <w:rtl/>
        </w:rPr>
      </w:pPr>
      <w:r>
        <w:rPr>
          <w:sz w:val="28"/>
          <w:szCs w:val="28"/>
          <w:rtl/>
        </w:rPr>
        <w:t>השלישי – אם הדברים לא נאמרו בנוכחות המתלוננת כיצד ידעה ליחסם לנאשם כשלא היא ולא המתלונן נחקרו לגבי האפשרות שהמתלונן סיפר למתלוננת על אמירתו של הנאשם בפניו, כטענת הנאשם.</w:t>
      </w:r>
    </w:p>
    <w:p w14:paraId="407EA691" w14:textId="77777777" w:rsidR="00FE45E4" w:rsidRDefault="00B02876">
      <w:pPr>
        <w:spacing w:line="360" w:lineRule="auto"/>
        <w:ind w:left="540"/>
        <w:jc w:val="both"/>
        <w:rPr>
          <w:sz w:val="28"/>
          <w:szCs w:val="28"/>
          <w:rtl/>
        </w:rPr>
      </w:pPr>
      <w:r>
        <w:rPr>
          <w:sz w:val="28"/>
          <w:szCs w:val="28"/>
          <w:rtl/>
        </w:rPr>
        <w:t>מכלול קשיים אלה בהצטברותם אל חוסר התייחסותו המפורטת של הנאשם, בחקירתו במשטרה, לאירוע הנטען, ולאור הקושי ליתן בו אמון בכלל, מהנימוקים שפירטתי לעיל, אל מול גרסתם הקוהרנטית והמובנית בתוך הקונטקסט, של המתלוננים, מכריעים את הכף לעבר העדפת גרסת המתלוננים על פני גרסת הנאשם.</w:t>
      </w:r>
    </w:p>
    <w:p w14:paraId="55C8F0FA" w14:textId="77777777" w:rsidR="00FE45E4" w:rsidRDefault="00FE45E4">
      <w:pPr>
        <w:spacing w:line="360" w:lineRule="auto"/>
        <w:ind w:left="540"/>
        <w:jc w:val="both"/>
        <w:rPr>
          <w:sz w:val="28"/>
          <w:szCs w:val="28"/>
          <w:rtl/>
        </w:rPr>
      </w:pPr>
    </w:p>
    <w:p w14:paraId="18D17AAB" w14:textId="77777777" w:rsidR="00FE45E4" w:rsidRDefault="00B02876">
      <w:pPr>
        <w:spacing w:line="360" w:lineRule="auto"/>
        <w:ind w:left="540"/>
        <w:jc w:val="both"/>
        <w:rPr>
          <w:sz w:val="28"/>
          <w:szCs w:val="28"/>
          <w:rtl/>
        </w:rPr>
      </w:pPr>
      <w:r>
        <w:rPr>
          <w:sz w:val="28"/>
          <w:szCs w:val="28"/>
          <w:rtl/>
        </w:rPr>
        <w:t xml:space="preserve">לא נעלם מעיניי המזכר של רס"ר חגית אמיגא, מתאריך 25.10.09  אודות שיחה שקיימה עם הפקח שטיפל, באותה תקופה, בעניין הבניין מצד העירייה. עפ"י האמור במזכר טען הפקח שלא שמע את תוכן המלל בין המתלוננת לנאשם, והוסיף כי באותם פעמים שהיה במקום תמיד היו חילופי דברים וויכוח בין המתלוננת, שנהגה לצעוק מחלון ביתה לנאשם, שהיה למטה בחצר, אך לא זכר את תוכנם. </w:t>
      </w:r>
    </w:p>
    <w:p w14:paraId="375BAF6A" w14:textId="77777777" w:rsidR="00FE45E4" w:rsidRDefault="00B02876">
      <w:pPr>
        <w:spacing w:line="360" w:lineRule="auto"/>
        <w:ind w:left="540"/>
        <w:jc w:val="both"/>
        <w:rPr>
          <w:sz w:val="28"/>
          <w:szCs w:val="28"/>
          <w:rtl/>
        </w:rPr>
      </w:pPr>
      <w:r>
        <w:rPr>
          <w:sz w:val="28"/>
          <w:szCs w:val="28"/>
          <w:rtl/>
        </w:rPr>
        <w:t>מעבר לכך, שלא ברור מהמזכר, המתאר שיחה שהתקיימה למעלה מ-4 חודשים לאחר האירוע, האם הפקח מתייחס לחילופי דברים שהתקיימו בין הנאשם למתלוננת במועד האירוע, אין בתוכן הדברים שנאמרו על ידו כדי לסייע למי מהצדדים.</w:t>
      </w:r>
    </w:p>
    <w:p w14:paraId="53653F50" w14:textId="77777777" w:rsidR="00FE45E4" w:rsidRDefault="00FE45E4">
      <w:pPr>
        <w:spacing w:line="360" w:lineRule="auto"/>
        <w:ind w:left="540"/>
        <w:jc w:val="both"/>
        <w:rPr>
          <w:sz w:val="28"/>
          <w:szCs w:val="28"/>
          <w:rtl/>
        </w:rPr>
      </w:pPr>
    </w:p>
    <w:p w14:paraId="6E3AB6AD"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 xml:space="preserve">לאור האמור לעיל אני קובעת כי המאשימה עמדה בנטל להוכיח כי הנאשם איים על המתלוננת והטרידה מינית, באירוע השני. </w:t>
      </w:r>
    </w:p>
    <w:p w14:paraId="5D7F0A26" w14:textId="77777777" w:rsidR="00FE45E4" w:rsidRDefault="00FE45E4">
      <w:pPr>
        <w:spacing w:line="360" w:lineRule="auto"/>
        <w:ind w:left="540"/>
        <w:jc w:val="both"/>
        <w:rPr>
          <w:sz w:val="28"/>
          <w:szCs w:val="28"/>
          <w:rtl/>
        </w:rPr>
      </w:pPr>
    </w:p>
    <w:p w14:paraId="6DB54505"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 xml:space="preserve">עתה נעבור לבחון את גרסאות המתלוננים אל מול גרסת הנאשם, ככל שהן מתייחסות </w:t>
      </w:r>
      <w:r>
        <w:rPr>
          <w:b/>
          <w:bCs/>
          <w:sz w:val="28"/>
          <w:szCs w:val="28"/>
          <w:rtl/>
        </w:rPr>
        <w:t>לאירוע השלישי</w:t>
      </w:r>
      <w:r>
        <w:rPr>
          <w:sz w:val="28"/>
          <w:szCs w:val="28"/>
          <w:rtl/>
        </w:rPr>
        <w:t>.</w:t>
      </w:r>
    </w:p>
    <w:p w14:paraId="5E25BC43" w14:textId="77777777" w:rsidR="00FE45E4" w:rsidRDefault="00FE45E4">
      <w:pPr>
        <w:tabs>
          <w:tab w:val="num" w:pos="540"/>
        </w:tabs>
        <w:spacing w:line="360" w:lineRule="auto"/>
        <w:ind w:left="540"/>
        <w:jc w:val="both"/>
        <w:rPr>
          <w:sz w:val="28"/>
          <w:szCs w:val="28"/>
          <w:rtl/>
        </w:rPr>
      </w:pPr>
    </w:p>
    <w:p w14:paraId="68B44276" w14:textId="77777777" w:rsidR="00FE45E4" w:rsidRDefault="00B02876">
      <w:pPr>
        <w:tabs>
          <w:tab w:val="num" w:pos="540"/>
        </w:tabs>
        <w:spacing w:line="360" w:lineRule="auto"/>
        <w:ind w:left="540"/>
        <w:jc w:val="both"/>
        <w:rPr>
          <w:sz w:val="28"/>
          <w:szCs w:val="28"/>
          <w:rtl/>
        </w:rPr>
      </w:pPr>
      <w:r>
        <w:rPr>
          <w:sz w:val="28"/>
          <w:szCs w:val="28"/>
          <w:rtl/>
        </w:rPr>
        <w:t>מדובר באירוע מתגלגל, שתחילתו בפניית המתלונן, מחלון דירתו, אל הנאשם, שעבד בחצר המריבה יחד עם פועל ושבר את המרצפות, כפי שמשתקף מתצלומים שהוגשו על מה שנראה בחצר בזמן הרלוונטי.</w:t>
      </w:r>
    </w:p>
    <w:p w14:paraId="666686D3" w14:textId="77777777" w:rsidR="00FE45E4" w:rsidRDefault="00FE45E4">
      <w:pPr>
        <w:tabs>
          <w:tab w:val="num" w:pos="540"/>
        </w:tabs>
        <w:spacing w:line="360" w:lineRule="auto"/>
        <w:ind w:left="540"/>
        <w:jc w:val="both"/>
        <w:rPr>
          <w:sz w:val="28"/>
          <w:szCs w:val="28"/>
          <w:rtl/>
        </w:rPr>
      </w:pPr>
    </w:p>
    <w:p w14:paraId="064F4451" w14:textId="77777777" w:rsidR="00FE45E4" w:rsidRDefault="00B02876">
      <w:pPr>
        <w:tabs>
          <w:tab w:val="num" w:pos="540"/>
        </w:tabs>
        <w:spacing w:line="360" w:lineRule="auto"/>
        <w:ind w:left="540"/>
        <w:jc w:val="both"/>
        <w:rPr>
          <w:sz w:val="28"/>
          <w:szCs w:val="28"/>
          <w:rtl/>
        </w:rPr>
      </w:pPr>
      <w:r>
        <w:rPr>
          <w:sz w:val="28"/>
          <w:szCs w:val="28"/>
          <w:rtl/>
        </w:rPr>
        <w:t xml:space="preserve">על פי גרסת </w:t>
      </w:r>
      <w:r>
        <w:rPr>
          <w:b/>
          <w:bCs/>
          <w:sz w:val="28"/>
          <w:szCs w:val="28"/>
          <w:rtl/>
        </w:rPr>
        <w:t>המתלונן</w:t>
      </w:r>
      <w:r>
        <w:rPr>
          <w:sz w:val="28"/>
          <w:szCs w:val="28"/>
          <w:rtl/>
        </w:rPr>
        <w:t xml:space="preserve"> חצי שעה או שעה לפני כניסת חג שמחת תורה הסתכל מהחלון ושמע נקישות של שבירה "</w:t>
      </w:r>
      <w:r>
        <w:rPr>
          <w:b/>
          <w:bCs/>
          <w:sz w:val="28"/>
          <w:szCs w:val="28"/>
          <w:rtl/>
        </w:rPr>
        <w:t>ראיתי את אחד העובדים של הנאשם והנאשם שוברים מרצפות בחצר המשותפת</w:t>
      </w:r>
      <w:r>
        <w:rPr>
          <w:sz w:val="28"/>
          <w:szCs w:val="28"/>
          <w:rtl/>
        </w:rPr>
        <w:t>". בתגובה לפנייתו אל הנאשם לברר פשר מעשיו לקח הנאשם בידו "</w:t>
      </w:r>
      <w:r>
        <w:rPr>
          <w:b/>
          <w:bCs/>
          <w:sz w:val="28"/>
          <w:szCs w:val="28"/>
          <w:rtl/>
        </w:rPr>
        <w:t>את אחד מהסלעים</w:t>
      </w:r>
      <w:r>
        <w:rPr>
          <w:sz w:val="28"/>
          <w:szCs w:val="28"/>
          <w:rtl/>
        </w:rPr>
        <w:t>" וזרק אותו לעברו לחלון. האבן פגעה, לטענתו "</w:t>
      </w:r>
      <w:r>
        <w:rPr>
          <w:b/>
          <w:bCs/>
          <w:sz w:val="28"/>
          <w:szCs w:val="28"/>
          <w:rtl/>
        </w:rPr>
        <w:t>כמה סנטימטרים מהפנים שלי בדופן החלון</w:t>
      </w:r>
      <w:r>
        <w:rPr>
          <w:sz w:val="28"/>
          <w:szCs w:val="28"/>
          <w:rtl/>
        </w:rPr>
        <w:t>". לאחר מכן צילמה המתלוננת את החצר המשותפת וסיפרה לו, שלאחר כל הקללות והאלימות, הנאשם חשף בפניה את איבר מינו, כשלדבריו "</w:t>
      </w:r>
      <w:r>
        <w:rPr>
          <w:b/>
          <w:bCs/>
          <w:sz w:val="28"/>
          <w:szCs w:val="28"/>
          <w:rtl/>
        </w:rPr>
        <w:t>בגלל האירוע המיני היא הייתה נסערת והזמנו משטרה</w:t>
      </w:r>
      <w:r>
        <w:rPr>
          <w:sz w:val="28"/>
          <w:szCs w:val="28"/>
          <w:rtl/>
        </w:rPr>
        <w:t>".</w:t>
      </w:r>
    </w:p>
    <w:p w14:paraId="29FC8DFA" w14:textId="77777777" w:rsidR="00FE45E4" w:rsidRDefault="00FE45E4">
      <w:pPr>
        <w:tabs>
          <w:tab w:val="num" w:pos="540"/>
        </w:tabs>
        <w:spacing w:line="360" w:lineRule="auto"/>
        <w:ind w:left="540"/>
        <w:jc w:val="both"/>
        <w:rPr>
          <w:sz w:val="28"/>
          <w:szCs w:val="28"/>
          <w:rtl/>
        </w:rPr>
      </w:pPr>
    </w:p>
    <w:p w14:paraId="58DF6C49" w14:textId="77777777" w:rsidR="00FE45E4" w:rsidRDefault="00B02876">
      <w:pPr>
        <w:tabs>
          <w:tab w:val="num" w:pos="540"/>
        </w:tabs>
        <w:spacing w:line="360" w:lineRule="auto"/>
        <w:ind w:left="540"/>
        <w:jc w:val="both"/>
        <w:rPr>
          <w:sz w:val="28"/>
          <w:szCs w:val="28"/>
          <w:rtl/>
        </w:rPr>
      </w:pPr>
      <w:r>
        <w:rPr>
          <w:b/>
          <w:bCs/>
          <w:sz w:val="28"/>
          <w:szCs w:val="28"/>
          <w:rtl/>
        </w:rPr>
        <w:t>המשטרה</w:t>
      </w:r>
      <w:r>
        <w:rPr>
          <w:sz w:val="28"/>
          <w:szCs w:val="28"/>
          <w:rtl/>
        </w:rPr>
        <w:t xml:space="preserve"> אכן הגיע למקום ומדוח הפעולה שערך שוטר הסיור גולדשטיין זיו עולה שהמתלוננת התלוננה בפניו רק על חשיפת איבר המין בפניה וצוין כי היא הביעה רצון להגיש תלונה אך עקב החג הודיעה שתגיע לתחנה רק ביום שלאחריו.</w:t>
      </w:r>
    </w:p>
    <w:p w14:paraId="0E4A1CC4" w14:textId="77777777" w:rsidR="00FE45E4" w:rsidRDefault="00B02876">
      <w:pPr>
        <w:tabs>
          <w:tab w:val="num" w:pos="540"/>
        </w:tabs>
        <w:spacing w:line="360" w:lineRule="auto"/>
        <w:ind w:left="540"/>
        <w:jc w:val="both"/>
        <w:rPr>
          <w:sz w:val="28"/>
          <w:szCs w:val="28"/>
          <w:rtl/>
        </w:rPr>
      </w:pPr>
      <w:r>
        <w:rPr>
          <w:b/>
          <w:bCs/>
          <w:sz w:val="28"/>
          <w:szCs w:val="28"/>
          <w:rtl/>
        </w:rPr>
        <w:t>המתלוננת</w:t>
      </w:r>
      <w:r>
        <w:rPr>
          <w:sz w:val="28"/>
          <w:szCs w:val="28"/>
          <w:rtl/>
        </w:rPr>
        <w:t xml:space="preserve"> הרחיבה בעדותה בבית המשפט בתיאור נסיבות האירוע והשתלשלותו. היא חזרה על דברי המתלונן על תחילת האירוע והוסיפה כי לאחר שהנאשם זרק את האבן לכיוון החלון החליטה שהיא צריכה לצלם. לכן, כדבריה: "</w:t>
      </w:r>
      <w:r>
        <w:rPr>
          <w:b/>
          <w:bCs/>
          <w:sz w:val="28"/>
          <w:szCs w:val="28"/>
          <w:rtl/>
        </w:rPr>
        <w:t>לקחתי מצלמה וצילמתי אותו. כשהתחלתי לצלם אותו, בעלי הלך להתלבש. כשנצח ראה שאני מצלמת, הוא התחיל להגיד לי 'את זונה מרוסיה. כולם מזיינים אותך ב-20 ₪. בואי עכשיו תמצצי'. אחרי זה הוא הוציא את איבר המין שלו. ישר נכנסתי הביתה, סגרתי את החלון והלכתי להתקשר למשטרה. מוזר שאדם ככה מתנהג</w:t>
      </w:r>
      <w:r>
        <w:rPr>
          <w:sz w:val="28"/>
          <w:szCs w:val="28"/>
          <w:rtl/>
        </w:rPr>
        <w:t>".</w:t>
      </w:r>
    </w:p>
    <w:p w14:paraId="4C3E426D" w14:textId="77777777" w:rsidR="00FE45E4" w:rsidRDefault="00B02876">
      <w:pPr>
        <w:tabs>
          <w:tab w:val="num" w:pos="540"/>
        </w:tabs>
        <w:spacing w:line="360" w:lineRule="auto"/>
        <w:ind w:left="540"/>
        <w:jc w:val="both"/>
        <w:rPr>
          <w:sz w:val="28"/>
          <w:szCs w:val="28"/>
          <w:rtl/>
        </w:rPr>
      </w:pPr>
      <w:r>
        <w:rPr>
          <w:sz w:val="28"/>
          <w:szCs w:val="28"/>
          <w:rtl/>
        </w:rPr>
        <w:t xml:space="preserve">המתלוננת חזרה, בתשובה לשאלת ב"כ הנאשם לפשר השיהוי של יומיים בהגשת התלונה, על הדברים שנרשמו מפיה על ידי שוטר הסיור, לפיהם מפאת קדושת החג דחתה את הגשת התלונה בתחנה. </w:t>
      </w:r>
    </w:p>
    <w:p w14:paraId="0B87246C" w14:textId="77777777" w:rsidR="00FE45E4" w:rsidRDefault="00B02876">
      <w:pPr>
        <w:tabs>
          <w:tab w:val="num" w:pos="540"/>
        </w:tabs>
        <w:spacing w:line="360" w:lineRule="auto"/>
        <w:ind w:left="540"/>
        <w:jc w:val="both"/>
        <w:rPr>
          <w:sz w:val="28"/>
          <w:szCs w:val="28"/>
          <w:rtl/>
        </w:rPr>
      </w:pPr>
      <w:r>
        <w:rPr>
          <w:sz w:val="28"/>
          <w:szCs w:val="28"/>
          <w:rtl/>
        </w:rPr>
        <w:t>לשאלת ב"כ הנאשם כיצד ומדוע לא צילמה את איבר מינו החשוף של הנאשם השיבה "</w:t>
      </w:r>
      <w:r>
        <w:rPr>
          <w:b/>
          <w:bCs/>
          <w:sz w:val="28"/>
          <w:szCs w:val="28"/>
          <w:rtl/>
        </w:rPr>
        <w:t>הייתי המומה לכן לא צילמתי את זה. גם לא היה לי מה להגיב. זה היה מוזר. אף פעם לא קרה לי דבר כזה בעבר</w:t>
      </w:r>
      <w:r>
        <w:rPr>
          <w:sz w:val="28"/>
          <w:szCs w:val="28"/>
          <w:rtl/>
        </w:rPr>
        <w:t>".</w:t>
      </w:r>
    </w:p>
    <w:p w14:paraId="5A8CE806" w14:textId="77777777" w:rsidR="00FE45E4" w:rsidRDefault="00FE45E4">
      <w:pPr>
        <w:tabs>
          <w:tab w:val="num" w:pos="540"/>
        </w:tabs>
        <w:spacing w:line="360" w:lineRule="auto"/>
        <w:ind w:left="540"/>
        <w:jc w:val="both"/>
        <w:rPr>
          <w:sz w:val="28"/>
          <w:szCs w:val="28"/>
          <w:rtl/>
        </w:rPr>
      </w:pPr>
    </w:p>
    <w:p w14:paraId="6AAE0F22" w14:textId="77777777" w:rsidR="00FE45E4" w:rsidRDefault="00B02876">
      <w:pPr>
        <w:tabs>
          <w:tab w:val="num" w:pos="540"/>
        </w:tabs>
        <w:spacing w:line="360" w:lineRule="auto"/>
        <w:ind w:left="540"/>
        <w:jc w:val="both"/>
        <w:rPr>
          <w:sz w:val="28"/>
          <w:szCs w:val="28"/>
          <w:rtl/>
        </w:rPr>
      </w:pPr>
      <w:r>
        <w:rPr>
          <w:b/>
          <w:bCs/>
          <w:sz w:val="28"/>
          <w:szCs w:val="28"/>
          <w:rtl/>
        </w:rPr>
        <w:t>הנאשם</w:t>
      </w:r>
      <w:r>
        <w:rPr>
          <w:sz w:val="28"/>
          <w:szCs w:val="28"/>
          <w:rtl/>
        </w:rPr>
        <w:t xml:space="preserve">, כאמור, הכחיש את המעשים, המתוארים בכתב האישום, כבר במשטרה ובהמשך גם בבית המשפט. </w:t>
      </w:r>
    </w:p>
    <w:p w14:paraId="32878D34" w14:textId="77777777" w:rsidR="00FE45E4" w:rsidRDefault="00B02876">
      <w:pPr>
        <w:tabs>
          <w:tab w:val="num" w:pos="540"/>
        </w:tabs>
        <w:spacing w:line="360" w:lineRule="auto"/>
        <w:ind w:left="540"/>
        <w:jc w:val="both"/>
        <w:rPr>
          <w:sz w:val="28"/>
          <w:szCs w:val="28"/>
          <w:rtl/>
        </w:rPr>
      </w:pPr>
      <w:r>
        <w:rPr>
          <w:sz w:val="28"/>
          <w:szCs w:val="28"/>
          <w:rtl/>
        </w:rPr>
        <w:t>הן בחקירתו במשטרה והן בעדותו בבית המשפט אישר הנאשם שהמתלונן עמד בחלון והכחיש את נוכחות המתלוננת שם.</w:t>
      </w:r>
    </w:p>
    <w:p w14:paraId="1540D56A" w14:textId="77777777" w:rsidR="00FE45E4" w:rsidRDefault="00B02876">
      <w:pPr>
        <w:tabs>
          <w:tab w:val="num" w:pos="540"/>
        </w:tabs>
        <w:spacing w:line="360" w:lineRule="auto"/>
        <w:ind w:left="540"/>
        <w:jc w:val="both"/>
        <w:rPr>
          <w:sz w:val="28"/>
          <w:szCs w:val="28"/>
          <w:rtl/>
        </w:rPr>
      </w:pPr>
      <w:r>
        <w:rPr>
          <w:sz w:val="28"/>
          <w:szCs w:val="28"/>
          <w:rtl/>
        </w:rPr>
        <w:t>בחקירתו במשטרה הדגיש "</w:t>
      </w:r>
      <w:r>
        <w:rPr>
          <w:b/>
          <w:bCs/>
          <w:sz w:val="28"/>
          <w:szCs w:val="28"/>
          <w:rtl/>
        </w:rPr>
        <w:t>מה היא מדברת אני לא ראיתי אותה ראיתי רק את בעלה...</w:t>
      </w:r>
      <w:r>
        <w:rPr>
          <w:sz w:val="28"/>
          <w:szCs w:val="28"/>
          <w:rtl/>
        </w:rPr>
        <w:t xml:space="preserve"> </w:t>
      </w:r>
      <w:r>
        <w:rPr>
          <w:b/>
          <w:bCs/>
          <w:sz w:val="28"/>
          <w:szCs w:val="28"/>
          <w:rtl/>
        </w:rPr>
        <w:t>אני לא דיברתי איתה בכלל היא לא הייתה שם בעלה היה בחלון</w:t>
      </w:r>
      <w:r>
        <w:rPr>
          <w:sz w:val="28"/>
          <w:szCs w:val="28"/>
          <w:rtl/>
        </w:rPr>
        <w:t>" ולא הזכיר ולו במילה שמי מהמתלוננים צילם ממקום עומדו בחלון וכי התקיים ביניהם דו שיח כלשהו.</w:t>
      </w:r>
    </w:p>
    <w:p w14:paraId="73480EF5" w14:textId="77777777" w:rsidR="00FE45E4" w:rsidRDefault="00B02876">
      <w:pPr>
        <w:tabs>
          <w:tab w:val="num" w:pos="540"/>
        </w:tabs>
        <w:spacing w:line="360" w:lineRule="auto"/>
        <w:ind w:left="540"/>
        <w:jc w:val="both"/>
        <w:rPr>
          <w:sz w:val="28"/>
          <w:szCs w:val="28"/>
          <w:rtl/>
        </w:rPr>
      </w:pPr>
      <w:r>
        <w:rPr>
          <w:sz w:val="28"/>
          <w:szCs w:val="28"/>
          <w:rtl/>
        </w:rPr>
        <w:t>בעדותו בבית המשפט, בהתייחסו לאירוע זה פתח ואמר: "</w:t>
      </w:r>
      <w:r>
        <w:rPr>
          <w:b/>
          <w:bCs/>
          <w:sz w:val="28"/>
          <w:szCs w:val="28"/>
          <w:rtl/>
        </w:rPr>
        <w:t xml:space="preserve">בעלה יצא מהחלון וצילם את הפועל. אמרתי לו שימשיך לצלם כמה שהוא רוצה. בזה הסתיים כל הדיבור שלנו. אחרי זה הגיעה משטרה וטענו שזרקתי אבן על החלון. זו מסכת שקרים מתמדת" </w:t>
      </w:r>
      <w:r>
        <w:rPr>
          <w:sz w:val="28"/>
          <w:szCs w:val="28"/>
          <w:rtl/>
        </w:rPr>
        <w:t>ובהמשך הוסיף והדגיש "</w:t>
      </w:r>
      <w:r>
        <w:rPr>
          <w:b/>
          <w:bCs/>
          <w:sz w:val="28"/>
          <w:szCs w:val="28"/>
          <w:rtl/>
        </w:rPr>
        <w:t>לא ראיתי אותה</w:t>
      </w:r>
      <w:r>
        <w:rPr>
          <w:sz w:val="28"/>
          <w:szCs w:val="28"/>
          <w:rtl/>
        </w:rPr>
        <w:t xml:space="preserve"> [את המתלוננת – ה.נ.] </w:t>
      </w:r>
      <w:r>
        <w:rPr>
          <w:b/>
          <w:bCs/>
          <w:sz w:val="28"/>
          <w:szCs w:val="28"/>
          <w:rtl/>
        </w:rPr>
        <w:t>באירוע בכלל – רק את בעלה</w:t>
      </w:r>
      <w:r>
        <w:rPr>
          <w:sz w:val="28"/>
          <w:szCs w:val="28"/>
          <w:rtl/>
        </w:rPr>
        <w:t xml:space="preserve">".  </w:t>
      </w:r>
    </w:p>
    <w:p w14:paraId="2E72C9D6" w14:textId="77777777" w:rsidR="00FE45E4" w:rsidRDefault="00B02876">
      <w:pPr>
        <w:tabs>
          <w:tab w:val="num" w:pos="540"/>
        </w:tabs>
        <w:spacing w:line="360" w:lineRule="auto"/>
        <w:ind w:left="540"/>
        <w:jc w:val="both"/>
        <w:rPr>
          <w:sz w:val="28"/>
          <w:szCs w:val="28"/>
          <w:rtl/>
        </w:rPr>
      </w:pPr>
      <w:r>
        <w:rPr>
          <w:sz w:val="28"/>
          <w:szCs w:val="28"/>
          <w:rtl/>
        </w:rPr>
        <w:t>לחיזוק גרסתו טען הנאשם שהוא דתי ואמירות בעלות אופי וגוון מיני אינן מתאימות לאופיו.</w:t>
      </w:r>
    </w:p>
    <w:p w14:paraId="04B5E1E6" w14:textId="77777777" w:rsidR="00FE45E4" w:rsidRDefault="00FE45E4">
      <w:pPr>
        <w:tabs>
          <w:tab w:val="num" w:pos="540"/>
        </w:tabs>
        <w:spacing w:line="360" w:lineRule="auto"/>
        <w:ind w:left="540"/>
        <w:jc w:val="both"/>
        <w:rPr>
          <w:sz w:val="28"/>
          <w:szCs w:val="28"/>
          <w:rtl/>
        </w:rPr>
      </w:pPr>
    </w:p>
    <w:p w14:paraId="50A7EF26"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גרסתם של המתלוננים, גם ככל שהיא מתייחסת לאירוע זה, עדיפה עליי על פני גרסתו של הנאשם.</w:t>
      </w:r>
    </w:p>
    <w:p w14:paraId="558E604B" w14:textId="77777777" w:rsidR="00FE45E4" w:rsidRDefault="00B02876">
      <w:pPr>
        <w:spacing w:line="360" w:lineRule="auto"/>
        <w:ind w:left="540"/>
        <w:jc w:val="both"/>
        <w:rPr>
          <w:sz w:val="28"/>
          <w:szCs w:val="28"/>
          <w:rtl/>
        </w:rPr>
      </w:pPr>
      <w:r>
        <w:rPr>
          <w:sz w:val="28"/>
          <w:szCs w:val="28"/>
          <w:rtl/>
        </w:rPr>
        <w:t xml:space="preserve">מקובלים עליי הסבריה של המתלוננת לשיהוי בהגעתה לתחנת המשטרה להגשת התלונה וודאי לסיבה לכך שלא צילמה את איבר מינו החשוף של הנאשם. תגובתה למעשיו, הטרדתה המינית – מילולית ופיסית, כניסתה הביתה, סגירת החלון והזמנת המשטרה, היא טבעית, סבירה ומתיישבת עם השכל הישר. </w:t>
      </w:r>
    </w:p>
    <w:p w14:paraId="5210EEC4" w14:textId="77777777" w:rsidR="00FE45E4" w:rsidRDefault="00B02876">
      <w:pPr>
        <w:spacing w:line="360" w:lineRule="auto"/>
        <w:ind w:left="540"/>
        <w:jc w:val="both"/>
        <w:rPr>
          <w:sz w:val="28"/>
          <w:szCs w:val="28"/>
          <w:rtl/>
        </w:rPr>
      </w:pPr>
      <w:r>
        <w:rPr>
          <w:sz w:val="28"/>
          <w:szCs w:val="28"/>
          <w:rtl/>
        </w:rPr>
        <w:t>העובדה שבדוח הפעולה נרשמה רק תלונתה על המעשה המגונה שעשה הנאשם בפניה, מתיישבת עם עדותו של המתלונן על מצבה הנפשי הנסער של המתלוננת בעקבות חשיפת איבר המין בפניה.</w:t>
      </w:r>
    </w:p>
    <w:p w14:paraId="6EA4C704" w14:textId="77777777" w:rsidR="00FE45E4" w:rsidRDefault="00B02876">
      <w:pPr>
        <w:spacing w:line="360" w:lineRule="auto"/>
        <w:ind w:left="540"/>
        <w:jc w:val="both"/>
        <w:rPr>
          <w:sz w:val="28"/>
          <w:szCs w:val="28"/>
          <w:rtl/>
        </w:rPr>
      </w:pPr>
      <w:r>
        <w:rPr>
          <w:sz w:val="28"/>
          <w:szCs w:val="28"/>
          <w:rtl/>
        </w:rPr>
        <w:t>דווקא עדותו של המתלונן לפיה לא היה עד ראיה למעשה זה, כי נכנס פנימה לאחר שהמתלוננת החלה לצלם, מגבירה בעיניי את כנות גרסתו ומהימנותה, גם ככל שהיא נוגעת לעובדה שמי שצילם את התמונות הייתה המתלוננת ולא הוא, ומחזקת את גרסת המתלוננת על שאירע, בתארו את מצבה הנפשי הנסער בעקבותיו.</w:t>
      </w:r>
    </w:p>
    <w:p w14:paraId="4273E149" w14:textId="77777777" w:rsidR="00FE45E4" w:rsidRDefault="00B02876">
      <w:pPr>
        <w:spacing w:line="360" w:lineRule="auto"/>
        <w:ind w:left="540"/>
        <w:jc w:val="both"/>
        <w:rPr>
          <w:sz w:val="28"/>
          <w:szCs w:val="28"/>
          <w:rtl/>
        </w:rPr>
      </w:pPr>
      <w:r>
        <w:rPr>
          <w:sz w:val="28"/>
          <w:szCs w:val="28"/>
          <w:rtl/>
        </w:rPr>
        <w:t>מנגד, הכחשתו של הנאשם את נוכחותה של המתלוננת באירוע והדגש שנתן, לטענתו המאוחרת, שהמתלונן הוא זה שצילם את התמונות, אינה מהימנה עליי ומחזקת את התרשמותי כי ביקש בכך לנסות לשכנע באי היתכנות גרסת המתלוננת.</w:t>
      </w:r>
    </w:p>
    <w:p w14:paraId="729678AB" w14:textId="77777777" w:rsidR="00FE45E4" w:rsidRDefault="00B02876">
      <w:pPr>
        <w:spacing w:line="360" w:lineRule="auto"/>
        <w:ind w:left="540"/>
        <w:jc w:val="both"/>
        <w:rPr>
          <w:sz w:val="28"/>
          <w:szCs w:val="28"/>
          <w:rtl/>
        </w:rPr>
      </w:pPr>
      <w:r>
        <w:rPr>
          <w:sz w:val="28"/>
          <w:szCs w:val="28"/>
          <w:rtl/>
        </w:rPr>
        <w:t>אף שאין מחלוקת כי בעת האירוע עמד בחצר יחד עם הנאשם פועל שעבד מטעמו בשבירת המרצפות, והוא גם נראה בתמונות, שצולמו על ידי המתלוננת, בזמן האירוע, לא הזכיר הנאשם את נוכחותו בעת חקירתו במשטרה ולא מסר את שמו ופרטיו המזהים על מנת שניתן יהיה לקבל את גרסתו ואף לא הביאו כעד במשפט וכבר נקבע לא אחת שצד הנמנע מהבאת עד, שהיה עליו להביאו, מקים הנחה לפיה העדות לא הייתה תומכת בגרסתו.</w:t>
      </w:r>
    </w:p>
    <w:p w14:paraId="11A03F72" w14:textId="77777777" w:rsidR="00FE45E4" w:rsidRDefault="00B02876">
      <w:pPr>
        <w:spacing w:line="360" w:lineRule="auto"/>
        <w:ind w:left="540"/>
        <w:jc w:val="both"/>
        <w:rPr>
          <w:sz w:val="28"/>
          <w:szCs w:val="28"/>
          <w:rtl/>
        </w:rPr>
      </w:pPr>
      <w:r>
        <w:rPr>
          <w:sz w:val="28"/>
          <w:szCs w:val="28"/>
          <w:rtl/>
        </w:rPr>
        <w:t>לא התרשמתי מטענת הנאשם שאין אפשרות שנהג כמתואר על ידי המתלוננת בשל היותו אדם דתי ושומר מצוות. אף שבחרתי שלא לתת כל משקל להתרשמות המתלונן מהנאשם ומאורחות חייו, התרשמתי מהאופן בו התבטא כנגד המתלוננת הן בחקירתו במשטרה והן במהלך עדותו לפניי כי העובדה שהוא מגדיר עצמו כאדם דתי, לא מונע ממנו מלשחרר את חרצובות לשונו וכי בעת כעסו הוא מאבד שליטה על מעשיו, כפי שקרה במהלך עדותו של המתלונן עד כי נאלצתי להוציאו מהאולם.</w:t>
      </w:r>
    </w:p>
    <w:p w14:paraId="4BAEADB0" w14:textId="77777777" w:rsidR="00FE45E4" w:rsidRDefault="00FE45E4">
      <w:pPr>
        <w:spacing w:line="360" w:lineRule="auto"/>
        <w:ind w:left="540"/>
        <w:jc w:val="both"/>
        <w:rPr>
          <w:sz w:val="28"/>
          <w:szCs w:val="28"/>
          <w:rtl/>
        </w:rPr>
      </w:pPr>
    </w:p>
    <w:p w14:paraId="074A1866"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כל האמור לעיל היה מוביל למסקנה שהמאשימה עמדה בנטל להוכיח את כל מעשיו של הנאשם, באירוע השלישי, כפי שפורטו בכתב האישום.</w:t>
      </w:r>
    </w:p>
    <w:p w14:paraId="4096C444" w14:textId="77777777" w:rsidR="00FE45E4" w:rsidRDefault="00B02876">
      <w:pPr>
        <w:spacing w:line="360" w:lineRule="auto"/>
        <w:ind w:left="540"/>
        <w:jc w:val="both"/>
        <w:rPr>
          <w:sz w:val="28"/>
          <w:szCs w:val="28"/>
          <w:rtl/>
        </w:rPr>
      </w:pPr>
      <w:r>
        <w:rPr>
          <w:sz w:val="28"/>
          <w:szCs w:val="28"/>
          <w:rtl/>
        </w:rPr>
        <w:t>אולם, טענה אחת שהועלתה ע"י ב"כ הנאשם ראויה להתייחסות. עיון בהודעת הנאשם במשטרה מעלה כי הוא לא נחקר ולא התבקש למסור את גרסתו לטענת המתלוננים לפיה השליך אבן לעבר המתלונן.</w:t>
      </w:r>
    </w:p>
    <w:p w14:paraId="72F43BEB" w14:textId="77777777" w:rsidR="00FE45E4" w:rsidRDefault="00B02876">
      <w:pPr>
        <w:spacing w:line="360" w:lineRule="auto"/>
        <w:ind w:left="540"/>
        <w:jc w:val="both"/>
        <w:rPr>
          <w:sz w:val="28"/>
          <w:szCs w:val="28"/>
          <w:rtl/>
        </w:rPr>
      </w:pPr>
      <w:r>
        <w:rPr>
          <w:sz w:val="28"/>
          <w:szCs w:val="28"/>
          <w:rtl/>
        </w:rPr>
        <w:t>על השלכות מחדל זה היפנה ב"כ הנאשם להחלטתה של כב' השופטת ד. רייך שפירא ב</w:t>
      </w:r>
      <w:hyperlink r:id="rId28" w:history="1">
        <w:r w:rsidR="00016A27" w:rsidRPr="00016A27">
          <w:rPr>
            <w:rStyle w:val="Hyperlink"/>
            <w:rFonts w:hint="eastAsia"/>
            <w:sz w:val="28"/>
            <w:szCs w:val="28"/>
            <w:rtl/>
          </w:rPr>
          <w:t>ת</w:t>
        </w:r>
        <w:r w:rsidR="00016A27" w:rsidRPr="00016A27">
          <w:rPr>
            <w:rStyle w:val="Hyperlink"/>
            <w:sz w:val="28"/>
            <w:szCs w:val="28"/>
            <w:rtl/>
          </w:rPr>
          <w:t>.</w:t>
        </w:r>
        <w:r w:rsidR="00016A27" w:rsidRPr="00016A27">
          <w:rPr>
            <w:rStyle w:val="Hyperlink"/>
            <w:rFonts w:hint="eastAsia"/>
            <w:sz w:val="28"/>
            <w:szCs w:val="28"/>
            <w:rtl/>
          </w:rPr>
          <w:t>פ</w:t>
        </w:r>
        <w:r w:rsidR="00016A27" w:rsidRPr="00016A27">
          <w:rPr>
            <w:rStyle w:val="Hyperlink"/>
            <w:sz w:val="28"/>
            <w:szCs w:val="28"/>
            <w:rtl/>
          </w:rPr>
          <w:t>. 6967/03</w:t>
        </w:r>
      </w:hyperlink>
      <w:r>
        <w:rPr>
          <w:sz w:val="28"/>
          <w:szCs w:val="28"/>
          <w:rtl/>
        </w:rPr>
        <w:t xml:space="preserve">, מ"י נ' אפרים יצחק ואח'. </w:t>
      </w:r>
    </w:p>
    <w:p w14:paraId="1EAB90B2" w14:textId="77777777" w:rsidR="00FE45E4" w:rsidRDefault="00B02876">
      <w:pPr>
        <w:spacing w:line="360" w:lineRule="auto"/>
        <w:ind w:left="540"/>
        <w:jc w:val="both"/>
        <w:rPr>
          <w:sz w:val="28"/>
          <w:szCs w:val="28"/>
          <w:rtl/>
        </w:rPr>
      </w:pPr>
      <w:r>
        <w:rPr>
          <w:sz w:val="28"/>
          <w:szCs w:val="28"/>
          <w:rtl/>
        </w:rPr>
        <w:t>באותה החלטה הגיעה כב' השופטת רייך שפירא למסקנה "שהעדר חקירה פגעה בזכויותיהם של הנאשמים פגיעה של ממש, שיש בה לגרום להם לעיוות דין" ומשכך ביטלה את האישומים ככל שהם נגעו לאירועים עליהם לא נחקרו במשטרה.</w:t>
      </w:r>
    </w:p>
    <w:p w14:paraId="36DACCEA" w14:textId="77777777" w:rsidR="00FE45E4" w:rsidRDefault="00B02876">
      <w:pPr>
        <w:spacing w:line="360" w:lineRule="auto"/>
        <w:ind w:left="540"/>
        <w:jc w:val="both"/>
        <w:rPr>
          <w:sz w:val="28"/>
          <w:szCs w:val="28"/>
          <w:rtl/>
        </w:rPr>
      </w:pPr>
      <w:r>
        <w:rPr>
          <w:sz w:val="28"/>
          <w:szCs w:val="28"/>
          <w:rtl/>
        </w:rPr>
        <w:t>ספק אם ההנמקות שהובילו את השופטת רייך שפירא למסקנתה שם, יכולים להוביל לאותה מסקנה גם בעניינינו, שכן ספק אם חקירתו גם בעניין זה הייתה משנה את החלטתו שלא לחשוף את עובדת קיומו של העובד במקום או מסייעת לו להוכיח את גרסתו בראיות חיצוניות.</w:t>
      </w:r>
    </w:p>
    <w:p w14:paraId="02F3F518" w14:textId="77777777" w:rsidR="00FE45E4" w:rsidRDefault="00B02876">
      <w:pPr>
        <w:spacing w:line="360" w:lineRule="auto"/>
        <w:ind w:left="540"/>
        <w:jc w:val="both"/>
        <w:rPr>
          <w:sz w:val="28"/>
          <w:szCs w:val="28"/>
          <w:rtl/>
        </w:rPr>
      </w:pPr>
      <w:r>
        <w:rPr>
          <w:sz w:val="28"/>
          <w:szCs w:val="28"/>
          <w:rtl/>
        </w:rPr>
        <w:t>אולם, מחמת הספק בלבד, אתן לעובדה שהנאשם לא נחקר במשטרה, בחשד לזריקת האבן,  משקל שיפעל לטובת הנאשם.</w:t>
      </w:r>
    </w:p>
    <w:p w14:paraId="640E4327" w14:textId="77777777" w:rsidR="00FE45E4" w:rsidRDefault="00FE45E4">
      <w:pPr>
        <w:spacing w:line="360" w:lineRule="auto"/>
        <w:ind w:left="540"/>
        <w:jc w:val="both"/>
        <w:rPr>
          <w:sz w:val="28"/>
          <w:szCs w:val="28"/>
        </w:rPr>
      </w:pPr>
    </w:p>
    <w:p w14:paraId="12331A2C" w14:textId="77777777" w:rsidR="00FE45E4" w:rsidRDefault="00B02876">
      <w:pPr>
        <w:numPr>
          <w:ilvl w:val="0"/>
          <w:numId w:val="1"/>
        </w:numPr>
        <w:tabs>
          <w:tab w:val="clear" w:pos="1080"/>
          <w:tab w:val="num" w:pos="540"/>
        </w:tabs>
        <w:spacing w:line="360" w:lineRule="auto"/>
        <w:ind w:left="540" w:hanging="540"/>
        <w:jc w:val="both"/>
        <w:rPr>
          <w:sz w:val="28"/>
          <w:szCs w:val="28"/>
          <w:rtl/>
        </w:rPr>
      </w:pPr>
      <w:r>
        <w:rPr>
          <w:sz w:val="28"/>
          <w:szCs w:val="28"/>
          <w:rtl/>
        </w:rPr>
        <w:t>לאור האמור לעיל אני קובעת כי המאשימה עמדה בנטל להוכיח, מעבר לכל ספק סביר, כי באירוע השלישי הטריד הנאשם את המתלוננת מינית וביצע בפניה מעשה מגונה.</w:t>
      </w:r>
    </w:p>
    <w:p w14:paraId="4D7FBCC9" w14:textId="77777777" w:rsidR="00FE45E4" w:rsidRDefault="00FE45E4">
      <w:pPr>
        <w:tabs>
          <w:tab w:val="num" w:pos="540"/>
        </w:tabs>
        <w:spacing w:line="360" w:lineRule="auto"/>
        <w:ind w:left="540" w:hanging="540"/>
        <w:jc w:val="both"/>
        <w:rPr>
          <w:sz w:val="28"/>
          <w:szCs w:val="28"/>
          <w:rtl/>
        </w:rPr>
      </w:pPr>
    </w:p>
    <w:p w14:paraId="387A4AB4"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לא אוכל לסיים הכרעת דין זו מבלי להתייחס ולו במספר מילים לעדותו של עד ההגנה, מנשה לוי, חמיו של הנאשם ובעל הדירה בה הוא מתגורר.</w:t>
      </w:r>
    </w:p>
    <w:p w14:paraId="4690B382" w14:textId="77777777" w:rsidR="00FE45E4" w:rsidRDefault="00B02876">
      <w:pPr>
        <w:spacing w:line="360" w:lineRule="auto"/>
        <w:ind w:left="540"/>
        <w:jc w:val="both"/>
        <w:rPr>
          <w:sz w:val="28"/>
          <w:szCs w:val="28"/>
          <w:rtl/>
        </w:rPr>
      </w:pPr>
      <w:r>
        <w:rPr>
          <w:sz w:val="28"/>
          <w:szCs w:val="28"/>
          <w:rtl/>
        </w:rPr>
        <w:t>מאחר שהעד לא נכח באף אחד מהאירועים, נשוא כתב האישום, לא היה בעדותו כדי לתמוך בגרסת הנאשם לגביהם.</w:t>
      </w:r>
    </w:p>
    <w:p w14:paraId="38434D15" w14:textId="77777777" w:rsidR="00FE45E4" w:rsidRDefault="00B02876">
      <w:pPr>
        <w:spacing w:line="360" w:lineRule="auto"/>
        <w:ind w:left="540"/>
        <w:jc w:val="both"/>
        <w:rPr>
          <w:sz w:val="28"/>
          <w:szCs w:val="28"/>
          <w:rtl/>
        </w:rPr>
      </w:pPr>
      <w:r>
        <w:rPr>
          <w:sz w:val="28"/>
          <w:szCs w:val="28"/>
          <w:rtl/>
        </w:rPr>
        <w:t>גרסתו על התנהלותה האלימה של המתלוננת, ועל סכסוך השכנים המתמשך ביניהם, הינו חסר כל ערך ראייתי ולו מהטעם שהעד אישר שלא הגיש תלונות נגדה וכל השצף קצף, שהעלה נגדה בעדותו, לא היה אלא ניסיון נואש לסייע לנאשם.</w:t>
      </w:r>
    </w:p>
    <w:p w14:paraId="08F0E3B7" w14:textId="77777777" w:rsidR="00FE45E4" w:rsidRDefault="00B02876">
      <w:pPr>
        <w:spacing w:line="360" w:lineRule="auto"/>
        <w:ind w:left="540"/>
        <w:jc w:val="both"/>
        <w:rPr>
          <w:sz w:val="28"/>
          <w:szCs w:val="28"/>
          <w:rtl/>
        </w:rPr>
      </w:pPr>
      <w:r>
        <w:rPr>
          <w:sz w:val="28"/>
          <w:szCs w:val="28"/>
          <w:rtl/>
        </w:rPr>
        <w:t>מפאת גילו של העד והעדר כל רלוונטיות של עדותו לאירועים הנטענים, אמנע מלתאר את התרשמותי ממהימנות גרסתו.</w:t>
      </w:r>
    </w:p>
    <w:p w14:paraId="1C5CA917" w14:textId="77777777" w:rsidR="00FE45E4" w:rsidRDefault="00FE45E4">
      <w:pPr>
        <w:spacing w:line="360" w:lineRule="auto"/>
        <w:ind w:left="540"/>
        <w:jc w:val="both"/>
        <w:rPr>
          <w:sz w:val="28"/>
          <w:szCs w:val="28"/>
          <w:rtl/>
        </w:rPr>
      </w:pPr>
    </w:p>
    <w:p w14:paraId="29CFA761" w14:textId="77777777" w:rsidR="00FE45E4" w:rsidRDefault="00B02876">
      <w:pPr>
        <w:numPr>
          <w:ilvl w:val="0"/>
          <w:numId w:val="1"/>
        </w:numPr>
        <w:tabs>
          <w:tab w:val="clear" w:pos="1080"/>
          <w:tab w:val="num" w:pos="540"/>
        </w:tabs>
        <w:spacing w:line="360" w:lineRule="auto"/>
        <w:ind w:left="540" w:hanging="540"/>
        <w:jc w:val="both"/>
        <w:rPr>
          <w:sz w:val="28"/>
          <w:szCs w:val="28"/>
        </w:rPr>
      </w:pPr>
      <w:r>
        <w:rPr>
          <w:sz w:val="28"/>
          <w:szCs w:val="28"/>
          <w:rtl/>
        </w:rPr>
        <w:t>לסיכום, לאחר שבחנתי את כל הראיות ולאור המסקנות אליהן הגעתי, כמפורט לעיל, התוצאה היא שאני מזכה את הנאשם, באירוע הראשון, מהעבירה של תקיפה הגורמת חבלה של ממש ומרשיעה אותו בגין אירוע זה בעבירות כדלקמן:</w:t>
      </w:r>
    </w:p>
    <w:p w14:paraId="1E550DC8" w14:textId="77777777" w:rsidR="00FE45E4" w:rsidRDefault="00B02876">
      <w:pPr>
        <w:numPr>
          <w:ilvl w:val="0"/>
          <w:numId w:val="2"/>
        </w:numPr>
        <w:tabs>
          <w:tab w:val="clear" w:pos="1440"/>
          <w:tab w:val="num" w:pos="1080"/>
        </w:tabs>
        <w:spacing w:line="360" w:lineRule="auto"/>
        <w:ind w:left="1080" w:hanging="540"/>
        <w:jc w:val="both"/>
        <w:rPr>
          <w:sz w:val="28"/>
          <w:szCs w:val="28"/>
          <w:rtl/>
        </w:rPr>
      </w:pPr>
      <w:r>
        <w:rPr>
          <w:sz w:val="28"/>
          <w:szCs w:val="28"/>
          <w:rtl/>
        </w:rPr>
        <w:t xml:space="preserve">בשתי עבירות של תקיפה סתם, על פי </w:t>
      </w:r>
      <w:hyperlink r:id="rId29" w:history="1">
        <w:r w:rsidR="004F70FD" w:rsidRPr="004F70FD">
          <w:rPr>
            <w:rFonts w:hint="eastAsia"/>
            <w:color w:val="0000FF"/>
            <w:sz w:val="28"/>
            <w:szCs w:val="28"/>
            <w:u w:val="single"/>
            <w:rtl/>
          </w:rPr>
          <w:t>סעיף</w:t>
        </w:r>
        <w:r w:rsidR="004F70FD" w:rsidRPr="004F70FD">
          <w:rPr>
            <w:color w:val="0000FF"/>
            <w:sz w:val="28"/>
            <w:szCs w:val="28"/>
            <w:u w:val="single"/>
            <w:rtl/>
          </w:rPr>
          <w:t xml:space="preserve"> 379</w:t>
        </w:r>
      </w:hyperlink>
      <w:r>
        <w:rPr>
          <w:sz w:val="28"/>
          <w:szCs w:val="28"/>
          <w:rtl/>
        </w:rPr>
        <w:t xml:space="preserve"> ל</w:t>
      </w:r>
      <w:hyperlink r:id="rId30" w:history="1">
        <w:r w:rsidR="00016A27" w:rsidRPr="00016A27">
          <w:rPr>
            <w:rStyle w:val="Hyperlink"/>
            <w:rFonts w:hint="eastAsia"/>
            <w:sz w:val="28"/>
            <w:szCs w:val="28"/>
            <w:rtl/>
          </w:rPr>
          <w:t>חוק</w:t>
        </w:r>
        <w:r w:rsidR="00016A27" w:rsidRPr="00016A27">
          <w:rPr>
            <w:rStyle w:val="Hyperlink"/>
            <w:sz w:val="28"/>
            <w:szCs w:val="28"/>
            <w:rtl/>
          </w:rPr>
          <w:t xml:space="preserve"> </w:t>
        </w:r>
        <w:r w:rsidR="00016A27" w:rsidRPr="00016A27">
          <w:rPr>
            <w:rStyle w:val="Hyperlink"/>
            <w:rFonts w:hint="eastAsia"/>
            <w:sz w:val="28"/>
            <w:szCs w:val="28"/>
            <w:rtl/>
          </w:rPr>
          <w:t>העונשין</w:t>
        </w:r>
      </w:hyperlink>
      <w:r>
        <w:rPr>
          <w:sz w:val="28"/>
          <w:szCs w:val="28"/>
          <w:rtl/>
        </w:rPr>
        <w:t>;</w:t>
      </w:r>
    </w:p>
    <w:p w14:paraId="3FFE6775" w14:textId="77777777" w:rsidR="00FE45E4" w:rsidRDefault="00B02876">
      <w:pPr>
        <w:numPr>
          <w:ilvl w:val="0"/>
          <w:numId w:val="2"/>
        </w:numPr>
        <w:tabs>
          <w:tab w:val="clear" w:pos="1440"/>
          <w:tab w:val="num" w:pos="1080"/>
        </w:tabs>
        <w:spacing w:line="360" w:lineRule="auto"/>
        <w:ind w:left="1080" w:hanging="540"/>
        <w:jc w:val="both"/>
        <w:rPr>
          <w:sz w:val="28"/>
          <w:szCs w:val="28"/>
        </w:rPr>
      </w:pPr>
      <w:r>
        <w:rPr>
          <w:sz w:val="28"/>
          <w:szCs w:val="28"/>
          <w:rtl/>
        </w:rPr>
        <w:t xml:space="preserve">בעבירה של איומים, על פי </w:t>
      </w:r>
      <w:hyperlink r:id="rId31" w:history="1">
        <w:r w:rsidR="004F70FD" w:rsidRPr="004F70FD">
          <w:rPr>
            <w:rFonts w:hint="eastAsia"/>
            <w:color w:val="0000FF"/>
            <w:sz w:val="28"/>
            <w:szCs w:val="28"/>
            <w:u w:val="single"/>
            <w:rtl/>
          </w:rPr>
          <w:t>סעיף</w:t>
        </w:r>
        <w:r w:rsidR="004F70FD" w:rsidRPr="004F70FD">
          <w:rPr>
            <w:color w:val="0000FF"/>
            <w:sz w:val="28"/>
            <w:szCs w:val="28"/>
            <w:u w:val="single"/>
            <w:rtl/>
          </w:rPr>
          <w:t xml:space="preserve"> 192</w:t>
        </w:r>
      </w:hyperlink>
      <w:r>
        <w:rPr>
          <w:sz w:val="28"/>
          <w:szCs w:val="28"/>
          <w:rtl/>
        </w:rPr>
        <w:t xml:space="preserve"> ל</w:t>
      </w:r>
      <w:hyperlink r:id="rId32" w:history="1">
        <w:r w:rsidR="00016A27" w:rsidRPr="00016A27">
          <w:rPr>
            <w:rStyle w:val="Hyperlink"/>
            <w:rFonts w:hint="eastAsia"/>
            <w:sz w:val="28"/>
            <w:szCs w:val="28"/>
            <w:rtl/>
          </w:rPr>
          <w:t>חוק</w:t>
        </w:r>
        <w:r w:rsidR="00016A27" w:rsidRPr="00016A27">
          <w:rPr>
            <w:rStyle w:val="Hyperlink"/>
            <w:sz w:val="28"/>
            <w:szCs w:val="28"/>
            <w:rtl/>
          </w:rPr>
          <w:t xml:space="preserve"> </w:t>
        </w:r>
        <w:r w:rsidR="00016A27" w:rsidRPr="00016A27">
          <w:rPr>
            <w:rStyle w:val="Hyperlink"/>
            <w:rFonts w:hint="eastAsia"/>
            <w:sz w:val="28"/>
            <w:szCs w:val="28"/>
            <w:rtl/>
          </w:rPr>
          <w:t>העונשין</w:t>
        </w:r>
      </w:hyperlink>
      <w:r>
        <w:rPr>
          <w:sz w:val="28"/>
          <w:szCs w:val="28"/>
          <w:rtl/>
        </w:rPr>
        <w:t>;</w:t>
      </w:r>
    </w:p>
    <w:p w14:paraId="1DD3B704" w14:textId="77777777" w:rsidR="00FE45E4" w:rsidRDefault="00FE45E4">
      <w:pPr>
        <w:tabs>
          <w:tab w:val="num" w:pos="1080"/>
        </w:tabs>
        <w:spacing w:line="360" w:lineRule="auto"/>
        <w:ind w:left="1080"/>
        <w:jc w:val="both"/>
        <w:rPr>
          <w:sz w:val="28"/>
          <w:szCs w:val="28"/>
        </w:rPr>
      </w:pPr>
    </w:p>
    <w:p w14:paraId="5E20E12E" w14:textId="77777777" w:rsidR="00FE45E4" w:rsidRDefault="00B02876">
      <w:pPr>
        <w:spacing w:line="360" w:lineRule="auto"/>
        <w:ind w:left="540"/>
        <w:jc w:val="both"/>
        <w:rPr>
          <w:sz w:val="28"/>
          <w:szCs w:val="28"/>
          <w:rtl/>
        </w:rPr>
      </w:pPr>
      <w:r>
        <w:rPr>
          <w:sz w:val="28"/>
          <w:szCs w:val="28"/>
          <w:rtl/>
        </w:rPr>
        <w:t>בגין האירוע השני אני מרשיעה את הנאשם בעבירות כדלקמן:</w:t>
      </w:r>
    </w:p>
    <w:p w14:paraId="2E6B7B8D" w14:textId="77777777" w:rsidR="00FE45E4" w:rsidRDefault="00B02876">
      <w:pPr>
        <w:numPr>
          <w:ilvl w:val="0"/>
          <w:numId w:val="3"/>
        </w:numPr>
        <w:tabs>
          <w:tab w:val="clear" w:pos="1440"/>
          <w:tab w:val="num" w:pos="1080"/>
        </w:tabs>
        <w:spacing w:line="360" w:lineRule="auto"/>
        <w:ind w:left="1080" w:hanging="540"/>
        <w:jc w:val="both"/>
        <w:rPr>
          <w:sz w:val="28"/>
          <w:szCs w:val="28"/>
          <w:rtl/>
        </w:rPr>
      </w:pPr>
      <w:r>
        <w:rPr>
          <w:sz w:val="28"/>
          <w:szCs w:val="28"/>
          <w:rtl/>
        </w:rPr>
        <w:t xml:space="preserve">בעבירה של איומים, על פי </w:t>
      </w:r>
      <w:hyperlink r:id="rId33" w:history="1">
        <w:r w:rsidR="004F70FD" w:rsidRPr="004F70FD">
          <w:rPr>
            <w:rFonts w:hint="eastAsia"/>
            <w:color w:val="0000FF"/>
            <w:sz w:val="28"/>
            <w:szCs w:val="28"/>
            <w:u w:val="single"/>
            <w:rtl/>
          </w:rPr>
          <w:t>סעיף</w:t>
        </w:r>
        <w:r w:rsidR="004F70FD" w:rsidRPr="004F70FD">
          <w:rPr>
            <w:color w:val="0000FF"/>
            <w:sz w:val="28"/>
            <w:szCs w:val="28"/>
            <w:u w:val="single"/>
            <w:rtl/>
          </w:rPr>
          <w:t xml:space="preserve"> 192</w:t>
        </w:r>
      </w:hyperlink>
      <w:r>
        <w:rPr>
          <w:sz w:val="28"/>
          <w:szCs w:val="28"/>
          <w:rtl/>
        </w:rPr>
        <w:t xml:space="preserve"> ל</w:t>
      </w:r>
      <w:hyperlink r:id="rId34" w:history="1">
        <w:r w:rsidR="00016A27" w:rsidRPr="00016A27">
          <w:rPr>
            <w:rStyle w:val="Hyperlink"/>
            <w:rFonts w:hint="eastAsia"/>
            <w:sz w:val="28"/>
            <w:szCs w:val="28"/>
            <w:rtl/>
          </w:rPr>
          <w:t>חוק</w:t>
        </w:r>
        <w:r w:rsidR="00016A27" w:rsidRPr="00016A27">
          <w:rPr>
            <w:rStyle w:val="Hyperlink"/>
            <w:sz w:val="28"/>
            <w:szCs w:val="28"/>
            <w:rtl/>
          </w:rPr>
          <w:t xml:space="preserve"> </w:t>
        </w:r>
        <w:r w:rsidR="00016A27" w:rsidRPr="00016A27">
          <w:rPr>
            <w:rStyle w:val="Hyperlink"/>
            <w:rFonts w:hint="eastAsia"/>
            <w:sz w:val="28"/>
            <w:szCs w:val="28"/>
            <w:rtl/>
          </w:rPr>
          <w:t>העונשין</w:t>
        </w:r>
      </w:hyperlink>
      <w:r>
        <w:rPr>
          <w:sz w:val="28"/>
          <w:szCs w:val="28"/>
          <w:rtl/>
        </w:rPr>
        <w:t>;</w:t>
      </w:r>
    </w:p>
    <w:p w14:paraId="6C6FA1E4" w14:textId="77777777" w:rsidR="00FE45E4" w:rsidRDefault="00B02876">
      <w:pPr>
        <w:numPr>
          <w:ilvl w:val="0"/>
          <w:numId w:val="3"/>
        </w:numPr>
        <w:tabs>
          <w:tab w:val="clear" w:pos="1440"/>
          <w:tab w:val="num" w:pos="1080"/>
        </w:tabs>
        <w:spacing w:line="360" w:lineRule="auto"/>
        <w:ind w:left="1080" w:hanging="540"/>
        <w:jc w:val="both"/>
        <w:rPr>
          <w:sz w:val="28"/>
          <w:szCs w:val="28"/>
        </w:rPr>
      </w:pPr>
      <w:r>
        <w:rPr>
          <w:sz w:val="28"/>
          <w:szCs w:val="28"/>
          <w:rtl/>
        </w:rPr>
        <w:t xml:space="preserve">בעבירה של הטרדה מינית, על פי סעיף </w:t>
      </w:r>
      <w:hyperlink r:id="rId35" w:history="1">
        <w:r w:rsidR="004F70FD" w:rsidRPr="004F70FD">
          <w:rPr>
            <w:rStyle w:val="Hyperlink"/>
            <w:sz w:val="28"/>
            <w:szCs w:val="28"/>
            <w:rtl/>
          </w:rPr>
          <w:t>3(</w:t>
        </w:r>
        <w:r w:rsidR="004F70FD" w:rsidRPr="004F70FD">
          <w:rPr>
            <w:rStyle w:val="Hyperlink"/>
            <w:rFonts w:hint="eastAsia"/>
            <w:sz w:val="28"/>
            <w:szCs w:val="28"/>
            <w:rtl/>
          </w:rPr>
          <w:t>א</w:t>
        </w:r>
        <w:r w:rsidR="004F70FD" w:rsidRPr="004F70FD">
          <w:rPr>
            <w:rStyle w:val="Hyperlink"/>
            <w:sz w:val="28"/>
            <w:szCs w:val="28"/>
            <w:rtl/>
          </w:rPr>
          <w:t>)(5)</w:t>
        </w:r>
      </w:hyperlink>
      <w:r>
        <w:rPr>
          <w:sz w:val="28"/>
          <w:szCs w:val="28"/>
          <w:rtl/>
        </w:rPr>
        <w:t>+</w:t>
      </w:r>
      <w:hyperlink r:id="rId36" w:history="1">
        <w:r w:rsidR="004F70FD" w:rsidRPr="004F70FD">
          <w:rPr>
            <w:color w:val="0000FF"/>
            <w:sz w:val="28"/>
            <w:szCs w:val="28"/>
            <w:u w:val="single"/>
            <w:rtl/>
          </w:rPr>
          <w:t>5(</w:t>
        </w:r>
        <w:r w:rsidR="004F70FD" w:rsidRPr="004F70FD">
          <w:rPr>
            <w:rFonts w:hint="eastAsia"/>
            <w:color w:val="0000FF"/>
            <w:sz w:val="28"/>
            <w:szCs w:val="28"/>
            <w:u w:val="single"/>
            <w:rtl/>
          </w:rPr>
          <w:t>א</w:t>
        </w:r>
        <w:r w:rsidR="004F70FD" w:rsidRPr="004F70FD">
          <w:rPr>
            <w:color w:val="0000FF"/>
            <w:sz w:val="28"/>
            <w:szCs w:val="28"/>
            <w:u w:val="single"/>
            <w:rtl/>
          </w:rPr>
          <w:t>)</w:t>
        </w:r>
      </w:hyperlink>
      <w:r>
        <w:rPr>
          <w:sz w:val="28"/>
          <w:szCs w:val="28"/>
          <w:rtl/>
        </w:rPr>
        <w:t xml:space="preserve"> ל</w:t>
      </w:r>
      <w:hyperlink r:id="rId37" w:history="1">
        <w:r w:rsidR="00016A27" w:rsidRPr="00016A27">
          <w:rPr>
            <w:rStyle w:val="Hyperlink"/>
            <w:rFonts w:hint="eastAsia"/>
            <w:sz w:val="28"/>
            <w:szCs w:val="28"/>
            <w:rtl/>
          </w:rPr>
          <w:t>חוק</w:t>
        </w:r>
        <w:r w:rsidR="00016A27" w:rsidRPr="00016A27">
          <w:rPr>
            <w:rStyle w:val="Hyperlink"/>
            <w:sz w:val="28"/>
            <w:szCs w:val="28"/>
            <w:rtl/>
          </w:rPr>
          <w:t xml:space="preserve"> </w:t>
        </w:r>
        <w:r w:rsidR="00016A27" w:rsidRPr="00016A27">
          <w:rPr>
            <w:rStyle w:val="Hyperlink"/>
            <w:rFonts w:hint="eastAsia"/>
            <w:sz w:val="28"/>
            <w:szCs w:val="28"/>
            <w:rtl/>
          </w:rPr>
          <w:t>למניעת</w:t>
        </w:r>
        <w:r w:rsidR="00016A27" w:rsidRPr="00016A27">
          <w:rPr>
            <w:rStyle w:val="Hyperlink"/>
            <w:sz w:val="28"/>
            <w:szCs w:val="28"/>
            <w:rtl/>
          </w:rPr>
          <w:t xml:space="preserve"> </w:t>
        </w:r>
        <w:r w:rsidR="00016A27" w:rsidRPr="00016A27">
          <w:rPr>
            <w:rStyle w:val="Hyperlink"/>
            <w:rFonts w:hint="eastAsia"/>
            <w:sz w:val="28"/>
            <w:szCs w:val="28"/>
            <w:rtl/>
          </w:rPr>
          <w:t>הטרדה</w:t>
        </w:r>
        <w:r w:rsidR="00016A27" w:rsidRPr="00016A27">
          <w:rPr>
            <w:rStyle w:val="Hyperlink"/>
            <w:sz w:val="28"/>
            <w:szCs w:val="28"/>
            <w:rtl/>
          </w:rPr>
          <w:t xml:space="preserve"> </w:t>
        </w:r>
        <w:r w:rsidR="00016A27" w:rsidRPr="00016A27">
          <w:rPr>
            <w:rStyle w:val="Hyperlink"/>
            <w:rFonts w:hint="eastAsia"/>
            <w:sz w:val="28"/>
            <w:szCs w:val="28"/>
            <w:rtl/>
          </w:rPr>
          <w:t>מינית</w:t>
        </w:r>
      </w:hyperlink>
      <w:r>
        <w:rPr>
          <w:sz w:val="28"/>
          <w:szCs w:val="28"/>
          <w:rtl/>
        </w:rPr>
        <w:t>.</w:t>
      </w:r>
    </w:p>
    <w:p w14:paraId="11A2A796" w14:textId="77777777" w:rsidR="00FE45E4" w:rsidRDefault="00FE45E4">
      <w:pPr>
        <w:tabs>
          <w:tab w:val="num" w:pos="1080"/>
        </w:tabs>
        <w:spacing w:line="360" w:lineRule="auto"/>
        <w:ind w:left="1080"/>
        <w:jc w:val="both"/>
        <w:rPr>
          <w:sz w:val="28"/>
          <w:szCs w:val="28"/>
        </w:rPr>
      </w:pPr>
    </w:p>
    <w:p w14:paraId="2803CD6E" w14:textId="77777777" w:rsidR="00FE45E4" w:rsidRDefault="00B02876">
      <w:pPr>
        <w:spacing w:line="360" w:lineRule="auto"/>
        <w:ind w:left="540"/>
        <w:jc w:val="both"/>
        <w:rPr>
          <w:sz w:val="28"/>
          <w:szCs w:val="28"/>
          <w:rtl/>
        </w:rPr>
      </w:pPr>
      <w:r>
        <w:rPr>
          <w:sz w:val="28"/>
          <w:szCs w:val="28"/>
          <w:rtl/>
        </w:rPr>
        <w:t>בגין האירוע השלישי אני מזכה אותו מחמת הספק מהעבירה של תקיפה סתם ומרשיעה אותו בעבירות כדלקמן:</w:t>
      </w:r>
    </w:p>
    <w:p w14:paraId="34ECC7AF" w14:textId="77777777" w:rsidR="00FE45E4" w:rsidRDefault="00B02876">
      <w:pPr>
        <w:numPr>
          <w:ilvl w:val="0"/>
          <w:numId w:val="4"/>
        </w:numPr>
        <w:tabs>
          <w:tab w:val="clear" w:pos="1440"/>
          <w:tab w:val="num" w:pos="1080"/>
        </w:tabs>
        <w:spacing w:line="360" w:lineRule="auto"/>
        <w:ind w:left="1080" w:hanging="540"/>
        <w:jc w:val="both"/>
        <w:rPr>
          <w:sz w:val="28"/>
          <w:szCs w:val="28"/>
          <w:rtl/>
        </w:rPr>
      </w:pPr>
      <w:r>
        <w:rPr>
          <w:sz w:val="28"/>
          <w:szCs w:val="28"/>
          <w:rtl/>
        </w:rPr>
        <w:t xml:space="preserve">בעבירה של מעשה מגונה בפומבי, על פי </w:t>
      </w:r>
      <w:hyperlink r:id="rId38" w:history="1">
        <w:r w:rsidR="004F70FD" w:rsidRPr="004F70FD">
          <w:rPr>
            <w:rFonts w:hint="eastAsia"/>
            <w:color w:val="0000FF"/>
            <w:sz w:val="28"/>
            <w:szCs w:val="28"/>
            <w:u w:val="single"/>
            <w:rtl/>
          </w:rPr>
          <w:t>סעיף</w:t>
        </w:r>
        <w:r w:rsidR="004F70FD" w:rsidRPr="004F70FD">
          <w:rPr>
            <w:color w:val="0000FF"/>
            <w:sz w:val="28"/>
            <w:szCs w:val="28"/>
            <w:u w:val="single"/>
            <w:rtl/>
          </w:rPr>
          <w:t xml:space="preserve"> 349(</w:t>
        </w:r>
        <w:r w:rsidR="004F70FD" w:rsidRPr="004F70FD">
          <w:rPr>
            <w:rFonts w:hint="eastAsia"/>
            <w:color w:val="0000FF"/>
            <w:sz w:val="28"/>
            <w:szCs w:val="28"/>
            <w:u w:val="single"/>
            <w:rtl/>
          </w:rPr>
          <w:t>א</w:t>
        </w:r>
        <w:r w:rsidR="004F70FD" w:rsidRPr="004F70FD">
          <w:rPr>
            <w:color w:val="0000FF"/>
            <w:sz w:val="28"/>
            <w:szCs w:val="28"/>
            <w:u w:val="single"/>
            <w:rtl/>
          </w:rPr>
          <w:t>)</w:t>
        </w:r>
      </w:hyperlink>
      <w:r>
        <w:rPr>
          <w:sz w:val="28"/>
          <w:szCs w:val="28"/>
          <w:rtl/>
        </w:rPr>
        <w:t xml:space="preserve"> ל</w:t>
      </w:r>
      <w:hyperlink r:id="rId39" w:history="1">
        <w:r w:rsidR="00016A27" w:rsidRPr="00016A27">
          <w:rPr>
            <w:rStyle w:val="Hyperlink"/>
            <w:rFonts w:hint="eastAsia"/>
            <w:sz w:val="28"/>
            <w:szCs w:val="28"/>
            <w:rtl/>
          </w:rPr>
          <w:t>חוק</w:t>
        </w:r>
        <w:r w:rsidR="00016A27" w:rsidRPr="00016A27">
          <w:rPr>
            <w:rStyle w:val="Hyperlink"/>
            <w:sz w:val="28"/>
            <w:szCs w:val="28"/>
            <w:rtl/>
          </w:rPr>
          <w:t xml:space="preserve"> </w:t>
        </w:r>
        <w:r w:rsidR="00016A27" w:rsidRPr="00016A27">
          <w:rPr>
            <w:rStyle w:val="Hyperlink"/>
            <w:rFonts w:hint="eastAsia"/>
            <w:sz w:val="28"/>
            <w:szCs w:val="28"/>
            <w:rtl/>
          </w:rPr>
          <w:t>העונשין</w:t>
        </w:r>
      </w:hyperlink>
      <w:r>
        <w:rPr>
          <w:sz w:val="28"/>
          <w:szCs w:val="28"/>
          <w:rtl/>
        </w:rPr>
        <w:t>.</w:t>
      </w:r>
    </w:p>
    <w:p w14:paraId="7AB54C6D" w14:textId="77777777" w:rsidR="00FE45E4" w:rsidRDefault="00B02876">
      <w:pPr>
        <w:numPr>
          <w:ilvl w:val="0"/>
          <w:numId w:val="4"/>
        </w:numPr>
        <w:tabs>
          <w:tab w:val="clear" w:pos="1440"/>
          <w:tab w:val="num" w:pos="1080"/>
        </w:tabs>
        <w:spacing w:line="360" w:lineRule="auto"/>
        <w:ind w:left="1080" w:hanging="540"/>
        <w:jc w:val="both"/>
        <w:rPr>
          <w:sz w:val="28"/>
          <w:szCs w:val="28"/>
        </w:rPr>
      </w:pPr>
      <w:r>
        <w:rPr>
          <w:sz w:val="28"/>
          <w:szCs w:val="28"/>
          <w:rtl/>
        </w:rPr>
        <w:t>בעבירה של הטרדה מינית, על פי סעיף</w:t>
      </w:r>
      <w:hyperlink r:id="rId40" w:history="1">
        <w:r w:rsidR="004F70FD" w:rsidRPr="004F70FD">
          <w:rPr>
            <w:color w:val="0000FF"/>
            <w:sz w:val="28"/>
            <w:szCs w:val="28"/>
            <w:u w:val="single"/>
            <w:rtl/>
          </w:rPr>
          <w:t xml:space="preserve"> 3(</w:t>
        </w:r>
        <w:r w:rsidR="004F70FD" w:rsidRPr="004F70FD">
          <w:rPr>
            <w:rFonts w:hint="eastAsia"/>
            <w:color w:val="0000FF"/>
            <w:sz w:val="28"/>
            <w:szCs w:val="28"/>
            <w:u w:val="single"/>
            <w:rtl/>
          </w:rPr>
          <w:t>א</w:t>
        </w:r>
        <w:r w:rsidR="004F70FD" w:rsidRPr="004F70FD">
          <w:rPr>
            <w:color w:val="0000FF"/>
            <w:sz w:val="28"/>
            <w:szCs w:val="28"/>
            <w:u w:val="single"/>
            <w:rtl/>
          </w:rPr>
          <w:t>)(5</w:t>
        </w:r>
      </w:hyperlink>
      <w:r>
        <w:rPr>
          <w:sz w:val="28"/>
          <w:szCs w:val="28"/>
          <w:rtl/>
        </w:rPr>
        <w:t>)+</w:t>
      </w:r>
      <w:hyperlink r:id="rId41" w:history="1">
        <w:r w:rsidR="004F70FD" w:rsidRPr="004F70FD">
          <w:rPr>
            <w:color w:val="0000FF"/>
            <w:sz w:val="28"/>
            <w:szCs w:val="28"/>
            <w:u w:val="single"/>
            <w:rtl/>
          </w:rPr>
          <w:t>5(</w:t>
        </w:r>
        <w:r w:rsidR="004F70FD" w:rsidRPr="004F70FD">
          <w:rPr>
            <w:rFonts w:hint="eastAsia"/>
            <w:color w:val="0000FF"/>
            <w:sz w:val="28"/>
            <w:szCs w:val="28"/>
            <w:u w:val="single"/>
            <w:rtl/>
          </w:rPr>
          <w:t>א</w:t>
        </w:r>
        <w:r w:rsidR="004F70FD" w:rsidRPr="004F70FD">
          <w:rPr>
            <w:color w:val="0000FF"/>
            <w:sz w:val="28"/>
            <w:szCs w:val="28"/>
            <w:u w:val="single"/>
            <w:rtl/>
          </w:rPr>
          <w:t>)</w:t>
        </w:r>
      </w:hyperlink>
      <w:r>
        <w:rPr>
          <w:sz w:val="28"/>
          <w:szCs w:val="28"/>
          <w:rtl/>
        </w:rPr>
        <w:t xml:space="preserve"> ל</w:t>
      </w:r>
      <w:hyperlink r:id="rId42" w:history="1">
        <w:r w:rsidR="00016A27" w:rsidRPr="00016A27">
          <w:rPr>
            <w:rStyle w:val="Hyperlink"/>
            <w:rFonts w:hint="eastAsia"/>
            <w:sz w:val="28"/>
            <w:szCs w:val="28"/>
            <w:rtl/>
          </w:rPr>
          <w:t>חוק</w:t>
        </w:r>
        <w:r w:rsidR="00016A27" w:rsidRPr="00016A27">
          <w:rPr>
            <w:rStyle w:val="Hyperlink"/>
            <w:sz w:val="28"/>
            <w:szCs w:val="28"/>
            <w:rtl/>
          </w:rPr>
          <w:t xml:space="preserve"> </w:t>
        </w:r>
        <w:r w:rsidR="00016A27" w:rsidRPr="00016A27">
          <w:rPr>
            <w:rStyle w:val="Hyperlink"/>
            <w:rFonts w:hint="eastAsia"/>
            <w:sz w:val="28"/>
            <w:szCs w:val="28"/>
            <w:rtl/>
          </w:rPr>
          <w:t>למניעת</w:t>
        </w:r>
        <w:r w:rsidR="00016A27" w:rsidRPr="00016A27">
          <w:rPr>
            <w:rStyle w:val="Hyperlink"/>
            <w:sz w:val="28"/>
            <w:szCs w:val="28"/>
            <w:rtl/>
          </w:rPr>
          <w:t xml:space="preserve"> </w:t>
        </w:r>
        <w:r w:rsidR="00016A27" w:rsidRPr="00016A27">
          <w:rPr>
            <w:rStyle w:val="Hyperlink"/>
            <w:rFonts w:hint="eastAsia"/>
            <w:sz w:val="28"/>
            <w:szCs w:val="28"/>
            <w:rtl/>
          </w:rPr>
          <w:t>הטרדה</w:t>
        </w:r>
        <w:r w:rsidR="00016A27" w:rsidRPr="00016A27">
          <w:rPr>
            <w:rStyle w:val="Hyperlink"/>
            <w:sz w:val="28"/>
            <w:szCs w:val="28"/>
            <w:rtl/>
          </w:rPr>
          <w:t xml:space="preserve"> </w:t>
        </w:r>
        <w:r w:rsidR="00016A27" w:rsidRPr="00016A27">
          <w:rPr>
            <w:rStyle w:val="Hyperlink"/>
            <w:rFonts w:hint="eastAsia"/>
            <w:sz w:val="28"/>
            <w:szCs w:val="28"/>
            <w:rtl/>
          </w:rPr>
          <w:t>מינית</w:t>
        </w:r>
      </w:hyperlink>
      <w:r>
        <w:rPr>
          <w:sz w:val="28"/>
          <w:szCs w:val="28"/>
          <w:rtl/>
        </w:rPr>
        <w:t>.</w:t>
      </w:r>
    </w:p>
    <w:p w14:paraId="1841F938" w14:textId="77777777" w:rsidR="00FE45E4" w:rsidRDefault="00FE45E4">
      <w:pPr>
        <w:spacing w:line="360" w:lineRule="auto"/>
        <w:ind w:left="540"/>
        <w:jc w:val="both"/>
        <w:rPr>
          <w:sz w:val="28"/>
          <w:szCs w:val="28"/>
          <w:rtl/>
        </w:rPr>
      </w:pPr>
    </w:p>
    <w:p w14:paraId="3602AA7E" w14:textId="77777777" w:rsidR="00FE45E4" w:rsidRDefault="00FE45E4">
      <w:pPr>
        <w:tabs>
          <w:tab w:val="num" w:pos="540"/>
        </w:tabs>
        <w:spacing w:line="360" w:lineRule="auto"/>
        <w:ind w:left="540" w:hanging="540"/>
        <w:jc w:val="both"/>
        <w:rPr>
          <w:sz w:val="28"/>
          <w:szCs w:val="28"/>
          <w:rtl/>
        </w:rPr>
      </w:pPr>
    </w:p>
    <w:p w14:paraId="1F5372C0" w14:textId="77777777" w:rsidR="00FE45E4" w:rsidRDefault="00FE45E4">
      <w:pPr>
        <w:rPr>
          <w:rFonts w:ascii="Arial" w:hAnsi="Arial" w:cs="FrankRuehl"/>
          <w:sz w:val="28"/>
          <w:szCs w:val="28"/>
          <w:rtl/>
        </w:rPr>
      </w:pPr>
    </w:p>
    <w:p w14:paraId="5F65F475" w14:textId="77777777" w:rsidR="00FE45E4" w:rsidRPr="00B02876" w:rsidRDefault="00B02876">
      <w:pPr>
        <w:rPr>
          <w:rFonts w:ascii="Arial" w:hAnsi="Arial" w:cs="FrankRuehl"/>
          <w:color w:val="FFFFFF"/>
          <w:sz w:val="2"/>
          <w:szCs w:val="2"/>
          <w:rtl/>
        </w:rPr>
      </w:pPr>
      <w:r w:rsidRPr="00B02876">
        <w:rPr>
          <w:rFonts w:ascii="Arial" w:hAnsi="Arial" w:cs="FrankRuehl"/>
          <w:color w:val="FFFFFF"/>
          <w:sz w:val="2"/>
          <w:szCs w:val="2"/>
          <w:rtl/>
        </w:rPr>
        <w:t>5129371</w:t>
      </w:r>
    </w:p>
    <w:p w14:paraId="65601BFF" w14:textId="77777777" w:rsidR="00FE45E4" w:rsidRDefault="00B02876">
      <w:pPr>
        <w:rPr>
          <w:rFonts w:ascii="Arial" w:hAnsi="Arial"/>
          <w:rtl/>
        </w:rPr>
      </w:pPr>
      <w:r w:rsidRPr="00B02876">
        <w:rPr>
          <w:rFonts w:ascii="Arial" w:hAnsi="Arial"/>
          <w:color w:val="FFFFFF"/>
          <w:sz w:val="2"/>
          <w:szCs w:val="2"/>
          <w:rtl/>
        </w:rPr>
        <w:t>54678313</w:t>
      </w:r>
      <w:r>
        <w:rPr>
          <w:rFonts w:ascii="Arial" w:hAnsi="Arial"/>
          <w:rtl/>
        </w:rPr>
        <w:t xml:space="preserve">ניתנה היום,  כ"ז טבת תשע"ד , 30 דצמבר 2013, במעמד הצדדים </w:t>
      </w:r>
    </w:p>
    <w:p w14:paraId="331EEA44" w14:textId="77777777" w:rsidR="00FE45E4" w:rsidRDefault="00B02876">
      <w:pPr>
        <w:tabs>
          <w:tab w:val="left" w:pos="1625"/>
        </w:tabs>
        <w:jc w:val="center"/>
        <w:rPr>
          <w:rtl/>
        </w:rPr>
      </w:pPr>
      <w:r>
        <w:rPr>
          <w:rFonts w:hint="cs"/>
          <w:rtl/>
        </w:rPr>
        <w:t xml:space="preserve">                                </w:t>
      </w:r>
    </w:p>
    <w:p w14:paraId="440E0A5F" w14:textId="77777777" w:rsidR="00FE45E4" w:rsidRDefault="00FE45E4">
      <w:pPr>
        <w:tabs>
          <w:tab w:val="left" w:pos="1625"/>
        </w:tabs>
        <w:jc w:val="center"/>
        <w:rPr>
          <w:rtl/>
        </w:rPr>
      </w:pPr>
    </w:p>
    <w:p w14:paraId="69B0A5EB" w14:textId="77777777" w:rsidR="00FE45E4" w:rsidRDefault="00B02876">
      <w:pPr>
        <w:tabs>
          <w:tab w:val="left" w:pos="1625"/>
        </w:tabs>
        <w:jc w:val="center"/>
      </w:pPr>
      <w:r>
        <w:rPr>
          <w:rFonts w:hint="cs"/>
          <w:rtl/>
        </w:rPr>
        <w:t xml:space="preserve">    </w:t>
      </w:r>
    </w:p>
    <w:p w14:paraId="38DA062F" w14:textId="77777777" w:rsidR="00FE45E4" w:rsidRDefault="00B02876">
      <w:pPr>
        <w:tabs>
          <w:tab w:val="left" w:pos="1625"/>
        </w:tabs>
        <w:jc w:val="center"/>
        <w:rPr>
          <w:rtl/>
        </w:rPr>
      </w:pPr>
      <w:r>
        <w:rPr>
          <w:rStyle w:val="PlaceholderText"/>
          <w:rFonts w:hint="eastAsia"/>
          <w:rtl/>
        </w:rPr>
        <w:t>חתימה</w:t>
      </w:r>
      <w:bookmarkStart w:id="8" w:name="_GoBack"/>
      <w:bookmarkEnd w:id="8"/>
    </w:p>
    <w:p w14:paraId="1F2BFC70" w14:textId="77777777" w:rsidR="00B02876" w:rsidRPr="00B02876" w:rsidRDefault="00B02876" w:rsidP="00B02876">
      <w:pPr>
        <w:keepNext/>
        <w:rPr>
          <w:rFonts w:ascii="David" w:hAnsi="David"/>
          <w:color w:val="000000"/>
          <w:sz w:val="22"/>
          <w:szCs w:val="22"/>
          <w:rtl/>
        </w:rPr>
      </w:pPr>
    </w:p>
    <w:p w14:paraId="75801379" w14:textId="77777777" w:rsidR="00B02876" w:rsidRPr="00B02876" w:rsidRDefault="00B02876" w:rsidP="00B02876">
      <w:pPr>
        <w:keepNext/>
        <w:rPr>
          <w:rFonts w:ascii="David" w:hAnsi="David"/>
          <w:color w:val="000000"/>
          <w:sz w:val="22"/>
          <w:szCs w:val="22"/>
          <w:rtl/>
        </w:rPr>
      </w:pPr>
      <w:r w:rsidRPr="00B02876">
        <w:rPr>
          <w:rFonts w:ascii="David" w:hAnsi="David" w:hint="eastAsia"/>
          <w:color w:val="000000"/>
          <w:sz w:val="22"/>
          <w:szCs w:val="22"/>
          <w:rtl/>
        </w:rPr>
        <w:t>הדסה</w:t>
      </w:r>
      <w:r w:rsidRPr="00B02876">
        <w:rPr>
          <w:rFonts w:ascii="David" w:hAnsi="David"/>
          <w:color w:val="000000"/>
          <w:sz w:val="22"/>
          <w:szCs w:val="22"/>
          <w:rtl/>
        </w:rPr>
        <w:t xml:space="preserve"> </w:t>
      </w:r>
      <w:r w:rsidRPr="00B02876">
        <w:rPr>
          <w:rFonts w:ascii="David" w:hAnsi="David" w:hint="eastAsia"/>
          <w:color w:val="000000"/>
          <w:sz w:val="22"/>
          <w:szCs w:val="22"/>
          <w:rtl/>
        </w:rPr>
        <w:t>נאור</w:t>
      </w:r>
      <w:r w:rsidRPr="00B02876">
        <w:rPr>
          <w:rFonts w:ascii="David" w:hAnsi="David"/>
          <w:color w:val="000000"/>
          <w:sz w:val="22"/>
          <w:szCs w:val="22"/>
          <w:rtl/>
        </w:rPr>
        <w:t xml:space="preserve"> 54678313</w:t>
      </w:r>
    </w:p>
    <w:p w14:paraId="4D781167" w14:textId="77777777" w:rsidR="00B02876" w:rsidRDefault="00B02876" w:rsidP="00B02876">
      <w:r w:rsidRPr="00B02876">
        <w:rPr>
          <w:rFonts w:hint="eastAsia"/>
          <w:color w:val="000000"/>
          <w:rtl/>
        </w:rPr>
        <w:t>נוסח</w:t>
      </w:r>
      <w:r w:rsidRPr="00B02876">
        <w:rPr>
          <w:color w:val="000000"/>
          <w:rtl/>
        </w:rPr>
        <w:t xml:space="preserve"> </w:t>
      </w:r>
      <w:r w:rsidRPr="00B02876">
        <w:rPr>
          <w:rFonts w:hint="eastAsia"/>
          <w:color w:val="000000"/>
          <w:rtl/>
        </w:rPr>
        <w:t>מסמך</w:t>
      </w:r>
      <w:r w:rsidRPr="00B02876">
        <w:rPr>
          <w:color w:val="000000"/>
          <w:rtl/>
        </w:rPr>
        <w:t xml:space="preserve"> </w:t>
      </w:r>
      <w:r w:rsidRPr="00B02876">
        <w:rPr>
          <w:rFonts w:hint="eastAsia"/>
          <w:color w:val="000000"/>
          <w:rtl/>
        </w:rPr>
        <w:t>זה</w:t>
      </w:r>
      <w:r w:rsidRPr="00B02876">
        <w:rPr>
          <w:color w:val="000000"/>
          <w:rtl/>
        </w:rPr>
        <w:t xml:space="preserve"> </w:t>
      </w:r>
      <w:r w:rsidRPr="00B02876">
        <w:rPr>
          <w:rFonts w:hint="eastAsia"/>
          <w:color w:val="000000"/>
          <w:rtl/>
        </w:rPr>
        <w:t>כפוף</w:t>
      </w:r>
      <w:r w:rsidRPr="00B02876">
        <w:rPr>
          <w:color w:val="000000"/>
          <w:rtl/>
        </w:rPr>
        <w:t xml:space="preserve"> </w:t>
      </w:r>
      <w:r w:rsidRPr="00B02876">
        <w:rPr>
          <w:rFonts w:hint="eastAsia"/>
          <w:color w:val="000000"/>
          <w:rtl/>
        </w:rPr>
        <w:t>לשינויי</w:t>
      </w:r>
      <w:r w:rsidRPr="00B02876">
        <w:rPr>
          <w:color w:val="000000"/>
          <w:rtl/>
        </w:rPr>
        <w:t xml:space="preserve"> </w:t>
      </w:r>
      <w:r w:rsidRPr="00B02876">
        <w:rPr>
          <w:rFonts w:hint="eastAsia"/>
          <w:color w:val="000000"/>
          <w:rtl/>
        </w:rPr>
        <w:t>ניסוח</w:t>
      </w:r>
      <w:r w:rsidRPr="00B02876">
        <w:rPr>
          <w:color w:val="000000"/>
          <w:rtl/>
        </w:rPr>
        <w:t xml:space="preserve"> </w:t>
      </w:r>
      <w:r w:rsidRPr="00B02876">
        <w:rPr>
          <w:rFonts w:hint="eastAsia"/>
          <w:color w:val="000000"/>
          <w:rtl/>
        </w:rPr>
        <w:t>ועריכה</w:t>
      </w:r>
    </w:p>
    <w:p w14:paraId="12406D6B" w14:textId="77777777" w:rsidR="00B02876" w:rsidRDefault="00B02876" w:rsidP="00B02876">
      <w:pPr>
        <w:rPr>
          <w:rtl/>
        </w:rPr>
      </w:pPr>
    </w:p>
    <w:p w14:paraId="4CB262E9" w14:textId="77777777" w:rsidR="00B02876" w:rsidRDefault="00B02876" w:rsidP="00B02876">
      <w:pPr>
        <w:jc w:val="center"/>
        <w:rPr>
          <w:color w:val="0000FF"/>
          <w:u w:val="single"/>
        </w:rPr>
      </w:pPr>
      <w:r w:rsidRPr="00204ECA">
        <w:rPr>
          <w:rFonts w:hint="eastAsia"/>
          <w:color w:val="000000"/>
          <w:rtl/>
        </w:rPr>
        <w:t>בעניין</w:t>
      </w:r>
      <w:r w:rsidRPr="00204ECA">
        <w:rPr>
          <w:color w:val="000000"/>
          <w:rtl/>
        </w:rPr>
        <w:t xml:space="preserve"> </w:t>
      </w:r>
      <w:r w:rsidRPr="00204ECA">
        <w:rPr>
          <w:rFonts w:hint="eastAsia"/>
          <w:color w:val="000000"/>
          <w:rtl/>
        </w:rPr>
        <w:t>עריכה</w:t>
      </w:r>
      <w:r w:rsidRPr="00204ECA">
        <w:rPr>
          <w:color w:val="000000"/>
          <w:rtl/>
        </w:rPr>
        <w:t xml:space="preserve"> </w:t>
      </w:r>
      <w:r w:rsidRPr="00204ECA">
        <w:rPr>
          <w:rFonts w:hint="eastAsia"/>
          <w:color w:val="000000"/>
          <w:rtl/>
        </w:rPr>
        <w:t>ושינויים</w:t>
      </w:r>
      <w:r w:rsidRPr="00204ECA">
        <w:rPr>
          <w:color w:val="000000"/>
          <w:rtl/>
        </w:rPr>
        <w:t xml:space="preserve"> </w:t>
      </w:r>
      <w:r w:rsidRPr="00204ECA">
        <w:rPr>
          <w:rFonts w:hint="eastAsia"/>
          <w:color w:val="000000"/>
          <w:rtl/>
        </w:rPr>
        <w:t>במסמכי</w:t>
      </w:r>
      <w:r w:rsidRPr="00204ECA">
        <w:rPr>
          <w:color w:val="000000"/>
          <w:rtl/>
        </w:rPr>
        <w:t xml:space="preserve"> </w:t>
      </w:r>
      <w:r w:rsidRPr="00204ECA">
        <w:rPr>
          <w:rFonts w:hint="eastAsia"/>
          <w:color w:val="000000"/>
          <w:rtl/>
        </w:rPr>
        <w:t>פסיקה</w:t>
      </w:r>
      <w:r w:rsidRPr="00204ECA">
        <w:rPr>
          <w:color w:val="000000"/>
          <w:rtl/>
        </w:rPr>
        <w:t xml:space="preserve">, </w:t>
      </w:r>
      <w:r w:rsidRPr="00204ECA">
        <w:rPr>
          <w:rFonts w:hint="eastAsia"/>
          <w:color w:val="000000"/>
          <w:rtl/>
        </w:rPr>
        <w:t>חקיקה</w:t>
      </w:r>
      <w:r w:rsidRPr="00204ECA">
        <w:rPr>
          <w:color w:val="000000"/>
          <w:rtl/>
        </w:rPr>
        <w:t xml:space="preserve"> </w:t>
      </w:r>
      <w:r w:rsidRPr="00204ECA">
        <w:rPr>
          <w:rFonts w:hint="eastAsia"/>
          <w:color w:val="000000"/>
          <w:rtl/>
        </w:rPr>
        <w:t>ועוד</w:t>
      </w:r>
      <w:r w:rsidRPr="00204ECA">
        <w:rPr>
          <w:color w:val="000000"/>
          <w:rtl/>
        </w:rPr>
        <w:t xml:space="preserve"> </w:t>
      </w:r>
      <w:r w:rsidRPr="00204ECA">
        <w:rPr>
          <w:rFonts w:hint="eastAsia"/>
          <w:color w:val="000000"/>
          <w:rtl/>
        </w:rPr>
        <w:t>באתר</w:t>
      </w:r>
      <w:r w:rsidRPr="00204ECA">
        <w:rPr>
          <w:color w:val="000000"/>
          <w:rtl/>
        </w:rPr>
        <w:t xml:space="preserve"> </w:t>
      </w:r>
      <w:r w:rsidRPr="00204ECA">
        <w:rPr>
          <w:rFonts w:hint="eastAsia"/>
          <w:color w:val="000000"/>
          <w:rtl/>
        </w:rPr>
        <w:t>נבו</w:t>
      </w:r>
      <w:r w:rsidRPr="00204ECA">
        <w:rPr>
          <w:color w:val="000000"/>
          <w:rtl/>
        </w:rPr>
        <w:t xml:space="preserve"> – </w:t>
      </w:r>
      <w:r w:rsidRPr="00204ECA">
        <w:rPr>
          <w:rFonts w:hint="eastAsia"/>
          <w:color w:val="000000"/>
          <w:rtl/>
        </w:rPr>
        <w:t>הקש</w:t>
      </w:r>
      <w:r w:rsidRPr="00204ECA">
        <w:rPr>
          <w:color w:val="000000"/>
          <w:rtl/>
        </w:rPr>
        <w:t xml:space="preserve"> </w:t>
      </w:r>
      <w:r w:rsidRPr="00204ECA">
        <w:rPr>
          <w:rFonts w:hint="eastAsia"/>
          <w:color w:val="000000"/>
          <w:rtl/>
        </w:rPr>
        <w:t>כאן</w:t>
      </w:r>
    </w:p>
    <w:p w14:paraId="72895198" w14:textId="77777777" w:rsidR="00FE45E4" w:rsidRPr="00B02876" w:rsidRDefault="00FE45E4" w:rsidP="00B02876">
      <w:pPr>
        <w:jc w:val="center"/>
        <w:rPr>
          <w:color w:val="0000FF"/>
          <w:u w:val="single"/>
        </w:rPr>
      </w:pPr>
    </w:p>
    <w:sectPr w:rsidR="00FE45E4" w:rsidRPr="00B02876" w:rsidSect="00B02876">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735C3" w14:textId="77777777" w:rsidR="00F46DBD" w:rsidRPr="00631147" w:rsidRDefault="00F46DBD">
      <w:pPr>
        <w:rPr>
          <w:rFonts w:cs="Arial"/>
          <w:szCs w:val="20"/>
        </w:rPr>
      </w:pPr>
      <w:r>
        <w:separator/>
      </w:r>
    </w:p>
  </w:endnote>
  <w:endnote w:type="continuationSeparator" w:id="0">
    <w:p w14:paraId="47B9B1C2" w14:textId="77777777" w:rsidR="00F46DBD" w:rsidRPr="00631147" w:rsidRDefault="00F46DB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62F39" w14:textId="77777777" w:rsidR="00391856" w:rsidRDefault="00391856" w:rsidP="00B0287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CDE67E4" w14:textId="77777777" w:rsidR="00391856" w:rsidRPr="00B02876" w:rsidRDefault="00391856" w:rsidP="00B02876">
    <w:pPr>
      <w:pStyle w:val="Footer"/>
      <w:pBdr>
        <w:top w:val="single" w:sz="4" w:space="1" w:color="auto"/>
        <w:between w:val="single" w:sz="4" w:space="0" w:color="auto"/>
      </w:pBdr>
      <w:spacing w:after="60"/>
      <w:jc w:val="center"/>
      <w:rPr>
        <w:rFonts w:ascii="FrankRuehl" w:hAnsi="FrankRuehl" w:cs="FrankRuehl"/>
        <w:color w:val="000000"/>
      </w:rPr>
    </w:pPr>
    <w:r w:rsidRPr="00B0287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A52A6" w14:textId="77777777" w:rsidR="00391856" w:rsidRDefault="00391856" w:rsidP="00B0287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5E4C">
      <w:rPr>
        <w:rFonts w:ascii="FrankRuehl" w:hAnsi="FrankRuehl" w:cs="FrankRuehl"/>
        <w:noProof/>
        <w:rtl/>
      </w:rPr>
      <w:t>1</w:t>
    </w:r>
    <w:r>
      <w:rPr>
        <w:rFonts w:ascii="FrankRuehl" w:hAnsi="FrankRuehl" w:cs="FrankRuehl"/>
        <w:rtl/>
      </w:rPr>
      <w:fldChar w:fldCharType="end"/>
    </w:r>
  </w:p>
  <w:p w14:paraId="4B0176F5" w14:textId="77777777" w:rsidR="00391856" w:rsidRPr="00B02876" w:rsidRDefault="00391856" w:rsidP="00B02876">
    <w:pPr>
      <w:pStyle w:val="Footer"/>
      <w:pBdr>
        <w:top w:val="single" w:sz="4" w:space="1" w:color="auto"/>
        <w:between w:val="single" w:sz="4" w:space="0" w:color="auto"/>
      </w:pBdr>
      <w:spacing w:after="60"/>
      <w:jc w:val="center"/>
      <w:rPr>
        <w:rFonts w:ascii="FrankRuehl" w:hAnsi="FrankRuehl" w:cs="FrankRuehl"/>
        <w:color w:val="000000"/>
      </w:rPr>
    </w:pPr>
    <w:r w:rsidRPr="00B02876">
      <w:rPr>
        <w:rFonts w:ascii="FrankRuehl" w:hAnsi="FrankRuehl" w:cs="FrankRuehl"/>
        <w:color w:val="000000"/>
      </w:rPr>
      <w:pict w14:anchorId="5E799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C22F7" w14:textId="77777777" w:rsidR="00F46DBD" w:rsidRPr="00631147" w:rsidRDefault="00F46DBD">
      <w:pPr>
        <w:rPr>
          <w:rFonts w:cs="Arial"/>
          <w:szCs w:val="20"/>
        </w:rPr>
      </w:pPr>
      <w:r>
        <w:separator/>
      </w:r>
    </w:p>
  </w:footnote>
  <w:footnote w:type="continuationSeparator" w:id="0">
    <w:p w14:paraId="5DA0D0E3" w14:textId="77777777" w:rsidR="00F46DBD" w:rsidRPr="00631147" w:rsidRDefault="00F46DB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16F5" w14:textId="77777777" w:rsidR="00391856" w:rsidRPr="00B02876" w:rsidRDefault="00391856" w:rsidP="00B0287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53929-10-10</w:t>
    </w:r>
    <w:r>
      <w:rPr>
        <w:rFonts w:ascii="David" w:hAnsi="David"/>
        <w:color w:val="000000"/>
        <w:sz w:val="22"/>
        <w:szCs w:val="22"/>
        <w:rtl/>
      </w:rPr>
      <w:tab/>
      <w:t xml:space="preserve"> מדינת ישראל נ' נצח פדלון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00030" w14:textId="77777777" w:rsidR="00391856" w:rsidRPr="00B02876" w:rsidRDefault="00391856" w:rsidP="00B0287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53929-10-10</w:t>
    </w:r>
    <w:r>
      <w:rPr>
        <w:rFonts w:ascii="David" w:hAnsi="David"/>
        <w:color w:val="000000"/>
        <w:sz w:val="22"/>
        <w:szCs w:val="22"/>
        <w:rtl/>
      </w:rPr>
      <w:tab/>
      <w:t xml:space="preserve"> מדינת ישראל נ' נצח פדלון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355"/>
    <w:multiLevelType w:val="hybridMultilevel"/>
    <w:tmpl w:val="BAE8FC9E"/>
    <w:lvl w:ilvl="0" w:tplc="96549C40">
      <w:start w:val="1"/>
      <w:numFmt w:val="hebrew1"/>
      <w:lvlText w:val="%1."/>
      <w:lvlJc w:val="left"/>
      <w:pPr>
        <w:tabs>
          <w:tab w:val="num" w:pos="1440"/>
        </w:tabs>
        <w:ind w:left="1440" w:hanging="900"/>
      </w:pPr>
      <w:rPr>
        <w:rFonts w:cs="Times New Roman" w:hint="default"/>
        <w:sz w:val="2"/>
        <w:szCs w:val="24"/>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1" w15:restartNumberingAfterBreak="0">
    <w:nsid w:val="15FB73AD"/>
    <w:multiLevelType w:val="hybridMultilevel"/>
    <w:tmpl w:val="778CAC8C"/>
    <w:lvl w:ilvl="0" w:tplc="0D222032">
      <w:start w:val="1"/>
      <w:numFmt w:val="hebrew1"/>
      <w:lvlText w:val="%1."/>
      <w:lvlJc w:val="left"/>
      <w:pPr>
        <w:tabs>
          <w:tab w:val="num" w:pos="1440"/>
        </w:tabs>
        <w:ind w:left="1440" w:hanging="900"/>
      </w:pPr>
      <w:rPr>
        <w:rFonts w:cs="Times New Roman" w:hint="default"/>
        <w:sz w:val="2"/>
        <w:szCs w:val="24"/>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2" w15:restartNumberingAfterBreak="0">
    <w:nsid w:val="26653B5D"/>
    <w:multiLevelType w:val="hybridMultilevel"/>
    <w:tmpl w:val="336C42D6"/>
    <w:lvl w:ilvl="0" w:tplc="81BA2FEA">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4BBE0B5A"/>
    <w:multiLevelType w:val="hybridMultilevel"/>
    <w:tmpl w:val="81C4C43E"/>
    <w:lvl w:ilvl="0" w:tplc="27BC9CF2">
      <w:start w:val="1"/>
      <w:numFmt w:val="hebrew1"/>
      <w:lvlText w:val="%1."/>
      <w:lvlJc w:val="left"/>
      <w:pPr>
        <w:tabs>
          <w:tab w:val="num" w:pos="1440"/>
        </w:tabs>
        <w:ind w:left="1440" w:hanging="900"/>
      </w:pPr>
      <w:rPr>
        <w:rFonts w:cs="Times New Roman" w:hint="default"/>
        <w:sz w:val="2"/>
        <w:szCs w:val="24"/>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num w:numId="1" w16cid:durableId="419448990">
    <w:abstractNumId w:val="2"/>
  </w:num>
  <w:num w:numId="2" w16cid:durableId="330254782">
    <w:abstractNumId w:val="3"/>
  </w:num>
  <w:num w:numId="3" w16cid:durableId="903292233">
    <w:abstractNumId w:val="1"/>
  </w:num>
  <w:num w:numId="4" w16cid:durableId="33673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45E4"/>
    <w:rsid w:val="00016A27"/>
    <w:rsid w:val="001B4677"/>
    <w:rsid w:val="00204ECA"/>
    <w:rsid w:val="00391856"/>
    <w:rsid w:val="004F70FD"/>
    <w:rsid w:val="005A788D"/>
    <w:rsid w:val="00620813"/>
    <w:rsid w:val="00641DD1"/>
    <w:rsid w:val="00780787"/>
    <w:rsid w:val="007D6961"/>
    <w:rsid w:val="00936872"/>
    <w:rsid w:val="009E4F9C"/>
    <w:rsid w:val="00B02876"/>
    <w:rsid w:val="00B80874"/>
    <w:rsid w:val="00C85E4C"/>
    <w:rsid w:val="00F46DBD"/>
    <w:rsid w:val="00FE45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A677B9"/>
  <w15:chartTrackingRefBased/>
  <w15:docId w15:val="{F62299E1-2105-43E7-89B7-7175973E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45E4"/>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E45E4"/>
    <w:pPr>
      <w:tabs>
        <w:tab w:val="center" w:pos="4153"/>
        <w:tab w:val="right" w:pos="8306"/>
      </w:tabs>
    </w:pPr>
  </w:style>
  <w:style w:type="paragraph" w:styleId="Footer">
    <w:name w:val="footer"/>
    <w:basedOn w:val="Normal"/>
    <w:rsid w:val="00FE45E4"/>
    <w:pPr>
      <w:tabs>
        <w:tab w:val="center" w:pos="4153"/>
        <w:tab w:val="right" w:pos="8306"/>
      </w:tabs>
    </w:pPr>
  </w:style>
  <w:style w:type="character" w:styleId="PlaceholderText">
    <w:name w:val="Placeholder Text"/>
    <w:basedOn w:val="DefaultParagraphFont"/>
    <w:rsid w:val="00FE45E4"/>
    <w:rPr>
      <w:color w:val="808080"/>
    </w:rPr>
  </w:style>
  <w:style w:type="paragraph" w:styleId="ListParagraph">
    <w:name w:val="List Paragraph"/>
    <w:basedOn w:val="Normal"/>
    <w:qFormat/>
    <w:rsid w:val="00FE45E4"/>
    <w:pPr>
      <w:spacing w:after="200" w:line="276" w:lineRule="auto"/>
      <w:ind w:left="720"/>
    </w:pPr>
    <w:rPr>
      <w:rFonts w:ascii="Calibri" w:hAnsi="Calibri" w:cs="Arial"/>
      <w:sz w:val="22"/>
      <w:szCs w:val="22"/>
    </w:rPr>
  </w:style>
  <w:style w:type="character" w:styleId="PageNumber">
    <w:name w:val="page number"/>
    <w:basedOn w:val="DefaultParagraphFont"/>
    <w:rsid w:val="00B02876"/>
  </w:style>
  <w:style w:type="character" w:styleId="Hyperlink">
    <w:name w:val="Hyperlink"/>
    <w:basedOn w:val="DefaultParagraphFont"/>
    <w:rsid w:val="00B028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3.a.5" TargetMode="External"/><Relationship Id="rId18" Type="http://schemas.openxmlformats.org/officeDocument/2006/relationships/hyperlink" Target="http://www.nevo.co.il/law/70301/192" TargetMode="External"/><Relationship Id="rId26" Type="http://schemas.openxmlformats.org/officeDocument/2006/relationships/hyperlink" Target="http://www.nevo.co.il/law/72507/5.a"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2507"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2507"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3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0" TargetMode="External"/><Relationship Id="rId24" Type="http://schemas.openxmlformats.org/officeDocument/2006/relationships/hyperlink" Target="http://www.nevo.co.il/law/70301/379"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2507" TargetMode="External"/><Relationship Id="rId40" Type="http://schemas.openxmlformats.org/officeDocument/2006/relationships/hyperlink" Target="http://www.nevo.co.il/law/72507/3.a.5"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80"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708918" TargetMode="External"/><Relationship Id="rId36" Type="http://schemas.openxmlformats.org/officeDocument/2006/relationships/hyperlink" Target="http://www.nevo.co.il/law/72507/5.a" TargetMode="External"/><Relationship Id="rId10" Type="http://schemas.openxmlformats.org/officeDocument/2006/relationships/hyperlink" Target="http://www.nevo.co.il/law/70301/379" TargetMode="External"/><Relationship Id="rId19" Type="http://schemas.openxmlformats.org/officeDocument/2006/relationships/hyperlink" Target="http://www.nevo.co.il/law/72507/3.a.5" TargetMode="External"/><Relationship Id="rId31" Type="http://schemas.openxmlformats.org/officeDocument/2006/relationships/hyperlink" Target="http://www.nevo.co.il/law/70301/192"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9.a" TargetMode="External"/><Relationship Id="rId14" Type="http://schemas.openxmlformats.org/officeDocument/2006/relationships/hyperlink" Target="http://www.nevo.co.il/law/72507/5.a" TargetMode="External"/><Relationship Id="rId22" Type="http://schemas.openxmlformats.org/officeDocument/2006/relationships/hyperlink" Target="http://www.nevo.co.il/law/70301/349.a" TargetMode="External"/><Relationship Id="rId27" Type="http://schemas.openxmlformats.org/officeDocument/2006/relationships/hyperlink" Target="http://www.nevo.co.il/law/72507"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2507/3.a.5"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192" TargetMode="External"/><Relationship Id="rId3" Type="http://schemas.openxmlformats.org/officeDocument/2006/relationships/settings" Target="settings.xml"/><Relationship Id="rId12" Type="http://schemas.openxmlformats.org/officeDocument/2006/relationships/hyperlink" Target="http://www.nevo.co.il/law/72507" TargetMode="External"/><Relationship Id="rId17" Type="http://schemas.openxmlformats.org/officeDocument/2006/relationships/hyperlink" Target="http://www.nevo.co.il/law/70301/379" TargetMode="External"/><Relationship Id="rId25" Type="http://schemas.openxmlformats.org/officeDocument/2006/relationships/hyperlink" Target="http://www.nevo.co.il/law/72507/3.a.5" TargetMode="External"/><Relationship Id="rId33" Type="http://schemas.openxmlformats.org/officeDocument/2006/relationships/hyperlink" Target="http://www.nevo.co.il/law/70301/192" TargetMode="External"/><Relationship Id="rId38" Type="http://schemas.openxmlformats.org/officeDocument/2006/relationships/hyperlink" Target="http://www.nevo.co.il/law/70301/349.a" TargetMode="External"/><Relationship Id="rId46" Type="http://schemas.openxmlformats.org/officeDocument/2006/relationships/footer" Target="footer2.xml"/><Relationship Id="rId20" Type="http://schemas.openxmlformats.org/officeDocument/2006/relationships/hyperlink" Target="http://www.nevo.co.il/law/72507/5.a" TargetMode="External"/><Relationship Id="rId41" Type="http://schemas.openxmlformats.org/officeDocument/2006/relationships/hyperlink" Target="http://www.nevo.co.il/law/72507/5.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3643</Words>
  <Characters>20770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24365</CharactersWithSpaces>
  <SharedDoc>false</SharedDoc>
  <HLinks>
    <vt:vector size="216" baseType="variant">
      <vt:variant>
        <vt:i4>7864418</vt:i4>
      </vt:variant>
      <vt:variant>
        <vt:i4>105</vt:i4>
      </vt:variant>
      <vt:variant>
        <vt:i4>0</vt:i4>
      </vt:variant>
      <vt:variant>
        <vt:i4>5</vt:i4>
      </vt:variant>
      <vt:variant>
        <vt:lpwstr>http://www.nevo.co.il/law/72507</vt:lpwstr>
      </vt:variant>
      <vt:variant>
        <vt:lpwstr/>
      </vt:variant>
      <vt:variant>
        <vt:i4>7929952</vt:i4>
      </vt:variant>
      <vt:variant>
        <vt:i4>102</vt:i4>
      </vt:variant>
      <vt:variant>
        <vt:i4>0</vt:i4>
      </vt:variant>
      <vt:variant>
        <vt:i4>5</vt:i4>
      </vt:variant>
      <vt:variant>
        <vt:lpwstr>http://www.nevo.co.il/law/72507/5.a</vt:lpwstr>
      </vt:variant>
      <vt:variant>
        <vt:lpwstr/>
      </vt:variant>
      <vt:variant>
        <vt:i4>5701639</vt:i4>
      </vt:variant>
      <vt:variant>
        <vt:i4>99</vt:i4>
      </vt:variant>
      <vt:variant>
        <vt:i4>0</vt:i4>
      </vt:variant>
      <vt:variant>
        <vt:i4>5</vt:i4>
      </vt:variant>
      <vt:variant>
        <vt:lpwstr>http://www.nevo.co.il/law/72507/3.a.5</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5177439</vt:i4>
      </vt:variant>
      <vt:variant>
        <vt:i4>93</vt:i4>
      </vt:variant>
      <vt:variant>
        <vt:i4>0</vt:i4>
      </vt:variant>
      <vt:variant>
        <vt:i4>5</vt:i4>
      </vt:variant>
      <vt:variant>
        <vt:lpwstr>http://www.nevo.co.il/law/70301/349.a</vt:lpwstr>
      </vt:variant>
      <vt:variant>
        <vt:lpwstr/>
      </vt:variant>
      <vt:variant>
        <vt:i4>7864418</vt:i4>
      </vt:variant>
      <vt:variant>
        <vt:i4>90</vt:i4>
      </vt:variant>
      <vt:variant>
        <vt:i4>0</vt:i4>
      </vt:variant>
      <vt:variant>
        <vt:i4>5</vt:i4>
      </vt:variant>
      <vt:variant>
        <vt:lpwstr>http://www.nevo.co.il/law/72507</vt:lpwstr>
      </vt:variant>
      <vt:variant>
        <vt:lpwstr/>
      </vt:variant>
      <vt:variant>
        <vt:i4>7929952</vt:i4>
      </vt:variant>
      <vt:variant>
        <vt:i4>87</vt:i4>
      </vt:variant>
      <vt:variant>
        <vt:i4>0</vt:i4>
      </vt:variant>
      <vt:variant>
        <vt:i4>5</vt:i4>
      </vt:variant>
      <vt:variant>
        <vt:lpwstr>http://www.nevo.co.il/law/72507/5.a</vt:lpwstr>
      </vt:variant>
      <vt:variant>
        <vt:lpwstr/>
      </vt:variant>
      <vt:variant>
        <vt:i4>5701639</vt:i4>
      </vt:variant>
      <vt:variant>
        <vt:i4>84</vt:i4>
      </vt:variant>
      <vt:variant>
        <vt:i4>0</vt:i4>
      </vt:variant>
      <vt:variant>
        <vt:i4>5</vt:i4>
      </vt:variant>
      <vt:variant>
        <vt:lpwstr>http://www.nevo.co.il/law/72507/3.a.5</vt:lpwstr>
      </vt:variant>
      <vt:variant>
        <vt:lpwstr/>
      </vt:variant>
      <vt:variant>
        <vt:i4>7995492</vt:i4>
      </vt:variant>
      <vt:variant>
        <vt:i4>81</vt:i4>
      </vt:variant>
      <vt:variant>
        <vt:i4>0</vt:i4>
      </vt:variant>
      <vt:variant>
        <vt:i4>5</vt:i4>
      </vt:variant>
      <vt:variant>
        <vt:lpwstr>http://www.nevo.co.il/law/70301</vt:lpwstr>
      </vt:variant>
      <vt:variant>
        <vt:lpwstr/>
      </vt:variant>
      <vt:variant>
        <vt:i4>7077988</vt:i4>
      </vt:variant>
      <vt:variant>
        <vt:i4>78</vt:i4>
      </vt:variant>
      <vt:variant>
        <vt:i4>0</vt:i4>
      </vt:variant>
      <vt:variant>
        <vt:i4>5</vt:i4>
      </vt:variant>
      <vt:variant>
        <vt:lpwstr>http://www.nevo.co.il/law/70301/192</vt:lpwstr>
      </vt:variant>
      <vt:variant>
        <vt:lpwstr/>
      </vt:variant>
      <vt:variant>
        <vt:i4>7995492</vt:i4>
      </vt:variant>
      <vt:variant>
        <vt:i4>75</vt:i4>
      </vt:variant>
      <vt:variant>
        <vt:i4>0</vt:i4>
      </vt:variant>
      <vt:variant>
        <vt:i4>5</vt:i4>
      </vt:variant>
      <vt:variant>
        <vt:lpwstr>http://www.nevo.co.il/law/70301</vt:lpwstr>
      </vt:variant>
      <vt:variant>
        <vt:lpwstr/>
      </vt:variant>
      <vt:variant>
        <vt:i4>7077988</vt:i4>
      </vt:variant>
      <vt:variant>
        <vt:i4>72</vt:i4>
      </vt:variant>
      <vt:variant>
        <vt:i4>0</vt:i4>
      </vt:variant>
      <vt:variant>
        <vt:i4>5</vt:i4>
      </vt:variant>
      <vt:variant>
        <vt:lpwstr>http://www.nevo.co.il/law/70301/192</vt:lpwstr>
      </vt:variant>
      <vt:variant>
        <vt:lpwstr/>
      </vt:variant>
      <vt:variant>
        <vt:i4>7995492</vt:i4>
      </vt:variant>
      <vt:variant>
        <vt:i4>69</vt:i4>
      </vt:variant>
      <vt:variant>
        <vt:i4>0</vt:i4>
      </vt:variant>
      <vt:variant>
        <vt:i4>5</vt:i4>
      </vt:variant>
      <vt:variant>
        <vt:lpwstr>http://www.nevo.co.il/law/70301</vt:lpwstr>
      </vt:variant>
      <vt:variant>
        <vt:lpwstr/>
      </vt:variant>
      <vt:variant>
        <vt:i4>6422630</vt:i4>
      </vt:variant>
      <vt:variant>
        <vt:i4>66</vt:i4>
      </vt:variant>
      <vt:variant>
        <vt:i4>0</vt:i4>
      </vt:variant>
      <vt:variant>
        <vt:i4>5</vt:i4>
      </vt:variant>
      <vt:variant>
        <vt:lpwstr>http://www.nevo.co.il/law/70301/379</vt:lpwstr>
      </vt:variant>
      <vt:variant>
        <vt:lpwstr/>
      </vt:variant>
      <vt:variant>
        <vt:i4>3145850</vt:i4>
      </vt:variant>
      <vt:variant>
        <vt:i4>63</vt:i4>
      </vt:variant>
      <vt:variant>
        <vt:i4>0</vt:i4>
      </vt:variant>
      <vt:variant>
        <vt:i4>5</vt:i4>
      </vt:variant>
      <vt:variant>
        <vt:lpwstr>http://www.nevo.co.il/case/1708918</vt:lpwstr>
      </vt:variant>
      <vt:variant>
        <vt:lpwstr/>
      </vt:variant>
      <vt:variant>
        <vt:i4>7864418</vt:i4>
      </vt:variant>
      <vt:variant>
        <vt:i4>60</vt:i4>
      </vt:variant>
      <vt:variant>
        <vt:i4>0</vt:i4>
      </vt:variant>
      <vt:variant>
        <vt:i4>5</vt:i4>
      </vt:variant>
      <vt:variant>
        <vt:lpwstr>http://www.nevo.co.il/law/72507</vt:lpwstr>
      </vt:variant>
      <vt:variant>
        <vt:lpwstr/>
      </vt:variant>
      <vt:variant>
        <vt:i4>7929952</vt:i4>
      </vt:variant>
      <vt:variant>
        <vt:i4>57</vt:i4>
      </vt:variant>
      <vt:variant>
        <vt:i4>0</vt:i4>
      </vt:variant>
      <vt:variant>
        <vt:i4>5</vt:i4>
      </vt:variant>
      <vt:variant>
        <vt:lpwstr>http://www.nevo.co.il/law/72507/5.a</vt:lpwstr>
      </vt:variant>
      <vt:variant>
        <vt:lpwstr/>
      </vt:variant>
      <vt:variant>
        <vt:i4>5701639</vt:i4>
      </vt:variant>
      <vt:variant>
        <vt:i4>54</vt:i4>
      </vt:variant>
      <vt:variant>
        <vt:i4>0</vt:i4>
      </vt:variant>
      <vt:variant>
        <vt:i4>5</vt:i4>
      </vt:variant>
      <vt:variant>
        <vt:lpwstr>http://www.nevo.co.il/law/72507/3.a.5</vt:lpwstr>
      </vt:variant>
      <vt:variant>
        <vt:lpwstr/>
      </vt:variant>
      <vt:variant>
        <vt:i4>6422630</vt:i4>
      </vt:variant>
      <vt:variant>
        <vt:i4>51</vt:i4>
      </vt:variant>
      <vt:variant>
        <vt:i4>0</vt:i4>
      </vt:variant>
      <vt:variant>
        <vt:i4>5</vt:i4>
      </vt:variant>
      <vt:variant>
        <vt:lpwstr>http://www.nevo.co.il/law/70301/379</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5177439</vt:i4>
      </vt:variant>
      <vt:variant>
        <vt:i4>45</vt:i4>
      </vt:variant>
      <vt:variant>
        <vt:i4>0</vt:i4>
      </vt:variant>
      <vt:variant>
        <vt:i4>5</vt:i4>
      </vt:variant>
      <vt:variant>
        <vt:lpwstr>http://www.nevo.co.il/law/70301/349.a</vt:lpwstr>
      </vt:variant>
      <vt:variant>
        <vt:lpwstr/>
      </vt:variant>
      <vt:variant>
        <vt:i4>7864418</vt:i4>
      </vt:variant>
      <vt:variant>
        <vt:i4>42</vt:i4>
      </vt:variant>
      <vt:variant>
        <vt:i4>0</vt:i4>
      </vt:variant>
      <vt:variant>
        <vt:i4>5</vt:i4>
      </vt:variant>
      <vt:variant>
        <vt:lpwstr>http://www.nevo.co.il/law/72507</vt:lpwstr>
      </vt:variant>
      <vt:variant>
        <vt:lpwstr/>
      </vt:variant>
      <vt:variant>
        <vt:i4>7929952</vt:i4>
      </vt:variant>
      <vt:variant>
        <vt:i4>39</vt:i4>
      </vt:variant>
      <vt:variant>
        <vt:i4>0</vt:i4>
      </vt:variant>
      <vt:variant>
        <vt:i4>5</vt:i4>
      </vt:variant>
      <vt:variant>
        <vt:lpwstr>http://www.nevo.co.il/law/72507/5.a</vt:lpwstr>
      </vt:variant>
      <vt:variant>
        <vt:lpwstr/>
      </vt:variant>
      <vt:variant>
        <vt:i4>5701639</vt:i4>
      </vt:variant>
      <vt:variant>
        <vt:i4>36</vt:i4>
      </vt:variant>
      <vt:variant>
        <vt:i4>0</vt:i4>
      </vt:variant>
      <vt:variant>
        <vt:i4>5</vt:i4>
      </vt:variant>
      <vt:variant>
        <vt:lpwstr>http://www.nevo.co.il/law/72507/3.a.5</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7995492</vt:i4>
      </vt:variant>
      <vt:variant>
        <vt:i4>27</vt:i4>
      </vt:variant>
      <vt:variant>
        <vt:i4>0</vt:i4>
      </vt:variant>
      <vt:variant>
        <vt:i4>5</vt:i4>
      </vt:variant>
      <vt:variant>
        <vt:lpwstr>http://www.nevo.co.il/law/70301</vt:lpwstr>
      </vt:variant>
      <vt:variant>
        <vt:lpwstr/>
      </vt:variant>
      <vt:variant>
        <vt:i4>7143526</vt:i4>
      </vt:variant>
      <vt:variant>
        <vt:i4>24</vt:i4>
      </vt:variant>
      <vt:variant>
        <vt:i4>0</vt:i4>
      </vt:variant>
      <vt:variant>
        <vt:i4>5</vt:i4>
      </vt:variant>
      <vt:variant>
        <vt:lpwstr>http://www.nevo.co.il/law/70301/380</vt:lpwstr>
      </vt:variant>
      <vt:variant>
        <vt:lpwstr/>
      </vt:variant>
      <vt:variant>
        <vt:i4>7929952</vt:i4>
      </vt:variant>
      <vt:variant>
        <vt:i4>21</vt:i4>
      </vt:variant>
      <vt:variant>
        <vt:i4>0</vt:i4>
      </vt:variant>
      <vt:variant>
        <vt:i4>5</vt:i4>
      </vt:variant>
      <vt:variant>
        <vt:lpwstr>http://www.nevo.co.il/law/72507/5.a</vt:lpwstr>
      </vt:variant>
      <vt:variant>
        <vt:lpwstr/>
      </vt:variant>
      <vt:variant>
        <vt:i4>5701639</vt:i4>
      </vt:variant>
      <vt:variant>
        <vt:i4>18</vt:i4>
      </vt:variant>
      <vt:variant>
        <vt:i4>0</vt:i4>
      </vt:variant>
      <vt:variant>
        <vt:i4>5</vt:i4>
      </vt:variant>
      <vt:variant>
        <vt:lpwstr>http://www.nevo.co.il/law/72507/3.a.5</vt:lpwstr>
      </vt:variant>
      <vt:variant>
        <vt:lpwstr/>
      </vt:variant>
      <vt:variant>
        <vt:i4>7864418</vt:i4>
      </vt:variant>
      <vt:variant>
        <vt:i4>15</vt:i4>
      </vt:variant>
      <vt:variant>
        <vt:i4>0</vt:i4>
      </vt:variant>
      <vt:variant>
        <vt:i4>5</vt:i4>
      </vt:variant>
      <vt:variant>
        <vt:lpwstr>http://www.nevo.co.il/law/72507</vt:lpwstr>
      </vt:variant>
      <vt:variant>
        <vt:lpwstr/>
      </vt:variant>
      <vt:variant>
        <vt:i4>7143526</vt:i4>
      </vt:variant>
      <vt:variant>
        <vt:i4>12</vt:i4>
      </vt:variant>
      <vt:variant>
        <vt:i4>0</vt:i4>
      </vt:variant>
      <vt:variant>
        <vt:i4>5</vt:i4>
      </vt:variant>
      <vt:variant>
        <vt:lpwstr>http://www.nevo.co.il/law/70301/380</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2022-05-24T10:40:00Z</dcterms:created>
  <dcterms:modified xsi:type="dcterms:W3CDTF">2022-05-24T10:40:00Z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53929</vt:lpwstr>
  </property>
  <property fmtid="{D5CDD505-2E9C-101B-9397-08002B2CF9AE}" pid="6" name="NEWPARTB">
    <vt:lpwstr>10</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נצח פדלון</vt:lpwstr>
  </property>
  <property fmtid="{D5CDD505-2E9C-101B-9397-08002B2CF9AE}" pid="10" name="LAWYER">
    <vt:lpwstr>מור ברכה;שירן ברגמן</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20131230</vt:lpwstr>
  </property>
  <property fmtid="{D5CDD505-2E9C-101B-9397-08002B2CF9AE}" pid="14" name="TYPE_N_DATE">
    <vt:lpwstr>38020131230</vt:lpwstr>
  </property>
  <property fmtid="{D5CDD505-2E9C-101B-9397-08002B2CF9AE}" pid="15" name="WORDNUMPAGES">
    <vt:lpwstr>16</vt:lpwstr>
  </property>
  <property fmtid="{D5CDD505-2E9C-101B-9397-08002B2CF9AE}" pid="16" name="TYPE_ABS_DATE">
    <vt:lpwstr>380020131230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1708918</vt:lpwstr>
  </property>
  <property fmtid="{D5CDD505-2E9C-101B-9397-08002B2CF9AE}" pid="36" name="LAWLISTTMP1">
    <vt:lpwstr>70301/380;379:3;192:3;349.a:2</vt:lpwstr>
  </property>
  <property fmtid="{D5CDD505-2E9C-101B-9397-08002B2CF9AE}" pid="37" name="LAWLISTTMP2">
    <vt:lpwstr>72507/003.a.5:4;005.a:4</vt:lpwstr>
  </property>
</Properties>
</file>