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E1564C" w:rsidRPr="00394D1A" w14:paraId="14FB74E3" w14:textId="77777777">
        <w:trPr>
          <w:trHeight w:hRule="exact" w:val="418"/>
          <w:jc w:val="center"/>
        </w:trPr>
        <w:tc>
          <w:tcPr>
            <w:tcW w:w="8720" w:type="dxa"/>
            <w:gridSpan w:val="3"/>
          </w:tcPr>
          <w:p w14:paraId="2A302B57" w14:textId="77777777" w:rsidR="00E1564C" w:rsidRPr="00394D1A" w:rsidRDefault="00394D1A">
            <w:pPr>
              <w:pStyle w:val="Header"/>
              <w:tabs>
                <w:tab w:val="clear" w:pos="8306"/>
              </w:tabs>
              <w:jc w:val="center"/>
              <w:rPr>
                <w:rFonts w:ascii="Tahoma" w:hAnsi="Tahoma" w:cs="Tahoma"/>
                <w:b/>
                <w:bCs/>
                <w:color w:val="000080"/>
                <w:sz w:val="20"/>
                <w:szCs w:val="20"/>
                <w:rtl/>
              </w:rPr>
            </w:pPr>
            <w:r w:rsidRPr="00394D1A">
              <w:rPr>
                <w:rFonts w:ascii="Tahoma" w:hAnsi="Tahoma" w:cs="Tahoma"/>
                <w:b/>
                <w:bCs/>
                <w:color w:val="000080"/>
                <w:sz w:val="20"/>
                <w:szCs w:val="20"/>
                <w:rtl/>
              </w:rPr>
              <w:t>בית משפט השלום בתל אביב - יפו</w:t>
            </w:r>
          </w:p>
        </w:tc>
      </w:tr>
      <w:tr w:rsidR="00E1564C" w:rsidRPr="00394D1A" w14:paraId="7AAD65FA" w14:textId="77777777">
        <w:trPr>
          <w:trHeight w:val="337"/>
          <w:jc w:val="center"/>
        </w:trPr>
        <w:tc>
          <w:tcPr>
            <w:tcW w:w="3973" w:type="dxa"/>
          </w:tcPr>
          <w:p w14:paraId="0DBFD87F" w14:textId="77777777" w:rsidR="00E1564C" w:rsidRPr="00394D1A" w:rsidRDefault="00394D1A">
            <w:pPr>
              <w:rPr>
                <w:b/>
                <w:bCs/>
                <w:sz w:val="26"/>
                <w:szCs w:val="26"/>
                <w:rtl/>
              </w:rPr>
            </w:pPr>
            <w:r w:rsidRPr="00394D1A">
              <w:rPr>
                <w:b/>
                <w:bCs/>
                <w:sz w:val="26"/>
                <w:szCs w:val="26"/>
                <w:rtl/>
              </w:rPr>
              <w:t>ת"פ</w:t>
            </w:r>
            <w:r w:rsidRPr="00394D1A">
              <w:rPr>
                <w:rFonts w:hint="cs"/>
                <w:b/>
                <w:bCs/>
                <w:sz w:val="26"/>
                <w:szCs w:val="26"/>
                <w:rtl/>
              </w:rPr>
              <w:t xml:space="preserve"> </w:t>
            </w:r>
            <w:r w:rsidRPr="00394D1A">
              <w:rPr>
                <w:b/>
                <w:bCs/>
                <w:sz w:val="26"/>
                <w:szCs w:val="26"/>
                <w:rtl/>
              </w:rPr>
              <w:t>17627-06-11</w:t>
            </w:r>
            <w:r w:rsidRPr="00394D1A">
              <w:rPr>
                <w:rFonts w:hint="cs"/>
                <w:b/>
                <w:bCs/>
                <w:sz w:val="26"/>
                <w:szCs w:val="26"/>
                <w:rtl/>
              </w:rPr>
              <w:t xml:space="preserve"> </w:t>
            </w:r>
            <w:r w:rsidRPr="00394D1A">
              <w:rPr>
                <w:b/>
                <w:bCs/>
                <w:sz w:val="26"/>
                <w:szCs w:val="26"/>
                <w:rtl/>
              </w:rPr>
              <w:t>מדינת ישראל נ' לנקוב</w:t>
            </w:r>
          </w:p>
        </w:tc>
        <w:tc>
          <w:tcPr>
            <w:tcW w:w="1068" w:type="dxa"/>
          </w:tcPr>
          <w:p w14:paraId="13E1442D" w14:textId="77777777" w:rsidR="00E1564C" w:rsidRPr="00394D1A" w:rsidRDefault="00E1564C">
            <w:pPr>
              <w:pStyle w:val="Header"/>
              <w:jc w:val="right"/>
              <w:rPr>
                <w:b/>
                <w:bCs/>
                <w:sz w:val="26"/>
                <w:szCs w:val="26"/>
                <w:rtl/>
              </w:rPr>
            </w:pPr>
          </w:p>
        </w:tc>
        <w:tc>
          <w:tcPr>
            <w:tcW w:w="3679" w:type="dxa"/>
          </w:tcPr>
          <w:p w14:paraId="44012320" w14:textId="77777777" w:rsidR="00E1564C" w:rsidRPr="00394D1A" w:rsidRDefault="00394D1A">
            <w:pPr>
              <w:pStyle w:val="Header"/>
              <w:tabs>
                <w:tab w:val="clear" w:pos="4153"/>
              </w:tabs>
              <w:jc w:val="right"/>
              <w:rPr>
                <w:b/>
                <w:bCs/>
                <w:sz w:val="26"/>
                <w:szCs w:val="26"/>
                <w:rtl/>
              </w:rPr>
            </w:pPr>
            <w:r w:rsidRPr="00394D1A">
              <w:rPr>
                <w:b/>
                <w:bCs/>
                <w:sz w:val="26"/>
                <w:szCs w:val="26"/>
                <w:rtl/>
              </w:rPr>
              <w:t>24 ינואר 2012</w:t>
            </w:r>
          </w:p>
        </w:tc>
      </w:tr>
    </w:tbl>
    <w:p w14:paraId="692E227A" w14:textId="77777777" w:rsidR="00E1564C" w:rsidRPr="00394D1A" w:rsidRDefault="00E1564C">
      <w:pPr>
        <w:pStyle w:val="Header"/>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5856"/>
        <w:gridCol w:w="236"/>
        <w:gridCol w:w="2628"/>
      </w:tblGrid>
      <w:tr w:rsidR="00E1564C" w:rsidRPr="00394D1A" w14:paraId="3DAB747E" w14:textId="77777777">
        <w:trPr>
          <w:trHeight w:val="337"/>
          <w:jc w:val="center"/>
        </w:trPr>
        <w:tc>
          <w:tcPr>
            <w:tcW w:w="5856" w:type="dxa"/>
          </w:tcPr>
          <w:p w14:paraId="29ED8980" w14:textId="77777777" w:rsidR="00E1564C" w:rsidRPr="00394D1A" w:rsidRDefault="00394D1A">
            <w:pPr>
              <w:spacing w:line="360" w:lineRule="auto"/>
              <w:jc w:val="both"/>
              <w:rPr>
                <w:b/>
                <w:bCs/>
                <w:rtl/>
              </w:rPr>
            </w:pPr>
            <w:r w:rsidRPr="00394D1A">
              <w:rPr>
                <w:rFonts w:hint="cs"/>
                <w:b/>
                <w:bCs/>
                <w:rtl/>
              </w:rPr>
              <w:t>בפני כב' השופט מרדכי פלד, סגן נשיא.</w:t>
            </w:r>
          </w:p>
        </w:tc>
        <w:tc>
          <w:tcPr>
            <w:tcW w:w="236" w:type="dxa"/>
          </w:tcPr>
          <w:p w14:paraId="18C0AB8D" w14:textId="77777777" w:rsidR="00E1564C" w:rsidRPr="00394D1A" w:rsidRDefault="00E1564C">
            <w:pPr>
              <w:pStyle w:val="Header"/>
              <w:jc w:val="both"/>
              <w:rPr>
                <w:b/>
                <w:bCs/>
                <w:rtl/>
              </w:rPr>
            </w:pPr>
          </w:p>
        </w:tc>
        <w:tc>
          <w:tcPr>
            <w:tcW w:w="2628" w:type="dxa"/>
          </w:tcPr>
          <w:p w14:paraId="3281EE9B" w14:textId="77777777" w:rsidR="00E1564C" w:rsidRPr="00394D1A" w:rsidRDefault="00E1564C">
            <w:pPr>
              <w:pStyle w:val="Header"/>
              <w:jc w:val="both"/>
              <w:rPr>
                <w:b/>
                <w:bCs/>
                <w:rtl/>
              </w:rPr>
            </w:pPr>
          </w:p>
        </w:tc>
      </w:tr>
    </w:tbl>
    <w:p w14:paraId="75A0EAD9" w14:textId="77777777" w:rsidR="00E1564C" w:rsidRPr="00394D1A" w:rsidRDefault="00E1564C">
      <w:pPr>
        <w:spacing w:line="360" w:lineRule="auto"/>
        <w:jc w:val="both"/>
        <w:rPr>
          <w:rFonts w:ascii="Arial" w:hAnsi="Arial"/>
          <w:rtl/>
        </w:rPr>
      </w:pPr>
      <w:bookmarkStart w:id="0" w:name="LastJudge"/>
      <w:bookmarkEnd w:id="0"/>
    </w:p>
    <w:p w14:paraId="395E884F" w14:textId="77777777" w:rsidR="00E1564C" w:rsidRPr="00394D1A" w:rsidRDefault="00E1564C">
      <w:pPr>
        <w:spacing w:line="360" w:lineRule="auto"/>
        <w:jc w:val="both"/>
        <w:rPr>
          <w:rtl/>
        </w:rPr>
      </w:pPr>
    </w:p>
    <w:tbl>
      <w:tblPr>
        <w:bidiVisual/>
        <w:tblW w:w="8802" w:type="dxa"/>
        <w:tblInd w:w="-28" w:type="dxa"/>
        <w:tblLayout w:type="fixed"/>
        <w:tblLook w:val="01E0" w:firstRow="1" w:lastRow="1" w:firstColumn="1" w:lastColumn="1" w:noHBand="0" w:noVBand="0"/>
      </w:tblPr>
      <w:tblGrid>
        <w:gridCol w:w="3240"/>
        <w:gridCol w:w="5562"/>
      </w:tblGrid>
      <w:tr w:rsidR="00E1564C" w:rsidRPr="00394D1A" w14:paraId="3F013A60" w14:textId="77777777" w:rsidTr="00247257">
        <w:tc>
          <w:tcPr>
            <w:tcW w:w="3240" w:type="dxa"/>
            <w:shd w:val="clear" w:color="auto" w:fill="auto"/>
          </w:tcPr>
          <w:p w14:paraId="7AA013BD" w14:textId="77777777" w:rsidR="00E1564C" w:rsidRPr="00247257" w:rsidRDefault="00394D1A" w:rsidP="00247257">
            <w:pPr>
              <w:ind w:left="26"/>
              <w:jc w:val="both"/>
              <w:rPr>
                <w:b/>
                <w:bCs/>
                <w:rtl/>
              </w:rPr>
            </w:pPr>
            <w:bookmarkStart w:id="1" w:name="FirstAppellant"/>
            <w:r w:rsidRPr="00247257">
              <w:rPr>
                <w:rFonts w:hint="cs"/>
                <w:b/>
                <w:bCs/>
                <w:rtl/>
              </w:rPr>
              <w:t>ה</w:t>
            </w:r>
            <w:r w:rsidRPr="00247257">
              <w:rPr>
                <w:b/>
                <w:bCs/>
                <w:rtl/>
              </w:rPr>
              <w:t>מאשימה</w:t>
            </w:r>
          </w:p>
        </w:tc>
        <w:tc>
          <w:tcPr>
            <w:tcW w:w="5562" w:type="dxa"/>
            <w:shd w:val="clear" w:color="auto" w:fill="auto"/>
          </w:tcPr>
          <w:p w14:paraId="6A224014" w14:textId="77777777" w:rsidR="00E1564C" w:rsidRPr="00247257" w:rsidRDefault="00394D1A" w:rsidP="00247257">
            <w:pPr>
              <w:jc w:val="both"/>
              <w:rPr>
                <w:b/>
                <w:bCs/>
                <w:rtl/>
              </w:rPr>
            </w:pPr>
            <w:r w:rsidRPr="00247257">
              <w:rPr>
                <w:b/>
                <w:bCs/>
                <w:rtl/>
              </w:rPr>
              <w:t xml:space="preserve">                       </w:t>
            </w:r>
            <w:r w:rsidRPr="00247257">
              <w:rPr>
                <w:rFonts w:hint="cs"/>
                <w:b/>
                <w:bCs/>
                <w:rtl/>
              </w:rPr>
              <w:t xml:space="preserve"> </w:t>
            </w:r>
            <w:r w:rsidRPr="00247257">
              <w:rPr>
                <w:b/>
                <w:bCs/>
                <w:rtl/>
              </w:rPr>
              <w:t>מדינת ישראל</w:t>
            </w:r>
          </w:p>
        </w:tc>
      </w:tr>
      <w:bookmarkEnd w:id="1"/>
      <w:tr w:rsidR="00E1564C" w:rsidRPr="00394D1A" w14:paraId="39293293" w14:textId="77777777" w:rsidTr="00247257">
        <w:tc>
          <w:tcPr>
            <w:tcW w:w="8802" w:type="dxa"/>
            <w:gridSpan w:val="2"/>
            <w:shd w:val="clear" w:color="auto" w:fill="auto"/>
          </w:tcPr>
          <w:p w14:paraId="2D293910" w14:textId="77777777" w:rsidR="00E1564C" w:rsidRPr="00247257" w:rsidRDefault="00E1564C" w:rsidP="00247257">
            <w:pPr>
              <w:jc w:val="both"/>
              <w:rPr>
                <w:rFonts w:ascii="Arial" w:hAnsi="Arial"/>
                <w:b/>
                <w:bCs/>
                <w:rtl/>
              </w:rPr>
            </w:pPr>
          </w:p>
          <w:p w14:paraId="217ED988" w14:textId="77777777" w:rsidR="00E1564C" w:rsidRPr="00247257" w:rsidRDefault="00394D1A" w:rsidP="00247257">
            <w:pPr>
              <w:jc w:val="center"/>
              <w:rPr>
                <w:rFonts w:ascii="Arial" w:hAnsi="Arial"/>
                <w:b/>
                <w:bCs/>
                <w:rtl/>
              </w:rPr>
            </w:pPr>
            <w:r w:rsidRPr="00247257">
              <w:rPr>
                <w:rFonts w:ascii="Arial" w:hAnsi="Arial"/>
                <w:b/>
                <w:bCs/>
                <w:rtl/>
              </w:rPr>
              <w:t>נגד</w:t>
            </w:r>
          </w:p>
          <w:p w14:paraId="1A6BEB29" w14:textId="77777777" w:rsidR="00E1564C" w:rsidRPr="00247257" w:rsidRDefault="00E1564C" w:rsidP="00247257">
            <w:pPr>
              <w:jc w:val="both"/>
              <w:rPr>
                <w:rFonts w:ascii="Arial" w:hAnsi="Arial"/>
                <w:b/>
                <w:bCs/>
              </w:rPr>
            </w:pPr>
          </w:p>
        </w:tc>
      </w:tr>
      <w:tr w:rsidR="00E1564C" w:rsidRPr="00394D1A" w14:paraId="6B767B8D" w14:textId="77777777" w:rsidTr="00247257">
        <w:tc>
          <w:tcPr>
            <w:tcW w:w="3240" w:type="dxa"/>
            <w:shd w:val="clear" w:color="auto" w:fill="auto"/>
          </w:tcPr>
          <w:p w14:paraId="7C861175" w14:textId="77777777" w:rsidR="00E1564C" w:rsidRPr="00247257" w:rsidRDefault="00394D1A" w:rsidP="00247257">
            <w:pPr>
              <w:ind w:left="26"/>
              <w:jc w:val="both"/>
              <w:rPr>
                <w:b/>
                <w:bCs/>
                <w:rtl/>
              </w:rPr>
            </w:pPr>
            <w:r w:rsidRPr="00247257">
              <w:rPr>
                <w:rFonts w:hint="cs"/>
                <w:b/>
                <w:bCs/>
                <w:rtl/>
              </w:rPr>
              <w:t>נאשם</w:t>
            </w:r>
          </w:p>
        </w:tc>
        <w:tc>
          <w:tcPr>
            <w:tcW w:w="5562" w:type="dxa"/>
            <w:shd w:val="clear" w:color="auto" w:fill="auto"/>
          </w:tcPr>
          <w:p w14:paraId="3E58B076" w14:textId="77777777" w:rsidR="00E1564C" w:rsidRPr="00247257" w:rsidRDefault="00394D1A" w:rsidP="00247257">
            <w:pPr>
              <w:jc w:val="both"/>
              <w:rPr>
                <w:b/>
                <w:bCs/>
                <w:rtl/>
              </w:rPr>
            </w:pPr>
            <w:r w:rsidRPr="00247257">
              <w:rPr>
                <w:b/>
                <w:bCs/>
                <w:rtl/>
              </w:rPr>
              <w:t xml:space="preserve">                       </w:t>
            </w:r>
            <w:r w:rsidRPr="00247257">
              <w:rPr>
                <w:rFonts w:hint="cs"/>
                <w:b/>
                <w:bCs/>
                <w:rtl/>
              </w:rPr>
              <w:t xml:space="preserve"> </w:t>
            </w:r>
            <w:r w:rsidRPr="00247257">
              <w:rPr>
                <w:b/>
                <w:bCs/>
                <w:rtl/>
              </w:rPr>
              <w:t>אלכסנדר לנקוב</w:t>
            </w:r>
          </w:p>
        </w:tc>
      </w:tr>
    </w:tbl>
    <w:p w14:paraId="3B6EC483" w14:textId="77777777" w:rsidR="00E1564C" w:rsidRPr="00394D1A" w:rsidRDefault="00394D1A">
      <w:pPr>
        <w:pStyle w:val="12"/>
        <w:jc w:val="both"/>
        <w:rPr>
          <w:u w:val="none"/>
          <w:rtl/>
        </w:rPr>
      </w:pPr>
      <w:r w:rsidRPr="00394D1A">
        <w:rPr>
          <w:rFonts w:hint="cs"/>
          <w:u w:val="none"/>
          <w:rtl/>
        </w:rPr>
        <w:t>נוכחים:</w:t>
      </w:r>
    </w:p>
    <w:p w14:paraId="2375ABD6" w14:textId="77777777" w:rsidR="00E1564C" w:rsidRPr="00394D1A" w:rsidRDefault="00394D1A">
      <w:pPr>
        <w:pStyle w:val="12"/>
        <w:jc w:val="both"/>
        <w:rPr>
          <w:b w:val="0"/>
          <w:bCs w:val="0"/>
          <w:u w:val="none"/>
          <w:rtl/>
        </w:rPr>
      </w:pPr>
      <w:bookmarkStart w:id="2" w:name="FirstLawyer"/>
      <w:r w:rsidRPr="00394D1A">
        <w:rPr>
          <w:rFonts w:hint="cs"/>
          <w:b w:val="0"/>
          <w:bCs w:val="0"/>
          <w:u w:val="none"/>
          <w:rtl/>
        </w:rPr>
        <w:t>ב"כ</w:t>
      </w:r>
      <w:bookmarkEnd w:id="2"/>
      <w:r w:rsidRPr="00394D1A">
        <w:rPr>
          <w:rFonts w:hint="cs"/>
          <w:b w:val="0"/>
          <w:bCs w:val="0"/>
          <w:u w:val="none"/>
          <w:rtl/>
        </w:rPr>
        <w:t xml:space="preserve"> המאשימה, עו"ד לילך מאיר-וולף</w:t>
      </w:r>
    </w:p>
    <w:p w14:paraId="744DE6D6" w14:textId="77777777" w:rsidR="00E1564C" w:rsidRPr="00394D1A" w:rsidRDefault="00394D1A">
      <w:pPr>
        <w:pStyle w:val="12"/>
        <w:jc w:val="both"/>
        <w:rPr>
          <w:b w:val="0"/>
          <w:bCs w:val="0"/>
          <w:u w:val="none"/>
          <w:rtl/>
        </w:rPr>
      </w:pPr>
      <w:r w:rsidRPr="00394D1A">
        <w:rPr>
          <w:rFonts w:hint="cs"/>
          <w:b w:val="0"/>
          <w:bCs w:val="0"/>
          <w:u w:val="none"/>
          <w:rtl/>
        </w:rPr>
        <w:t>ב"כ הנאשם, עו"ד אבי אלפסי</w:t>
      </w:r>
    </w:p>
    <w:p w14:paraId="6B9DA57D" w14:textId="77777777" w:rsidR="00E1564C" w:rsidRPr="00394D1A" w:rsidRDefault="00394D1A">
      <w:pPr>
        <w:pStyle w:val="12"/>
        <w:jc w:val="both"/>
        <w:rPr>
          <w:b w:val="0"/>
          <w:bCs w:val="0"/>
          <w:u w:val="none"/>
          <w:rtl/>
        </w:rPr>
      </w:pPr>
      <w:r w:rsidRPr="00394D1A">
        <w:rPr>
          <w:rFonts w:hint="cs"/>
          <w:b w:val="0"/>
          <w:bCs w:val="0"/>
          <w:u w:val="none"/>
          <w:rtl/>
        </w:rPr>
        <w:t xml:space="preserve">הנאשם </w:t>
      </w:r>
      <w:r w:rsidRPr="00394D1A">
        <w:rPr>
          <w:b w:val="0"/>
          <w:bCs w:val="0"/>
          <w:u w:val="none"/>
          <w:rtl/>
        </w:rPr>
        <w:t>–</w:t>
      </w:r>
      <w:r w:rsidRPr="00394D1A">
        <w:rPr>
          <w:rFonts w:hint="cs"/>
          <w:b w:val="0"/>
          <w:bCs w:val="0"/>
          <w:u w:val="none"/>
          <w:rtl/>
        </w:rPr>
        <w:t xml:space="preserve"> בעצמו</w:t>
      </w:r>
    </w:p>
    <w:p w14:paraId="19E28F18" w14:textId="77777777" w:rsidR="00C32CCF" w:rsidRDefault="00C32CCF">
      <w:pPr>
        <w:pStyle w:val="12"/>
        <w:jc w:val="both"/>
        <w:rPr>
          <w:b w:val="0"/>
          <w:bCs w:val="0"/>
          <w:u w:val="none"/>
          <w:rtl/>
        </w:rPr>
      </w:pPr>
      <w:bookmarkStart w:id="3" w:name="LawTable"/>
      <w:bookmarkEnd w:id="3"/>
    </w:p>
    <w:p w14:paraId="239847BD" w14:textId="77777777" w:rsidR="00C32CCF" w:rsidRPr="00C32CCF" w:rsidRDefault="00C32CCF" w:rsidP="00C32CCF">
      <w:pPr>
        <w:pStyle w:val="12"/>
        <w:spacing w:after="120" w:line="240" w:lineRule="exact"/>
        <w:ind w:left="283" w:hanging="283"/>
        <w:jc w:val="both"/>
        <w:rPr>
          <w:rFonts w:ascii="FrankRuehl" w:hAnsi="FrankRuehl" w:cs="FrankRuehl"/>
          <w:b w:val="0"/>
          <w:bCs w:val="0"/>
          <w:u w:val="none"/>
          <w:rtl/>
        </w:rPr>
      </w:pPr>
    </w:p>
    <w:p w14:paraId="2404E418" w14:textId="77777777" w:rsidR="00C32CCF" w:rsidRPr="00C32CCF" w:rsidRDefault="00C32CCF" w:rsidP="00C32CCF">
      <w:pPr>
        <w:pStyle w:val="12"/>
        <w:spacing w:after="120" w:line="240" w:lineRule="exact"/>
        <w:ind w:left="283" w:hanging="283"/>
        <w:jc w:val="both"/>
        <w:rPr>
          <w:rFonts w:ascii="FrankRuehl" w:hAnsi="FrankRuehl" w:cs="FrankRuehl"/>
          <w:b w:val="0"/>
          <w:bCs w:val="0"/>
          <w:u w:val="none"/>
          <w:rtl/>
        </w:rPr>
      </w:pPr>
      <w:r w:rsidRPr="00C32CCF">
        <w:rPr>
          <w:rFonts w:ascii="FrankRuehl" w:hAnsi="FrankRuehl" w:cs="FrankRuehl"/>
          <w:b w:val="0"/>
          <w:bCs w:val="0"/>
          <w:u w:val="none"/>
          <w:rtl/>
        </w:rPr>
        <w:t xml:space="preserve">חקיקה שאוזכרה: </w:t>
      </w:r>
    </w:p>
    <w:p w14:paraId="6AAF3CAA" w14:textId="77777777" w:rsidR="00C32CCF" w:rsidRPr="00C32CCF" w:rsidRDefault="00C32CCF" w:rsidP="00C32CCF">
      <w:pPr>
        <w:pStyle w:val="12"/>
        <w:spacing w:after="120" w:line="240" w:lineRule="exact"/>
        <w:ind w:left="283" w:hanging="283"/>
        <w:jc w:val="both"/>
        <w:rPr>
          <w:rFonts w:ascii="FrankRuehl" w:hAnsi="FrankRuehl" w:cs="FrankRuehl"/>
          <w:b w:val="0"/>
          <w:bCs w:val="0"/>
          <w:u w:val="none"/>
          <w:rtl/>
        </w:rPr>
      </w:pPr>
      <w:hyperlink r:id="rId6" w:history="1">
        <w:r w:rsidRPr="00C32CCF">
          <w:rPr>
            <w:rFonts w:ascii="FrankRuehl" w:hAnsi="FrankRuehl" w:cs="FrankRuehl"/>
            <w:b w:val="0"/>
            <w:bCs w:val="0"/>
            <w:color w:val="0000FF"/>
            <w:rtl/>
          </w:rPr>
          <w:t>חוק העונשין, תשל"ז-1977</w:t>
        </w:r>
      </w:hyperlink>
      <w:r w:rsidRPr="00C32CCF">
        <w:rPr>
          <w:rFonts w:ascii="FrankRuehl" w:hAnsi="FrankRuehl" w:cs="FrankRuehl"/>
          <w:b w:val="0"/>
          <w:bCs w:val="0"/>
          <w:u w:val="none"/>
          <w:rtl/>
        </w:rPr>
        <w:t xml:space="preserve">: סע'  </w:t>
      </w:r>
      <w:hyperlink r:id="rId7" w:history="1">
        <w:r w:rsidRPr="00C32CCF">
          <w:rPr>
            <w:rFonts w:ascii="FrankRuehl" w:hAnsi="FrankRuehl" w:cs="FrankRuehl"/>
            <w:b w:val="0"/>
            <w:bCs w:val="0"/>
            <w:color w:val="0000FF"/>
            <w:rtl/>
          </w:rPr>
          <w:t>192</w:t>
        </w:r>
      </w:hyperlink>
      <w:r w:rsidRPr="00C32CCF">
        <w:rPr>
          <w:rFonts w:ascii="FrankRuehl" w:hAnsi="FrankRuehl" w:cs="FrankRuehl"/>
          <w:b w:val="0"/>
          <w:bCs w:val="0"/>
          <w:u w:val="none"/>
          <w:rtl/>
        </w:rPr>
        <w:t xml:space="preserve">, </w:t>
      </w:r>
      <w:hyperlink r:id="rId8" w:history="1">
        <w:r w:rsidRPr="00C32CCF">
          <w:rPr>
            <w:rFonts w:ascii="FrankRuehl" w:hAnsi="FrankRuehl" w:cs="FrankRuehl"/>
            <w:b w:val="0"/>
            <w:bCs w:val="0"/>
            <w:color w:val="0000FF"/>
            <w:rtl/>
          </w:rPr>
          <w:t>273</w:t>
        </w:r>
      </w:hyperlink>
      <w:r w:rsidRPr="00C32CCF">
        <w:rPr>
          <w:rFonts w:ascii="FrankRuehl" w:hAnsi="FrankRuehl" w:cs="FrankRuehl"/>
          <w:b w:val="0"/>
          <w:bCs w:val="0"/>
          <w:u w:val="none"/>
          <w:rtl/>
        </w:rPr>
        <w:t xml:space="preserve">, </w:t>
      </w:r>
      <w:hyperlink r:id="rId9" w:history="1">
        <w:r w:rsidRPr="00C32CCF">
          <w:rPr>
            <w:rFonts w:ascii="FrankRuehl" w:hAnsi="FrankRuehl" w:cs="FrankRuehl"/>
            <w:b w:val="0"/>
            <w:bCs w:val="0"/>
            <w:color w:val="0000FF"/>
            <w:rtl/>
          </w:rPr>
          <w:t>288</w:t>
        </w:r>
      </w:hyperlink>
      <w:r w:rsidRPr="00C32CCF">
        <w:rPr>
          <w:rFonts w:ascii="FrankRuehl" w:hAnsi="FrankRuehl" w:cs="FrankRuehl"/>
          <w:b w:val="0"/>
          <w:bCs w:val="0"/>
          <w:u w:val="none"/>
          <w:rtl/>
        </w:rPr>
        <w:t xml:space="preserve">, </w:t>
      </w:r>
      <w:hyperlink r:id="rId10" w:history="1">
        <w:r w:rsidRPr="00C32CCF">
          <w:rPr>
            <w:rFonts w:ascii="FrankRuehl" w:hAnsi="FrankRuehl" w:cs="FrankRuehl"/>
            <w:b w:val="0"/>
            <w:bCs w:val="0"/>
            <w:color w:val="0000FF"/>
            <w:rtl/>
          </w:rPr>
          <w:t>349(א)</w:t>
        </w:r>
      </w:hyperlink>
      <w:r w:rsidRPr="00C32CCF">
        <w:rPr>
          <w:rFonts w:ascii="FrankRuehl" w:hAnsi="FrankRuehl" w:cs="FrankRuehl"/>
          <w:b w:val="0"/>
          <w:bCs w:val="0"/>
          <w:u w:val="none"/>
          <w:rtl/>
        </w:rPr>
        <w:t xml:space="preserve">, </w:t>
      </w:r>
      <w:hyperlink r:id="rId11" w:history="1">
        <w:r w:rsidRPr="00C32CCF">
          <w:rPr>
            <w:rFonts w:ascii="FrankRuehl" w:hAnsi="FrankRuehl" w:cs="FrankRuehl"/>
            <w:b w:val="0"/>
            <w:bCs w:val="0"/>
            <w:color w:val="0000FF"/>
            <w:rtl/>
          </w:rPr>
          <w:t>34כד</w:t>
        </w:r>
      </w:hyperlink>
    </w:p>
    <w:p w14:paraId="5FB73EB1" w14:textId="77777777" w:rsidR="00C32CCF" w:rsidRPr="00C32CCF" w:rsidRDefault="00C32CCF" w:rsidP="00C32CCF">
      <w:pPr>
        <w:pStyle w:val="12"/>
        <w:spacing w:after="120" w:line="240" w:lineRule="exact"/>
        <w:ind w:left="283" w:hanging="283"/>
        <w:jc w:val="both"/>
        <w:rPr>
          <w:rFonts w:ascii="FrankRuehl" w:hAnsi="FrankRuehl" w:cs="FrankRuehl"/>
          <w:b w:val="0"/>
          <w:bCs w:val="0"/>
          <w:u w:val="none"/>
          <w:rtl/>
        </w:rPr>
      </w:pPr>
    </w:p>
    <w:p w14:paraId="13ECEC96" w14:textId="77777777" w:rsidR="00C32CCF" w:rsidRPr="00C32CCF" w:rsidRDefault="00C32CCF">
      <w:pPr>
        <w:pStyle w:val="12"/>
        <w:jc w:val="both"/>
        <w:rPr>
          <w:b w:val="0"/>
          <w:bCs w:val="0"/>
          <w:u w:val="none"/>
          <w:rtl/>
        </w:rPr>
      </w:pPr>
      <w:bookmarkStart w:id="4" w:name="LawTable_End"/>
      <w:bookmarkEnd w:id="4"/>
    </w:p>
    <w:p w14:paraId="033CF9A2" w14:textId="77777777" w:rsidR="00C32CCF" w:rsidRPr="00C32CCF" w:rsidRDefault="00C32CCF">
      <w:pPr>
        <w:pStyle w:val="12"/>
        <w:jc w:val="both"/>
        <w:rPr>
          <w:b w:val="0"/>
          <w:bCs w:val="0"/>
          <w:u w:val="none"/>
          <w:rtl/>
        </w:rPr>
      </w:pPr>
    </w:p>
    <w:p w14:paraId="554165BC" w14:textId="77777777" w:rsidR="00E1564C" w:rsidRPr="00C32CCF" w:rsidRDefault="00E1564C">
      <w:pPr>
        <w:pStyle w:val="12"/>
        <w:jc w:val="both"/>
        <w:rPr>
          <w:b w:val="0"/>
          <w:bCs w:val="0"/>
          <w:u w:val="none"/>
          <w:rtl/>
        </w:rPr>
      </w:pPr>
    </w:p>
    <w:p w14:paraId="48E8CBBE" w14:textId="77777777" w:rsidR="00292666" w:rsidRPr="00292666" w:rsidRDefault="00292666">
      <w:pPr>
        <w:spacing w:line="360" w:lineRule="auto"/>
        <w:jc w:val="center"/>
        <w:rPr>
          <w:rFonts w:ascii="Arial" w:hAnsi="Arial"/>
          <w:rtl/>
        </w:rPr>
      </w:pPr>
    </w:p>
    <w:p w14:paraId="25DD1ED4" w14:textId="77777777" w:rsidR="00292666" w:rsidRPr="00292666" w:rsidRDefault="00292666">
      <w:pPr>
        <w:spacing w:line="360" w:lineRule="auto"/>
        <w:jc w:val="center"/>
        <w:rPr>
          <w:rFonts w:ascii="Arial" w:hAnsi="Arial"/>
          <w:b/>
          <w:bCs/>
          <w:rtl/>
        </w:rPr>
      </w:pPr>
    </w:p>
    <w:p w14:paraId="2EF46696" w14:textId="77777777" w:rsidR="00394D1A" w:rsidRPr="00292666" w:rsidRDefault="00394D1A">
      <w:pPr>
        <w:spacing w:line="360" w:lineRule="auto"/>
        <w:jc w:val="center"/>
        <w:rPr>
          <w:rFonts w:ascii="Arial" w:hAnsi="Arial"/>
          <w:b/>
          <w:bCs/>
          <w:rtl/>
        </w:rPr>
      </w:pPr>
    </w:p>
    <w:p w14:paraId="71104B7A" w14:textId="77777777" w:rsidR="00394D1A" w:rsidRPr="00394D1A" w:rsidRDefault="00394D1A" w:rsidP="00394D1A">
      <w:pPr>
        <w:pStyle w:val="12"/>
        <w:jc w:val="center"/>
        <w:rPr>
          <w:rFonts w:ascii="Arial" w:eastAsia="David" w:hAnsi="Arial"/>
          <w:rtl/>
        </w:rPr>
      </w:pPr>
      <w:bookmarkStart w:id="5" w:name="PsakDin"/>
      <w:r w:rsidRPr="00394D1A">
        <w:rPr>
          <w:rFonts w:ascii="Arial" w:eastAsia="David" w:hAnsi="Arial"/>
          <w:rtl/>
        </w:rPr>
        <w:t>הכרעת דין</w:t>
      </w:r>
    </w:p>
    <w:bookmarkEnd w:id="5"/>
    <w:p w14:paraId="192C6FFF" w14:textId="77777777" w:rsidR="00E1564C" w:rsidRDefault="00E1564C">
      <w:pPr>
        <w:pStyle w:val="12"/>
        <w:jc w:val="both"/>
        <w:rPr>
          <w:rFonts w:ascii="David" w:hAnsi="David"/>
          <w:b w:val="0"/>
          <w:bCs w:val="0"/>
          <w:u w:val="none"/>
          <w:rtl/>
        </w:rPr>
      </w:pPr>
    </w:p>
    <w:p w14:paraId="58D15A09" w14:textId="77777777" w:rsidR="00E1564C" w:rsidRDefault="00E1564C">
      <w:pPr>
        <w:jc w:val="both"/>
        <w:rPr>
          <w:rFonts w:ascii="Arial" w:hAnsi="Arial"/>
          <w:rtl/>
        </w:rPr>
      </w:pPr>
    </w:p>
    <w:p w14:paraId="7277E149" w14:textId="77777777" w:rsidR="00E1564C" w:rsidRDefault="00394D1A">
      <w:pPr>
        <w:spacing w:line="360" w:lineRule="auto"/>
        <w:jc w:val="both"/>
        <w:rPr>
          <w:rFonts w:ascii="Arial" w:hAnsi="Arial"/>
          <w:rtl/>
        </w:rPr>
      </w:pPr>
      <w:r>
        <w:rPr>
          <w:rFonts w:ascii="Arial" w:hAnsi="Arial" w:hint="cs"/>
          <w:rtl/>
        </w:rPr>
        <w:t>בפתח הכרעת הדין, אני מודיע על זיכויו של הנא</w:t>
      </w:r>
      <w:r w:rsidR="002E7633">
        <w:rPr>
          <w:rFonts w:ascii="Arial" w:hAnsi="Arial" w:hint="cs"/>
          <w:rtl/>
        </w:rPr>
        <w:t xml:space="preserve">שם מעבירה על פי סעיף </w:t>
      </w:r>
      <w:hyperlink r:id="rId12" w:history="1">
        <w:r w:rsidR="002E7633" w:rsidRPr="002E7633">
          <w:rPr>
            <w:rFonts w:ascii="Arial" w:hAnsi="Arial"/>
            <w:color w:val="0000FF"/>
            <w:u w:val="single"/>
            <w:rtl/>
          </w:rPr>
          <w:t>192</w:t>
        </w:r>
      </w:hyperlink>
      <w:r w:rsidR="002E7633">
        <w:rPr>
          <w:rFonts w:ascii="Arial" w:hAnsi="Arial" w:hint="cs"/>
          <w:rtl/>
        </w:rPr>
        <w:t xml:space="preserve"> ו- </w:t>
      </w:r>
      <w:hyperlink r:id="rId13" w:history="1">
        <w:r w:rsidR="002E7633" w:rsidRPr="002E7633">
          <w:rPr>
            <w:rFonts w:ascii="Arial" w:hAnsi="Arial"/>
            <w:color w:val="0000FF"/>
            <w:u w:val="single"/>
            <w:rtl/>
          </w:rPr>
          <w:t>349(א)</w:t>
        </w:r>
      </w:hyperlink>
      <w:r>
        <w:rPr>
          <w:rFonts w:ascii="Arial" w:hAnsi="Arial" w:hint="cs"/>
          <w:rtl/>
        </w:rPr>
        <w:t xml:space="preserve"> ל</w:t>
      </w:r>
      <w:hyperlink r:id="rId14" w:history="1">
        <w:r w:rsidR="00292666" w:rsidRPr="00292666">
          <w:rPr>
            <w:rStyle w:val="Hyperlink"/>
            <w:rFonts w:ascii="Arial" w:hAnsi="Arial"/>
            <w:rtl/>
          </w:rPr>
          <w:t>חוק העונשין</w:t>
        </w:r>
      </w:hyperlink>
      <w:r>
        <w:rPr>
          <w:rFonts w:ascii="Arial" w:hAnsi="Arial" w:hint="cs"/>
          <w:rtl/>
        </w:rPr>
        <w:t>, התשל"ז-1977.</w:t>
      </w:r>
    </w:p>
    <w:p w14:paraId="7C0A9B70" w14:textId="77777777" w:rsidR="00E1564C" w:rsidRDefault="00E1564C">
      <w:pPr>
        <w:spacing w:line="360" w:lineRule="auto"/>
        <w:jc w:val="both"/>
        <w:rPr>
          <w:rFonts w:ascii="Arial" w:hAnsi="Arial"/>
          <w:rtl/>
        </w:rPr>
      </w:pPr>
    </w:p>
    <w:p w14:paraId="3DFA0383" w14:textId="77777777" w:rsidR="00E1564C" w:rsidRDefault="00394D1A">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כתב האישום מייחס לנאשם, התנהגות שכרוכה בה אלימות והשמעת דברי עלבון, כלפי שוטר, זאת כאשר בתאריך 1.3.2011,  בהיותו ברח' וושינגטון 22, בתל אביב (להלן: </w:t>
      </w:r>
      <w:r>
        <w:rPr>
          <w:rFonts w:ascii="Arial" w:hAnsi="Arial" w:hint="cs"/>
          <w:b/>
          <w:bCs/>
          <w:rtl/>
        </w:rPr>
        <w:t>"המקום"</w:t>
      </w:r>
      <w:r>
        <w:rPr>
          <w:rFonts w:ascii="Arial" w:hAnsi="Arial" w:hint="cs"/>
          <w:rtl/>
        </w:rPr>
        <w:t xml:space="preserve">), מאחר ותקף את השוטר, מפקח מיכאל כשר (ע"ת מס' 1, להלן: </w:t>
      </w:r>
      <w:r>
        <w:rPr>
          <w:rFonts w:ascii="Arial" w:hAnsi="Arial" w:hint="cs"/>
          <w:b/>
          <w:bCs/>
          <w:rtl/>
        </w:rPr>
        <w:t>"מיכאל"</w:t>
      </w:r>
      <w:r>
        <w:rPr>
          <w:rFonts w:ascii="Arial" w:hAnsi="Arial" w:hint="cs"/>
          <w:rtl/>
        </w:rPr>
        <w:t>), בכך שדחפו בחוזקה.</w:t>
      </w:r>
    </w:p>
    <w:p w14:paraId="3B657AC1" w14:textId="77777777" w:rsidR="00E1564C" w:rsidRDefault="00E1564C">
      <w:pPr>
        <w:spacing w:line="360" w:lineRule="auto"/>
        <w:jc w:val="both"/>
        <w:rPr>
          <w:rFonts w:ascii="Arial" w:hAnsi="Arial"/>
          <w:rtl/>
        </w:rPr>
      </w:pPr>
      <w:bookmarkStart w:id="7" w:name="ABSTRACT_END"/>
      <w:bookmarkEnd w:id="7"/>
    </w:p>
    <w:p w14:paraId="3F230080" w14:textId="77777777" w:rsidR="00E1564C" w:rsidRDefault="00394D1A">
      <w:pPr>
        <w:spacing w:line="360" w:lineRule="auto"/>
        <w:ind w:left="720"/>
        <w:jc w:val="both"/>
        <w:rPr>
          <w:rFonts w:ascii="Arial" w:hAnsi="Arial"/>
          <w:rtl/>
        </w:rPr>
      </w:pPr>
      <w:r>
        <w:rPr>
          <w:rFonts w:ascii="Arial" w:hAnsi="Arial" w:hint="cs"/>
          <w:rtl/>
        </w:rPr>
        <w:t>עוד נטען בכתב האישום, כי טרם מעשה התקיפה, השמיע הנאשם קללות ואמירות מבזות כלפי מיכאל, משזה ביקש לעכבו, שאז סרב הנאשם להיכנס לניידת, וכך גם תקף, כאמור, את מיכאל, באופן שתואר לעיל.</w:t>
      </w:r>
    </w:p>
    <w:p w14:paraId="3CD705CB" w14:textId="77777777" w:rsidR="00E1564C" w:rsidRDefault="00E1564C">
      <w:pPr>
        <w:spacing w:line="360" w:lineRule="auto"/>
        <w:jc w:val="both"/>
        <w:rPr>
          <w:rFonts w:ascii="Arial" w:hAnsi="Arial"/>
          <w:rtl/>
        </w:rPr>
      </w:pPr>
    </w:p>
    <w:p w14:paraId="200607AD" w14:textId="77777777" w:rsidR="00E1564C" w:rsidRDefault="00394D1A">
      <w:pPr>
        <w:spacing w:line="360" w:lineRule="auto"/>
        <w:ind w:left="720" w:hanging="720"/>
        <w:jc w:val="both"/>
        <w:rPr>
          <w:rFonts w:ascii="Arial" w:hAnsi="Arial"/>
          <w:rtl/>
        </w:rPr>
      </w:pPr>
      <w:r>
        <w:rPr>
          <w:rFonts w:ascii="Arial" w:hAnsi="Arial" w:hint="cs"/>
          <w:rtl/>
        </w:rPr>
        <w:lastRenderedPageBreak/>
        <w:t>2.</w:t>
      </w:r>
      <w:r>
        <w:rPr>
          <w:rFonts w:ascii="Arial" w:hAnsi="Arial" w:hint="cs"/>
          <w:rtl/>
        </w:rPr>
        <w:tab/>
        <w:t xml:space="preserve">בנוסף, בהגיעו לחדר החקירות, כשידיו כבולות באזיקים, סרב הנאשם לחזור וללבוש את מכנסיו שנפלו, ולפתע, בעודו עומד אל מול החוקר, כפי שהדברים גם נראים בדיסק שצולם לכל אורך החקירה, הוריד הנאשם את תחתוניו, וחשף את איבר מינו בפני החוקר, אלון מלזר (ע"ת 3), כל זאת, על פי הנטען, לשם ביזוי מיני. </w:t>
      </w:r>
    </w:p>
    <w:p w14:paraId="226143E7" w14:textId="77777777" w:rsidR="00E1564C" w:rsidRDefault="00E1564C">
      <w:pPr>
        <w:spacing w:line="360" w:lineRule="auto"/>
        <w:jc w:val="both"/>
        <w:rPr>
          <w:rFonts w:ascii="Arial" w:hAnsi="Arial"/>
          <w:rtl/>
        </w:rPr>
      </w:pPr>
    </w:p>
    <w:p w14:paraId="0876B669" w14:textId="77777777" w:rsidR="00E1564C" w:rsidRDefault="00394D1A">
      <w:pPr>
        <w:spacing w:line="360" w:lineRule="auto"/>
        <w:ind w:left="720" w:hanging="720"/>
        <w:jc w:val="both"/>
        <w:rPr>
          <w:rFonts w:ascii="Arial" w:hAnsi="Arial"/>
          <w:rtl/>
        </w:rPr>
      </w:pPr>
      <w:r>
        <w:rPr>
          <w:rFonts w:ascii="Arial" w:hAnsi="Arial" w:hint="cs"/>
          <w:rtl/>
        </w:rPr>
        <w:t>3.</w:t>
      </w:r>
      <w:r>
        <w:rPr>
          <w:rFonts w:ascii="Arial" w:hAnsi="Arial" w:hint="cs"/>
          <w:rtl/>
        </w:rPr>
        <w:tab/>
        <w:t>בגין מכלול מעשיו אלו, יוחסו ל</w:t>
      </w:r>
      <w:r w:rsidR="002E7633">
        <w:rPr>
          <w:rFonts w:ascii="Arial" w:hAnsi="Arial" w:hint="cs"/>
          <w:rtl/>
        </w:rPr>
        <w:t xml:space="preserve">נאשם מעשי העבירה על פי סעיף </w:t>
      </w:r>
      <w:hyperlink r:id="rId15" w:history="1">
        <w:r w:rsidR="002E7633" w:rsidRPr="002E7633">
          <w:rPr>
            <w:rFonts w:ascii="Arial" w:hAnsi="Arial"/>
            <w:color w:val="0000FF"/>
            <w:u w:val="single"/>
            <w:rtl/>
          </w:rPr>
          <w:t>349(א),</w:t>
        </w:r>
      </w:hyperlink>
      <w:r>
        <w:rPr>
          <w:rFonts w:ascii="Arial" w:hAnsi="Arial" w:hint="cs"/>
          <w:rtl/>
        </w:rPr>
        <w:t xml:space="preserve"> </w:t>
      </w:r>
      <w:hyperlink r:id="rId16" w:history="1">
        <w:r w:rsidR="002E7633" w:rsidRPr="002E7633">
          <w:rPr>
            <w:rFonts w:ascii="Arial" w:hAnsi="Arial"/>
            <w:color w:val="0000FF"/>
            <w:u w:val="single"/>
            <w:rtl/>
          </w:rPr>
          <w:t>273</w:t>
        </w:r>
      </w:hyperlink>
      <w:r>
        <w:rPr>
          <w:rFonts w:ascii="Arial" w:hAnsi="Arial" w:hint="cs"/>
          <w:rtl/>
        </w:rPr>
        <w:t xml:space="preserve"> ו- </w:t>
      </w:r>
      <w:hyperlink r:id="rId17" w:history="1">
        <w:r w:rsidR="002E7633" w:rsidRPr="002E7633">
          <w:rPr>
            <w:rFonts w:ascii="Arial" w:hAnsi="Arial"/>
            <w:color w:val="0000FF"/>
            <w:u w:val="single"/>
            <w:rtl/>
          </w:rPr>
          <w:t>288</w:t>
        </w:r>
      </w:hyperlink>
      <w:r>
        <w:rPr>
          <w:rFonts w:ascii="Arial" w:hAnsi="Arial" w:hint="cs"/>
          <w:rtl/>
        </w:rPr>
        <w:t xml:space="preserve"> ל</w:t>
      </w:r>
      <w:hyperlink r:id="rId18" w:history="1">
        <w:r w:rsidR="00292666" w:rsidRPr="00292666">
          <w:rPr>
            <w:rStyle w:val="Hyperlink"/>
            <w:rFonts w:ascii="Arial" w:hAnsi="Arial"/>
            <w:rtl/>
          </w:rPr>
          <w:t>חוק העונשין</w:t>
        </w:r>
      </w:hyperlink>
      <w:r>
        <w:rPr>
          <w:rFonts w:ascii="Arial" w:hAnsi="Arial" w:hint="cs"/>
          <w:rtl/>
        </w:rPr>
        <w:t xml:space="preserve">, התשל"ז-1977 (להלן: </w:t>
      </w:r>
      <w:r>
        <w:rPr>
          <w:rFonts w:ascii="Arial" w:hAnsi="Arial" w:hint="cs"/>
          <w:b/>
          <w:bCs/>
          <w:rtl/>
        </w:rPr>
        <w:t>"החוק"</w:t>
      </w:r>
      <w:r>
        <w:rPr>
          <w:rFonts w:ascii="Arial" w:hAnsi="Arial" w:hint="cs"/>
          <w:rtl/>
        </w:rPr>
        <w:t>). יצויין כי המאשימה חזרה בה, לאחר שהנאשם כפר במיוחס לו, מעבירת איומים שיוחסה מלכתחילה לנאשם, בכתב האישום, בגין דברים שהשמיע כלפי החוקר מלזר, במהלך גביית הודעתו.</w:t>
      </w:r>
    </w:p>
    <w:p w14:paraId="4D40842E" w14:textId="77777777" w:rsidR="00E1564C" w:rsidRDefault="00E1564C">
      <w:pPr>
        <w:spacing w:line="360" w:lineRule="auto"/>
        <w:jc w:val="both"/>
        <w:rPr>
          <w:rFonts w:ascii="Arial" w:hAnsi="Arial"/>
          <w:rtl/>
        </w:rPr>
      </w:pPr>
    </w:p>
    <w:p w14:paraId="3F1BAEBB" w14:textId="77777777" w:rsidR="00E1564C" w:rsidRDefault="00394D1A">
      <w:pPr>
        <w:spacing w:line="360" w:lineRule="auto"/>
        <w:ind w:left="720" w:hanging="720"/>
        <w:jc w:val="both"/>
        <w:rPr>
          <w:rFonts w:ascii="Arial" w:hAnsi="Arial"/>
          <w:rtl/>
        </w:rPr>
      </w:pPr>
      <w:r>
        <w:rPr>
          <w:rFonts w:ascii="Arial" w:hAnsi="Arial" w:hint="cs"/>
          <w:rtl/>
        </w:rPr>
        <w:t>4.</w:t>
      </w:r>
      <w:r>
        <w:rPr>
          <w:rFonts w:ascii="Arial" w:hAnsi="Arial" w:hint="cs"/>
          <w:rtl/>
        </w:rPr>
        <w:tab/>
        <w:t xml:space="preserve">מתוך עדותו של השוטר מיכאל, ועל פי המפורט בדו"ח פעולה שערך (ס/1), עולה כי הגיע תחילה בגפו, למקום, בעקבות אירוע שדווח לו, בדבר הפרעת מנוחה, ברח' וושינגטון. </w:t>
      </w:r>
    </w:p>
    <w:p w14:paraId="240B037E" w14:textId="77777777" w:rsidR="00E1564C" w:rsidRDefault="00E1564C">
      <w:pPr>
        <w:spacing w:line="360" w:lineRule="auto"/>
        <w:jc w:val="both"/>
        <w:rPr>
          <w:rFonts w:ascii="Arial" w:hAnsi="Arial"/>
          <w:rtl/>
        </w:rPr>
      </w:pPr>
    </w:p>
    <w:p w14:paraId="5591BE28" w14:textId="77777777" w:rsidR="00E1564C" w:rsidRDefault="00394D1A">
      <w:pPr>
        <w:spacing w:line="360" w:lineRule="auto"/>
        <w:ind w:left="720"/>
        <w:jc w:val="both"/>
        <w:rPr>
          <w:rFonts w:ascii="Arial" w:hAnsi="Arial"/>
          <w:rtl/>
        </w:rPr>
      </w:pPr>
      <w:r>
        <w:rPr>
          <w:rFonts w:ascii="Arial" w:hAnsi="Arial" w:hint="cs"/>
          <w:rtl/>
        </w:rPr>
        <w:t xml:space="preserve">במקום ישבה חבורה של 6 אנשים, ששתתה משקאות אלכוהוליים. </w:t>
      </w:r>
      <w:r>
        <w:rPr>
          <w:rFonts w:ascii="Arial" w:hAnsi="Arial"/>
        </w:rPr>
        <w:t xml:space="preserve"> </w:t>
      </w:r>
      <w:r>
        <w:rPr>
          <w:rFonts w:ascii="Arial" w:hAnsi="Arial" w:hint="cs"/>
          <w:rtl/>
        </w:rPr>
        <w:t xml:space="preserve">העד שפך ורוקן בקבוק וודקה שממנו שתו הנוכחים, ופנה לזיהוי האנשים במקום. הנאשם הטיח בפניו כי "יש לו מבט של זבל", והוסיף קללות נוספות באנגלית וברוסית. בשלב זה ביקש העד מהנאשם כי יציג בפניו תעודת זהות, אך זה סרב, ודרש, במפגיע, כי העד יציג בפניו את תעודת השוטר. העד עשה כן.  לאחר מכן הודיע העד לנאשם כי הינו מעוכב. הכל כשנודף מהנאשם ריח חזק של אלכוהול, וכשהוא מתנדנד. </w:t>
      </w:r>
    </w:p>
    <w:p w14:paraId="5338E603" w14:textId="77777777" w:rsidR="00E1564C" w:rsidRDefault="00E1564C">
      <w:pPr>
        <w:spacing w:line="360" w:lineRule="auto"/>
        <w:jc w:val="both"/>
        <w:rPr>
          <w:rFonts w:ascii="Arial" w:hAnsi="Arial"/>
          <w:rtl/>
        </w:rPr>
      </w:pPr>
    </w:p>
    <w:p w14:paraId="48DCE6FE" w14:textId="77777777" w:rsidR="00E1564C" w:rsidRDefault="00394D1A">
      <w:pPr>
        <w:spacing w:line="360" w:lineRule="auto"/>
        <w:ind w:left="720"/>
        <w:jc w:val="both"/>
        <w:rPr>
          <w:rFonts w:ascii="Arial" w:hAnsi="Arial"/>
          <w:rtl/>
        </w:rPr>
      </w:pPr>
      <w:r>
        <w:rPr>
          <w:rFonts w:ascii="Arial" w:hAnsi="Arial" w:hint="cs"/>
          <w:rtl/>
        </w:rPr>
        <w:t xml:space="preserve">במקביל, הגיעו למקום ע"ת 2, השוטר שאדי מולא (להלן: </w:t>
      </w:r>
      <w:r>
        <w:rPr>
          <w:rFonts w:ascii="Arial" w:hAnsi="Arial" w:hint="cs"/>
          <w:b/>
          <w:bCs/>
          <w:rtl/>
        </w:rPr>
        <w:t>"שאדי"</w:t>
      </w:r>
      <w:r>
        <w:rPr>
          <w:rFonts w:ascii="Arial" w:hAnsi="Arial" w:hint="cs"/>
          <w:rtl/>
        </w:rPr>
        <w:t xml:space="preserve">), ומתנדב, ופנו לזהות את שאר הנוכחים. מיכאל הוביל את הנאשם לכיוון הניידת, והנאשם סרב ללכת עמו, ודרש שוב כי תוצג בפניו, תעודת השוטר. העד סרב לכך, ואז לדבריו, החשוד דחפו בחוזקה בידו, והוא בתגובה, הודיעו שהוא עצור, הפילו ארצה, ועל מנת למנוע המשך אלימות נגדו, כבלו באזיקי ידיים. </w:t>
      </w:r>
    </w:p>
    <w:p w14:paraId="5D96794F" w14:textId="77777777" w:rsidR="00E1564C" w:rsidRDefault="00E1564C">
      <w:pPr>
        <w:spacing w:line="360" w:lineRule="auto"/>
        <w:jc w:val="both"/>
        <w:rPr>
          <w:rFonts w:ascii="Arial" w:hAnsi="Arial"/>
          <w:rtl/>
        </w:rPr>
      </w:pPr>
    </w:p>
    <w:p w14:paraId="70B8C023" w14:textId="77777777" w:rsidR="00E1564C" w:rsidRDefault="00394D1A">
      <w:pPr>
        <w:spacing w:line="360" w:lineRule="auto"/>
        <w:ind w:left="720" w:hanging="720"/>
        <w:jc w:val="both"/>
        <w:rPr>
          <w:rFonts w:ascii="Arial" w:hAnsi="Arial"/>
          <w:rtl/>
        </w:rPr>
      </w:pPr>
      <w:r>
        <w:rPr>
          <w:rFonts w:ascii="Arial" w:hAnsi="Arial" w:hint="cs"/>
          <w:rtl/>
        </w:rPr>
        <w:t>5.</w:t>
      </w:r>
      <w:r>
        <w:rPr>
          <w:rFonts w:ascii="Arial" w:hAnsi="Arial" w:hint="cs"/>
          <w:rtl/>
        </w:rPr>
        <w:tab/>
        <w:t>אשר להתנהגותו של החשוד בהמשך חקירתו במשטרה, נשמעה עדותו של ע"ת 3, החוקר אלון מלזר, כאשר כאמור הודעת הנאשם צולמה במהלך החקירה, בדיסק שהוצג בתיק (ת/5). מתוך עדותו של השוטר והצילום שנעשה בת/5, עולה כי בשלב מסויים, בתחילת החקירה, נפלו מכנסיו של הנאשם, הוא התבקש להרימם, אך סרב לכך וטען כי אין הוא מסוגל לעשות זאת, מאחר וידיו נתונות באזיקים. לאחר מכן, התיישב על כיסא, קם ממנו ובעודו עומד מול החוקר, ובנוכחות שוטר נוסף שנכח בחקירה, הוריד הנאשם את תחתוניו וחשף את איבר מינו בפני החוקר, ולאחר מספר שניות, חזר והרים את תחתוניו, זאת כאשר הן החוקר והן השוטר חזרו והתריעו בפניו לחדול מיד ממעשה נפסד זה. בגין כך, גם יוחסה לנאשם עבירה של מע</w:t>
      </w:r>
      <w:r w:rsidR="002E7633">
        <w:rPr>
          <w:rFonts w:ascii="Arial" w:hAnsi="Arial" w:hint="cs"/>
          <w:rtl/>
        </w:rPr>
        <w:t xml:space="preserve">שה מגונה בפומבי, על פי סעיף </w:t>
      </w:r>
      <w:hyperlink r:id="rId19" w:history="1">
        <w:r w:rsidR="002E7633" w:rsidRPr="002E7633">
          <w:rPr>
            <w:rFonts w:ascii="Arial" w:hAnsi="Arial"/>
            <w:color w:val="0000FF"/>
            <w:u w:val="single"/>
            <w:rtl/>
          </w:rPr>
          <w:t>349(א)</w:t>
        </w:r>
      </w:hyperlink>
      <w:r>
        <w:rPr>
          <w:rFonts w:ascii="Arial" w:hAnsi="Arial" w:hint="cs"/>
          <w:rtl/>
        </w:rPr>
        <w:t xml:space="preserve"> לחוק, וכן יוחסה לו עבירה של העלבת עובד ציבור, על פי </w:t>
      </w:r>
      <w:hyperlink r:id="rId20" w:history="1">
        <w:r w:rsidR="002E7633" w:rsidRPr="002E7633">
          <w:rPr>
            <w:rFonts w:ascii="Arial" w:hAnsi="Arial"/>
            <w:color w:val="0000FF"/>
            <w:u w:val="single"/>
            <w:rtl/>
          </w:rPr>
          <w:t>סעיף 288</w:t>
        </w:r>
      </w:hyperlink>
      <w:r>
        <w:rPr>
          <w:rFonts w:ascii="Arial" w:hAnsi="Arial" w:hint="cs"/>
          <w:rtl/>
        </w:rPr>
        <w:t xml:space="preserve"> לחוק, בגין מכלול אמירותיו, במקום, כפי שתואר לעיל. </w:t>
      </w:r>
    </w:p>
    <w:p w14:paraId="7AAFE2E4" w14:textId="77777777" w:rsidR="00E1564C" w:rsidRDefault="00E1564C">
      <w:pPr>
        <w:spacing w:line="360" w:lineRule="auto"/>
        <w:jc w:val="both"/>
        <w:rPr>
          <w:rFonts w:ascii="Arial" w:hAnsi="Arial"/>
          <w:rtl/>
        </w:rPr>
      </w:pPr>
    </w:p>
    <w:p w14:paraId="48A03F7C" w14:textId="77777777" w:rsidR="00E1564C" w:rsidRDefault="00394D1A">
      <w:pPr>
        <w:spacing w:line="360" w:lineRule="auto"/>
        <w:ind w:left="720" w:hanging="720"/>
        <w:jc w:val="both"/>
        <w:rPr>
          <w:rFonts w:ascii="Arial" w:hAnsi="Arial"/>
          <w:rtl/>
        </w:rPr>
      </w:pPr>
      <w:r>
        <w:rPr>
          <w:rFonts w:ascii="Arial" w:hAnsi="Arial" w:hint="cs"/>
          <w:rtl/>
        </w:rPr>
        <w:lastRenderedPageBreak/>
        <w:t>6.</w:t>
      </w:r>
      <w:r>
        <w:rPr>
          <w:rFonts w:ascii="Arial" w:hAnsi="Arial" w:hint="cs"/>
          <w:rtl/>
        </w:rPr>
        <w:tab/>
        <w:t>גם השוטר שאדי (ע"ת 2), ציין בעדותו כי הנאשם היה שתוי והתנהג בצורה מתריסה ותוקפנית, במהלך האירוע, כשהוא זוכה לגיבוי חבריו, שעודדוהו להמשיך בהתנהגותו הנלוזה כלפי השוטרים. השוטר שאדי ציין כי שמע קללות וגידופים מפי הנאשם, כלפי השוטר מיכאל, וכשקצין היחידה – מיכאל, התקרב לנאשם, הנאשם הדף אותו, כשבהמשך סייע שאדי לכבילת הנאשם, העצור. שני השוטרים שללו מכל וכל את טענת הנאשם כי הותקף על ידי שוטרים, מבלי שביצע כל פעולה אלימה במקום.</w:t>
      </w:r>
    </w:p>
    <w:p w14:paraId="46B05F39" w14:textId="77777777" w:rsidR="00E1564C" w:rsidRDefault="00E1564C">
      <w:pPr>
        <w:spacing w:line="360" w:lineRule="auto"/>
        <w:jc w:val="both"/>
        <w:rPr>
          <w:rFonts w:ascii="Arial" w:hAnsi="Arial"/>
          <w:rtl/>
        </w:rPr>
      </w:pPr>
    </w:p>
    <w:p w14:paraId="7741EC1D" w14:textId="77777777" w:rsidR="00E1564C" w:rsidRDefault="00394D1A">
      <w:pPr>
        <w:spacing w:line="360" w:lineRule="auto"/>
        <w:ind w:left="720" w:hanging="720"/>
        <w:jc w:val="both"/>
        <w:rPr>
          <w:rFonts w:ascii="Arial" w:hAnsi="Arial"/>
          <w:rtl/>
        </w:rPr>
      </w:pPr>
      <w:r>
        <w:rPr>
          <w:rFonts w:ascii="Arial" w:hAnsi="Arial" w:hint="cs"/>
          <w:rtl/>
        </w:rPr>
        <w:t>7.</w:t>
      </w:r>
      <w:r>
        <w:rPr>
          <w:rFonts w:ascii="Arial" w:hAnsi="Arial" w:hint="cs"/>
          <w:rtl/>
        </w:rPr>
        <w:tab/>
        <w:t>סנגורו של הנאשם, עו"ד אבי אלפסי, טען כי לא ניתן ליתן אמון בגירסת שני השוטרים, וזאת בשים לב לסתירות העולות מהדוחו"ת שרשמו השוטרים (ס/1, ת/2, ת/3) ומגירסתם, כפי שניתנה בביהמ"ש, כאשר מדובר בדוחו"ת ובעדויות שהפרטים המוזכרים בהם אינם תואמים ביניהם, ועל כן יש לאמץ את גירסת הנאשם לאירוע במקום, ולפיה, במהלך הובלתו לניידת הותקף ע"י שוטרים, מבלי שהיתה כל אלימות מצידו כלפיהם.</w:t>
      </w:r>
    </w:p>
    <w:p w14:paraId="370C0FA5" w14:textId="77777777" w:rsidR="00E1564C" w:rsidRDefault="00E1564C">
      <w:pPr>
        <w:spacing w:line="360" w:lineRule="auto"/>
        <w:jc w:val="both"/>
        <w:rPr>
          <w:rFonts w:ascii="Arial" w:hAnsi="Arial"/>
          <w:rtl/>
        </w:rPr>
      </w:pPr>
    </w:p>
    <w:p w14:paraId="64C0F133" w14:textId="77777777" w:rsidR="00E1564C" w:rsidRDefault="00394D1A">
      <w:pPr>
        <w:spacing w:line="360" w:lineRule="auto"/>
        <w:ind w:left="720" w:hanging="720"/>
        <w:jc w:val="both"/>
        <w:rPr>
          <w:rFonts w:ascii="Arial" w:hAnsi="Arial"/>
          <w:rtl/>
        </w:rPr>
      </w:pPr>
      <w:r>
        <w:rPr>
          <w:rFonts w:ascii="Arial" w:hAnsi="Arial" w:hint="cs"/>
          <w:rtl/>
        </w:rPr>
        <w:t>8.</w:t>
      </w:r>
      <w:r>
        <w:rPr>
          <w:rFonts w:ascii="Arial" w:hAnsi="Arial" w:hint="cs"/>
          <w:rtl/>
        </w:rPr>
        <w:tab/>
        <w:t xml:space="preserve">אכן, עיון בדוחו"ת ובעדויות השוטרים, מעלה מס' הבדלים, בין הגירסאות, בכל הנוגע למכלול האירועים שקדמו למעצרו של הנאשם, בגין מעשה התקיפה שביצע כלפי השוטר, מיכאל. </w:t>
      </w:r>
    </w:p>
    <w:p w14:paraId="58F21D93" w14:textId="77777777" w:rsidR="00E1564C" w:rsidRDefault="00E1564C">
      <w:pPr>
        <w:spacing w:line="360" w:lineRule="auto"/>
        <w:jc w:val="both"/>
        <w:rPr>
          <w:rFonts w:ascii="Arial" w:hAnsi="Arial"/>
          <w:rtl/>
        </w:rPr>
      </w:pPr>
    </w:p>
    <w:p w14:paraId="5B656765" w14:textId="77777777" w:rsidR="00E1564C" w:rsidRDefault="00394D1A">
      <w:pPr>
        <w:spacing w:line="360" w:lineRule="auto"/>
        <w:ind w:left="720" w:hanging="720"/>
        <w:jc w:val="both"/>
        <w:rPr>
          <w:rFonts w:ascii="Arial" w:hAnsi="Arial"/>
          <w:rtl/>
        </w:rPr>
      </w:pPr>
      <w:r>
        <w:rPr>
          <w:rFonts w:ascii="Arial" w:hAnsi="Arial" w:hint="cs"/>
          <w:rtl/>
        </w:rPr>
        <w:tab/>
        <w:t>יחד עם זאת, בהקשר זה יש להוסיף, כי מדובר בשני צוותים שונים, לאמור – תחילה הגיע, כפי שפורט, השוטר, מפקח מיכאל, ורק בהמשך הגיע למקום השוטר שאדי, בצוותא עם מתנדב.  כל אחד מהשוטרים תיאר את האירוע באותם מקטעים שבו היה מעורב. כך גם ציין מיכאל, בעדותו</w:t>
      </w:r>
      <w:r>
        <w:rPr>
          <w:rFonts w:ascii="Arial" w:hAnsi="Arial"/>
        </w:rPr>
        <w:t xml:space="preserve"> </w:t>
      </w:r>
      <w:r>
        <w:rPr>
          <w:rFonts w:ascii="Arial" w:hAnsi="Arial" w:hint="cs"/>
          <w:rtl/>
        </w:rPr>
        <w:t xml:space="preserve">כי תחילה לא שם לב להימצאותם של השוטר שאדי והאחר, שהגיעו למקום, הגם שקרא להם במערכת הקשר קודם לכן, וכי בתחילת האירוע היה תחילה לבדו במקום. עוד מסר בעדותו הקצין, מיכאל, כי הוביל את הנאשם לניידת, בצוותא עם שאדי, כפי שטען שאדי, והמתנדב טל. אכן, מתוך עדותו של שאדי עולה מעורבות עמוקה יותר מצידו באירוע, מזו המתוארת על ידי מיכאל. אך יחד עם זאת, שני השוטרים, כאחד, ציינו, ובעניין זה עדותם לא נסתרה, כי הנאשם הדף בידיו, בשלב מסויים של האירוע, את מיכאל, והדבר הצריך הפעלת כח, שהיה בגדר הסביר, נגד הנאשם, וגירסתם זו ראויה לאמון, כשמדובר באירוע כפי שהתרחש, כאשר עולה גם מדברי השוטר שאדי, כי גם שאר הנוכחים במקום לא היו פאסיביים והשמיעו דברי עידוד כאלו ואחרים, כלפי הנאשם, שהיה בהם כדי לעודדו להמשיך בהתנהגותו המתריסה כלפי השוטרים. </w:t>
      </w:r>
    </w:p>
    <w:p w14:paraId="5C3C631C" w14:textId="77777777" w:rsidR="00E1564C" w:rsidRDefault="00E1564C">
      <w:pPr>
        <w:spacing w:line="360" w:lineRule="auto"/>
        <w:ind w:left="720" w:hanging="720"/>
        <w:jc w:val="both"/>
        <w:rPr>
          <w:rFonts w:ascii="Arial" w:hAnsi="Arial"/>
          <w:rtl/>
        </w:rPr>
      </w:pPr>
    </w:p>
    <w:p w14:paraId="13B305B6" w14:textId="77777777" w:rsidR="00E1564C" w:rsidRDefault="00394D1A">
      <w:pPr>
        <w:spacing w:line="360" w:lineRule="auto"/>
        <w:ind w:left="720" w:hanging="720"/>
        <w:jc w:val="both"/>
        <w:rPr>
          <w:rFonts w:ascii="Arial" w:hAnsi="Arial"/>
          <w:rtl/>
        </w:rPr>
      </w:pPr>
      <w:r>
        <w:rPr>
          <w:rFonts w:ascii="Arial" w:hAnsi="Arial" w:hint="cs"/>
          <w:rtl/>
        </w:rPr>
        <w:t>9.</w:t>
      </w:r>
      <w:r>
        <w:rPr>
          <w:rFonts w:ascii="Arial" w:hAnsi="Arial" w:hint="cs"/>
          <w:rtl/>
        </w:rPr>
        <w:tab/>
        <w:t xml:space="preserve">יש באלו כדי ללמד כי מדובר באירוע שהיה סוער למדי, ומטבע הדברים לא ניתן לצפות מהשוטרים כי יתנו תיאור החופף ביניהם, אחת לאחת, את אופן התרחשות והתפתחות האירועים במקום, והשינויים העולים מגירסת שוטר אחד אל מול גירסתו של שוטר אחר, אין בהם כדי ללמד, כטענת הסנגור, על העלאת גרסת כזב מצד השוטרים ותו לא. </w:t>
      </w:r>
    </w:p>
    <w:p w14:paraId="55EED71B" w14:textId="77777777" w:rsidR="00E1564C" w:rsidRDefault="00E1564C">
      <w:pPr>
        <w:spacing w:line="360" w:lineRule="auto"/>
        <w:ind w:left="720" w:hanging="720"/>
        <w:jc w:val="both"/>
        <w:rPr>
          <w:rFonts w:ascii="Arial" w:hAnsi="Arial"/>
          <w:rtl/>
        </w:rPr>
      </w:pPr>
    </w:p>
    <w:p w14:paraId="46BF054B" w14:textId="77777777" w:rsidR="00E1564C" w:rsidRDefault="00394D1A">
      <w:pPr>
        <w:spacing w:line="360" w:lineRule="auto"/>
        <w:ind w:left="720" w:hanging="720"/>
        <w:jc w:val="both"/>
        <w:rPr>
          <w:rFonts w:ascii="Arial" w:hAnsi="Arial"/>
          <w:rtl/>
        </w:rPr>
      </w:pPr>
      <w:r>
        <w:rPr>
          <w:rFonts w:ascii="Arial" w:hAnsi="Arial" w:hint="cs"/>
          <w:rtl/>
        </w:rPr>
        <w:lastRenderedPageBreak/>
        <w:t>10.</w:t>
      </w:r>
      <w:r>
        <w:rPr>
          <w:rFonts w:ascii="Arial" w:hAnsi="Arial" w:hint="cs"/>
          <w:rtl/>
        </w:rPr>
        <w:tab/>
        <w:t xml:space="preserve">מסקנה זו מתבקשת ומתחזקת גם נוכח חוסר האמון שמתלווה לגירסתו של הנאשם, המאשר כי היה שתוי ורווי באלכוהול, בעת האירוע. כך גם מאשר הנאשם בחקירתו במשטרה (ת/6): </w:t>
      </w:r>
      <w:r>
        <w:rPr>
          <w:rFonts w:ascii="Arial" w:hAnsi="Arial" w:hint="cs"/>
          <w:b/>
          <w:bCs/>
          <w:rtl/>
        </w:rPr>
        <w:t>"שתיתי אולי 3 בקבוקי בירה רגילים, וכוסית וודקה"</w:t>
      </w:r>
      <w:r>
        <w:rPr>
          <w:rFonts w:ascii="Arial" w:hAnsi="Arial" w:hint="cs"/>
          <w:rtl/>
        </w:rPr>
        <w:t xml:space="preserve">. כאשר בעדותו בביהמ"ש הוסיף כי ייתכן וגם שתה מעבר לכך (ראה עמ' 22, שורה 24 לפרוטוקול). </w:t>
      </w:r>
    </w:p>
    <w:p w14:paraId="293AE9F6" w14:textId="77777777" w:rsidR="00E1564C" w:rsidRDefault="00E1564C">
      <w:pPr>
        <w:spacing w:line="360" w:lineRule="auto"/>
        <w:jc w:val="both"/>
        <w:rPr>
          <w:rFonts w:ascii="Arial" w:hAnsi="Arial"/>
          <w:rtl/>
        </w:rPr>
      </w:pPr>
    </w:p>
    <w:p w14:paraId="542E426E" w14:textId="77777777" w:rsidR="00E1564C" w:rsidRDefault="00394D1A">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טענת הנאשם כי על רקע שתייתו המרובה יכול היה לזכור את הדברים לאשורם ואת כל חילופי הדברים וההתרחשויות כולן, בינו ובין השוטרים, נמצאת, בנסיבות אלו, כטענה שאין בה כל ממש. </w:t>
      </w:r>
    </w:p>
    <w:p w14:paraId="0DB75B6B" w14:textId="77777777" w:rsidR="00E1564C" w:rsidRDefault="00E1564C">
      <w:pPr>
        <w:spacing w:line="360" w:lineRule="auto"/>
        <w:jc w:val="both"/>
        <w:rPr>
          <w:rFonts w:ascii="Arial" w:hAnsi="Arial"/>
          <w:rtl/>
        </w:rPr>
      </w:pPr>
    </w:p>
    <w:p w14:paraId="4E3AC919" w14:textId="77777777" w:rsidR="00E1564C" w:rsidRDefault="00394D1A">
      <w:pPr>
        <w:spacing w:line="360" w:lineRule="auto"/>
        <w:ind w:left="720"/>
        <w:jc w:val="both"/>
        <w:rPr>
          <w:rFonts w:ascii="Arial" w:hAnsi="Arial"/>
          <w:rtl/>
        </w:rPr>
      </w:pPr>
      <w:r>
        <w:rPr>
          <w:rFonts w:ascii="Arial" w:hAnsi="Arial" w:hint="cs"/>
          <w:rtl/>
        </w:rPr>
        <w:t xml:space="preserve">בעדותו גם אישר הנאשם כי ייתכן ולא ראה היטב את תעודת השוטר שהציג בפניו מיכאל (עמ' 23, שורה 3 לפרוטוקול). </w:t>
      </w:r>
    </w:p>
    <w:p w14:paraId="4041AAE2" w14:textId="77777777" w:rsidR="00E1564C" w:rsidRDefault="00E1564C">
      <w:pPr>
        <w:spacing w:line="360" w:lineRule="auto"/>
        <w:jc w:val="both"/>
        <w:rPr>
          <w:rFonts w:ascii="Arial" w:hAnsi="Arial"/>
          <w:rtl/>
        </w:rPr>
      </w:pPr>
    </w:p>
    <w:p w14:paraId="32458209" w14:textId="77777777" w:rsidR="00E1564C" w:rsidRDefault="00394D1A">
      <w:pPr>
        <w:spacing w:line="360" w:lineRule="auto"/>
        <w:ind w:left="720"/>
        <w:jc w:val="both"/>
        <w:rPr>
          <w:rFonts w:ascii="Arial" w:hAnsi="Arial"/>
          <w:rtl/>
        </w:rPr>
      </w:pPr>
      <w:r>
        <w:rPr>
          <w:rFonts w:ascii="Arial" w:hAnsi="Arial" w:hint="cs"/>
          <w:rtl/>
        </w:rPr>
        <w:t xml:space="preserve">לעניין זה נמצא הנאשם מאשר אפוא, את גירסת השוטר מיכאל, כי לא נעתר לנאשם להציג בפניו, בשנית, את תעודת השוטר, אלא שהנאשם לא הסתפק בכך, ובתוך שיכרותו חזר ודרש כי התעודה תוצג בפניו, ובדין סרב השוטר לעשות כן שוב. </w:t>
      </w:r>
    </w:p>
    <w:p w14:paraId="2F9A5642" w14:textId="77777777" w:rsidR="00E1564C" w:rsidRDefault="00E1564C">
      <w:pPr>
        <w:spacing w:line="360" w:lineRule="auto"/>
        <w:jc w:val="both"/>
        <w:rPr>
          <w:rFonts w:ascii="Arial" w:hAnsi="Arial"/>
          <w:rtl/>
        </w:rPr>
      </w:pPr>
    </w:p>
    <w:p w14:paraId="4EEBE44A" w14:textId="77777777" w:rsidR="00E1564C" w:rsidRDefault="00394D1A">
      <w:pPr>
        <w:spacing w:line="360" w:lineRule="auto"/>
        <w:ind w:left="720" w:hanging="720"/>
        <w:jc w:val="both"/>
        <w:rPr>
          <w:rFonts w:ascii="Arial" w:hAnsi="Arial"/>
          <w:rtl/>
        </w:rPr>
      </w:pPr>
      <w:r>
        <w:rPr>
          <w:rFonts w:ascii="Arial" w:hAnsi="Arial" w:hint="cs"/>
          <w:rtl/>
        </w:rPr>
        <w:t>12.</w:t>
      </w:r>
      <w:r>
        <w:rPr>
          <w:rFonts w:ascii="Arial" w:hAnsi="Arial" w:hint="cs"/>
          <w:rtl/>
        </w:rPr>
        <w:tab/>
        <w:t>גם באשר לנוכחות אחרים באירוע, שיכלו לכאורה לתמוך בגירסת הנאשם, כי הוכה על ידי השוטרים, ואחרים ראו זאת, נמצא הנאשם מעלה גירסאות משתנות. כך בחקירתו טען הנאשם כי לא היה עם אחרים (ת/4, שורות 8-9).</w:t>
      </w:r>
    </w:p>
    <w:p w14:paraId="4AA1BB35" w14:textId="77777777" w:rsidR="00E1564C" w:rsidRDefault="00E1564C">
      <w:pPr>
        <w:spacing w:line="360" w:lineRule="auto"/>
        <w:jc w:val="both"/>
        <w:rPr>
          <w:rFonts w:ascii="Arial" w:hAnsi="Arial"/>
          <w:rtl/>
        </w:rPr>
      </w:pPr>
    </w:p>
    <w:p w14:paraId="3997AF4E" w14:textId="77777777" w:rsidR="00E1564C" w:rsidRDefault="00394D1A">
      <w:pPr>
        <w:spacing w:line="360" w:lineRule="auto"/>
        <w:ind w:firstLine="720"/>
        <w:jc w:val="both"/>
        <w:rPr>
          <w:rFonts w:ascii="Arial" w:hAnsi="Arial"/>
          <w:rtl/>
        </w:rPr>
      </w:pPr>
      <w:r>
        <w:rPr>
          <w:rFonts w:ascii="Arial" w:hAnsi="Arial" w:hint="cs"/>
          <w:rtl/>
        </w:rPr>
        <w:t xml:space="preserve">בהמשך חקירה זו טען כי אנשים שחלפו במקום, ראו את האירוע, לטענתו. </w:t>
      </w:r>
    </w:p>
    <w:p w14:paraId="0B2D0F04" w14:textId="77777777" w:rsidR="00E1564C" w:rsidRDefault="00E1564C">
      <w:pPr>
        <w:spacing w:line="360" w:lineRule="auto"/>
        <w:jc w:val="both"/>
        <w:rPr>
          <w:rFonts w:ascii="Arial" w:hAnsi="Arial"/>
          <w:rtl/>
        </w:rPr>
      </w:pPr>
    </w:p>
    <w:p w14:paraId="5AA5D176" w14:textId="77777777" w:rsidR="00E1564C" w:rsidRDefault="00394D1A">
      <w:pPr>
        <w:spacing w:line="360" w:lineRule="auto"/>
        <w:ind w:left="720"/>
        <w:jc w:val="both"/>
        <w:rPr>
          <w:rFonts w:ascii="Arial" w:hAnsi="Arial"/>
          <w:rtl/>
        </w:rPr>
      </w:pPr>
      <w:r>
        <w:rPr>
          <w:rFonts w:ascii="Arial" w:hAnsi="Arial" w:hint="cs"/>
          <w:rtl/>
        </w:rPr>
        <w:t xml:space="preserve">אשר לחברתו שנכחה באירוע, ויכלה לכאורה לתמוך בגירסת הנאשם, טען הנאשם כי לא היה מודע לכך שניתן להביאה למתן עדות, והוסיף כי הוכה שלא בנוכחות האחרים. הנאשם גם הוסיף כי חשב אכן להתלונן במח"ש, אך חזר בו מאחר ולא היה מוכן להפסיד, עקב כך, ימי עבודה. </w:t>
      </w:r>
    </w:p>
    <w:p w14:paraId="266180DF" w14:textId="77777777" w:rsidR="00E1564C" w:rsidRDefault="00E1564C">
      <w:pPr>
        <w:spacing w:line="360" w:lineRule="auto"/>
        <w:jc w:val="both"/>
        <w:rPr>
          <w:rFonts w:ascii="Arial" w:hAnsi="Arial"/>
          <w:rtl/>
        </w:rPr>
      </w:pPr>
    </w:p>
    <w:p w14:paraId="0599BF29" w14:textId="77777777" w:rsidR="00E1564C" w:rsidRDefault="00394D1A">
      <w:pPr>
        <w:spacing w:line="360" w:lineRule="auto"/>
        <w:ind w:left="720" w:hanging="720"/>
        <w:jc w:val="both"/>
        <w:rPr>
          <w:rFonts w:ascii="Arial" w:hAnsi="Arial"/>
          <w:rtl/>
        </w:rPr>
      </w:pPr>
      <w:r>
        <w:rPr>
          <w:rFonts w:ascii="Arial" w:hAnsi="Arial" w:hint="cs"/>
          <w:rtl/>
        </w:rPr>
        <w:t>13.</w:t>
      </w:r>
      <w:r>
        <w:rPr>
          <w:rFonts w:ascii="Arial" w:hAnsi="Arial" w:hint="cs"/>
          <w:rtl/>
        </w:rPr>
        <w:tab/>
        <w:t xml:space="preserve">מסתבר שבחקירתו לא נרתע הנאשם מלטעון שהשוטרים היו אלו שהורידו מגופו את תחתוניו (ת/4, שורה 33). ועוד אישר בחקירתו, כי השמיע קללות כלפי השוטרים (ת/4, שורה 43).  בהמשך חזר בו הנאשם, באותה חקירה (ת/4, שורה 57) ואישר כי הוריד את תחתוניו: </w:t>
      </w:r>
      <w:r>
        <w:rPr>
          <w:rFonts w:ascii="Arial" w:hAnsi="Arial" w:hint="cs"/>
          <w:b/>
          <w:bCs/>
          <w:rtl/>
        </w:rPr>
        <w:t>"בשביל פרובוקציה, שאולי תקשיב לי".</w:t>
      </w:r>
      <w:r>
        <w:rPr>
          <w:rFonts w:ascii="Arial" w:hAnsi="Arial" w:hint="cs"/>
          <w:rtl/>
        </w:rPr>
        <w:t xml:space="preserve"> באשר לכמות השתייה, מסר הנאשם בחקירה זו (ת/4, שורה 59), כי שתה שני בקבוקי בירה ותו לא, אך התברר כי גם גירסה זו השתנתה, כפי שתואר לעיל. </w:t>
      </w:r>
    </w:p>
    <w:p w14:paraId="76473AB1" w14:textId="77777777" w:rsidR="00E1564C" w:rsidRDefault="00E1564C">
      <w:pPr>
        <w:spacing w:line="360" w:lineRule="auto"/>
        <w:jc w:val="both"/>
        <w:rPr>
          <w:rFonts w:ascii="Arial" w:hAnsi="Arial"/>
          <w:rtl/>
        </w:rPr>
      </w:pPr>
    </w:p>
    <w:p w14:paraId="25A39E59" w14:textId="77777777" w:rsidR="00E1564C" w:rsidRDefault="00394D1A">
      <w:pPr>
        <w:spacing w:line="360" w:lineRule="auto"/>
        <w:ind w:left="720"/>
        <w:jc w:val="both"/>
        <w:rPr>
          <w:rFonts w:ascii="Arial" w:hAnsi="Arial"/>
          <w:rtl/>
        </w:rPr>
      </w:pPr>
      <w:r>
        <w:rPr>
          <w:rFonts w:ascii="Arial" w:hAnsi="Arial" w:hint="cs"/>
          <w:rtl/>
        </w:rPr>
        <w:t xml:space="preserve">משנשאל הנאשם מדוע טען בחקירתו כי הוכה על ידי שמונה שוטרים, לא התייחס כלל לשאלה זו, והשיב כי לא תקף אך אחד (עמ' 25, שורות 8-9 לפרוטוקול). </w:t>
      </w:r>
    </w:p>
    <w:p w14:paraId="10FE9487" w14:textId="77777777" w:rsidR="00E1564C" w:rsidRDefault="00E1564C">
      <w:pPr>
        <w:spacing w:line="360" w:lineRule="auto"/>
        <w:jc w:val="both"/>
        <w:rPr>
          <w:rFonts w:ascii="Arial" w:hAnsi="Arial"/>
          <w:rtl/>
        </w:rPr>
      </w:pPr>
    </w:p>
    <w:p w14:paraId="1194AA81" w14:textId="77777777" w:rsidR="00E1564C" w:rsidRDefault="00394D1A">
      <w:pPr>
        <w:spacing w:line="360" w:lineRule="auto"/>
        <w:ind w:left="720" w:hanging="720"/>
        <w:jc w:val="both"/>
        <w:rPr>
          <w:rFonts w:ascii="Arial" w:hAnsi="Arial"/>
          <w:rtl/>
        </w:rPr>
      </w:pPr>
      <w:r>
        <w:rPr>
          <w:rFonts w:ascii="Arial" w:hAnsi="Arial" w:hint="cs"/>
          <w:rtl/>
        </w:rPr>
        <w:t>14.</w:t>
      </w:r>
      <w:r>
        <w:rPr>
          <w:rFonts w:ascii="Arial" w:hAnsi="Arial" w:hint="cs"/>
          <w:rtl/>
        </w:rPr>
        <w:tab/>
        <w:t>הסתירות והשינויים לרוב שידעה גירסת הנאשם, כשלא היסס להודות, עוד בחקירתו במשטרה, כי בדה דברים מליבו, יש בהם כדי ללמד בעליל כי לא ניתן לבסס ממצאים הראויים לאמון, מפיו הוא, משיצאו ממנו אותן אמירות שונות ומשתנות, כפי שצויין לעיל, שרבות גם הסתירות ביניהן, שיש באלו, אך כדי לחזק את גירסת השוטרים בדבר התנהגות מעליבה ורוויית התרסה של הנאשם, בעת שהיה שתוי, כלפיהם.</w:t>
      </w:r>
      <w:r>
        <w:rPr>
          <w:rFonts w:ascii="Arial" w:hAnsi="Arial"/>
        </w:rPr>
        <w:t xml:space="preserve"> </w:t>
      </w:r>
      <w:r>
        <w:rPr>
          <w:rFonts w:ascii="Arial" w:hAnsi="Arial" w:hint="cs"/>
          <w:rtl/>
        </w:rPr>
        <w:t xml:space="preserve"> מקובלת עלי, בנסיבות אלו טענת השוטרים, כי בעקבות מעשה אלים של הנאשם, הגם שלא היה קיצוני במהותו, כלפי השוטר מיכאל –הופעלה נגדו מידת כח,  על מנת להפסיק התנהגותו האלימה, כשקודם לכן נקט הנאשם, כאמור, בלשון עולבת ולועגת כלפי מיכאל.</w:t>
      </w:r>
    </w:p>
    <w:p w14:paraId="0F5DD7D4" w14:textId="77777777" w:rsidR="00E1564C" w:rsidRDefault="00E1564C">
      <w:pPr>
        <w:spacing w:line="360" w:lineRule="auto"/>
        <w:jc w:val="both"/>
        <w:rPr>
          <w:rFonts w:ascii="Arial" w:hAnsi="Arial"/>
          <w:rtl/>
        </w:rPr>
      </w:pPr>
    </w:p>
    <w:p w14:paraId="1E2DA600" w14:textId="77777777" w:rsidR="00E1564C" w:rsidRDefault="00394D1A">
      <w:pPr>
        <w:spacing w:line="360" w:lineRule="auto"/>
        <w:ind w:left="720"/>
        <w:jc w:val="both"/>
        <w:rPr>
          <w:rFonts w:ascii="Arial" w:hAnsi="Arial"/>
          <w:rtl/>
        </w:rPr>
      </w:pPr>
      <w:r>
        <w:rPr>
          <w:rFonts w:ascii="Arial" w:hAnsi="Arial" w:hint="cs"/>
          <w:rtl/>
        </w:rPr>
        <w:t xml:space="preserve">בנסיבות אלו יש לומר כי הוכחו עד תום יסודות העבירות שעניינן תקיפת שוטר, והעלבת עובד ציבור, בהתאם </w:t>
      </w:r>
      <w:hyperlink r:id="rId21" w:history="1">
        <w:r w:rsidR="002E7633" w:rsidRPr="002E7633">
          <w:rPr>
            <w:rFonts w:ascii="Arial" w:hAnsi="Arial"/>
            <w:color w:val="0000FF"/>
            <w:u w:val="single"/>
            <w:rtl/>
          </w:rPr>
          <w:t>לסעיף 273</w:t>
        </w:r>
      </w:hyperlink>
      <w:r>
        <w:rPr>
          <w:rFonts w:ascii="Arial" w:hAnsi="Arial" w:hint="cs"/>
          <w:rtl/>
        </w:rPr>
        <w:t xml:space="preserve"> ו- </w:t>
      </w:r>
      <w:hyperlink r:id="rId22" w:history="1">
        <w:r w:rsidR="002E7633" w:rsidRPr="002E7633">
          <w:rPr>
            <w:rFonts w:ascii="Arial" w:hAnsi="Arial"/>
            <w:color w:val="0000FF"/>
            <w:u w:val="single"/>
            <w:rtl/>
          </w:rPr>
          <w:t>288</w:t>
        </w:r>
      </w:hyperlink>
      <w:r>
        <w:rPr>
          <w:rFonts w:ascii="Arial" w:hAnsi="Arial" w:hint="cs"/>
          <w:rtl/>
        </w:rPr>
        <w:t xml:space="preserve"> ל</w:t>
      </w:r>
      <w:hyperlink r:id="rId23" w:history="1">
        <w:r w:rsidR="00292666" w:rsidRPr="00292666">
          <w:rPr>
            <w:rStyle w:val="Hyperlink"/>
            <w:rFonts w:ascii="Arial" w:hAnsi="Arial"/>
            <w:rtl/>
          </w:rPr>
          <w:t>חוק העונשין</w:t>
        </w:r>
      </w:hyperlink>
      <w:r>
        <w:rPr>
          <w:rFonts w:ascii="Arial" w:hAnsi="Arial" w:hint="cs"/>
          <w:rtl/>
        </w:rPr>
        <w:t xml:space="preserve"> התשל"ז-1977.</w:t>
      </w:r>
    </w:p>
    <w:p w14:paraId="58461A80" w14:textId="77777777" w:rsidR="00E1564C" w:rsidRDefault="00E1564C">
      <w:pPr>
        <w:spacing w:line="360" w:lineRule="auto"/>
        <w:jc w:val="both"/>
        <w:rPr>
          <w:rFonts w:ascii="Arial" w:hAnsi="Arial"/>
          <w:rtl/>
        </w:rPr>
      </w:pPr>
    </w:p>
    <w:p w14:paraId="14738BCD" w14:textId="77777777" w:rsidR="00E1564C" w:rsidRDefault="00394D1A">
      <w:pPr>
        <w:spacing w:line="360" w:lineRule="auto"/>
        <w:ind w:left="720" w:hanging="720"/>
        <w:jc w:val="both"/>
        <w:rPr>
          <w:rFonts w:ascii="Arial" w:hAnsi="Arial"/>
          <w:rtl/>
        </w:rPr>
      </w:pPr>
      <w:r>
        <w:rPr>
          <w:rFonts w:ascii="Arial" w:hAnsi="Arial" w:hint="cs"/>
          <w:rtl/>
        </w:rPr>
        <w:t>15.</w:t>
      </w:r>
      <w:r>
        <w:rPr>
          <w:rFonts w:ascii="Arial" w:hAnsi="Arial" w:hint="cs"/>
          <w:rtl/>
        </w:rPr>
        <w:tab/>
        <w:t>יחד עם זאת, מצאתי כי אין מקום לכלול כנגד הנאשם, בנסיבות הכוללות של האירוע, גם ביצועה של עבירה נוספת, של מעשה מגונה בפומבי. בהקשר זה גם מקובלת עלי טענתו של הסנגור, שהועלתה על הכתב, לאחר שנשמעו הטיעונים על פה בתיק, כי ספק הוא אם ניתן לומר כי הת</w:t>
      </w:r>
      <w:r w:rsidR="002E7633">
        <w:rPr>
          <w:rFonts w:ascii="Arial" w:hAnsi="Arial" w:hint="cs"/>
          <w:rtl/>
        </w:rPr>
        <w:t xml:space="preserve">יבה "בפומבי", המופיעה בסעיף </w:t>
      </w:r>
      <w:hyperlink r:id="rId24" w:history="1">
        <w:r w:rsidR="002E7633" w:rsidRPr="002E7633">
          <w:rPr>
            <w:rFonts w:ascii="Arial" w:hAnsi="Arial"/>
            <w:color w:val="0000FF"/>
            <w:u w:val="single"/>
            <w:rtl/>
          </w:rPr>
          <w:t>349(א),</w:t>
        </w:r>
      </w:hyperlink>
      <w:r>
        <w:rPr>
          <w:rFonts w:ascii="Arial" w:hAnsi="Arial" w:hint="cs"/>
          <w:rtl/>
        </w:rPr>
        <w:t xml:space="preserve"> התקיימה במקרה זה, וזאת בשים לב למקום בו ארע האירוע הספציפי (ראה בהקשר זה - </w:t>
      </w:r>
      <w:r>
        <w:rPr>
          <w:rFonts w:ascii="Arial" w:hAnsi="Arial" w:hint="cs"/>
          <w:b/>
          <w:bCs/>
          <w:rtl/>
        </w:rPr>
        <w:t>י.קדמי, על הדין בפלילים, חלק שלישי, עמ' 1433, סעיף 4</w:t>
      </w:r>
      <w:r>
        <w:rPr>
          <w:rFonts w:ascii="Arial" w:hAnsi="Arial" w:hint="cs"/>
          <w:rtl/>
        </w:rPr>
        <w:t xml:space="preserve"> וכן ראה סעיף </w:t>
      </w:r>
      <w:hyperlink r:id="rId25" w:history="1">
        <w:r w:rsidR="002E7633" w:rsidRPr="002E7633">
          <w:rPr>
            <w:rFonts w:ascii="Arial" w:hAnsi="Arial"/>
            <w:b/>
            <w:bCs/>
            <w:color w:val="0000FF"/>
            <w:u w:val="single"/>
            <w:rtl/>
          </w:rPr>
          <w:t>34כד</w:t>
        </w:r>
      </w:hyperlink>
      <w:r>
        <w:rPr>
          <w:rFonts w:ascii="Arial" w:hAnsi="Arial" w:hint="cs"/>
          <w:b/>
          <w:bCs/>
          <w:rtl/>
        </w:rPr>
        <w:t xml:space="preserve"> ל</w:t>
      </w:r>
      <w:hyperlink r:id="rId26" w:history="1">
        <w:r w:rsidR="00292666" w:rsidRPr="00292666">
          <w:rPr>
            <w:rStyle w:val="Hyperlink"/>
            <w:rFonts w:ascii="Arial" w:hAnsi="Arial"/>
            <w:b/>
            <w:bCs/>
            <w:rtl/>
          </w:rPr>
          <w:t>חוק העונשין</w:t>
        </w:r>
      </w:hyperlink>
      <w:r>
        <w:rPr>
          <w:rFonts w:ascii="Arial" w:hAnsi="Arial" w:hint="cs"/>
          <w:b/>
          <w:bCs/>
          <w:rtl/>
        </w:rPr>
        <w:t>,</w:t>
      </w:r>
      <w:r>
        <w:rPr>
          <w:rFonts w:ascii="Arial" w:hAnsi="Arial" w:hint="cs"/>
          <w:rtl/>
        </w:rPr>
        <w:t xml:space="preserve"> שם מוגדרים "מקום ציבורי" ו"פומבי" לעניין מעשה, ומכח ההגדרות הללו שבחוק, ספק אם ניתן לראות במעשהו של הנאשם, בתוך חדר החקירות המשטרתי, כמעשה שנעשה בפומבי). לא ניתן גם לומר, כי במכלול הנסיבות, כאשר הנאשם אינו מסוגל אף לטפל במכנסיו שנשרו מגופו, כי הוכחה ציפיות מצד הנאשם, כי המעשה יגרום, קרוב לוודאי, לביזוי מיני, וקיים אפוא ספק באשר להוכחת היסוד הנפשי בעבירה זו, עד תום, בנסיבות הללו (ראה </w:t>
      </w:r>
      <w:hyperlink r:id="rId27" w:history="1">
        <w:r w:rsidR="00292666" w:rsidRPr="00292666">
          <w:rPr>
            <w:rStyle w:val="Hyperlink"/>
            <w:rFonts w:ascii="Arial" w:hAnsi="Arial"/>
            <w:b/>
            <w:bCs/>
            <w:rtl/>
          </w:rPr>
          <w:t>ע"פ 6255/03</w:t>
        </w:r>
      </w:hyperlink>
      <w:r>
        <w:rPr>
          <w:rFonts w:ascii="Arial" w:hAnsi="Arial" w:hint="cs"/>
          <w:b/>
          <w:bCs/>
          <w:rtl/>
        </w:rPr>
        <w:t xml:space="preserve"> פלוני נ' מדינת ישראל</w:t>
      </w:r>
      <w:r>
        <w:rPr>
          <w:rFonts w:ascii="Arial" w:hAnsi="Arial" w:hint="cs"/>
          <w:rtl/>
        </w:rPr>
        <w:t xml:space="preserve">). </w:t>
      </w:r>
    </w:p>
    <w:p w14:paraId="2FC6EF25" w14:textId="77777777" w:rsidR="00E1564C" w:rsidRDefault="00E1564C">
      <w:pPr>
        <w:spacing w:line="360" w:lineRule="auto"/>
        <w:jc w:val="both"/>
        <w:rPr>
          <w:rFonts w:ascii="Arial" w:hAnsi="Arial"/>
          <w:rtl/>
        </w:rPr>
      </w:pPr>
    </w:p>
    <w:p w14:paraId="7DD136B4" w14:textId="77777777" w:rsidR="00E1564C" w:rsidRDefault="00394D1A">
      <w:pPr>
        <w:tabs>
          <w:tab w:val="left" w:pos="1625"/>
        </w:tabs>
        <w:spacing w:line="360" w:lineRule="auto"/>
        <w:ind w:left="720" w:hanging="720"/>
        <w:jc w:val="both"/>
        <w:rPr>
          <w:rFonts w:ascii="Arial (W1)" w:hAnsi="Arial (W1)"/>
          <w:rtl/>
        </w:rPr>
      </w:pPr>
      <w:r>
        <w:rPr>
          <w:rFonts w:ascii="Arial" w:hAnsi="Arial" w:hint="cs"/>
          <w:rtl/>
        </w:rPr>
        <w:t>16.</w:t>
      </w:r>
      <w:r>
        <w:rPr>
          <w:rFonts w:ascii="Arial" w:hAnsi="Arial" w:hint="cs"/>
          <w:rtl/>
        </w:rPr>
        <w:tab/>
        <w:t>נוכח המקובץ לעיל, אני מורה אפוא על זיכויו של הנא</w:t>
      </w:r>
      <w:r w:rsidR="002E7633">
        <w:rPr>
          <w:rFonts w:ascii="Arial" w:hAnsi="Arial" w:hint="cs"/>
          <w:rtl/>
        </w:rPr>
        <w:t xml:space="preserve">שם, מביצוע עבירה על פי סעיף </w:t>
      </w:r>
      <w:hyperlink r:id="rId28" w:history="1">
        <w:r w:rsidR="00C32CCF" w:rsidRPr="00C32CCF">
          <w:rPr>
            <w:rFonts w:ascii="Arial" w:hAnsi="Arial"/>
            <w:color w:val="0000FF"/>
            <w:u w:val="single"/>
            <w:rtl/>
          </w:rPr>
          <w:t>349(א)</w:t>
        </w:r>
      </w:hyperlink>
      <w:r>
        <w:rPr>
          <w:rFonts w:ascii="Arial" w:hAnsi="Arial" w:hint="cs"/>
          <w:rtl/>
        </w:rPr>
        <w:t xml:space="preserve"> ו- </w:t>
      </w:r>
      <w:hyperlink r:id="rId29" w:history="1">
        <w:r w:rsidR="00C32CCF" w:rsidRPr="00C32CCF">
          <w:rPr>
            <w:rFonts w:ascii="Arial" w:hAnsi="Arial"/>
            <w:color w:val="0000FF"/>
            <w:u w:val="single"/>
            <w:rtl/>
          </w:rPr>
          <w:t>192</w:t>
        </w:r>
      </w:hyperlink>
      <w:r>
        <w:rPr>
          <w:rFonts w:ascii="Arial" w:hAnsi="Arial" w:hint="cs"/>
          <w:rtl/>
        </w:rPr>
        <w:t>ל</w:t>
      </w:r>
      <w:hyperlink r:id="rId30" w:history="1">
        <w:r w:rsidR="00292666" w:rsidRPr="00292666">
          <w:rPr>
            <w:rStyle w:val="Hyperlink"/>
            <w:rFonts w:ascii="Arial" w:hAnsi="Arial"/>
            <w:rtl/>
          </w:rPr>
          <w:t>חוק העונשין</w:t>
        </w:r>
      </w:hyperlink>
      <w:r>
        <w:rPr>
          <w:rFonts w:ascii="Arial" w:hAnsi="Arial" w:hint="cs"/>
          <w:rtl/>
        </w:rPr>
        <w:t xml:space="preserve">, ועל הרשעתו, כאמור, בעבירה של תקיפת שוטר והעלבת עובד ציבור, כמפורט לעיל. </w:t>
      </w:r>
    </w:p>
    <w:p w14:paraId="5E2C968B" w14:textId="77777777" w:rsidR="00E1564C" w:rsidRDefault="00E1564C">
      <w:pPr>
        <w:spacing w:line="360" w:lineRule="auto"/>
        <w:jc w:val="both"/>
        <w:rPr>
          <w:rtl/>
        </w:rPr>
      </w:pPr>
    </w:p>
    <w:p w14:paraId="6F9835C6" w14:textId="77777777" w:rsidR="00E1564C" w:rsidRDefault="00394D1A">
      <w:pPr>
        <w:spacing w:line="360" w:lineRule="auto"/>
        <w:jc w:val="both"/>
        <w:rPr>
          <w:rtl/>
        </w:rPr>
      </w:pPr>
      <w:r>
        <w:rPr>
          <w:rtl/>
        </w:rPr>
        <w:t>&lt;#4#&gt;</w:t>
      </w:r>
    </w:p>
    <w:p w14:paraId="3D53E09F" w14:textId="77777777" w:rsidR="00E1564C" w:rsidRDefault="00E1564C">
      <w:pPr>
        <w:jc w:val="both"/>
        <w:rPr>
          <w:rtl/>
        </w:rPr>
      </w:pPr>
    </w:p>
    <w:p w14:paraId="55DCF89F" w14:textId="77777777" w:rsidR="00E1564C" w:rsidRDefault="00394D1A">
      <w:pPr>
        <w:spacing w:line="360" w:lineRule="auto"/>
        <w:jc w:val="both"/>
        <w:rPr>
          <w:rtl/>
        </w:rPr>
      </w:pPr>
      <w:r>
        <w:rPr>
          <w:rFonts w:hint="cs"/>
          <w:b/>
          <w:bCs/>
          <w:rtl/>
        </w:rPr>
        <w:t xml:space="preserve">ניתנה והודעה היום </w:t>
      </w:r>
      <w:r>
        <w:rPr>
          <w:b/>
          <w:bCs/>
          <w:rtl/>
        </w:rPr>
        <w:t>כ"ט טבת תשע"ב</w:t>
      </w:r>
      <w:r>
        <w:rPr>
          <w:rFonts w:hint="cs"/>
          <w:b/>
          <w:bCs/>
          <w:rtl/>
        </w:rPr>
        <w:t xml:space="preserve">, </w:t>
      </w:r>
      <w:r>
        <w:rPr>
          <w:b/>
          <w:bCs/>
          <w:rtl/>
        </w:rPr>
        <w:t>24/01/2012</w:t>
      </w:r>
      <w:r>
        <w:rPr>
          <w:rFonts w:hint="cs"/>
          <w:b/>
          <w:bCs/>
          <w:rtl/>
        </w:rPr>
        <w:t xml:space="preserve"> במעמד הנוכחים.</w:t>
      </w:r>
      <w:r>
        <w:rPr>
          <w:rtl/>
        </w:rPr>
        <w:t xml:space="preserve"> </w:t>
      </w:r>
    </w:p>
    <w:p w14:paraId="193AC2D5" w14:textId="77777777" w:rsidR="00E1564C" w:rsidRDefault="00394D1A">
      <w:pPr>
        <w:jc w:val="both"/>
        <w:rPr>
          <w:rtl/>
        </w:rPr>
      </w:pPr>
      <w:r>
        <w:rPr>
          <w:rtl/>
        </w:rPr>
        <w:t xml:space="preserve"> </w:t>
      </w:r>
    </w:p>
    <w:p w14:paraId="7E511B66" w14:textId="77777777" w:rsidR="00E1564C" w:rsidRDefault="00E1564C">
      <w:pPr>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2628"/>
      </w:tblGrid>
      <w:tr w:rsidR="00E1564C" w14:paraId="5A99D01B" w14:textId="77777777" w:rsidTr="00247257">
        <w:trPr>
          <w:trHeight w:val="364"/>
          <w:jc w:val="right"/>
        </w:trPr>
        <w:tc>
          <w:tcPr>
            <w:tcW w:w="2628" w:type="dxa"/>
            <w:shd w:val="clear" w:color="auto" w:fill="auto"/>
          </w:tcPr>
          <w:p w14:paraId="089516D6" w14:textId="77777777" w:rsidR="00E1564C" w:rsidRDefault="00E1564C" w:rsidP="00247257">
            <w:pPr>
              <w:jc w:val="center"/>
              <w:rPr>
                <w:rtl/>
              </w:rPr>
            </w:pPr>
          </w:p>
        </w:tc>
      </w:tr>
      <w:tr w:rsidR="00E1564C" w14:paraId="53C65109" w14:textId="77777777" w:rsidTr="00247257">
        <w:trPr>
          <w:trHeight w:val="415"/>
          <w:jc w:val="right"/>
        </w:trPr>
        <w:tc>
          <w:tcPr>
            <w:tcW w:w="2628" w:type="dxa"/>
            <w:shd w:val="clear" w:color="auto" w:fill="auto"/>
          </w:tcPr>
          <w:p w14:paraId="59D176C5" w14:textId="77777777" w:rsidR="00E1564C" w:rsidRPr="00247257" w:rsidRDefault="00394D1A" w:rsidP="00247257">
            <w:pPr>
              <w:jc w:val="center"/>
              <w:rPr>
                <w:b/>
                <w:bCs/>
              </w:rPr>
            </w:pPr>
            <w:smartTag w:uri="urn:schemas-microsoft-com:office:smarttags" w:element="metricconverter">
              <w:r w:rsidRPr="00247257">
                <w:rPr>
                  <w:rFonts w:hint="cs"/>
                  <w:b/>
                  <w:bCs/>
                  <w:rtl/>
                </w:rPr>
                <w:t>מרדכי פלד</w:t>
              </w:r>
            </w:smartTag>
            <w:r w:rsidRPr="00247257">
              <w:rPr>
                <w:rFonts w:hint="cs"/>
                <w:b/>
                <w:bCs/>
                <w:rtl/>
              </w:rPr>
              <w:t>, סגן נשיא</w:t>
            </w:r>
          </w:p>
        </w:tc>
      </w:tr>
    </w:tbl>
    <w:p w14:paraId="7A1FAE91" w14:textId="77777777" w:rsidR="00E1564C" w:rsidRDefault="00E1564C">
      <w:pPr>
        <w:jc w:val="both"/>
        <w:rPr>
          <w:rtl/>
        </w:rPr>
      </w:pPr>
    </w:p>
    <w:p w14:paraId="2C78EAE3" w14:textId="77777777" w:rsidR="00E1564C" w:rsidRDefault="00E1564C">
      <w:pPr>
        <w:spacing w:line="360" w:lineRule="auto"/>
        <w:jc w:val="both"/>
        <w:rPr>
          <w:rtl/>
        </w:rPr>
      </w:pPr>
    </w:p>
    <w:p w14:paraId="35D7C3D5" w14:textId="77777777" w:rsidR="00E1564C" w:rsidRDefault="00E1564C">
      <w:pPr>
        <w:spacing w:line="360" w:lineRule="auto"/>
        <w:jc w:val="both"/>
        <w:rPr>
          <w:rtl/>
        </w:rPr>
      </w:pPr>
    </w:p>
    <w:p w14:paraId="31809327" w14:textId="77777777" w:rsidR="00E1564C" w:rsidRDefault="00394D1A">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2C9A11AA" w14:textId="77777777" w:rsidR="00E1564C" w:rsidRDefault="00E1564C">
      <w:pPr>
        <w:spacing w:line="360" w:lineRule="auto"/>
        <w:jc w:val="both"/>
        <w:rPr>
          <w:rtl/>
        </w:rPr>
      </w:pPr>
    </w:p>
    <w:p w14:paraId="2DA48013" w14:textId="77777777" w:rsidR="00E1564C" w:rsidRDefault="00394D1A">
      <w:pPr>
        <w:spacing w:line="360" w:lineRule="auto"/>
        <w:jc w:val="both"/>
        <w:rPr>
          <w:rtl/>
        </w:rPr>
      </w:pPr>
      <w:r>
        <w:rPr>
          <w:rFonts w:hint="cs"/>
          <w:rtl/>
        </w:rPr>
        <w:t xml:space="preserve">אשר להשתלשלות האירועים שבגינם הורשע הנאשם, אלכסנדר לנקוב, בביצוע עבירות על פי </w:t>
      </w:r>
      <w:hyperlink r:id="rId31" w:history="1">
        <w:r w:rsidR="00C32CCF" w:rsidRPr="00C32CCF">
          <w:rPr>
            <w:color w:val="0000FF"/>
            <w:u w:val="single"/>
            <w:rtl/>
          </w:rPr>
          <w:t>סעיף 273</w:t>
        </w:r>
      </w:hyperlink>
      <w:r>
        <w:rPr>
          <w:rFonts w:hint="cs"/>
          <w:rtl/>
        </w:rPr>
        <w:t xml:space="preserve"> ו-</w:t>
      </w:r>
      <w:hyperlink r:id="rId32" w:history="1">
        <w:r w:rsidR="00C32CCF" w:rsidRPr="00C32CCF">
          <w:rPr>
            <w:color w:val="0000FF"/>
            <w:u w:val="single"/>
            <w:rtl/>
          </w:rPr>
          <w:t>288</w:t>
        </w:r>
      </w:hyperlink>
      <w:r>
        <w:rPr>
          <w:rFonts w:hint="cs"/>
          <w:rtl/>
        </w:rPr>
        <w:t xml:space="preserve"> ל</w:t>
      </w:r>
      <w:hyperlink r:id="rId33" w:history="1">
        <w:r w:rsidR="00292666" w:rsidRPr="00292666">
          <w:rPr>
            <w:rStyle w:val="Hyperlink"/>
            <w:rtl/>
          </w:rPr>
          <w:t>חוק העונשין</w:t>
        </w:r>
      </w:hyperlink>
      <w:r>
        <w:rPr>
          <w:rFonts w:hint="cs"/>
          <w:rtl/>
        </w:rPr>
        <w:t xml:space="preserve"> התשל"ז-1977, עמדתי בהרחבה בהכרעת הדין, ואין אפוא מקום או צורך לחזור ולפרט בנדון.</w:t>
      </w:r>
    </w:p>
    <w:p w14:paraId="1AD22029" w14:textId="77777777" w:rsidR="00E1564C" w:rsidRDefault="00E1564C">
      <w:pPr>
        <w:spacing w:line="360" w:lineRule="auto"/>
        <w:jc w:val="both"/>
        <w:rPr>
          <w:rtl/>
        </w:rPr>
      </w:pPr>
    </w:p>
    <w:p w14:paraId="0A2894C6" w14:textId="77777777" w:rsidR="00E1564C" w:rsidRDefault="00394D1A">
      <w:pPr>
        <w:spacing w:line="360" w:lineRule="auto"/>
        <w:jc w:val="both"/>
        <w:rPr>
          <w:rtl/>
        </w:rPr>
      </w:pPr>
      <w:r>
        <w:rPr>
          <w:rFonts w:hint="cs"/>
          <w:rtl/>
        </w:rPr>
        <w:t xml:space="preserve">עם זאת, ראוי לחזור ולציין כי מכלול התנהגותו של הנאשם התאפיין  בהתנהגות מתריסה ומזלזלת כלפי השוטרים, בהיותו שתוי, שהגיעו למקום, זאת כאשר סרב תחילה להזדהות בפני השוטרים, ובהמשך לכך, כאמור, התנהג  באופן פוגעני, כפי שתואר בהכרעת הדין, דבר שהצריך הפעלת כח נגדו. </w:t>
      </w:r>
    </w:p>
    <w:p w14:paraId="51E0152B" w14:textId="77777777" w:rsidR="00E1564C" w:rsidRDefault="00E1564C">
      <w:pPr>
        <w:spacing w:line="360" w:lineRule="auto"/>
        <w:jc w:val="both"/>
        <w:rPr>
          <w:rtl/>
        </w:rPr>
      </w:pPr>
    </w:p>
    <w:p w14:paraId="1C98F707" w14:textId="77777777" w:rsidR="00E1564C" w:rsidRDefault="00394D1A">
      <w:pPr>
        <w:spacing w:line="360" w:lineRule="auto"/>
        <w:jc w:val="both"/>
        <w:rPr>
          <w:rtl/>
        </w:rPr>
      </w:pPr>
      <w:r>
        <w:rPr>
          <w:rFonts w:hint="cs"/>
          <w:rtl/>
        </w:rPr>
        <w:t>סנגורו של הנאשם, ביקש להקל עמו ככל שניתן, בשים לב למצבו הכלכלי הרעוע, ולעברו, כאשר מסתבר כי מדובר ברישום ללא הרשעה, משנת 2006.</w:t>
      </w:r>
    </w:p>
    <w:p w14:paraId="33498A4E" w14:textId="77777777" w:rsidR="00E1564C" w:rsidRDefault="00E1564C">
      <w:pPr>
        <w:spacing w:line="360" w:lineRule="auto"/>
        <w:jc w:val="both"/>
        <w:rPr>
          <w:rtl/>
        </w:rPr>
      </w:pPr>
    </w:p>
    <w:p w14:paraId="274BA61C" w14:textId="77777777" w:rsidR="00E1564C" w:rsidRDefault="00394D1A">
      <w:pPr>
        <w:spacing w:line="360" w:lineRule="auto"/>
        <w:jc w:val="both"/>
        <w:rPr>
          <w:rtl/>
        </w:rPr>
      </w:pPr>
      <w:r>
        <w:rPr>
          <w:rFonts w:hint="cs"/>
          <w:rtl/>
        </w:rPr>
        <w:t>בנסיבות אלו עתר הסנגור לגזור על הנאשם קנס סימלי, בצירוף התחייבות.</w:t>
      </w:r>
    </w:p>
    <w:p w14:paraId="1C30367F" w14:textId="77777777" w:rsidR="00E1564C" w:rsidRDefault="00E1564C">
      <w:pPr>
        <w:spacing w:line="360" w:lineRule="auto"/>
        <w:jc w:val="both"/>
        <w:rPr>
          <w:rtl/>
        </w:rPr>
      </w:pPr>
    </w:p>
    <w:p w14:paraId="00A77411" w14:textId="77777777" w:rsidR="00E1564C" w:rsidRDefault="00394D1A">
      <w:pPr>
        <w:spacing w:line="360" w:lineRule="auto"/>
        <w:jc w:val="both"/>
        <w:rPr>
          <w:rtl/>
        </w:rPr>
      </w:pPr>
      <w:r>
        <w:rPr>
          <w:rFonts w:hint="cs"/>
          <w:rtl/>
        </w:rPr>
        <w:t>אכן, אלימותו של הנאשם לא הייתה ברף גבוה, אך יחד עם זאת, לא ניתן להקל ראש בטיב התנהגותו שהתבטאה כאמור בביצוע העבירות שלעיל.  יש אפוא מקום, בנסיבות הכוללות של האירוע, לנקוט גם בצעד של הטלת עונש שיהיה בו משום הרתעה לעתיד לבוא, מאחר ולא ניתן להקל ראש במכלול התנהגותו.</w:t>
      </w:r>
    </w:p>
    <w:p w14:paraId="331C600E" w14:textId="77777777" w:rsidR="00E1564C" w:rsidRDefault="00E1564C">
      <w:pPr>
        <w:spacing w:line="360" w:lineRule="auto"/>
        <w:jc w:val="both"/>
        <w:rPr>
          <w:rtl/>
        </w:rPr>
      </w:pPr>
    </w:p>
    <w:p w14:paraId="629DD58C" w14:textId="77777777" w:rsidR="00E1564C" w:rsidRDefault="00394D1A">
      <w:pPr>
        <w:spacing w:line="360" w:lineRule="auto"/>
        <w:jc w:val="both"/>
        <w:rPr>
          <w:b/>
          <w:bCs/>
          <w:rtl/>
        </w:rPr>
      </w:pPr>
      <w:r>
        <w:rPr>
          <w:rFonts w:hint="cs"/>
          <w:b/>
          <w:bCs/>
          <w:rtl/>
        </w:rPr>
        <w:t>אשר על כן, אני גוזר על הנאשם כדלקמן:</w:t>
      </w:r>
    </w:p>
    <w:p w14:paraId="5C1646BE" w14:textId="77777777" w:rsidR="00E1564C" w:rsidRDefault="00394D1A">
      <w:pPr>
        <w:spacing w:line="360" w:lineRule="auto"/>
        <w:ind w:left="720" w:hanging="720"/>
        <w:jc w:val="both"/>
        <w:rPr>
          <w:rtl/>
        </w:rPr>
      </w:pPr>
      <w:r>
        <w:rPr>
          <w:rFonts w:hint="cs"/>
          <w:rtl/>
        </w:rPr>
        <w:t>א.</w:t>
      </w:r>
      <w:r>
        <w:rPr>
          <w:rFonts w:hint="cs"/>
          <w:rtl/>
        </w:rPr>
        <w:tab/>
        <w:t>4 חודשי מאסר, שיהיו על תנאי למשך שנתיים מהיום, והתנאי הוא שלא יעבור עבירה שהיא אלימות פיזית כלפי גוף אדם, במשך תקופת התנאי.</w:t>
      </w:r>
    </w:p>
    <w:p w14:paraId="5DA4D850" w14:textId="77777777" w:rsidR="00E1564C" w:rsidRDefault="00394D1A">
      <w:pPr>
        <w:spacing w:line="360" w:lineRule="auto"/>
        <w:ind w:left="720" w:hanging="720"/>
        <w:jc w:val="both"/>
        <w:rPr>
          <w:rtl/>
        </w:rPr>
      </w:pPr>
      <w:r>
        <w:rPr>
          <w:rFonts w:hint="cs"/>
          <w:rtl/>
        </w:rPr>
        <w:t>ב.</w:t>
      </w:r>
      <w:r>
        <w:rPr>
          <w:rFonts w:hint="cs"/>
          <w:rtl/>
        </w:rPr>
        <w:tab/>
        <w:t>קנס כספי בסך 750 ₪ או 10 ימי מאסר תמורתו. הקנס ישולם ב-3 שיעורים חודשיים שווים ורצופים, של 250 ₪ כל אחד, הראשון בהם ב- 1.3.2012. הובהר לנאשם כי אם אחד מהתשלומים לא ישולם במועדו, יעמוד הקנס, במלואו, לפרעון מיידי.</w:t>
      </w:r>
      <w:r>
        <w:rPr>
          <w:rFonts w:hint="cs"/>
        </w:rPr>
        <w:t xml:space="preserve"> </w:t>
      </w:r>
    </w:p>
    <w:p w14:paraId="180B677B" w14:textId="77777777" w:rsidR="00E1564C" w:rsidRDefault="00E1564C">
      <w:pPr>
        <w:spacing w:line="360" w:lineRule="auto"/>
        <w:jc w:val="both"/>
        <w:rPr>
          <w:rtl/>
        </w:rPr>
      </w:pPr>
    </w:p>
    <w:p w14:paraId="088D9B2D" w14:textId="77777777" w:rsidR="00E1564C" w:rsidRDefault="00E1564C">
      <w:pPr>
        <w:spacing w:line="360" w:lineRule="auto"/>
        <w:jc w:val="both"/>
        <w:rPr>
          <w:rtl/>
        </w:rPr>
      </w:pPr>
    </w:p>
    <w:p w14:paraId="3B86B762" w14:textId="77777777" w:rsidR="00E1564C" w:rsidRDefault="00394D1A">
      <w:pPr>
        <w:spacing w:line="360" w:lineRule="auto"/>
        <w:jc w:val="both"/>
        <w:rPr>
          <w:b/>
          <w:bCs/>
          <w:rtl/>
        </w:rPr>
      </w:pPr>
      <w:r>
        <w:rPr>
          <w:rFonts w:hint="cs"/>
          <w:b/>
          <w:bCs/>
          <w:rtl/>
        </w:rPr>
        <w:t>הודעת זכות ערעור בתוך 45 יום מהיום.</w:t>
      </w:r>
    </w:p>
    <w:p w14:paraId="3A36009F" w14:textId="77777777" w:rsidR="00E1564C" w:rsidRDefault="00E1564C">
      <w:pPr>
        <w:spacing w:line="360" w:lineRule="auto"/>
        <w:jc w:val="both"/>
        <w:rPr>
          <w:rtl/>
        </w:rPr>
      </w:pPr>
    </w:p>
    <w:p w14:paraId="44C29B51" w14:textId="77777777" w:rsidR="00E1564C" w:rsidRDefault="00394D1A">
      <w:pPr>
        <w:spacing w:line="360" w:lineRule="auto"/>
        <w:jc w:val="both"/>
        <w:rPr>
          <w:sz w:val="6"/>
          <w:szCs w:val="6"/>
          <w:rtl/>
        </w:rPr>
      </w:pPr>
      <w:r>
        <w:rPr>
          <w:sz w:val="6"/>
          <w:szCs w:val="6"/>
          <w:rtl/>
        </w:rPr>
        <w:t>&lt;#7#&gt;</w:t>
      </w:r>
    </w:p>
    <w:p w14:paraId="78CD5E2B" w14:textId="77777777" w:rsidR="00E1564C" w:rsidRDefault="00E1564C">
      <w:pPr>
        <w:jc w:val="right"/>
        <w:rPr>
          <w:rtl/>
        </w:rPr>
      </w:pPr>
    </w:p>
    <w:p w14:paraId="79A29F77" w14:textId="77777777" w:rsidR="00E1564C" w:rsidRDefault="00394D1A">
      <w:pPr>
        <w:jc w:val="both"/>
        <w:rPr>
          <w:rtl/>
        </w:rPr>
      </w:pPr>
      <w:r>
        <w:rPr>
          <w:b/>
          <w:bCs/>
          <w:rtl/>
        </w:rPr>
        <w:t xml:space="preserve">ניתנה והודעה היום כ"ט טבת תשע"ב, 24/01/2012 במעמד הנוכחים.  </w:t>
      </w:r>
      <w:r>
        <w:rPr>
          <w:rtl/>
        </w:rPr>
        <w:t xml:space="preserve"> </w:t>
      </w:r>
    </w:p>
    <w:p w14:paraId="6ECC7E35" w14:textId="77777777" w:rsidR="00394D1A" w:rsidRPr="00394D1A" w:rsidRDefault="00394D1A">
      <w:pPr>
        <w:jc w:val="center"/>
        <w:rPr>
          <w:color w:val="FFFFFF"/>
          <w:sz w:val="2"/>
          <w:szCs w:val="2"/>
          <w:rtl/>
        </w:rPr>
      </w:pPr>
    </w:p>
    <w:p w14:paraId="36129956" w14:textId="77777777" w:rsidR="00394D1A" w:rsidRPr="00394D1A" w:rsidRDefault="00394D1A">
      <w:pPr>
        <w:jc w:val="center"/>
        <w:rPr>
          <w:color w:val="FFFFFF"/>
          <w:sz w:val="2"/>
          <w:szCs w:val="2"/>
          <w:rtl/>
        </w:rPr>
      </w:pPr>
      <w:r w:rsidRPr="00394D1A">
        <w:rPr>
          <w:color w:val="FFFFFF"/>
          <w:sz w:val="2"/>
          <w:szCs w:val="2"/>
          <w:rtl/>
        </w:rPr>
        <w:t>5129371</w:t>
      </w:r>
    </w:p>
    <w:p w14:paraId="0291493E" w14:textId="77777777" w:rsidR="00394D1A" w:rsidRPr="00394D1A" w:rsidRDefault="00394D1A" w:rsidP="00394D1A">
      <w:pPr>
        <w:keepNext/>
        <w:rPr>
          <w:color w:val="000000"/>
          <w:sz w:val="22"/>
          <w:szCs w:val="22"/>
          <w:rtl/>
        </w:rPr>
      </w:pPr>
    </w:p>
    <w:p w14:paraId="1AB39090" w14:textId="77777777" w:rsidR="007A5A62" w:rsidRPr="007A5A62" w:rsidRDefault="007A5A62">
      <w:pPr>
        <w:jc w:val="center"/>
        <w:rPr>
          <w:color w:val="FFFFFF"/>
          <w:sz w:val="2"/>
          <w:szCs w:val="2"/>
          <w:rtl/>
        </w:rPr>
      </w:pPr>
      <w:r w:rsidRPr="007A5A62">
        <w:rPr>
          <w:color w:val="FFFFFF"/>
          <w:sz w:val="2"/>
          <w:szCs w:val="2"/>
          <w:rtl/>
        </w:rPr>
        <w:t>5129371</w:t>
      </w:r>
    </w:p>
    <w:p w14:paraId="75BDB143" w14:textId="77777777" w:rsidR="007A5A62" w:rsidRPr="007A5A62" w:rsidRDefault="007A5A62" w:rsidP="007A5A62">
      <w:pPr>
        <w:keepNext/>
        <w:rPr>
          <w:color w:val="000000"/>
          <w:sz w:val="22"/>
          <w:szCs w:val="22"/>
          <w:rtl/>
        </w:rPr>
      </w:pPr>
    </w:p>
    <w:p w14:paraId="09465D17" w14:textId="77777777" w:rsidR="007A5A62" w:rsidRPr="007A5A62" w:rsidRDefault="007A5A62" w:rsidP="007A5A62">
      <w:pPr>
        <w:keepNext/>
        <w:rPr>
          <w:color w:val="000000"/>
          <w:sz w:val="22"/>
          <w:szCs w:val="22"/>
          <w:rtl/>
        </w:rPr>
      </w:pPr>
      <w:r w:rsidRPr="007A5A62">
        <w:rPr>
          <w:color w:val="000000"/>
          <w:sz w:val="22"/>
          <w:szCs w:val="22"/>
          <w:rtl/>
        </w:rPr>
        <w:t>מרדכי פלד 54678313-/</w:t>
      </w:r>
    </w:p>
    <w:p w14:paraId="6B6DF7AC" w14:textId="77777777" w:rsidR="00E1564C" w:rsidRDefault="007A5A62">
      <w:pPr>
        <w:jc w:val="center"/>
        <w:rPr>
          <w:rtl/>
        </w:rPr>
      </w:pPr>
      <w:r w:rsidRPr="007A5A62">
        <w:rPr>
          <w:color w:val="FFFFFF"/>
          <w:sz w:val="2"/>
          <w:szCs w:val="2"/>
          <w:rtl/>
        </w:rPr>
        <w:t>54678313</w:t>
      </w:r>
      <w:r w:rsidR="00394D1A" w:rsidRPr="00394D1A">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2628"/>
      </w:tblGrid>
      <w:tr w:rsidR="00E1564C" w14:paraId="06D82237" w14:textId="77777777" w:rsidTr="00247257">
        <w:trPr>
          <w:trHeight w:val="364"/>
          <w:jc w:val="right"/>
        </w:trPr>
        <w:tc>
          <w:tcPr>
            <w:tcW w:w="2628" w:type="dxa"/>
            <w:shd w:val="clear" w:color="auto" w:fill="auto"/>
          </w:tcPr>
          <w:p w14:paraId="74C363CA" w14:textId="77777777" w:rsidR="00E1564C" w:rsidRDefault="00E1564C" w:rsidP="00247257">
            <w:pPr>
              <w:jc w:val="center"/>
              <w:rPr>
                <w:rtl/>
              </w:rPr>
            </w:pPr>
          </w:p>
        </w:tc>
      </w:tr>
      <w:tr w:rsidR="00E1564C" w14:paraId="5B722301" w14:textId="77777777" w:rsidTr="00247257">
        <w:trPr>
          <w:trHeight w:val="415"/>
          <w:jc w:val="right"/>
        </w:trPr>
        <w:tc>
          <w:tcPr>
            <w:tcW w:w="2628" w:type="dxa"/>
            <w:shd w:val="clear" w:color="auto" w:fill="auto"/>
          </w:tcPr>
          <w:p w14:paraId="2CA545C3" w14:textId="77777777" w:rsidR="00E1564C" w:rsidRPr="00247257" w:rsidRDefault="00394D1A" w:rsidP="00247257">
            <w:pPr>
              <w:jc w:val="center"/>
              <w:rPr>
                <w:b/>
                <w:bCs/>
              </w:rPr>
            </w:pPr>
            <w:r w:rsidRPr="00247257">
              <w:rPr>
                <w:rFonts w:hint="cs"/>
                <w:b/>
                <w:bCs/>
                <w:rtl/>
              </w:rPr>
              <w:t>מרדכי פלד, סגן נשיא</w:t>
            </w:r>
          </w:p>
        </w:tc>
      </w:tr>
    </w:tbl>
    <w:p w14:paraId="44B5BD0C" w14:textId="77777777" w:rsidR="00394D1A" w:rsidRDefault="00394D1A" w:rsidP="00394D1A">
      <w:r w:rsidRPr="00394D1A">
        <w:rPr>
          <w:color w:val="000000"/>
          <w:rtl/>
        </w:rPr>
        <w:t>נוסח מסמך זה כפוף לשינויי ניסוח ועריכה</w:t>
      </w:r>
    </w:p>
    <w:p w14:paraId="0B224D7B" w14:textId="77777777" w:rsidR="00394D1A" w:rsidRDefault="00394D1A" w:rsidP="00394D1A">
      <w:pPr>
        <w:rPr>
          <w:rtl/>
        </w:rPr>
      </w:pPr>
    </w:p>
    <w:p w14:paraId="3E030C2D" w14:textId="77777777" w:rsidR="00394D1A" w:rsidRDefault="00394D1A" w:rsidP="00394D1A">
      <w:pPr>
        <w:jc w:val="center"/>
        <w:rPr>
          <w:color w:val="0000FF"/>
          <w:u w:val="single"/>
        </w:rPr>
      </w:pPr>
      <w:r w:rsidRPr="00142827">
        <w:rPr>
          <w:color w:val="000000"/>
          <w:rtl/>
        </w:rPr>
        <w:t>בעניין עריכה ושינויים במסמכי פסיקה, חקיקה ועוד באתר נבו – הקש כאן</w:t>
      </w:r>
    </w:p>
    <w:sectPr w:rsidR="00394D1A" w:rsidSect="007A5A62">
      <w:headerReference w:type="even" r:id="rId34"/>
      <w:headerReference w:type="default" r:id="rId35"/>
      <w:footerReference w:type="even" r:id="rId36"/>
      <w:footerReference w:type="default" r:id="rId3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7F0AC" w14:textId="77777777" w:rsidR="00247257" w:rsidRPr="00723A6B" w:rsidRDefault="00247257">
      <w:pPr>
        <w:rPr>
          <w:rFonts w:cs="Arial"/>
          <w:szCs w:val="20"/>
        </w:rPr>
      </w:pPr>
      <w:r>
        <w:separator/>
      </w:r>
    </w:p>
  </w:endnote>
  <w:endnote w:type="continuationSeparator" w:id="0">
    <w:p w14:paraId="66D3F625" w14:textId="77777777" w:rsidR="00247257" w:rsidRPr="00723A6B" w:rsidRDefault="0024725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C790E" w14:textId="77777777" w:rsidR="002710A4" w:rsidRDefault="002710A4" w:rsidP="007A5A6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3ACE84C" w14:textId="77777777" w:rsidR="002710A4" w:rsidRPr="007A5A62" w:rsidRDefault="002710A4" w:rsidP="007A5A62">
    <w:pPr>
      <w:pStyle w:val="Footer"/>
      <w:pBdr>
        <w:top w:val="single" w:sz="4" w:space="1" w:color="auto"/>
        <w:between w:val="single" w:sz="4" w:space="0" w:color="auto"/>
      </w:pBdr>
      <w:spacing w:after="60"/>
      <w:jc w:val="center"/>
      <w:rPr>
        <w:rFonts w:ascii="FrankRuehl" w:hAnsi="FrankRuehl" w:cs="FrankRuehl"/>
        <w:color w:val="000000"/>
      </w:rPr>
    </w:pPr>
    <w:r w:rsidRPr="007A5A6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3B06A" w14:textId="77777777" w:rsidR="002710A4" w:rsidRDefault="002710A4" w:rsidP="007A5A6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7029">
      <w:rPr>
        <w:rFonts w:ascii="FrankRuehl" w:hAnsi="FrankRuehl" w:cs="FrankRuehl"/>
        <w:noProof/>
        <w:rtl/>
      </w:rPr>
      <w:t>1</w:t>
    </w:r>
    <w:r>
      <w:rPr>
        <w:rFonts w:ascii="FrankRuehl" w:hAnsi="FrankRuehl" w:cs="FrankRuehl"/>
        <w:rtl/>
      </w:rPr>
      <w:fldChar w:fldCharType="end"/>
    </w:r>
  </w:p>
  <w:p w14:paraId="62937C3E" w14:textId="77777777" w:rsidR="002710A4" w:rsidRPr="007A5A62" w:rsidRDefault="002710A4" w:rsidP="007A5A62">
    <w:pPr>
      <w:pStyle w:val="Footer"/>
      <w:pBdr>
        <w:top w:val="single" w:sz="4" w:space="1" w:color="auto"/>
        <w:between w:val="single" w:sz="4" w:space="0" w:color="auto"/>
      </w:pBdr>
      <w:spacing w:after="60"/>
      <w:jc w:val="center"/>
      <w:rPr>
        <w:rFonts w:ascii="FrankRuehl" w:hAnsi="FrankRuehl" w:cs="FrankRuehl"/>
        <w:color w:val="000000"/>
      </w:rPr>
    </w:pPr>
    <w:r w:rsidRPr="007A5A62">
      <w:rPr>
        <w:rFonts w:ascii="FrankRuehl" w:hAnsi="FrankRuehl" w:cs="FrankRuehl"/>
        <w:color w:val="000000"/>
      </w:rPr>
      <w:pict w14:anchorId="19217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6DF6F" w14:textId="77777777" w:rsidR="00247257" w:rsidRPr="00723A6B" w:rsidRDefault="00247257">
      <w:pPr>
        <w:rPr>
          <w:rFonts w:cs="Arial"/>
          <w:szCs w:val="20"/>
        </w:rPr>
      </w:pPr>
      <w:r>
        <w:separator/>
      </w:r>
    </w:p>
  </w:footnote>
  <w:footnote w:type="continuationSeparator" w:id="0">
    <w:p w14:paraId="34A122D9" w14:textId="77777777" w:rsidR="00247257" w:rsidRPr="00723A6B" w:rsidRDefault="0024725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E309C" w14:textId="77777777" w:rsidR="002710A4" w:rsidRPr="007A5A62" w:rsidRDefault="002710A4" w:rsidP="007A5A62">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17627-06-11</w:t>
    </w:r>
    <w:r>
      <w:rPr>
        <w:color w:val="000000"/>
        <w:sz w:val="22"/>
        <w:szCs w:val="22"/>
        <w:rtl/>
      </w:rPr>
      <w:tab/>
      <w:t xml:space="preserve"> מדינת ישראל נ' אלכסנדר לנקוב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73A4" w14:textId="77777777" w:rsidR="002710A4" w:rsidRPr="007A5A62" w:rsidRDefault="002710A4" w:rsidP="007A5A62">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17627-06-11</w:t>
    </w:r>
    <w:r>
      <w:rPr>
        <w:color w:val="000000"/>
        <w:sz w:val="22"/>
        <w:szCs w:val="22"/>
        <w:rtl/>
      </w:rPr>
      <w:tab/>
      <w:t xml:space="preserve"> מדינת ישראל נ' אלכסנדר לנקוב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564C"/>
    <w:rsid w:val="000E2268"/>
    <w:rsid w:val="00142827"/>
    <w:rsid w:val="00247257"/>
    <w:rsid w:val="002710A4"/>
    <w:rsid w:val="00292666"/>
    <w:rsid w:val="002E7633"/>
    <w:rsid w:val="00394D1A"/>
    <w:rsid w:val="00522018"/>
    <w:rsid w:val="00557029"/>
    <w:rsid w:val="005A15B1"/>
    <w:rsid w:val="0066745C"/>
    <w:rsid w:val="006805D0"/>
    <w:rsid w:val="007A5A62"/>
    <w:rsid w:val="00C32CCF"/>
    <w:rsid w:val="00E156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43243B7"/>
  <w15:chartTrackingRefBased/>
  <w15:docId w15:val="{F3A7662B-B76B-409D-B227-ED42234E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564C"/>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E1564C"/>
  </w:style>
  <w:style w:type="paragraph" w:styleId="Header">
    <w:name w:val="header"/>
    <w:basedOn w:val="Normal"/>
    <w:rsid w:val="00E1564C"/>
    <w:pPr>
      <w:tabs>
        <w:tab w:val="center" w:pos="4153"/>
        <w:tab w:val="right" w:pos="8306"/>
      </w:tabs>
    </w:pPr>
  </w:style>
  <w:style w:type="paragraph" w:styleId="Footer">
    <w:name w:val="footer"/>
    <w:basedOn w:val="Normal"/>
    <w:rsid w:val="00E1564C"/>
    <w:pPr>
      <w:tabs>
        <w:tab w:val="center" w:pos="4153"/>
        <w:tab w:val="right" w:pos="8306"/>
      </w:tabs>
    </w:pPr>
  </w:style>
  <w:style w:type="table" w:styleId="TableGrid">
    <w:name w:val="Table Grid"/>
    <w:basedOn w:val="TableNormal"/>
    <w:rsid w:val="00E1564C"/>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1564C"/>
  </w:style>
  <w:style w:type="paragraph" w:customStyle="1" w:styleId="12">
    <w:name w:val="רגיל + ‏12 נק'"/>
    <w:aliases w:val="מיושר לשני הצדדים,מרווח בין שורות:  שורה וחצי"/>
    <w:basedOn w:val="Normal"/>
    <w:rsid w:val="00E1564C"/>
    <w:rPr>
      <w:rFonts w:ascii="Times New Roman" w:eastAsia="Times New Roman" w:hAnsi="Times New Roman"/>
      <w:b/>
      <w:bCs/>
      <w:u w:val="single"/>
    </w:rPr>
  </w:style>
  <w:style w:type="character" w:styleId="Hyperlink">
    <w:name w:val="Hyperlink"/>
    <w:rsid w:val="00394D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9.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law/70301/273" TargetMode="External"/><Relationship Id="rId34" Type="http://schemas.openxmlformats.org/officeDocument/2006/relationships/header" Target="header1.xml"/><Relationship Id="rId7" Type="http://schemas.openxmlformats.org/officeDocument/2006/relationships/hyperlink" Target="http://www.nevo.co.il/law/70301/192" TargetMode="External"/><Relationship Id="rId12" Type="http://schemas.openxmlformats.org/officeDocument/2006/relationships/hyperlink" Target="http://www.nevo.co.il/law/70301/192" TargetMode="External"/><Relationship Id="rId17" Type="http://schemas.openxmlformats.org/officeDocument/2006/relationships/hyperlink" Target="http://www.nevo.co.il/law/70301/288" TargetMode="External"/><Relationship Id="rId25" Type="http://schemas.openxmlformats.org/officeDocument/2006/relationships/hyperlink" Target="http://www.nevo.co.il/law/70301/34kd" TargetMode="External"/><Relationship Id="rId33" Type="http://schemas.openxmlformats.org/officeDocument/2006/relationships/hyperlink" Target="http://www.nevo.co.il/law/70301"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273" TargetMode="External"/><Relationship Id="rId20" Type="http://schemas.openxmlformats.org/officeDocument/2006/relationships/hyperlink" Target="http://www.nevo.co.il/law/70301/288" TargetMode="External"/><Relationship Id="rId29" Type="http://schemas.openxmlformats.org/officeDocument/2006/relationships/hyperlink" Target="http://www.nevo.co.il/law/70301/19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kd" TargetMode="External"/><Relationship Id="rId24" Type="http://schemas.openxmlformats.org/officeDocument/2006/relationships/hyperlink" Target="http://www.nevo.co.il/law/70301/349.a" TargetMode="External"/><Relationship Id="rId32" Type="http://schemas.openxmlformats.org/officeDocument/2006/relationships/hyperlink" Target="http://www.nevo.co.il/law/70301/288"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349.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9.a" TargetMode="External"/><Relationship Id="rId36" Type="http://schemas.openxmlformats.org/officeDocument/2006/relationships/footer" Target="footer1.xml"/><Relationship Id="rId10" Type="http://schemas.openxmlformats.org/officeDocument/2006/relationships/hyperlink" Target="http://www.nevo.co.il/law/70301/349.a" TargetMode="External"/><Relationship Id="rId19" Type="http://schemas.openxmlformats.org/officeDocument/2006/relationships/hyperlink" Target="http://www.nevo.co.il/law/70301/349.a" TargetMode="External"/><Relationship Id="rId31" Type="http://schemas.openxmlformats.org/officeDocument/2006/relationships/hyperlink" Target="http://www.nevo.co.il/law/70301/273" TargetMode="External"/><Relationship Id="rId4" Type="http://schemas.openxmlformats.org/officeDocument/2006/relationships/footnotes" Target="footnotes.xml"/><Relationship Id="rId9" Type="http://schemas.openxmlformats.org/officeDocument/2006/relationships/hyperlink" Target="http://www.nevo.co.il/law/70301/288"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288" TargetMode="External"/><Relationship Id="rId27" Type="http://schemas.openxmlformats.org/officeDocument/2006/relationships/hyperlink" Target="http://www.nevo.co.il/case/6232497"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70301/273"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1818</Words>
  <Characters>10363</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12157</CharactersWithSpaces>
  <SharedDoc>false</SharedDoc>
  <HLinks>
    <vt:vector size="168" baseType="variant">
      <vt:variant>
        <vt:i4>7995492</vt:i4>
      </vt:variant>
      <vt:variant>
        <vt:i4>81</vt:i4>
      </vt:variant>
      <vt:variant>
        <vt:i4>0</vt:i4>
      </vt:variant>
      <vt:variant>
        <vt:i4>5</vt:i4>
      </vt:variant>
      <vt:variant>
        <vt:lpwstr>http://www.nevo.co.il/law/70301</vt:lpwstr>
      </vt:variant>
      <vt:variant>
        <vt:lpwstr/>
      </vt:variant>
      <vt:variant>
        <vt:i4>7143527</vt:i4>
      </vt:variant>
      <vt:variant>
        <vt:i4>78</vt:i4>
      </vt:variant>
      <vt:variant>
        <vt:i4>0</vt:i4>
      </vt:variant>
      <vt:variant>
        <vt:i4>5</vt:i4>
      </vt:variant>
      <vt:variant>
        <vt:lpwstr>http://www.nevo.co.il/law/70301/288</vt:lpwstr>
      </vt:variant>
      <vt:variant>
        <vt:lpwstr/>
      </vt:variant>
      <vt:variant>
        <vt:i4>6422631</vt:i4>
      </vt:variant>
      <vt:variant>
        <vt:i4>75</vt:i4>
      </vt:variant>
      <vt:variant>
        <vt:i4>0</vt:i4>
      </vt:variant>
      <vt:variant>
        <vt:i4>5</vt:i4>
      </vt:variant>
      <vt:variant>
        <vt:lpwstr>http://www.nevo.co.il/law/70301/273</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7077988</vt:i4>
      </vt:variant>
      <vt:variant>
        <vt:i4>69</vt:i4>
      </vt:variant>
      <vt:variant>
        <vt:i4>0</vt:i4>
      </vt:variant>
      <vt:variant>
        <vt:i4>5</vt:i4>
      </vt:variant>
      <vt:variant>
        <vt:lpwstr>http://www.nevo.co.il/law/70301/192</vt:lpwstr>
      </vt:variant>
      <vt:variant>
        <vt:lpwstr/>
      </vt:variant>
      <vt:variant>
        <vt:i4>5177439</vt:i4>
      </vt:variant>
      <vt:variant>
        <vt:i4>66</vt:i4>
      </vt:variant>
      <vt:variant>
        <vt:i4>0</vt:i4>
      </vt:variant>
      <vt:variant>
        <vt:i4>5</vt:i4>
      </vt:variant>
      <vt:variant>
        <vt:lpwstr>http://www.nevo.co.il/law/70301/349.a</vt:lpwstr>
      </vt:variant>
      <vt:variant>
        <vt:lpwstr/>
      </vt:variant>
      <vt:variant>
        <vt:i4>3539069</vt:i4>
      </vt:variant>
      <vt:variant>
        <vt:i4>63</vt:i4>
      </vt:variant>
      <vt:variant>
        <vt:i4>0</vt:i4>
      </vt:variant>
      <vt:variant>
        <vt:i4>5</vt:i4>
      </vt:variant>
      <vt:variant>
        <vt:lpwstr>http://www.nevo.co.il/case/6232497</vt:lpwstr>
      </vt:variant>
      <vt:variant>
        <vt:lpwstr/>
      </vt:variant>
      <vt:variant>
        <vt:i4>7995492</vt:i4>
      </vt:variant>
      <vt:variant>
        <vt:i4>60</vt:i4>
      </vt:variant>
      <vt:variant>
        <vt:i4>0</vt:i4>
      </vt:variant>
      <vt:variant>
        <vt:i4>5</vt:i4>
      </vt:variant>
      <vt:variant>
        <vt:lpwstr>http://www.nevo.co.il/law/70301</vt:lpwstr>
      </vt:variant>
      <vt:variant>
        <vt:lpwstr/>
      </vt:variant>
      <vt:variant>
        <vt:i4>327693</vt:i4>
      </vt:variant>
      <vt:variant>
        <vt:i4>57</vt:i4>
      </vt:variant>
      <vt:variant>
        <vt:i4>0</vt:i4>
      </vt:variant>
      <vt:variant>
        <vt:i4>5</vt:i4>
      </vt:variant>
      <vt:variant>
        <vt:lpwstr>http://www.nevo.co.il/law/70301/34kd</vt:lpwstr>
      </vt:variant>
      <vt:variant>
        <vt:lpwstr/>
      </vt:variant>
      <vt:variant>
        <vt:i4>5177439</vt:i4>
      </vt:variant>
      <vt:variant>
        <vt:i4>54</vt:i4>
      </vt:variant>
      <vt:variant>
        <vt:i4>0</vt:i4>
      </vt:variant>
      <vt:variant>
        <vt:i4>5</vt:i4>
      </vt:variant>
      <vt:variant>
        <vt:lpwstr>http://www.nevo.co.il/law/70301/349.a</vt:lpwstr>
      </vt:variant>
      <vt:variant>
        <vt:lpwstr/>
      </vt:variant>
      <vt:variant>
        <vt:i4>7995492</vt:i4>
      </vt:variant>
      <vt:variant>
        <vt:i4>51</vt:i4>
      </vt:variant>
      <vt:variant>
        <vt:i4>0</vt:i4>
      </vt:variant>
      <vt:variant>
        <vt:i4>5</vt:i4>
      </vt:variant>
      <vt:variant>
        <vt:lpwstr>http://www.nevo.co.il/law/70301</vt:lpwstr>
      </vt:variant>
      <vt:variant>
        <vt:lpwstr/>
      </vt:variant>
      <vt:variant>
        <vt:i4>7143527</vt:i4>
      </vt:variant>
      <vt:variant>
        <vt:i4>48</vt:i4>
      </vt:variant>
      <vt:variant>
        <vt:i4>0</vt:i4>
      </vt:variant>
      <vt:variant>
        <vt:i4>5</vt:i4>
      </vt:variant>
      <vt:variant>
        <vt:lpwstr>http://www.nevo.co.il/law/70301/288</vt:lpwstr>
      </vt:variant>
      <vt:variant>
        <vt:lpwstr/>
      </vt:variant>
      <vt:variant>
        <vt:i4>6422631</vt:i4>
      </vt:variant>
      <vt:variant>
        <vt:i4>45</vt:i4>
      </vt:variant>
      <vt:variant>
        <vt:i4>0</vt:i4>
      </vt:variant>
      <vt:variant>
        <vt:i4>5</vt:i4>
      </vt:variant>
      <vt:variant>
        <vt:lpwstr>http://www.nevo.co.il/law/70301/273</vt:lpwstr>
      </vt:variant>
      <vt:variant>
        <vt:lpwstr/>
      </vt:variant>
      <vt:variant>
        <vt:i4>7143527</vt:i4>
      </vt:variant>
      <vt:variant>
        <vt:i4>42</vt:i4>
      </vt:variant>
      <vt:variant>
        <vt:i4>0</vt:i4>
      </vt:variant>
      <vt:variant>
        <vt:i4>5</vt:i4>
      </vt:variant>
      <vt:variant>
        <vt:lpwstr>http://www.nevo.co.il/law/70301/288</vt:lpwstr>
      </vt:variant>
      <vt:variant>
        <vt:lpwstr/>
      </vt:variant>
      <vt:variant>
        <vt:i4>5177439</vt:i4>
      </vt:variant>
      <vt:variant>
        <vt:i4>39</vt:i4>
      </vt:variant>
      <vt:variant>
        <vt:i4>0</vt:i4>
      </vt:variant>
      <vt:variant>
        <vt:i4>5</vt:i4>
      </vt:variant>
      <vt:variant>
        <vt:lpwstr>http://www.nevo.co.il/law/70301/349.a</vt:lpwstr>
      </vt:variant>
      <vt:variant>
        <vt:lpwstr/>
      </vt:variant>
      <vt:variant>
        <vt:i4>7995492</vt:i4>
      </vt:variant>
      <vt:variant>
        <vt:i4>36</vt:i4>
      </vt:variant>
      <vt:variant>
        <vt:i4>0</vt:i4>
      </vt:variant>
      <vt:variant>
        <vt:i4>5</vt:i4>
      </vt:variant>
      <vt:variant>
        <vt:lpwstr>http://www.nevo.co.il/law/70301</vt:lpwstr>
      </vt:variant>
      <vt:variant>
        <vt:lpwstr/>
      </vt:variant>
      <vt:variant>
        <vt:i4>7143527</vt:i4>
      </vt:variant>
      <vt:variant>
        <vt:i4>33</vt:i4>
      </vt:variant>
      <vt:variant>
        <vt:i4>0</vt:i4>
      </vt:variant>
      <vt:variant>
        <vt:i4>5</vt:i4>
      </vt:variant>
      <vt:variant>
        <vt:lpwstr>http://www.nevo.co.il/law/70301/288</vt:lpwstr>
      </vt:variant>
      <vt:variant>
        <vt:lpwstr/>
      </vt:variant>
      <vt:variant>
        <vt:i4>6422631</vt:i4>
      </vt:variant>
      <vt:variant>
        <vt:i4>30</vt:i4>
      </vt:variant>
      <vt:variant>
        <vt:i4>0</vt:i4>
      </vt:variant>
      <vt:variant>
        <vt:i4>5</vt:i4>
      </vt:variant>
      <vt:variant>
        <vt:lpwstr>http://www.nevo.co.il/law/70301/273</vt:lpwstr>
      </vt:variant>
      <vt:variant>
        <vt:lpwstr/>
      </vt:variant>
      <vt:variant>
        <vt:i4>5177439</vt:i4>
      </vt:variant>
      <vt:variant>
        <vt:i4>27</vt:i4>
      </vt:variant>
      <vt:variant>
        <vt:i4>0</vt:i4>
      </vt:variant>
      <vt:variant>
        <vt:i4>5</vt:i4>
      </vt:variant>
      <vt:variant>
        <vt:lpwstr>http://www.nevo.co.il/law/70301/349.a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5177439</vt:i4>
      </vt:variant>
      <vt:variant>
        <vt:i4>21</vt:i4>
      </vt:variant>
      <vt:variant>
        <vt:i4>0</vt:i4>
      </vt:variant>
      <vt:variant>
        <vt:i4>5</vt:i4>
      </vt:variant>
      <vt:variant>
        <vt:lpwstr>http://www.nevo.co.il/law/70301/349.a</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327693</vt:i4>
      </vt:variant>
      <vt:variant>
        <vt:i4>15</vt:i4>
      </vt:variant>
      <vt:variant>
        <vt:i4>0</vt:i4>
      </vt:variant>
      <vt:variant>
        <vt:i4>5</vt:i4>
      </vt:variant>
      <vt:variant>
        <vt:lpwstr>http://www.nevo.co.il/law/70301/34kd</vt:lpwstr>
      </vt:variant>
      <vt:variant>
        <vt:lpwstr/>
      </vt:variant>
      <vt:variant>
        <vt:i4>5177439</vt:i4>
      </vt:variant>
      <vt:variant>
        <vt:i4>12</vt:i4>
      </vt:variant>
      <vt:variant>
        <vt:i4>0</vt:i4>
      </vt:variant>
      <vt:variant>
        <vt:i4>5</vt:i4>
      </vt:variant>
      <vt:variant>
        <vt:lpwstr>http://www.nevo.co.il/law/70301/349.a</vt:lpwstr>
      </vt:variant>
      <vt:variant>
        <vt:lpwstr/>
      </vt:variant>
      <vt:variant>
        <vt:i4>7143527</vt:i4>
      </vt:variant>
      <vt:variant>
        <vt:i4>9</vt:i4>
      </vt:variant>
      <vt:variant>
        <vt:i4>0</vt:i4>
      </vt:variant>
      <vt:variant>
        <vt:i4>5</vt:i4>
      </vt:variant>
      <vt:variant>
        <vt:lpwstr>http://www.nevo.co.il/law/70301/288</vt:lpwstr>
      </vt:variant>
      <vt:variant>
        <vt:lpwstr/>
      </vt:variant>
      <vt:variant>
        <vt:i4>6422631</vt:i4>
      </vt:variant>
      <vt:variant>
        <vt:i4>6</vt:i4>
      </vt:variant>
      <vt:variant>
        <vt:i4>0</vt:i4>
      </vt:variant>
      <vt:variant>
        <vt:i4>5</vt:i4>
      </vt:variant>
      <vt:variant>
        <vt:lpwstr>http://www.nevo.co.il/law/70301/273</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2022-05-24T10:41:00Z</dcterms:created>
  <dcterms:modified xsi:type="dcterms:W3CDTF">2022-05-24T10:41:00Z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17627</vt:lpwstr>
  </property>
  <property fmtid="{D5CDD505-2E9C-101B-9397-08002B2CF9AE}" pid="6" name="NEWPARTB">
    <vt:lpwstr>06</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אלכסנדר לנקוב</vt:lpwstr>
  </property>
  <property fmtid="{D5CDD505-2E9C-101B-9397-08002B2CF9AE}" pid="10" name="LAWYER">
    <vt:lpwstr>לילך מאיר וולף;אבי אלפסי</vt:lpwstr>
  </property>
  <property fmtid="{D5CDD505-2E9C-101B-9397-08002B2CF9AE}" pid="11" name="JUDGE">
    <vt:lpwstr>מרדכי פלד</vt:lpwstr>
  </property>
  <property fmtid="{D5CDD505-2E9C-101B-9397-08002B2CF9AE}" pid="12" name="CITY">
    <vt:lpwstr>ת"א</vt:lpwstr>
  </property>
  <property fmtid="{D5CDD505-2E9C-101B-9397-08002B2CF9AE}" pid="13" name="DATE">
    <vt:lpwstr>20120124</vt:lpwstr>
  </property>
  <property fmtid="{D5CDD505-2E9C-101B-9397-08002B2CF9AE}" pid="14" name="TYPE_N_DATE">
    <vt:lpwstr>38020120124</vt:lpwstr>
  </property>
  <property fmtid="{D5CDD505-2E9C-101B-9397-08002B2CF9AE}" pid="15" name="WORDNUMPAGES">
    <vt:lpwstr>7</vt:lpwstr>
  </property>
  <property fmtid="{D5CDD505-2E9C-101B-9397-08002B2CF9AE}" pid="16" name="TYPE_ABS_DATE">
    <vt:lpwstr>380020120124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6232497</vt:lpwstr>
  </property>
  <property fmtid="{D5CDD505-2E9C-101B-9397-08002B2CF9AE}" pid="36" name="LAWLISTTMP1">
    <vt:lpwstr>70301/192:2;349.a:5;273:3;288:4;34kd</vt:lpwstr>
  </property>
</Properties>
</file>