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35"/>
        <w:gridCol w:w="3594"/>
      </w:tblGrid>
      <w:tr w:rsidR="00B820A6" w:rsidRPr="00594FCA" w14:paraId="4ACA097E" w14:textId="77777777">
        <w:trPr>
          <w:trHeight w:hRule="exact" w:val="418"/>
          <w:jc w:val="center"/>
        </w:trPr>
        <w:tc>
          <w:tcPr>
            <w:tcW w:w="8529" w:type="dxa"/>
            <w:gridSpan w:val="2"/>
          </w:tcPr>
          <w:p w14:paraId="1CAD98C2" w14:textId="77777777" w:rsidR="00B820A6" w:rsidRPr="00594FCA" w:rsidRDefault="00594FCA">
            <w:pPr>
              <w:pStyle w:val="Header"/>
              <w:jc w:val="center"/>
              <w:rPr>
                <w:rFonts w:ascii="Tahoma" w:hAnsi="Tahoma" w:cs="Tahoma"/>
                <w:color w:val="000080"/>
                <w:rtl/>
              </w:rPr>
            </w:pPr>
            <w:bookmarkStart w:id="0" w:name="LastJudge"/>
            <w:r w:rsidRPr="00594FCA">
              <w:rPr>
                <w:rFonts w:ascii="Tahoma" w:hAnsi="Tahoma" w:cs="Tahoma"/>
                <w:b/>
                <w:bCs/>
                <w:color w:val="000080"/>
                <w:rtl/>
              </w:rPr>
              <w:t>בית משפט השלום בירושלים</w:t>
            </w:r>
          </w:p>
        </w:tc>
      </w:tr>
      <w:tr w:rsidR="00B820A6" w:rsidRPr="00594FCA" w14:paraId="568A1097" w14:textId="77777777">
        <w:trPr>
          <w:trHeight w:val="337"/>
          <w:jc w:val="center"/>
        </w:trPr>
        <w:tc>
          <w:tcPr>
            <w:tcW w:w="4935" w:type="dxa"/>
          </w:tcPr>
          <w:p w14:paraId="43DAF765" w14:textId="77777777" w:rsidR="00B820A6" w:rsidRPr="00594FCA" w:rsidRDefault="00B820A6">
            <w:pPr>
              <w:pStyle w:val="Header"/>
              <w:rPr>
                <w:rFonts w:cs="FrankRuehl"/>
                <w:sz w:val="28"/>
                <w:szCs w:val="28"/>
                <w:rtl/>
              </w:rPr>
            </w:pPr>
          </w:p>
        </w:tc>
        <w:tc>
          <w:tcPr>
            <w:tcW w:w="3594" w:type="dxa"/>
          </w:tcPr>
          <w:p w14:paraId="4251C89D" w14:textId="77777777" w:rsidR="00B820A6" w:rsidRPr="00594FCA" w:rsidRDefault="00B820A6">
            <w:pPr>
              <w:pStyle w:val="Header"/>
              <w:jc w:val="right"/>
              <w:rPr>
                <w:rFonts w:cs="FrankRuehl"/>
                <w:sz w:val="28"/>
                <w:szCs w:val="28"/>
                <w:rtl/>
              </w:rPr>
            </w:pPr>
          </w:p>
        </w:tc>
      </w:tr>
      <w:tr w:rsidR="00B820A6" w:rsidRPr="00594FCA" w14:paraId="0222ACDD" w14:textId="77777777">
        <w:trPr>
          <w:trHeight w:val="337"/>
          <w:jc w:val="center"/>
        </w:trPr>
        <w:tc>
          <w:tcPr>
            <w:tcW w:w="8529" w:type="dxa"/>
            <w:gridSpan w:val="2"/>
          </w:tcPr>
          <w:p w14:paraId="09AB5DBB" w14:textId="77777777" w:rsidR="00B820A6" w:rsidRPr="00594FCA" w:rsidRDefault="00594FCA">
            <w:pPr>
              <w:tabs>
                <w:tab w:val="left" w:pos="7680"/>
              </w:tabs>
              <w:rPr>
                <w:rFonts w:cs="FrankRuehl"/>
                <w:sz w:val="28"/>
                <w:szCs w:val="28"/>
                <w:rtl/>
              </w:rPr>
            </w:pPr>
            <w:r w:rsidRPr="00594FCA">
              <w:rPr>
                <w:rFonts w:cs="FrankRuehl"/>
                <w:sz w:val="28"/>
                <w:szCs w:val="28"/>
                <w:rtl/>
              </w:rPr>
              <w:t>ת"פ</w:t>
            </w:r>
            <w:r w:rsidRPr="00594FCA">
              <w:rPr>
                <w:rFonts w:cs="FrankRuehl" w:hint="cs"/>
                <w:sz w:val="28"/>
                <w:szCs w:val="28"/>
                <w:rtl/>
              </w:rPr>
              <w:t xml:space="preserve"> </w:t>
            </w:r>
            <w:r w:rsidRPr="00594FCA">
              <w:rPr>
                <w:rFonts w:cs="FrankRuehl"/>
                <w:sz w:val="28"/>
                <w:szCs w:val="28"/>
                <w:rtl/>
              </w:rPr>
              <w:t>18370-11-11</w:t>
            </w:r>
            <w:r w:rsidRPr="00594FCA">
              <w:rPr>
                <w:rFonts w:cs="FrankRuehl" w:hint="cs"/>
                <w:sz w:val="28"/>
                <w:szCs w:val="28"/>
                <w:rtl/>
              </w:rPr>
              <w:t xml:space="preserve"> </w:t>
            </w:r>
            <w:r w:rsidRPr="00594FCA">
              <w:rPr>
                <w:rFonts w:cs="FrankRuehl"/>
                <w:sz w:val="28"/>
                <w:szCs w:val="28"/>
                <w:rtl/>
              </w:rPr>
              <w:t>מדינת ישראל נ' גורונג(אחר/נוסף)</w:t>
            </w:r>
            <w:r w:rsidRPr="00594FCA">
              <w:rPr>
                <w:rFonts w:hint="cs"/>
                <w:rtl/>
              </w:rPr>
              <w:t xml:space="preserve">                                      </w:t>
            </w:r>
            <w:r w:rsidRPr="00594FCA">
              <w:rPr>
                <w:rFonts w:cs="FrankRuehl" w:hint="cs"/>
                <w:sz w:val="28"/>
                <w:szCs w:val="28"/>
                <w:rtl/>
              </w:rPr>
              <w:t>11 נובמבר 2013</w:t>
            </w:r>
          </w:p>
          <w:p w14:paraId="0E377F7E" w14:textId="77777777" w:rsidR="00B820A6" w:rsidRPr="00594FCA" w:rsidRDefault="00B820A6">
            <w:pPr>
              <w:pStyle w:val="Header"/>
              <w:rPr>
                <w:rtl/>
              </w:rPr>
            </w:pPr>
          </w:p>
        </w:tc>
      </w:tr>
    </w:tbl>
    <w:p w14:paraId="074E5495" w14:textId="77777777" w:rsidR="00B820A6" w:rsidRPr="00594FCA" w:rsidRDefault="00594FCA" w:rsidP="009C2734">
      <w:pPr>
        <w:pStyle w:val="Header"/>
        <w:rPr>
          <w:rtl/>
        </w:rPr>
      </w:pPr>
      <w:r w:rsidRPr="00594FCA">
        <w:rPr>
          <w:rFonts w:hint="cs"/>
          <w:rtl/>
        </w:rPr>
        <w:t xml:space="preserve"> </w:t>
      </w:r>
    </w:p>
    <w:tbl>
      <w:tblPr>
        <w:bidiVisual/>
        <w:tblW w:w="8802" w:type="dxa"/>
        <w:tblLook w:val="01E0" w:firstRow="1" w:lastRow="1" w:firstColumn="1" w:lastColumn="1" w:noHBand="0" w:noVBand="0"/>
      </w:tblPr>
      <w:tblGrid>
        <w:gridCol w:w="2880"/>
        <w:gridCol w:w="5839"/>
        <w:gridCol w:w="83"/>
      </w:tblGrid>
      <w:tr w:rsidR="00B820A6" w:rsidRPr="00594FCA" w14:paraId="683D4D05" w14:textId="77777777">
        <w:trPr>
          <w:gridAfter w:val="1"/>
          <w:wAfter w:w="55" w:type="dxa"/>
        </w:trPr>
        <w:tc>
          <w:tcPr>
            <w:tcW w:w="8719" w:type="dxa"/>
            <w:gridSpan w:val="2"/>
          </w:tcPr>
          <w:p w14:paraId="630F97BE" w14:textId="77777777" w:rsidR="00B820A6" w:rsidRPr="00594FCA" w:rsidRDefault="00594FCA">
            <w:pPr>
              <w:spacing w:line="480" w:lineRule="auto"/>
              <w:jc w:val="both"/>
              <w:rPr>
                <w:rFonts w:ascii="Arial" w:hAnsi="Arial"/>
              </w:rPr>
            </w:pPr>
            <w:r w:rsidRPr="00594FCA">
              <w:rPr>
                <w:rFonts w:hint="cs"/>
                <w:b/>
                <w:bCs/>
                <w:sz w:val="26"/>
                <w:szCs w:val="26"/>
                <w:rtl/>
              </w:rPr>
              <w:t>בפני כב' השופטת אילתה זיסקינד</w:t>
            </w:r>
          </w:p>
        </w:tc>
      </w:tr>
      <w:tr w:rsidR="00B820A6" w:rsidRPr="00594FCA" w14:paraId="36992B89" w14:textId="77777777">
        <w:tc>
          <w:tcPr>
            <w:tcW w:w="2880" w:type="dxa"/>
          </w:tcPr>
          <w:p w14:paraId="12C0B726" w14:textId="77777777" w:rsidR="00B820A6" w:rsidRPr="00594FCA" w:rsidRDefault="00594FCA">
            <w:pPr>
              <w:ind w:left="26"/>
              <w:jc w:val="both"/>
              <w:rPr>
                <w:b/>
                <w:bCs/>
                <w:sz w:val="26"/>
                <w:szCs w:val="26"/>
              </w:rPr>
            </w:pPr>
            <w:bookmarkStart w:id="1" w:name="FirstAppellant"/>
            <w:r w:rsidRPr="00594FCA">
              <w:rPr>
                <w:rFonts w:hint="cs"/>
                <w:b/>
                <w:bCs/>
                <w:sz w:val="26"/>
                <w:szCs w:val="26"/>
                <w:rtl/>
              </w:rPr>
              <w:t>המאשימה</w:t>
            </w:r>
          </w:p>
        </w:tc>
        <w:tc>
          <w:tcPr>
            <w:tcW w:w="5922" w:type="dxa"/>
            <w:gridSpan w:val="2"/>
          </w:tcPr>
          <w:p w14:paraId="063EE9BA" w14:textId="77777777" w:rsidR="00B820A6" w:rsidRPr="00594FCA" w:rsidRDefault="00594FCA">
            <w:pPr>
              <w:jc w:val="both"/>
              <w:rPr>
                <w:b/>
                <w:bCs/>
                <w:sz w:val="26"/>
                <w:szCs w:val="26"/>
              </w:rPr>
            </w:pPr>
            <w:r w:rsidRPr="00594FCA">
              <w:rPr>
                <w:rFonts w:hint="cs"/>
                <w:b/>
                <w:bCs/>
                <w:sz w:val="26"/>
                <w:szCs w:val="26"/>
                <w:rtl/>
              </w:rPr>
              <w:t xml:space="preserve"> מדינת ישראל – פרקליטות מחוז ירושלים</w:t>
            </w:r>
          </w:p>
        </w:tc>
      </w:tr>
      <w:tr w:rsidR="00B820A6" w:rsidRPr="00594FCA" w14:paraId="2D8B65F3" w14:textId="77777777">
        <w:tc>
          <w:tcPr>
            <w:tcW w:w="8802" w:type="dxa"/>
            <w:gridSpan w:val="3"/>
          </w:tcPr>
          <w:p w14:paraId="2D27EBA1" w14:textId="77777777" w:rsidR="00B820A6" w:rsidRPr="00594FCA" w:rsidRDefault="00594FCA">
            <w:pPr>
              <w:jc w:val="both"/>
              <w:rPr>
                <w:rFonts w:ascii="Arial" w:hAnsi="Arial"/>
                <w:b/>
                <w:bCs/>
                <w:sz w:val="18"/>
                <w:szCs w:val="18"/>
                <w:rtl/>
              </w:rPr>
            </w:pPr>
            <w:bookmarkStart w:id="2" w:name="FirstLawyer"/>
            <w:bookmarkEnd w:id="1"/>
            <w:r w:rsidRPr="00594FCA">
              <w:rPr>
                <w:rFonts w:hint="cs"/>
                <w:rtl/>
              </w:rPr>
              <w:t xml:space="preserve">                                                 </w:t>
            </w:r>
            <w:r w:rsidRPr="00594FCA">
              <w:rPr>
                <w:rtl/>
              </w:rPr>
              <w:t>ע"י ב"כ עו"ד  מתן עקיבא</w:t>
            </w:r>
          </w:p>
          <w:p w14:paraId="6F87568D" w14:textId="77777777" w:rsidR="00B820A6" w:rsidRPr="00594FCA" w:rsidRDefault="00594FCA">
            <w:pPr>
              <w:ind w:left="1842"/>
              <w:jc w:val="both"/>
              <w:rPr>
                <w:rFonts w:ascii="Arial" w:hAnsi="Arial"/>
                <w:b/>
                <w:bCs/>
                <w:sz w:val="26"/>
                <w:szCs w:val="26"/>
                <w:rtl/>
              </w:rPr>
            </w:pPr>
            <w:r w:rsidRPr="00594FCA">
              <w:rPr>
                <w:rFonts w:ascii="Arial" w:hAnsi="Arial" w:hint="cs"/>
                <w:b/>
                <w:bCs/>
                <w:sz w:val="26"/>
                <w:szCs w:val="26"/>
                <w:rtl/>
              </w:rPr>
              <w:t>נגד</w:t>
            </w:r>
          </w:p>
          <w:p w14:paraId="361061F9" w14:textId="77777777" w:rsidR="00B820A6" w:rsidRPr="00594FCA" w:rsidRDefault="00B820A6">
            <w:pPr>
              <w:jc w:val="both"/>
              <w:rPr>
                <w:rFonts w:ascii="Arial" w:hAnsi="Arial"/>
                <w:b/>
                <w:bCs/>
                <w:sz w:val="14"/>
                <w:szCs w:val="14"/>
              </w:rPr>
            </w:pPr>
          </w:p>
        </w:tc>
      </w:tr>
      <w:bookmarkEnd w:id="2"/>
      <w:tr w:rsidR="00B820A6" w:rsidRPr="00594FCA" w14:paraId="1ADFFC70" w14:textId="77777777">
        <w:tc>
          <w:tcPr>
            <w:tcW w:w="2880" w:type="dxa"/>
          </w:tcPr>
          <w:p w14:paraId="57D2E29C" w14:textId="77777777" w:rsidR="00B820A6" w:rsidRPr="00594FCA" w:rsidRDefault="00594FCA">
            <w:pPr>
              <w:ind w:left="26"/>
              <w:jc w:val="both"/>
              <w:rPr>
                <w:b/>
                <w:bCs/>
                <w:sz w:val="26"/>
                <w:szCs w:val="26"/>
              </w:rPr>
            </w:pPr>
            <w:r w:rsidRPr="00594FCA">
              <w:rPr>
                <w:rFonts w:hint="cs"/>
                <w:b/>
                <w:bCs/>
                <w:sz w:val="26"/>
                <w:szCs w:val="26"/>
                <w:rtl/>
              </w:rPr>
              <w:t>הנאשמת</w:t>
            </w:r>
          </w:p>
        </w:tc>
        <w:tc>
          <w:tcPr>
            <w:tcW w:w="5922" w:type="dxa"/>
            <w:gridSpan w:val="2"/>
          </w:tcPr>
          <w:p w14:paraId="504C5183" w14:textId="77777777" w:rsidR="00B820A6" w:rsidRPr="00594FCA" w:rsidRDefault="00594FCA">
            <w:pPr>
              <w:jc w:val="both"/>
            </w:pPr>
            <w:r w:rsidRPr="00594FCA">
              <w:rPr>
                <w:rFonts w:hint="cs"/>
                <w:b/>
                <w:bCs/>
                <w:sz w:val="26"/>
                <w:szCs w:val="26"/>
                <w:rtl/>
              </w:rPr>
              <w:t xml:space="preserve">סבינה גורונג </w:t>
            </w:r>
          </w:p>
        </w:tc>
      </w:tr>
    </w:tbl>
    <w:p w14:paraId="1DE4131B" w14:textId="77777777" w:rsidR="00B462B0" w:rsidRDefault="00594FCA" w:rsidP="00B462B0">
      <w:pPr>
        <w:ind w:left="1440"/>
        <w:jc w:val="both"/>
        <w:rPr>
          <w:rtl/>
        </w:rPr>
      </w:pPr>
      <w:r w:rsidRPr="00594FCA">
        <w:rPr>
          <w:rFonts w:hint="cs"/>
          <w:rtl/>
        </w:rPr>
        <w:t xml:space="preserve">                        </w:t>
      </w:r>
      <w:r w:rsidRPr="00594FCA">
        <w:rPr>
          <w:rFonts w:hint="cs"/>
          <w:rtl/>
        </w:rPr>
        <w:tab/>
      </w:r>
      <w:r w:rsidRPr="00594FCA">
        <w:rPr>
          <w:rtl/>
        </w:rPr>
        <w:t xml:space="preserve">ע"י </w:t>
      </w:r>
      <w:r w:rsidRPr="00594FCA">
        <w:rPr>
          <w:rFonts w:hint="cs"/>
          <w:rtl/>
        </w:rPr>
        <w:t xml:space="preserve">ב"כ </w:t>
      </w:r>
      <w:r w:rsidRPr="00594FCA">
        <w:rPr>
          <w:rtl/>
        </w:rPr>
        <w:t>עו"ד מיכאל הורוביץ, מטעם הסנ"צ</w:t>
      </w:r>
      <w:r w:rsidRPr="00594FCA">
        <w:rPr>
          <w:b/>
          <w:bCs/>
          <w:rtl/>
        </w:rPr>
        <w:tab/>
      </w:r>
      <w:bookmarkStart w:id="3" w:name="LawTable"/>
      <w:bookmarkEnd w:id="3"/>
    </w:p>
    <w:p w14:paraId="51BDB20C" w14:textId="77777777" w:rsidR="00B462B0" w:rsidRPr="00B462B0" w:rsidRDefault="00B462B0" w:rsidP="00B462B0">
      <w:pPr>
        <w:spacing w:after="120" w:line="240" w:lineRule="exact"/>
        <w:ind w:left="283" w:hanging="283"/>
        <w:jc w:val="both"/>
        <w:rPr>
          <w:rFonts w:ascii="FrankRuehl" w:hAnsi="FrankRuehl" w:cs="FrankRuehl"/>
          <w:rtl/>
        </w:rPr>
      </w:pPr>
    </w:p>
    <w:p w14:paraId="75645BE2" w14:textId="77777777" w:rsidR="00B462B0" w:rsidRPr="00B462B0" w:rsidRDefault="00B462B0" w:rsidP="00B462B0">
      <w:pPr>
        <w:spacing w:after="120" w:line="240" w:lineRule="exact"/>
        <w:ind w:left="283" w:hanging="283"/>
        <w:jc w:val="both"/>
        <w:rPr>
          <w:rFonts w:ascii="FrankRuehl" w:hAnsi="FrankRuehl" w:cs="FrankRuehl"/>
          <w:rtl/>
        </w:rPr>
      </w:pPr>
      <w:r w:rsidRPr="00B462B0">
        <w:rPr>
          <w:rFonts w:ascii="FrankRuehl" w:hAnsi="FrankRuehl" w:cs="FrankRuehl" w:hint="eastAsia"/>
          <w:rtl/>
        </w:rPr>
        <w:t>חקיקה</w:t>
      </w:r>
      <w:r w:rsidRPr="00B462B0">
        <w:rPr>
          <w:rFonts w:ascii="FrankRuehl" w:hAnsi="FrankRuehl" w:cs="FrankRuehl"/>
          <w:rtl/>
        </w:rPr>
        <w:t xml:space="preserve"> </w:t>
      </w:r>
      <w:r w:rsidRPr="00B462B0">
        <w:rPr>
          <w:rFonts w:ascii="FrankRuehl" w:hAnsi="FrankRuehl" w:cs="FrankRuehl" w:hint="eastAsia"/>
          <w:rtl/>
        </w:rPr>
        <w:t>שאוזכרה</w:t>
      </w:r>
      <w:r w:rsidRPr="00B462B0">
        <w:rPr>
          <w:rFonts w:ascii="FrankRuehl" w:hAnsi="FrankRuehl" w:cs="FrankRuehl"/>
          <w:rtl/>
        </w:rPr>
        <w:t xml:space="preserve">: </w:t>
      </w:r>
    </w:p>
    <w:p w14:paraId="2625F207" w14:textId="77777777" w:rsidR="00B462B0" w:rsidRPr="00B462B0" w:rsidRDefault="00B462B0" w:rsidP="00B462B0">
      <w:pPr>
        <w:spacing w:after="120" w:line="240" w:lineRule="exact"/>
        <w:ind w:left="283" w:hanging="283"/>
        <w:jc w:val="both"/>
        <w:rPr>
          <w:rFonts w:ascii="FrankRuehl" w:hAnsi="FrankRuehl" w:cs="FrankRuehl"/>
          <w:rtl/>
        </w:rPr>
      </w:pPr>
      <w:hyperlink r:id="rId7" w:history="1">
        <w:r w:rsidRPr="00B462B0">
          <w:rPr>
            <w:rFonts w:ascii="FrankRuehl" w:hAnsi="FrankRuehl" w:cs="FrankRuehl" w:hint="eastAsia"/>
            <w:color w:val="0000FF"/>
            <w:u w:val="single"/>
            <w:rtl/>
          </w:rPr>
          <w:t>חוק</w:t>
        </w:r>
        <w:r w:rsidRPr="00B462B0">
          <w:rPr>
            <w:rFonts w:ascii="FrankRuehl" w:hAnsi="FrankRuehl" w:cs="FrankRuehl"/>
            <w:color w:val="0000FF"/>
            <w:u w:val="single"/>
            <w:rtl/>
          </w:rPr>
          <w:t xml:space="preserve"> </w:t>
        </w:r>
        <w:r w:rsidRPr="00B462B0">
          <w:rPr>
            <w:rFonts w:ascii="FrankRuehl" w:hAnsi="FrankRuehl" w:cs="FrankRuehl" w:hint="eastAsia"/>
            <w:color w:val="0000FF"/>
            <w:u w:val="single"/>
            <w:rtl/>
          </w:rPr>
          <w:t>העונשין</w:t>
        </w:r>
        <w:r w:rsidRPr="00B462B0">
          <w:rPr>
            <w:rFonts w:ascii="FrankRuehl" w:hAnsi="FrankRuehl" w:cs="FrankRuehl"/>
            <w:color w:val="0000FF"/>
            <w:u w:val="single"/>
            <w:rtl/>
          </w:rPr>
          <w:t xml:space="preserve">, </w:t>
        </w:r>
        <w:r w:rsidRPr="00B462B0">
          <w:rPr>
            <w:rFonts w:ascii="FrankRuehl" w:hAnsi="FrankRuehl" w:cs="FrankRuehl" w:hint="eastAsia"/>
            <w:color w:val="0000FF"/>
            <w:u w:val="single"/>
            <w:rtl/>
          </w:rPr>
          <w:t>תשל</w:t>
        </w:r>
        <w:r w:rsidRPr="00B462B0">
          <w:rPr>
            <w:rFonts w:ascii="FrankRuehl" w:hAnsi="FrankRuehl" w:cs="FrankRuehl"/>
            <w:color w:val="0000FF"/>
            <w:u w:val="single"/>
            <w:rtl/>
          </w:rPr>
          <w:t>"</w:t>
        </w:r>
        <w:r w:rsidRPr="00B462B0">
          <w:rPr>
            <w:rFonts w:ascii="FrankRuehl" w:hAnsi="FrankRuehl" w:cs="FrankRuehl" w:hint="eastAsia"/>
            <w:color w:val="0000FF"/>
            <w:u w:val="single"/>
            <w:rtl/>
          </w:rPr>
          <w:t>ז</w:t>
        </w:r>
        <w:r w:rsidRPr="00B462B0">
          <w:rPr>
            <w:rFonts w:ascii="FrankRuehl" w:hAnsi="FrankRuehl" w:cs="FrankRuehl"/>
            <w:color w:val="0000FF"/>
            <w:u w:val="single"/>
            <w:rtl/>
          </w:rPr>
          <w:t>-1977</w:t>
        </w:r>
      </w:hyperlink>
      <w:r w:rsidRPr="00B462B0">
        <w:rPr>
          <w:rFonts w:ascii="FrankRuehl" w:hAnsi="FrankRuehl" w:cs="FrankRuehl"/>
          <w:rtl/>
        </w:rPr>
        <w:t xml:space="preserve">: </w:t>
      </w:r>
      <w:r w:rsidRPr="00B462B0">
        <w:rPr>
          <w:rFonts w:ascii="FrankRuehl" w:hAnsi="FrankRuehl" w:cs="FrankRuehl" w:hint="eastAsia"/>
          <w:rtl/>
        </w:rPr>
        <w:t>סע</w:t>
      </w:r>
      <w:r w:rsidRPr="00B462B0">
        <w:rPr>
          <w:rFonts w:ascii="FrankRuehl" w:hAnsi="FrankRuehl" w:cs="FrankRuehl"/>
          <w:rtl/>
        </w:rPr>
        <w:t xml:space="preserve">'  </w:t>
      </w:r>
      <w:hyperlink r:id="rId8" w:history="1">
        <w:r w:rsidRPr="00B462B0">
          <w:rPr>
            <w:rFonts w:ascii="FrankRuehl" w:hAnsi="FrankRuehl" w:cs="FrankRuehl"/>
            <w:color w:val="0000FF"/>
            <w:u w:val="single"/>
            <w:rtl/>
          </w:rPr>
          <w:t>348(</w:t>
        </w:r>
        <w:r w:rsidRPr="00B462B0">
          <w:rPr>
            <w:rFonts w:ascii="FrankRuehl" w:hAnsi="FrankRuehl" w:cs="FrankRuehl" w:hint="eastAsia"/>
            <w:color w:val="0000FF"/>
            <w:u w:val="single"/>
            <w:rtl/>
          </w:rPr>
          <w:t>ג</w:t>
        </w:r>
        <w:r w:rsidRPr="00B462B0">
          <w:rPr>
            <w:rFonts w:ascii="FrankRuehl" w:hAnsi="FrankRuehl" w:cs="FrankRuehl"/>
            <w:color w:val="0000FF"/>
            <w:u w:val="single"/>
            <w:rtl/>
          </w:rPr>
          <w:t>1)</w:t>
        </w:r>
      </w:hyperlink>
      <w:r w:rsidRPr="00B462B0">
        <w:rPr>
          <w:rFonts w:ascii="FrankRuehl" w:hAnsi="FrankRuehl" w:cs="FrankRuehl"/>
          <w:rtl/>
        </w:rPr>
        <w:t xml:space="preserve">, </w:t>
      </w:r>
      <w:hyperlink r:id="rId9" w:history="1">
        <w:r w:rsidRPr="00B462B0">
          <w:rPr>
            <w:rFonts w:ascii="FrankRuehl" w:hAnsi="FrankRuehl" w:cs="FrankRuehl"/>
            <w:color w:val="0000FF"/>
            <w:u w:val="single"/>
            <w:rtl/>
          </w:rPr>
          <w:t>34</w:t>
        </w:r>
        <w:r w:rsidRPr="00B462B0">
          <w:rPr>
            <w:rFonts w:ascii="FrankRuehl" w:hAnsi="FrankRuehl" w:cs="FrankRuehl" w:hint="eastAsia"/>
            <w:color w:val="0000FF"/>
            <w:u w:val="single"/>
            <w:rtl/>
          </w:rPr>
          <w:t>כד</w:t>
        </w:r>
      </w:hyperlink>
      <w:r w:rsidRPr="00B462B0">
        <w:rPr>
          <w:rFonts w:ascii="FrankRuehl" w:hAnsi="FrankRuehl" w:cs="FrankRuehl"/>
          <w:rtl/>
        </w:rPr>
        <w:t xml:space="preserve">, </w:t>
      </w:r>
      <w:hyperlink r:id="rId10" w:history="1">
        <w:r w:rsidRPr="00B462B0">
          <w:rPr>
            <w:rFonts w:ascii="FrankRuehl" w:hAnsi="FrankRuehl" w:cs="FrankRuehl"/>
            <w:color w:val="0000FF"/>
            <w:u w:val="single"/>
            <w:rtl/>
          </w:rPr>
          <w:t>368</w:t>
        </w:r>
        <w:r w:rsidRPr="00B462B0">
          <w:rPr>
            <w:rFonts w:ascii="FrankRuehl" w:hAnsi="FrankRuehl" w:cs="FrankRuehl" w:hint="eastAsia"/>
            <w:color w:val="0000FF"/>
            <w:u w:val="single"/>
            <w:rtl/>
          </w:rPr>
          <w:t>ב</w:t>
        </w:r>
      </w:hyperlink>
      <w:r w:rsidRPr="00B462B0">
        <w:rPr>
          <w:rFonts w:ascii="FrankRuehl" w:hAnsi="FrankRuehl" w:cs="FrankRuehl"/>
          <w:rtl/>
        </w:rPr>
        <w:t xml:space="preserve">, </w:t>
      </w:r>
      <w:hyperlink r:id="rId11" w:history="1">
        <w:r w:rsidRPr="00B462B0">
          <w:rPr>
            <w:rFonts w:ascii="FrankRuehl" w:hAnsi="FrankRuehl" w:cs="FrankRuehl"/>
            <w:color w:val="0000FF"/>
            <w:u w:val="single"/>
            <w:rtl/>
          </w:rPr>
          <w:t>368</w:t>
        </w:r>
        <w:r w:rsidRPr="00B462B0">
          <w:rPr>
            <w:rFonts w:ascii="FrankRuehl" w:hAnsi="FrankRuehl" w:cs="FrankRuehl" w:hint="eastAsia"/>
            <w:color w:val="0000FF"/>
            <w:u w:val="single"/>
            <w:rtl/>
          </w:rPr>
          <w:t>ב</w:t>
        </w:r>
        <w:r w:rsidRPr="00B462B0">
          <w:rPr>
            <w:rFonts w:ascii="FrankRuehl" w:hAnsi="FrankRuehl" w:cs="FrankRuehl"/>
            <w:color w:val="0000FF"/>
            <w:u w:val="single"/>
            <w:rtl/>
          </w:rPr>
          <w:t>(</w:t>
        </w:r>
        <w:r w:rsidRPr="00B462B0">
          <w:rPr>
            <w:rFonts w:ascii="FrankRuehl" w:hAnsi="FrankRuehl" w:cs="FrankRuehl" w:hint="eastAsia"/>
            <w:color w:val="0000FF"/>
            <w:u w:val="single"/>
            <w:rtl/>
          </w:rPr>
          <w:t>א</w:t>
        </w:r>
        <w:r w:rsidRPr="00B462B0">
          <w:rPr>
            <w:rFonts w:ascii="FrankRuehl" w:hAnsi="FrankRuehl" w:cs="FrankRuehl"/>
            <w:color w:val="0000FF"/>
            <w:u w:val="single"/>
            <w:rtl/>
          </w:rPr>
          <w:t>)</w:t>
        </w:r>
      </w:hyperlink>
      <w:r w:rsidRPr="00B462B0">
        <w:rPr>
          <w:rFonts w:ascii="FrankRuehl" w:hAnsi="FrankRuehl" w:cs="FrankRuehl"/>
          <w:rtl/>
        </w:rPr>
        <w:t xml:space="preserve">, </w:t>
      </w:r>
      <w:hyperlink r:id="rId12" w:history="1">
        <w:r w:rsidRPr="00B462B0">
          <w:rPr>
            <w:rFonts w:ascii="FrankRuehl" w:hAnsi="FrankRuehl" w:cs="FrankRuehl"/>
            <w:color w:val="0000FF"/>
            <w:u w:val="single"/>
            <w:rtl/>
          </w:rPr>
          <w:t>368</w:t>
        </w:r>
        <w:r w:rsidRPr="00B462B0">
          <w:rPr>
            <w:rFonts w:ascii="FrankRuehl" w:hAnsi="FrankRuehl" w:cs="FrankRuehl" w:hint="eastAsia"/>
            <w:color w:val="0000FF"/>
            <w:u w:val="single"/>
            <w:rtl/>
          </w:rPr>
          <w:t>ב</w:t>
        </w:r>
        <w:r w:rsidRPr="00B462B0">
          <w:rPr>
            <w:rFonts w:ascii="FrankRuehl" w:hAnsi="FrankRuehl" w:cs="FrankRuehl"/>
            <w:color w:val="0000FF"/>
            <w:u w:val="single"/>
            <w:rtl/>
          </w:rPr>
          <w:t>(</w:t>
        </w:r>
        <w:r w:rsidRPr="00B462B0">
          <w:rPr>
            <w:rFonts w:ascii="FrankRuehl" w:hAnsi="FrankRuehl" w:cs="FrankRuehl" w:hint="eastAsia"/>
            <w:color w:val="0000FF"/>
            <w:u w:val="single"/>
            <w:rtl/>
          </w:rPr>
          <w:t>ג</w:t>
        </w:r>
        <w:r w:rsidRPr="00B462B0">
          <w:rPr>
            <w:rFonts w:ascii="FrankRuehl" w:hAnsi="FrankRuehl" w:cs="FrankRuehl"/>
            <w:color w:val="0000FF"/>
            <w:u w:val="single"/>
            <w:rtl/>
          </w:rPr>
          <w:t>)</w:t>
        </w:r>
      </w:hyperlink>
      <w:r w:rsidRPr="00B462B0">
        <w:rPr>
          <w:rFonts w:ascii="FrankRuehl" w:hAnsi="FrankRuehl" w:cs="FrankRuehl"/>
          <w:rtl/>
        </w:rPr>
        <w:t xml:space="preserve">, </w:t>
      </w:r>
      <w:hyperlink r:id="rId13" w:history="1">
        <w:r w:rsidRPr="00B462B0">
          <w:rPr>
            <w:rFonts w:ascii="FrankRuehl" w:hAnsi="FrankRuehl" w:cs="FrankRuehl"/>
            <w:color w:val="0000FF"/>
            <w:u w:val="single"/>
            <w:rtl/>
          </w:rPr>
          <w:t>379</w:t>
        </w:r>
      </w:hyperlink>
      <w:r w:rsidRPr="00B462B0">
        <w:rPr>
          <w:rFonts w:ascii="FrankRuehl" w:hAnsi="FrankRuehl" w:cs="FrankRuehl"/>
          <w:rtl/>
        </w:rPr>
        <w:t xml:space="preserve">, </w:t>
      </w:r>
      <w:hyperlink r:id="rId14" w:history="1">
        <w:r w:rsidRPr="00B462B0">
          <w:rPr>
            <w:rFonts w:ascii="FrankRuehl" w:hAnsi="FrankRuehl" w:cs="FrankRuehl"/>
            <w:color w:val="0000FF"/>
            <w:u w:val="single"/>
            <w:rtl/>
          </w:rPr>
          <w:t>382(</w:t>
        </w:r>
        <w:r w:rsidRPr="00B462B0">
          <w:rPr>
            <w:rFonts w:ascii="FrankRuehl" w:hAnsi="FrankRuehl" w:cs="FrankRuehl" w:hint="eastAsia"/>
            <w:color w:val="0000FF"/>
            <w:u w:val="single"/>
            <w:rtl/>
          </w:rPr>
          <w:t>ב</w:t>
        </w:r>
        <w:r w:rsidRPr="00B462B0">
          <w:rPr>
            <w:rFonts w:ascii="FrankRuehl" w:hAnsi="FrankRuehl" w:cs="FrankRuehl"/>
            <w:color w:val="0000FF"/>
            <w:u w:val="single"/>
            <w:rtl/>
          </w:rPr>
          <w:t>)(2)</w:t>
        </w:r>
      </w:hyperlink>
    </w:p>
    <w:p w14:paraId="18C2B303" w14:textId="77777777" w:rsidR="00B462B0" w:rsidRPr="00B462B0" w:rsidRDefault="00B462B0" w:rsidP="00B462B0">
      <w:pPr>
        <w:spacing w:after="120" w:line="240" w:lineRule="exact"/>
        <w:ind w:left="283" w:hanging="283"/>
        <w:jc w:val="both"/>
        <w:rPr>
          <w:rFonts w:ascii="FrankRuehl" w:hAnsi="FrankRuehl" w:cs="FrankRuehl"/>
          <w:rtl/>
        </w:rPr>
      </w:pPr>
    </w:p>
    <w:p w14:paraId="005A43F9" w14:textId="77777777" w:rsidR="00B462B0" w:rsidRPr="00B462B0" w:rsidRDefault="00B462B0" w:rsidP="00B462B0">
      <w:pPr>
        <w:ind w:left="1440"/>
        <w:jc w:val="both"/>
        <w:rPr>
          <w:rtl/>
        </w:rPr>
      </w:pPr>
      <w:bookmarkStart w:id="4" w:name="LawTable_End"/>
      <w:bookmarkEnd w:id="4"/>
    </w:p>
    <w:p w14:paraId="21EE5EAE" w14:textId="77777777" w:rsidR="00B462B0" w:rsidRPr="00B462B0" w:rsidRDefault="00B462B0" w:rsidP="00B462B0">
      <w:pPr>
        <w:ind w:left="1440"/>
        <w:jc w:val="both"/>
        <w:rPr>
          <w:b/>
          <w:bCs/>
          <w:rtl/>
        </w:rPr>
      </w:pPr>
    </w:p>
    <w:p w14:paraId="50B30E08" w14:textId="77777777" w:rsidR="009837D0" w:rsidRPr="009837D0" w:rsidRDefault="00594FCA" w:rsidP="00B462B0">
      <w:pPr>
        <w:ind w:left="1440"/>
        <w:jc w:val="both"/>
        <w:rPr>
          <w:rFonts w:ascii="FrankRuehl" w:hAnsi="FrankRuehl" w:cs="FrankRuehl"/>
          <w:rtl/>
        </w:rPr>
      </w:pPr>
      <w:r w:rsidRPr="00B462B0">
        <w:rPr>
          <w:b/>
          <w:bCs/>
          <w:rtl/>
        </w:rPr>
        <w:tab/>
      </w:r>
    </w:p>
    <w:p w14:paraId="002E2273" w14:textId="77777777" w:rsidR="009837D0" w:rsidRPr="009837D0" w:rsidRDefault="009837D0">
      <w:pPr>
        <w:ind w:left="1440"/>
        <w:jc w:val="both"/>
        <w:rPr>
          <w:rtl/>
        </w:rPr>
      </w:pPr>
    </w:p>
    <w:p w14:paraId="04EC4B94" w14:textId="77777777" w:rsidR="009837D0" w:rsidRPr="009837D0" w:rsidRDefault="009837D0">
      <w:pPr>
        <w:ind w:left="1440"/>
        <w:jc w:val="both"/>
        <w:rPr>
          <w:b/>
          <w:bCs/>
          <w:rtl/>
        </w:rPr>
      </w:pPr>
    </w:p>
    <w:p w14:paraId="781C3046" w14:textId="77777777" w:rsidR="00B820A6" w:rsidRPr="009837D0" w:rsidRDefault="00B820A6">
      <w:pPr>
        <w:ind w:left="1440"/>
        <w:jc w:val="both"/>
        <w:rPr>
          <w:b/>
          <w:bCs/>
          <w:rtl/>
        </w:rPr>
      </w:pPr>
    </w:p>
    <w:p w14:paraId="6C74EEE4" w14:textId="77777777" w:rsidR="00B818E8" w:rsidRPr="00B818E8" w:rsidRDefault="00B818E8">
      <w:pPr>
        <w:jc w:val="both"/>
        <w:rPr>
          <w:rtl/>
        </w:rPr>
      </w:pPr>
    </w:p>
    <w:p w14:paraId="5CFD8575" w14:textId="77777777" w:rsidR="00B818E8" w:rsidRPr="00B818E8" w:rsidRDefault="00B818E8">
      <w:pPr>
        <w:jc w:val="both"/>
        <w:rPr>
          <w:rtl/>
        </w:rPr>
      </w:pPr>
    </w:p>
    <w:p w14:paraId="04F5B140" w14:textId="77777777" w:rsidR="00B820A6" w:rsidRPr="00B818E8" w:rsidRDefault="00B820A6">
      <w:pPr>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20A6" w14:paraId="7845B6A3" w14:textId="77777777">
        <w:trPr>
          <w:trHeight w:val="355"/>
          <w:jc w:val="center"/>
        </w:trPr>
        <w:tc>
          <w:tcPr>
            <w:tcW w:w="8820" w:type="dxa"/>
            <w:tcBorders>
              <w:top w:val="nil"/>
              <w:left w:val="nil"/>
              <w:bottom w:val="nil"/>
              <w:right w:val="nil"/>
            </w:tcBorders>
          </w:tcPr>
          <w:p w14:paraId="609D8C43" w14:textId="77777777" w:rsidR="00594FCA" w:rsidRPr="00594FCA" w:rsidRDefault="00594FCA" w:rsidP="00594FCA">
            <w:pPr>
              <w:jc w:val="center"/>
              <w:rPr>
                <w:rFonts w:ascii="Arial" w:hAnsi="Arial"/>
                <w:b/>
                <w:bCs/>
                <w:sz w:val="28"/>
                <w:szCs w:val="28"/>
                <w:rtl/>
              </w:rPr>
            </w:pPr>
            <w:bookmarkStart w:id="5" w:name="PsakDin" w:colFirst="0" w:colLast="0"/>
            <w:bookmarkEnd w:id="0"/>
            <w:r w:rsidRPr="00594FCA">
              <w:rPr>
                <w:rFonts w:ascii="Arial" w:hAnsi="Arial"/>
                <w:b/>
                <w:bCs/>
                <w:sz w:val="28"/>
                <w:szCs w:val="28"/>
                <w:rtl/>
              </w:rPr>
              <w:t>הכרעת דין</w:t>
            </w:r>
          </w:p>
          <w:p w14:paraId="171AC008" w14:textId="77777777" w:rsidR="00B820A6" w:rsidRPr="00594FCA" w:rsidRDefault="00B820A6" w:rsidP="00594FCA">
            <w:pPr>
              <w:jc w:val="center"/>
              <w:rPr>
                <w:rFonts w:ascii="Arial" w:hAnsi="Arial"/>
                <w:bCs/>
                <w:sz w:val="28"/>
                <w:szCs w:val="28"/>
                <w:u w:val="single"/>
                <w:rtl/>
              </w:rPr>
            </w:pPr>
          </w:p>
        </w:tc>
      </w:tr>
    </w:tbl>
    <w:bookmarkEnd w:id="5"/>
    <w:p w14:paraId="257C9336" w14:textId="77777777" w:rsidR="00B820A6" w:rsidRDefault="00594FCA">
      <w:pPr>
        <w:spacing w:line="360" w:lineRule="auto"/>
        <w:ind w:hanging="57"/>
        <w:jc w:val="both"/>
        <w:rPr>
          <w:b/>
          <w:bCs/>
          <w:u w:val="single"/>
          <w:rtl/>
        </w:rPr>
      </w:pPr>
      <w:r>
        <w:rPr>
          <w:b/>
          <w:bCs/>
          <w:u w:val="single"/>
          <w:rtl/>
        </w:rPr>
        <w:t>הרקע וההליך</w:t>
      </w:r>
    </w:p>
    <w:p w14:paraId="37284C2B" w14:textId="77777777" w:rsidR="00B820A6" w:rsidRDefault="00594FCA">
      <w:pPr>
        <w:tabs>
          <w:tab w:val="left" w:pos="-58"/>
        </w:tabs>
        <w:spacing w:line="360" w:lineRule="auto"/>
        <w:ind w:left="-57" w:hanging="766"/>
        <w:jc w:val="both"/>
      </w:pPr>
      <w:r>
        <w:rPr>
          <w:rtl/>
        </w:rPr>
        <w:t>1.</w:t>
      </w:r>
      <w:r>
        <w:rPr>
          <w:rtl/>
        </w:rPr>
        <w:tab/>
      </w:r>
      <w:bookmarkStart w:id="6" w:name="ABSTRACT_START"/>
      <w:bookmarkEnd w:id="6"/>
      <w:r>
        <w:rPr>
          <w:rtl/>
        </w:rPr>
        <w:t xml:space="preserve">הנאשמת מואשמת בעבירה של </w:t>
      </w:r>
      <w:r w:rsidR="009837D0">
        <w:rPr>
          <w:b/>
          <w:bCs/>
          <w:rtl/>
        </w:rPr>
        <w:t xml:space="preserve">תקיפת חסר ישע לפי סעיף </w:t>
      </w:r>
      <w:hyperlink r:id="rId15" w:history="1">
        <w:r w:rsidR="009837D0" w:rsidRPr="009837D0">
          <w:rPr>
            <w:b/>
            <w:bCs/>
            <w:color w:val="0000FF"/>
            <w:u w:val="single"/>
            <w:rtl/>
          </w:rPr>
          <w:t>368</w:t>
        </w:r>
        <w:r w:rsidR="009837D0" w:rsidRPr="009837D0">
          <w:rPr>
            <w:rFonts w:hint="eastAsia"/>
            <w:b/>
            <w:bCs/>
            <w:color w:val="0000FF"/>
            <w:u w:val="single"/>
            <w:rtl/>
          </w:rPr>
          <w:t>ב</w:t>
        </w:r>
      </w:hyperlink>
      <w:r>
        <w:rPr>
          <w:b/>
          <w:bCs/>
          <w:rtl/>
        </w:rPr>
        <w:t xml:space="preserve"> סיפא ל</w:t>
      </w:r>
      <w:hyperlink r:id="rId16" w:history="1">
        <w:r w:rsidR="00B818E8" w:rsidRPr="00B818E8">
          <w:rPr>
            <w:rStyle w:val="Hyperlink"/>
            <w:rFonts w:hint="eastAsia"/>
            <w:b/>
            <w:bCs/>
            <w:rtl/>
          </w:rPr>
          <w:t>חוק</w:t>
        </w:r>
        <w:r w:rsidR="00B818E8" w:rsidRPr="00B818E8">
          <w:rPr>
            <w:rStyle w:val="Hyperlink"/>
            <w:b/>
            <w:bCs/>
            <w:rtl/>
          </w:rPr>
          <w:t xml:space="preserve"> </w:t>
        </w:r>
        <w:r w:rsidR="00B818E8" w:rsidRPr="00B818E8">
          <w:rPr>
            <w:rStyle w:val="Hyperlink"/>
            <w:rFonts w:hint="eastAsia"/>
            <w:b/>
            <w:bCs/>
            <w:rtl/>
          </w:rPr>
          <w:t>העונשין</w:t>
        </w:r>
      </w:hyperlink>
      <w:r>
        <w:rPr>
          <w:b/>
          <w:bCs/>
          <w:rtl/>
        </w:rPr>
        <w:t xml:space="preserve">, </w:t>
      </w:r>
      <w:r>
        <w:rPr>
          <w:rtl/>
        </w:rPr>
        <w:t>על יסוד הודייתה בעובדות כתב האישום המתוקן בשנית,</w:t>
      </w:r>
      <w:r>
        <w:rPr>
          <w:b/>
          <w:bCs/>
          <w:rtl/>
        </w:rPr>
        <w:t xml:space="preserve"> </w:t>
      </w:r>
      <w:r>
        <w:rPr>
          <w:rtl/>
        </w:rPr>
        <w:t>במסגרת הסדר טיעון</w:t>
      </w:r>
      <w:bookmarkStart w:id="7" w:name="ABSTRACT_END"/>
      <w:bookmarkEnd w:id="7"/>
      <w:r>
        <w:rPr>
          <w:rtl/>
        </w:rPr>
        <w:t xml:space="preserve">. הנאשמת אזרחית נפאל, הנמצאת בישראל כ-3.5 שנים באשרת עבודה, הועסקה במשך שנה ושלושה חודשים כמטפלת סיעודית בבית הקשישה מטילדה כהן (להלן הקשישה), חולה סיעודית שאינה מתקשרת, והיא מואשמת כי </w:t>
      </w:r>
      <w:r>
        <w:rPr>
          <w:b/>
          <w:bCs/>
          <w:rtl/>
        </w:rPr>
        <w:t>בין התאריכים 15.8.11 – 5.10.11 היא תקפה את הקשישה באופנים שונים, התייחסה אליה באופן משפיל ומבזה, וגרמה לה לחבלה של ממש במועדים שונים,</w:t>
      </w:r>
      <w:r>
        <w:rPr>
          <w:rtl/>
        </w:rPr>
        <w:t xml:space="preserve"> </w:t>
      </w:r>
      <w:r>
        <w:rPr>
          <w:spacing w:val="-14"/>
          <w:rtl/>
        </w:rPr>
        <w:t>שיפורט</w:t>
      </w:r>
      <w:r>
        <w:rPr>
          <w:rtl/>
        </w:rPr>
        <w:t xml:space="preserve"> כלהלן (לפי סעיפי כתב האישום):</w:t>
      </w:r>
    </w:p>
    <w:p w14:paraId="1FFEE763" w14:textId="77777777" w:rsidR="00B820A6" w:rsidRDefault="00594FCA">
      <w:pPr>
        <w:tabs>
          <w:tab w:val="left" w:pos="-58"/>
        </w:tabs>
        <w:spacing w:line="360" w:lineRule="auto"/>
        <w:ind w:left="-57" w:hanging="766"/>
        <w:jc w:val="both"/>
        <w:rPr>
          <w:rtl/>
        </w:rPr>
      </w:pPr>
      <w:r>
        <w:tab/>
      </w:r>
      <w:r>
        <w:rPr>
          <w:u w:val="single"/>
          <w:rtl/>
        </w:rPr>
        <w:t>סעיף 3</w:t>
      </w:r>
      <w:r>
        <w:rPr>
          <w:rtl/>
        </w:rPr>
        <w:t xml:space="preserve"> – בין התאריכים 5.8.11-5.10.11 </w:t>
      </w:r>
      <w:r>
        <w:rPr>
          <w:b/>
          <w:bCs/>
          <w:rtl/>
        </w:rPr>
        <w:t>תקפה הנאשמת את הקשישה באופנים שונים והתייחסה אליה באופן משפיל ומבזה.</w:t>
      </w:r>
    </w:p>
    <w:p w14:paraId="10FF8BAC" w14:textId="77777777" w:rsidR="00B820A6" w:rsidRDefault="00594FCA">
      <w:pPr>
        <w:tabs>
          <w:tab w:val="left" w:pos="1218"/>
        </w:tabs>
        <w:spacing w:line="360" w:lineRule="auto"/>
        <w:ind w:left="-57" w:hanging="766"/>
        <w:jc w:val="both"/>
        <w:rPr>
          <w:rtl/>
        </w:rPr>
      </w:pPr>
      <w:r>
        <w:rPr>
          <w:spacing w:val="-10"/>
          <w:rtl/>
        </w:rPr>
        <w:tab/>
      </w:r>
      <w:r>
        <w:rPr>
          <w:u w:val="single"/>
          <w:rtl/>
        </w:rPr>
        <w:t>סעיף 4</w:t>
      </w:r>
      <w:r>
        <w:rPr>
          <w:rtl/>
        </w:rPr>
        <w:t xml:space="preserve"> - ביום 16.8.11 בשעה -13:40 –</w:t>
      </w:r>
      <w:r>
        <w:rPr>
          <w:b/>
          <w:bCs/>
          <w:rtl/>
        </w:rPr>
        <w:t>הנאשמת</w:t>
      </w:r>
      <w:r>
        <w:rPr>
          <w:rtl/>
        </w:rPr>
        <w:t xml:space="preserve"> </w:t>
      </w:r>
      <w:r>
        <w:rPr>
          <w:b/>
          <w:bCs/>
          <w:rtl/>
        </w:rPr>
        <w:t>דחפה בכח כפית לפי הקשישה</w:t>
      </w:r>
      <w:r>
        <w:rPr>
          <w:rtl/>
        </w:rPr>
        <w:t>, בעת מתן התרופות.</w:t>
      </w:r>
    </w:p>
    <w:p w14:paraId="369DFCA2" w14:textId="77777777" w:rsidR="00B820A6" w:rsidRDefault="00594FCA">
      <w:pPr>
        <w:tabs>
          <w:tab w:val="left" w:pos="1218"/>
        </w:tabs>
        <w:spacing w:line="360" w:lineRule="auto"/>
        <w:ind w:left="-57" w:hanging="766"/>
        <w:jc w:val="both"/>
        <w:rPr>
          <w:rtl/>
        </w:rPr>
      </w:pPr>
      <w:r>
        <w:rPr>
          <w:rtl/>
        </w:rPr>
        <w:tab/>
      </w:r>
      <w:r>
        <w:rPr>
          <w:u w:val="single"/>
          <w:rtl/>
        </w:rPr>
        <w:t>סעיף 5</w:t>
      </w:r>
      <w:r>
        <w:rPr>
          <w:rtl/>
        </w:rPr>
        <w:t xml:space="preserve"> -ביום 31.8.11 </w:t>
      </w:r>
      <w:r>
        <w:rPr>
          <w:b/>
          <w:bCs/>
          <w:rtl/>
        </w:rPr>
        <w:t>סטרה הנאשמת לקשישה</w:t>
      </w:r>
      <w:r>
        <w:rPr>
          <w:rtl/>
        </w:rPr>
        <w:t>, בעת שהקשישה ניסתה לעמוד ולהתייצב על הליכון וכתוצאה מכך נפלה הקשישה על מיטתה.</w:t>
      </w:r>
    </w:p>
    <w:p w14:paraId="65F1A0B3" w14:textId="77777777" w:rsidR="00B820A6" w:rsidRDefault="00594FCA">
      <w:pPr>
        <w:tabs>
          <w:tab w:val="left" w:pos="1218"/>
        </w:tabs>
        <w:spacing w:line="360" w:lineRule="auto"/>
        <w:ind w:left="-57" w:hanging="766"/>
        <w:jc w:val="both"/>
        <w:rPr>
          <w:rtl/>
        </w:rPr>
      </w:pPr>
      <w:r>
        <w:rPr>
          <w:rtl/>
        </w:rPr>
        <w:tab/>
      </w:r>
      <w:r>
        <w:rPr>
          <w:u w:val="single"/>
          <w:rtl/>
        </w:rPr>
        <w:t>סעיף 6</w:t>
      </w:r>
      <w:r>
        <w:rPr>
          <w:rtl/>
        </w:rPr>
        <w:t xml:space="preserve"> -ביום 2.9.11 בשעה 09:00 בבוקר, </w:t>
      </w:r>
      <w:r>
        <w:rPr>
          <w:b/>
          <w:bCs/>
          <w:rtl/>
        </w:rPr>
        <w:t>סטרה הנאשמת לקשישה</w:t>
      </w:r>
      <w:r>
        <w:rPr>
          <w:rtl/>
        </w:rPr>
        <w:t>, בעת שהלבישה אותה.</w:t>
      </w:r>
    </w:p>
    <w:p w14:paraId="01AEE8AB" w14:textId="77777777" w:rsidR="00B820A6" w:rsidRDefault="00594FCA">
      <w:pPr>
        <w:tabs>
          <w:tab w:val="left" w:pos="1218"/>
        </w:tabs>
        <w:spacing w:line="360" w:lineRule="auto"/>
        <w:ind w:left="-57" w:hanging="766"/>
        <w:jc w:val="both"/>
        <w:rPr>
          <w:rtl/>
        </w:rPr>
      </w:pPr>
      <w:r>
        <w:rPr>
          <w:rtl/>
        </w:rPr>
        <w:tab/>
      </w:r>
      <w:r>
        <w:rPr>
          <w:u w:val="single"/>
          <w:rtl/>
        </w:rPr>
        <w:t>סעיף 7</w:t>
      </w:r>
      <w:r>
        <w:rPr>
          <w:rtl/>
        </w:rPr>
        <w:t xml:space="preserve"> -ביום 8.9.11 בשעה 16:45 </w:t>
      </w:r>
      <w:r>
        <w:rPr>
          <w:b/>
          <w:bCs/>
          <w:rtl/>
        </w:rPr>
        <w:t>הטילה הנאשמת את הקשישה אל מיטתה</w:t>
      </w:r>
      <w:r>
        <w:rPr>
          <w:rtl/>
        </w:rPr>
        <w:t xml:space="preserve"> בעת שהלבישה אותה.</w:t>
      </w:r>
    </w:p>
    <w:p w14:paraId="2E20A258" w14:textId="77777777" w:rsidR="00B820A6" w:rsidRDefault="00594FCA">
      <w:pPr>
        <w:tabs>
          <w:tab w:val="left" w:pos="1218"/>
        </w:tabs>
        <w:spacing w:line="360" w:lineRule="auto"/>
        <w:ind w:left="-57" w:hanging="766"/>
        <w:jc w:val="both"/>
        <w:rPr>
          <w:rtl/>
        </w:rPr>
      </w:pPr>
      <w:r>
        <w:rPr>
          <w:rtl/>
        </w:rPr>
        <w:lastRenderedPageBreak/>
        <w:tab/>
      </w:r>
      <w:r>
        <w:rPr>
          <w:u w:val="single"/>
          <w:rtl/>
        </w:rPr>
        <w:t>סעיף 8</w:t>
      </w:r>
      <w:r>
        <w:rPr>
          <w:rtl/>
        </w:rPr>
        <w:t xml:space="preserve"> -ביום 9.9.11 בשעה 20:45 </w:t>
      </w:r>
      <w:r>
        <w:rPr>
          <w:b/>
          <w:bCs/>
          <w:rtl/>
        </w:rPr>
        <w:t>משכה הנאשמת בשערות הקשישה</w:t>
      </w:r>
      <w:r>
        <w:rPr>
          <w:rtl/>
        </w:rPr>
        <w:t>, בעודה משכיבה אותו במיטתה.</w:t>
      </w:r>
    </w:p>
    <w:p w14:paraId="3500C29E" w14:textId="77777777" w:rsidR="00B820A6" w:rsidRDefault="00594FCA">
      <w:pPr>
        <w:tabs>
          <w:tab w:val="left" w:pos="1218"/>
        </w:tabs>
        <w:spacing w:line="360" w:lineRule="auto"/>
        <w:ind w:left="-57" w:hanging="766"/>
        <w:jc w:val="both"/>
        <w:rPr>
          <w:rtl/>
        </w:rPr>
      </w:pPr>
      <w:r>
        <w:rPr>
          <w:rtl/>
        </w:rPr>
        <w:tab/>
      </w:r>
      <w:r>
        <w:rPr>
          <w:u w:val="single"/>
          <w:rtl/>
        </w:rPr>
        <w:t>סעיף 9</w:t>
      </w:r>
      <w:r>
        <w:rPr>
          <w:rtl/>
        </w:rPr>
        <w:t xml:space="preserve"> -ביום 12.9.11 בשעה 08:00 </w:t>
      </w:r>
      <w:r>
        <w:rPr>
          <w:b/>
          <w:bCs/>
          <w:rtl/>
        </w:rPr>
        <w:t>היכתה הנאשמת את הקשישה בידה</w:t>
      </w:r>
      <w:r>
        <w:rPr>
          <w:rtl/>
        </w:rPr>
        <w:t>, בעת שהעבירה אותה</w:t>
      </w:r>
      <w:r>
        <w:rPr>
          <w:rFonts w:hint="cs"/>
          <w:rtl/>
        </w:rPr>
        <w:t xml:space="preserve"> </w:t>
      </w:r>
      <w:r>
        <w:rPr>
          <w:rtl/>
        </w:rPr>
        <w:t>לכסא גלגלים.</w:t>
      </w:r>
    </w:p>
    <w:p w14:paraId="7936FE2A" w14:textId="77777777" w:rsidR="00B820A6" w:rsidRDefault="00594FCA">
      <w:pPr>
        <w:tabs>
          <w:tab w:val="left" w:pos="1218"/>
        </w:tabs>
        <w:spacing w:line="360" w:lineRule="auto"/>
        <w:ind w:left="-57" w:hanging="766"/>
        <w:jc w:val="both"/>
        <w:rPr>
          <w:rtl/>
        </w:rPr>
      </w:pPr>
      <w:r>
        <w:rPr>
          <w:rtl/>
        </w:rPr>
        <w:tab/>
      </w:r>
      <w:r>
        <w:rPr>
          <w:u w:val="single"/>
          <w:rtl/>
        </w:rPr>
        <w:t>סעיף 10</w:t>
      </w:r>
      <w:r>
        <w:rPr>
          <w:rtl/>
        </w:rPr>
        <w:t xml:space="preserve"> -ביום 12.9.11 בשעה 09:00 </w:t>
      </w:r>
      <w:r>
        <w:rPr>
          <w:b/>
          <w:bCs/>
          <w:rtl/>
        </w:rPr>
        <w:t>דחפה הנאשמת את ראש הקשישה</w:t>
      </w:r>
      <w:r>
        <w:rPr>
          <w:rtl/>
        </w:rPr>
        <w:t>, בעת שזו ישבה על מיטתהּ.</w:t>
      </w:r>
    </w:p>
    <w:p w14:paraId="4DC17822" w14:textId="77777777" w:rsidR="00B820A6" w:rsidRDefault="00594FCA">
      <w:pPr>
        <w:tabs>
          <w:tab w:val="left" w:pos="1218"/>
        </w:tabs>
        <w:spacing w:line="360" w:lineRule="auto"/>
        <w:ind w:left="-57" w:hanging="766"/>
        <w:jc w:val="both"/>
        <w:rPr>
          <w:rtl/>
        </w:rPr>
      </w:pPr>
      <w:r>
        <w:tab/>
      </w:r>
      <w:r>
        <w:rPr>
          <w:u w:val="single"/>
          <w:rtl/>
        </w:rPr>
        <w:t>סעיף 11</w:t>
      </w:r>
      <w:r>
        <w:rPr>
          <w:rtl/>
        </w:rPr>
        <w:t xml:space="preserve"> -ביום 15.9.11 בשעה 09:30 </w:t>
      </w:r>
      <w:r>
        <w:rPr>
          <w:b/>
          <w:bCs/>
          <w:rtl/>
        </w:rPr>
        <w:t>דחפה הנאשמת את הקשישה בראשה</w:t>
      </w:r>
      <w:r>
        <w:rPr>
          <w:rtl/>
        </w:rPr>
        <w:t>, בעודה מאכילה אותה.</w:t>
      </w:r>
    </w:p>
    <w:p w14:paraId="122A9954" w14:textId="77777777" w:rsidR="00B820A6" w:rsidRDefault="00594FCA">
      <w:pPr>
        <w:tabs>
          <w:tab w:val="left" w:pos="1218"/>
        </w:tabs>
        <w:spacing w:line="360" w:lineRule="auto"/>
        <w:ind w:left="-57" w:hanging="766"/>
        <w:jc w:val="both"/>
        <w:rPr>
          <w:rtl/>
        </w:rPr>
      </w:pPr>
      <w:r>
        <w:rPr>
          <w:rtl/>
        </w:rPr>
        <w:tab/>
      </w:r>
      <w:r>
        <w:rPr>
          <w:u w:val="single"/>
          <w:rtl/>
        </w:rPr>
        <w:t>סעיף 12</w:t>
      </w:r>
      <w:r>
        <w:rPr>
          <w:rtl/>
        </w:rPr>
        <w:t xml:space="preserve"> -ביום 16.9.11 בשעה 20:50 </w:t>
      </w:r>
      <w:r>
        <w:rPr>
          <w:b/>
          <w:bCs/>
          <w:rtl/>
        </w:rPr>
        <w:t>הפשיטה הנאשמת את הקשישה</w:t>
      </w:r>
      <w:r>
        <w:rPr>
          <w:rtl/>
        </w:rPr>
        <w:t xml:space="preserve"> בעת שידיד הנאשמת נכח בחדר.</w:t>
      </w:r>
    </w:p>
    <w:p w14:paraId="0748F15A" w14:textId="77777777" w:rsidR="00B820A6" w:rsidRDefault="00594FCA">
      <w:pPr>
        <w:tabs>
          <w:tab w:val="left" w:pos="-58"/>
        </w:tabs>
        <w:spacing w:line="360" w:lineRule="auto"/>
        <w:ind w:left="-57" w:hanging="766"/>
        <w:jc w:val="both"/>
        <w:rPr>
          <w:rtl/>
        </w:rPr>
      </w:pPr>
      <w:r>
        <w:rPr>
          <w:rtl/>
        </w:rPr>
        <w:tab/>
      </w:r>
      <w:r>
        <w:rPr>
          <w:u w:val="single"/>
          <w:rtl/>
        </w:rPr>
        <w:t>סעיף 13</w:t>
      </w:r>
      <w:r>
        <w:rPr>
          <w:rtl/>
        </w:rPr>
        <w:t xml:space="preserve"> -ביום 17.9.11 בשעה 10:00 </w:t>
      </w:r>
      <w:r>
        <w:rPr>
          <w:b/>
          <w:bCs/>
          <w:rtl/>
        </w:rPr>
        <w:t>ניסתה הנאשמת לדחוף בכח כף לפי הקשישה</w:t>
      </w:r>
      <w:r>
        <w:rPr>
          <w:rtl/>
        </w:rPr>
        <w:t>, בעת שהאכילה אותה. כשהרימה הקשישה ידיה כדי להתגונן, היכתה הנאשמת את הקשישה בידיה.</w:t>
      </w:r>
    </w:p>
    <w:p w14:paraId="145FC843" w14:textId="77777777" w:rsidR="00B820A6" w:rsidRDefault="00594FCA">
      <w:pPr>
        <w:tabs>
          <w:tab w:val="left" w:pos="-58"/>
        </w:tabs>
        <w:spacing w:line="360" w:lineRule="auto"/>
        <w:ind w:left="-57" w:hanging="766"/>
        <w:jc w:val="both"/>
        <w:rPr>
          <w:rtl/>
        </w:rPr>
      </w:pPr>
      <w:r>
        <w:rPr>
          <w:rtl/>
        </w:rPr>
        <w:tab/>
      </w:r>
      <w:r>
        <w:rPr>
          <w:u w:val="single"/>
          <w:rtl/>
        </w:rPr>
        <w:t>סעיף 14</w:t>
      </w:r>
      <w:r>
        <w:rPr>
          <w:rtl/>
        </w:rPr>
        <w:t xml:space="preserve"> -ביום 30.9.11 בשעה 09:30 </w:t>
      </w:r>
      <w:r>
        <w:rPr>
          <w:b/>
          <w:bCs/>
          <w:rtl/>
        </w:rPr>
        <w:t>היכתה הנאשמת את ראש הקשישה</w:t>
      </w:r>
      <w:r>
        <w:rPr>
          <w:rtl/>
        </w:rPr>
        <w:t xml:space="preserve">, בתגובה לכך שהקשישה שפכה על עצמה מים, כשהנאשמת נתנה לה תרופה. </w:t>
      </w:r>
    </w:p>
    <w:p w14:paraId="39927F84" w14:textId="77777777" w:rsidR="00B820A6" w:rsidRDefault="00594FCA">
      <w:pPr>
        <w:tabs>
          <w:tab w:val="left" w:pos="-58"/>
        </w:tabs>
        <w:spacing w:line="360" w:lineRule="auto"/>
        <w:ind w:left="-57" w:hanging="766"/>
        <w:jc w:val="both"/>
        <w:rPr>
          <w:rtl/>
        </w:rPr>
      </w:pPr>
      <w:r>
        <w:rPr>
          <w:rtl/>
        </w:rPr>
        <w:tab/>
      </w:r>
      <w:r>
        <w:rPr>
          <w:u w:val="single"/>
          <w:rtl/>
        </w:rPr>
        <w:t>סעיף 15</w:t>
      </w:r>
      <w:r>
        <w:rPr>
          <w:rtl/>
        </w:rPr>
        <w:t xml:space="preserve"> -ביום  1.10.11 בשעה 13:50, </w:t>
      </w:r>
      <w:r>
        <w:rPr>
          <w:b/>
          <w:bCs/>
          <w:rtl/>
        </w:rPr>
        <w:t>היכתה הנאשמת את ראש הקשישה במזרון</w:t>
      </w:r>
      <w:r>
        <w:rPr>
          <w:rtl/>
        </w:rPr>
        <w:t>, בעת שהעבירה את הקשישה מכיסא הגלגלים למזרון.</w:t>
      </w:r>
    </w:p>
    <w:p w14:paraId="4432C83D" w14:textId="77777777" w:rsidR="00B820A6" w:rsidRDefault="00594FCA">
      <w:pPr>
        <w:tabs>
          <w:tab w:val="left" w:pos="-58"/>
        </w:tabs>
        <w:spacing w:line="360" w:lineRule="auto"/>
        <w:ind w:left="-57" w:hanging="766"/>
        <w:jc w:val="both"/>
        <w:rPr>
          <w:rtl/>
        </w:rPr>
      </w:pPr>
      <w:r>
        <w:rPr>
          <w:rtl/>
        </w:rPr>
        <w:tab/>
      </w:r>
      <w:r>
        <w:rPr>
          <w:u w:val="single"/>
          <w:rtl/>
        </w:rPr>
        <w:t>סעיף 16</w:t>
      </w:r>
      <w:r>
        <w:rPr>
          <w:rtl/>
        </w:rPr>
        <w:t xml:space="preserve"> -ביום 5.10.11 בשעה 10:38, </w:t>
      </w:r>
      <w:r>
        <w:rPr>
          <w:b/>
          <w:bCs/>
          <w:rtl/>
        </w:rPr>
        <w:t>היכתה הנאשמת את הקשישה בראשה</w:t>
      </w:r>
      <w:r>
        <w:rPr>
          <w:rtl/>
        </w:rPr>
        <w:t>, לאחר שהקשישה שתתה, ומעט מים נשפכו.</w:t>
      </w:r>
    </w:p>
    <w:p w14:paraId="6B38AB77" w14:textId="77777777" w:rsidR="00B820A6" w:rsidRDefault="00594FCA">
      <w:pPr>
        <w:tabs>
          <w:tab w:val="left" w:pos="-58"/>
        </w:tabs>
        <w:ind w:left="-57" w:hanging="766"/>
        <w:jc w:val="both"/>
        <w:rPr>
          <w:rtl/>
        </w:rPr>
      </w:pPr>
      <w:r>
        <w:rPr>
          <w:rtl/>
        </w:rPr>
        <w:tab/>
        <w:t xml:space="preserve"> </w:t>
      </w:r>
    </w:p>
    <w:p w14:paraId="7816F63A" w14:textId="77777777" w:rsidR="00B820A6" w:rsidRDefault="00594FCA">
      <w:pPr>
        <w:numPr>
          <w:ilvl w:val="0"/>
          <w:numId w:val="1"/>
        </w:numPr>
        <w:tabs>
          <w:tab w:val="left" w:pos="-58"/>
        </w:tabs>
        <w:overflowPunct w:val="0"/>
        <w:autoSpaceDE w:val="0"/>
        <w:autoSpaceDN w:val="0"/>
        <w:adjustRightInd w:val="0"/>
        <w:spacing w:line="360" w:lineRule="auto"/>
        <w:ind w:hanging="644"/>
        <w:jc w:val="both"/>
        <w:textAlignment w:val="baseline"/>
      </w:pPr>
      <w:r>
        <w:rPr>
          <w:rtl/>
        </w:rPr>
        <w:t>הצדדים הגישו הודעה על הסדר הטיעון, בו הוסכם כי יסכמו טענותיהם על בסיס הודיית הנאשמת וסרטוני הוידאו שהוגשו לביהמ"ש.</w:t>
      </w:r>
    </w:p>
    <w:p w14:paraId="23F114F8" w14:textId="77777777" w:rsidR="00B820A6" w:rsidRDefault="00B820A6">
      <w:pPr>
        <w:tabs>
          <w:tab w:val="left" w:pos="-58"/>
        </w:tabs>
        <w:ind w:left="-766"/>
        <w:jc w:val="both"/>
        <w:rPr>
          <w:rtl/>
        </w:rPr>
      </w:pPr>
    </w:p>
    <w:p w14:paraId="72BE3858" w14:textId="77777777" w:rsidR="00B820A6" w:rsidRDefault="00594FCA">
      <w:pPr>
        <w:tabs>
          <w:tab w:val="left" w:pos="-58"/>
        </w:tabs>
        <w:ind w:hanging="97"/>
        <w:jc w:val="both"/>
        <w:rPr>
          <w:b/>
          <w:bCs/>
          <w:spacing w:val="-4"/>
          <w:u w:val="single"/>
          <w:rtl/>
        </w:rPr>
      </w:pPr>
      <w:r>
        <w:rPr>
          <w:b/>
          <w:bCs/>
          <w:spacing w:val="-4"/>
          <w:u w:val="single"/>
          <w:rtl/>
        </w:rPr>
        <w:t>טענות המאשימה</w:t>
      </w:r>
    </w:p>
    <w:p w14:paraId="06848866" w14:textId="77777777" w:rsidR="00B820A6" w:rsidRDefault="00594FCA">
      <w:pPr>
        <w:numPr>
          <w:ilvl w:val="0"/>
          <w:numId w:val="1"/>
        </w:numPr>
        <w:tabs>
          <w:tab w:val="clear" w:pos="-122"/>
          <w:tab w:val="left" w:pos="-58"/>
        </w:tabs>
        <w:overflowPunct w:val="0"/>
        <w:autoSpaceDE w:val="0"/>
        <w:autoSpaceDN w:val="0"/>
        <w:adjustRightInd w:val="0"/>
        <w:spacing w:line="360" w:lineRule="auto"/>
        <w:ind w:hanging="644"/>
        <w:jc w:val="both"/>
        <w:textAlignment w:val="baseline"/>
        <w:rPr>
          <w:rtl/>
        </w:rPr>
      </w:pPr>
      <w:r>
        <w:rPr>
          <w:spacing w:val="-4"/>
          <w:rtl/>
        </w:rPr>
        <w:t xml:space="preserve">מעשים הנצפים בסרטונים ב-12 אירועים שונים במשך כחודש וחצי בהם הנאשמת הודתה, מגבשים כנגדה עבירה של תקיפת חסר ישע, כשיסוד </w:t>
      </w:r>
      <w:r>
        <w:rPr>
          <w:rtl/>
        </w:rPr>
        <w:t>ה"</w:t>
      </w:r>
      <w:r>
        <w:rPr>
          <w:u w:val="single"/>
          <w:rtl/>
        </w:rPr>
        <w:t>חבלה של ממש</w:t>
      </w:r>
      <w:r>
        <w:rPr>
          <w:rtl/>
        </w:rPr>
        <w:t xml:space="preserve">" הנדרש </w:t>
      </w:r>
      <w:hyperlink r:id="rId17" w:history="1">
        <w:r w:rsidR="009837D0" w:rsidRPr="009837D0">
          <w:rPr>
            <w:rFonts w:hint="eastAsia"/>
            <w:color w:val="0000FF"/>
            <w:u w:val="single"/>
            <w:rtl/>
          </w:rPr>
          <w:t>בסעיף</w:t>
        </w:r>
        <w:r w:rsidR="009837D0" w:rsidRPr="009837D0">
          <w:rPr>
            <w:color w:val="0000FF"/>
            <w:u w:val="single"/>
            <w:rtl/>
          </w:rPr>
          <w:t xml:space="preserve"> 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rtl/>
        </w:rPr>
        <w:t xml:space="preserve"> כחלק מיסודות העבירה, נגרם לקשישה כמשמעה בחוק ובפסיקה בחבטות משני סוגים: </w:t>
      </w:r>
      <w:r>
        <w:rPr>
          <w:u w:val="single"/>
          <w:rtl/>
        </w:rPr>
        <w:t>חבלה גופנית פיזית</w:t>
      </w:r>
      <w:r>
        <w:rPr>
          <w:b/>
          <w:bCs/>
          <w:rtl/>
        </w:rPr>
        <w:t xml:space="preserve"> - המתבטאת בכאב, </w:t>
      </w:r>
      <w:r>
        <w:rPr>
          <w:u w:val="single"/>
          <w:rtl/>
        </w:rPr>
        <w:t>וחבלה נפשית</w:t>
      </w:r>
      <w:r>
        <w:rPr>
          <w:b/>
          <w:bCs/>
          <w:rtl/>
        </w:rPr>
        <w:t xml:space="preserve"> – המתבטאת בהשפלה.</w:t>
      </w:r>
      <w:r>
        <w:rPr>
          <w:rtl/>
        </w:rPr>
        <w:t xml:space="preserve"> כמו"כ אין מדובר בעבירת </w:t>
      </w:r>
      <w:r>
        <w:rPr>
          <w:b/>
          <w:bCs/>
          <w:rtl/>
        </w:rPr>
        <w:t xml:space="preserve">תקיפה סתם </w:t>
      </w:r>
      <w:r>
        <w:rPr>
          <w:rtl/>
        </w:rPr>
        <w:t xml:space="preserve">(לה עותר הסניגור), שאינה הולמת את המעשים החמורים שביצעה הנאשמת, ולא בעבירת </w:t>
      </w:r>
      <w:r>
        <w:rPr>
          <w:b/>
          <w:bCs/>
          <w:rtl/>
        </w:rPr>
        <w:t>תקיפה בנסיבות מחמירות</w:t>
      </w:r>
      <w:r>
        <w:rPr>
          <w:rtl/>
        </w:rPr>
        <w:t xml:space="preserve">, הרלוונטית רק כשהתוקף הינו </w:t>
      </w:r>
      <w:r>
        <w:rPr>
          <w:b/>
          <w:bCs/>
          <w:rtl/>
        </w:rPr>
        <w:t>בן משפחה</w:t>
      </w:r>
      <w:r>
        <w:rPr>
          <w:rtl/>
        </w:rPr>
        <w:t xml:space="preserve"> (ראה עמ' 6 ש' 30 לפרו'), אלא מדובר באשה חסרת ישע, קשישה סיעודית, שאינה יכולה להביע מחאה, כשהמשמעות הרלוונטית לגבי מעשיה נעוצה ביחסי המטפל-מטופל, שלהם יש ליתן את הביטוי מרכזי, ולכן אינם מתמצים בעבירת תקיפה סתם, כשמדובר בקשישה מותקפת חסרת ישע. כמו"כ הפסיקה הרשיעה בעבירה של תקיפת חסר ישע גם בשל מעשים פחות חמורים מ-12 המעשים המיוחסים לנאשמת, והדיסק המתעד את האירועים מדבר בעד עצמו.</w:t>
      </w:r>
    </w:p>
    <w:p w14:paraId="2571716C" w14:textId="77777777" w:rsidR="00B820A6" w:rsidRDefault="00B820A6">
      <w:pPr>
        <w:tabs>
          <w:tab w:val="left" w:pos="-97"/>
        </w:tabs>
        <w:ind w:left="-482"/>
        <w:jc w:val="both"/>
        <w:rPr>
          <w:rtl/>
        </w:rPr>
      </w:pPr>
    </w:p>
    <w:p w14:paraId="0C18F0D6" w14:textId="77777777" w:rsidR="00B820A6" w:rsidRDefault="00594FCA">
      <w:pPr>
        <w:tabs>
          <w:tab w:val="left" w:pos="-97"/>
        </w:tabs>
        <w:ind w:left="-482"/>
        <w:jc w:val="both"/>
        <w:rPr>
          <w:rtl/>
        </w:rPr>
      </w:pPr>
      <w:r>
        <w:rPr>
          <w:rtl/>
        </w:rPr>
        <w:tab/>
      </w:r>
      <w:r>
        <w:rPr>
          <w:b/>
          <w:bCs/>
          <w:u w:val="single"/>
          <w:rtl/>
        </w:rPr>
        <w:t>טענות הנאשמת</w:t>
      </w:r>
    </w:p>
    <w:p w14:paraId="33DC08DA" w14:textId="77777777" w:rsidR="00B820A6" w:rsidRDefault="00594FCA">
      <w:pPr>
        <w:pStyle w:val="ListParagraph"/>
        <w:numPr>
          <w:ilvl w:val="0"/>
          <w:numId w:val="1"/>
        </w:numPr>
        <w:spacing w:line="360" w:lineRule="auto"/>
        <w:jc w:val="both"/>
      </w:pPr>
      <w:r>
        <w:rPr>
          <w:spacing w:val="-4"/>
          <w:rtl/>
        </w:rPr>
        <w:t>הנאשמת הודתה בעובדות ובמעשים המיוחסים לה (ראה עמ' 6 ש' 8 לפרו'), היא  לא הרביצה או</w:t>
      </w:r>
      <w:r>
        <w:rPr>
          <w:spacing w:val="-4"/>
          <w:rtl/>
        </w:rPr>
        <w:tab/>
      </w:r>
      <w:r>
        <w:rPr>
          <w:rFonts w:hint="cs"/>
          <w:spacing w:val="-4"/>
          <w:rtl/>
        </w:rPr>
        <w:t xml:space="preserve"> </w:t>
      </w:r>
      <w:r>
        <w:rPr>
          <w:spacing w:val="-4"/>
          <w:rtl/>
        </w:rPr>
        <w:t>הכתה את הקשישה כדי להכותה, אלא מעשיה נעשו מתוך רצון לעזור ולסייע כחלק מהטיפול</w:t>
      </w:r>
      <w:r>
        <w:rPr>
          <w:rFonts w:hint="cs"/>
          <w:spacing w:val="-4"/>
          <w:rtl/>
        </w:rPr>
        <w:t xml:space="preserve"> </w:t>
      </w:r>
      <w:r>
        <w:rPr>
          <w:spacing w:val="-4"/>
          <w:rtl/>
        </w:rPr>
        <w:t>בקשישה (ראה עמ' 6 ש' 5 לפרו').</w:t>
      </w:r>
    </w:p>
    <w:p w14:paraId="1B4C5523" w14:textId="77777777" w:rsidR="00B820A6" w:rsidRDefault="00B820A6">
      <w:pPr>
        <w:pStyle w:val="ListParagraph"/>
        <w:spacing w:line="360" w:lineRule="auto"/>
        <w:ind w:left="-122"/>
        <w:jc w:val="both"/>
      </w:pPr>
    </w:p>
    <w:p w14:paraId="5A6ACD32" w14:textId="77777777" w:rsidR="00B820A6" w:rsidRDefault="00594FCA">
      <w:pPr>
        <w:pStyle w:val="ListParagraph"/>
        <w:numPr>
          <w:ilvl w:val="0"/>
          <w:numId w:val="1"/>
        </w:numPr>
        <w:tabs>
          <w:tab w:val="clear" w:pos="-122"/>
          <w:tab w:val="left" w:pos="-97"/>
        </w:tabs>
        <w:spacing w:line="360" w:lineRule="auto"/>
        <w:jc w:val="both"/>
      </w:pPr>
      <w:r>
        <w:rPr>
          <w:rtl/>
        </w:rPr>
        <w:lastRenderedPageBreak/>
        <w:t>בנוסף, המעשים שתועדו אינם מהווים חבלה במובן הרגיל של המילה, שכן לא נגרמו מהם</w:t>
      </w:r>
      <w:r>
        <w:rPr>
          <w:rFonts w:hint="cs"/>
          <w:rtl/>
        </w:rPr>
        <w:t xml:space="preserve"> </w:t>
      </w:r>
      <w:r>
        <w:rPr>
          <w:rtl/>
        </w:rPr>
        <w:t>חבלות של ממש, הפרשנות המשפטית של התביעה, כי לקשישה נגרם נזק נפשי טעונה הוכחה,</w:t>
      </w:r>
      <w:r>
        <w:rPr>
          <w:rFonts w:hint="cs"/>
          <w:rtl/>
        </w:rPr>
        <w:t xml:space="preserve"> </w:t>
      </w:r>
      <w:r>
        <w:rPr>
          <w:rtl/>
        </w:rPr>
        <w:t>אין כל פידבק או התייחסות לכך מהקשישה, לפיכך הטענה בדבר חבלה נפשית אינה מעוגנת</w:t>
      </w:r>
      <w:r>
        <w:rPr>
          <w:rFonts w:hint="cs"/>
          <w:rtl/>
        </w:rPr>
        <w:t xml:space="preserve"> </w:t>
      </w:r>
      <w:r>
        <w:rPr>
          <w:rtl/>
        </w:rPr>
        <w:t>בראיות.</w:t>
      </w:r>
      <w:r>
        <w:rPr>
          <w:rFonts w:hint="cs"/>
          <w:rtl/>
        </w:rPr>
        <w:t xml:space="preserve"> </w:t>
      </w:r>
      <w:r>
        <w:rPr>
          <w:rtl/>
        </w:rPr>
        <w:t>כמו</w:t>
      </w:r>
      <w:r>
        <w:rPr>
          <w:rFonts w:hint="cs"/>
          <w:rtl/>
        </w:rPr>
        <w:t xml:space="preserve"> </w:t>
      </w:r>
      <w:r>
        <w:rPr>
          <w:rtl/>
        </w:rPr>
        <w:t xml:space="preserve">כן, הפסיקה המפרשת את המונח </w:t>
      </w:r>
      <w:r>
        <w:rPr>
          <w:u w:val="single"/>
          <w:rtl/>
        </w:rPr>
        <w:t>"חבלה של ממש"</w:t>
      </w:r>
      <w:r>
        <w:rPr>
          <w:rtl/>
        </w:rPr>
        <w:t xml:space="preserve"> מצריכה נזק חמור יותר</w:t>
      </w:r>
      <w:r>
        <w:rPr>
          <w:rFonts w:hint="cs"/>
          <w:rtl/>
        </w:rPr>
        <w:t xml:space="preserve"> </w:t>
      </w:r>
      <w:r>
        <w:rPr>
          <w:rtl/>
        </w:rPr>
        <w:t>מסימן אדום החולף תוך 24 שעות, לנאשמת לא היתה כוונה להתעלל בקשישה, ולכל היותר יש</w:t>
      </w:r>
      <w:r>
        <w:rPr>
          <w:rFonts w:hint="cs"/>
          <w:rtl/>
        </w:rPr>
        <w:t xml:space="preserve"> </w:t>
      </w:r>
      <w:r>
        <w:rPr>
          <w:rtl/>
        </w:rPr>
        <w:t>לראות את התנהגותה כהתמודדות לא נכונה עם סיטואציות מסויימות, בהן המטופל לא אכל</w:t>
      </w:r>
      <w:r>
        <w:rPr>
          <w:rFonts w:hint="cs"/>
          <w:rtl/>
        </w:rPr>
        <w:t xml:space="preserve"> </w:t>
      </w:r>
      <w:r>
        <w:rPr>
          <w:rtl/>
        </w:rPr>
        <w:t xml:space="preserve">ולא שיתף פעולה בטיפול, ולהסתפק בהרשעתה בעבירה של תקיפה סתם, כפי שנעשה </w:t>
      </w:r>
      <w:r>
        <w:rPr>
          <w:b/>
          <w:bCs/>
          <w:rtl/>
        </w:rPr>
        <w:t>בת.פ</w:t>
      </w:r>
      <w:r>
        <w:rPr>
          <w:rFonts w:hint="cs"/>
          <w:b/>
          <w:bCs/>
          <w:rtl/>
        </w:rPr>
        <w:t xml:space="preserve"> </w:t>
      </w:r>
      <w:r>
        <w:rPr>
          <w:b/>
          <w:bCs/>
          <w:rtl/>
        </w:rPr>
        <w:t>10377-4-11</w:t>
      </w:r>
      <w:r>
        <w:rPr>
          <w:rtl/>
        </w:rPr>
        <w:t xml:space="preserve"> בבימ"ש השלום בירושלים, בסיטואציה דומה, בה אמר ביהמ"ש כי מאחר ולא</w:t>
      </w:r>
      <w:r>
        <w:rPr>
          <w:rFonts w:hint="cs"/>
          <w:rtl/>
        </w:rPr>
        <w:t xml:space="preserve"> </w:t>
      </w:r>
      <w:r>
        <w:rPr>
          <w:rtl/>
        </w:rPr>
        <w:t>מדובר בבן משפחה, אין נסיבה מחמירה, ובשל העדר חבלה, לא הרשיע בעבירה של תקיפת חסר</w:t>
      </w:r>
      <w:r>
        <w:rPr>
          <w:rFonts w:hint="cs"/>
          <w:rtl/>
        </w:rPr>
        <w:t xml:space="preserve"> </w:t>
      </w:r>
      <w:r>
        <w:rPr>
          <w:rtl/>
        </w:rPr>
        <w:t xml:space="preserve">ישע, אלא הסתפק בעבירת תקיפה, </w:t>
      </w:r>
      <w:r>
        <w:rPr>
          <w:b/>
          <w:bCs/>
          <w:rtl/>
        </w:rPr>
        <w:t>ובת.פ 34952-2-11</w:t>
      </w:r>
      <w:r>
        <w:rPr>
          <w:rtl/>
        </w:rPr>
        <w:t>, בו התייחס ביהמ"ש המחוזי בחיפה</w:t>
      </w:r>
      <w:r>
        <w:rPr>
          <w:rFonts w:hint="cs"/>
          <w:rtl/>
        </w:rPr>
        <w:t xml:space="preserve"> </w:t>
      </w:r>
      <w:r w:rsidR="009837D0">
        <w:rPr>
          <w:rtl/>
        </w:rPr>
        <w:t xml:space="preserve">למונח חבלה, ולפרשנות סעיף </w:t>
      </w:r>
      <w:hyperlink r:id="rId18" w:history="1">
        <w:r w:rsidR="009837D0" w:rsidRPr="009837D0">
          <w:rPr>
            <w:color w:val="0000FF"/>
            <w:u w:val="single"/>
            <w:rtl/>
          </w:rPr>
          <w:t>34</w:t>
        </w:r>
        <w:r w:rsidR="009837D0" w:rsidRPr="009837D0">
          <w:rPr>
            <w:rFonts w:hint="eastAsia"/>
            <w:color w:val="0000FF"/>
            <w:u w:val="single"/>
            <w:rtl/>
          </w:rPr>
          <w:t>כ</w:t>
        </w:r>
        <w:r w:rsidR="009837D0" w:rsidRPr="009837D0">
          <w:rPr>
            <w:color w:val="0000FF"/>
            <w:u w:val="single"/>
            <w:rtl/>
          </w:rPr>
          <w:t>"</w:t>
        </w:r>
        <w:r w:rsidR="009837D0" w:rsidRPr="009837D0">
          <w:rPr>
            <w:rFonts w:hint="eastAsia"/>
            <w:color w:val="0000FF"/>
            <w:u w:val="single"/>
            <w:rtl/>
          </w:rPr>
          <w:t>ד</w:t>
        </w:r>
      </w:hyperlink>
      <w:r>
        <w:rPr>
          <w:rtl/>
        </w:rPr>
        <w:t xml:space="preserve"> ל</w:t>
      </w:r>
      <w:hyperlink r:id="rId19" w:history="1">
        <w:r w:rsidR="00B818E8" w:rsidRPr="00B818E8">
          <w:rPr>
            <w:rStyle w:val="Hyperlink"/>
            <w:rFonts w:hint="eastAsia"/>
            <w:rtl/>
          </w:rPr>
          <w:t>חוק</w:t>
        </w:r>
        <w:r w:rsidR="00B818E8" w:rsidRPr="00B818E8">
          <w:rPr>
            <w:rStyle w:val="Hyperlink"/>
            <w:rtl/>
          </w:rPr>
          <w:t xml:space="preserve"> </w:t>
        </w:r>
        <w:r w:rsidR="00B818E8" w:rsidRPr="00B818E8">
          <w:rPr>
            <w:rStyle w:val="Hyperlink"/>
            <w:rFonts w:hint="eastAsia"/>
            <w:rtl/>
          </w:rPr>
          <w:t>העונשין</w:t>
        </w:r>
      </w:hyperlink>
      <w:r>
        <w:rPr>
          <w:rtl/>
        </w:rPr>
        <w:t>, וקבע כי סימן אדום שחלף תוך 24 שעות</w:t>
      </w:r>
      <w:r>
        <w:rPr>
          <w:rFonts w:hint="cs"/>
          <w:rtl/>
        </w:rPr>
        <w:t xml:space="preserve"> </w:t>
      </w:r>
      <w:r>
        <w:rPr>
          <w:rtl/>
        </w:rPr>
        <w:t>נגרם, אינו מהווה חבלה של ממש. גם בענייננו לא הוכחו חבלות ובאירוע שבסעיף 12 לכתב</w:t>
      </w:r>
      <w:r>
        <w:rPr>
          <w:rtl/>
        </w:rPr>
        <w:tab/>
        <w:t>האישום, בו לא מדובר כלל במכות או תקיפה, אלא בהכנסת אדם זר לחדר, שיתכן שהוא אשה,</w:t>
      </w:r>
      <w:r>
        <w:rPr>
          <w:rFonts w:hint="cs"/>
          <w:rtl/>
        </w:rPr>
        <w:t xml:space="preserve"> </w:t>
      </w:r>
      <w:r>
        <w:rPr>
          <w:rtl/>
        </w:rPr>
        <w:t xml:space="preserve">וגם ולא הוכח כי לקשישה היתה אי נעימות מכך, לא כל שכן חבלה נפשית. </w:t>
      </w:r>
    </w:p>
    <w:p w14:paraId="4E4EDAD1" w14:textId="77777777" w:rsidR="00B820A6" w:rsidRDefault="00B820A6">
      <w:pPr>
        <w:tabs>
          <w:tab w:val="left" w:pos="-58"/>
        </w:tabs>
        <w:ind w:left="-766"/>
        <w:jc w:val="both"/>
      </w:pPr>
    </w:p>
    <w:p w14:paraId="422D7418" w14:textId="77777777" w:rsidR="00B820A6" w:rsidRDefault="00594FCA">
      <w:pPr>
        <w:numPr>
          <w:ilvl w:val="0"/>
          <w:numId w:val="2"/>
        </w:numPr>
        <w:tabs>
          <w:tab w:val="left" w:pos="-58"/>
        </w:tabs>
        <w:overflowPunct w:val="0"/>
        <w:autoSpaceDE w:val="0"/>
        <w:autoSpaceDN w:val="0"/>
        <w:adjustRightInd w:val="0"/>
        <w:spacing w:line="360" w:lineRule="auto"/>
        <w:jc w:val="both"/>
        <w:textAlignment w:val="baseline"/>
      </w:pPr>
      <w:r>
        <w:rPr>
          <w:rtl/>
        </w:rPr>
        <w:t xml:space="preserve">מאחר והנאשמת ומטפלים שכמותה אינם עוברים קורס הכנה, קשיי הטיפול בעבודתם הקשה, לרבות הקושי להזיז או להאכיל קשישה שאינה משתפת פעולה, אינם מצדיקים הרשעה בעבירת תקיפת חסר ישע, כשלא קיימת לכך הדרכה והכנה.                                        </w:t>
      </w:r>
    </w:p>
    <w:p w14:paraId="64CB9355" w14:textId="77777777" w:rsidR="00B820A6" w:rsidRDefault="00594FCA">
      <w:pPr>
        <w:tabs>
          <w:tab w:val="left" w:pos="-58"/>
        </w:tabs>
        <w:ind w:left="-482"/>
        <w:jc w:val="both"/>
      </w:pPr>
      <w:r>
        <w:tab/>
      </w:r>
      <w:r>
        <w:rPr>
          <w:b/>
          <w:bCs/>
          <w:rtl/>
        </w:rPr>
        <w:t>לפיכך עותר הסניגור כי ביהמ"ש יסתפק בהרשעה בעבירת תקיפה סתם.</w:t>
      </w:r>
    </w:p>
    <w:p w14:paraId="70E0232E" w14:textId="77777777" w:rsidR="00B820A6" w:rsidRDefault="00B820A6">
      <w:pPr>
        <w:tabs>
          <w:tab w:val="left" w:pos="-58"/>
        </w:tabs>
        <w:ind w:left="-766"/>
        <w:jc w:val="both"/>
        <w:rPr>
          <w:sz w:val="16"/>
          <w:szCs w:val="16"/>
          <w:rtl/>
        </w:rPr>
      </w:pPr>
    </w:p>
    <w:p w14:paraId="61B28CDA" w14:textId="77777777" w:rsidR="00B820A6" w:rsidRDefault="00B820A6">
      <w:pPr>
        <w:tabs>
          <w:tab w:val="left" w:pos="-58"/>
        </w:tabs>
        <w:ind w:left="-766"/>
        <w:jc w:val="both"/>
        <w:rPr>
          <w:sz w:val="16"/>
          <w:szCs w:val="16"/>
          <w:rtl/>
        </w:rPr>
      </w:pPr>
    </w:p>
    <w:p w14:paraId="19D26BD4" w14:textId="77777777" w:rsidR="00B820A6" w:rsidRDefault="00B820A6">
      <w:pPr>
        <w:tabs>
          <w:tab w:val="left" w:pos="-58"/>
        </w:tabs>
        <w:ind w:left="-766"/>
        <w:jc w:val="both"/>
        <w:rPr>
          <w:sz w:val="16"/>
          <w:szCs w:val="16"/>
          <w:rtl/>
        </w:rPr>
      </w:pPr>
    </w:p>
    <w:p w14:paraId="387F5552" w14:textId="77777777" w:rsidR="00B820A6" w:rsidRDefault="00594FCA">
      <w:pPr>
        <w:tabs>
          <w:tab w:val="left" w:pos="-58"/>
        </w:tabs>
        <w:ind w:left="-122"/>
        <w:jc w:val="both"/>
        <w:rPr>
          <w:b/>
          <w:bCs/>
          <w:u w:val="single"/>
        </w:rPr>
      </w:pPr>
      <w:r>
        <w:rPr>
          <w:b/>
          <w:bCs/>
          <w:u w:val="single"/>
          <w:rtl/>
        </w:rPr>
        <w:t xml:space="preserve">דיון והכרעה </w:t>
      </w:r>
    </w:p>
    <w:p w14:paraId="07F8F233" w14:textId="77777777" w:rsidR="00B820A6" w:rsidRDefault="00594FCA">
      <w:pPr>
        <w:numPr>
          <w:ilvl w:val="0"/>
          <w:numId w:val="2"/>
        </w:numPr>
        <w:tabs>
          <w:tab w:val="left" w:pos="-58"/>
        </w:tabs>
        <w:overflowPunct w:val="0"/>
        <w:autoSpaceDE w:val="0"/>
        <w:autoSpaceDN w:val="0"/>
        <w:adjustRightInd w:val="0"/>
        <w:spacing w:line="360" w:lineRule="auto"/>
        <w:jc w:val="both"/>
        <w:textAlignment w:val="baseline"/>
      </w:pPr>
      <w:r>
        <w:rPr>
          <w:rtl/>
        </w:rPr>
        <w:t>לצורך ההכרעה, אתייחס למעשי הנאשמת שתועדו בדיסק עפ"י שמות הסרטונים שבדיסק תוך חלוקה לשני סוגי חבלות – גופני ונפשי:</w:t>
      </w:r>
    </w:p>
    <w:p w14:paraId="747045F9" w14:textId="77777777" w:rsidR="00B820A6" w:rsidRDefault="00B820A6">
      <w:pPr>
        <w:tabs>
          <w:tab w:val="left" w:pos="-58"/>
        </w:tabs>
        <w:ind w:left="-766"/>
        <w:jc w:val="both"/>
      </w:pPr>
    </w:p>
    <w:p w14:paraId="12394B2F" w14:textId="77777777" w:rsidR="00B820A6" w:rsidRDefault="00594FCA">
      <w:pPr>
        <w:tabs>
          <w:tab w:val="left" w:pos="-58"/>
        </w:tabs>
        <w:spacing w:line="360" w:lineRule="auto"/>
        <w:ind w:left="-122"/>
        <w:jc w:val="both"/>
      </w:pPr>
      <w:r>
        <w:rPr>
          <w:u w:val="single"/>
          <w:rtl/>
        </w:rPr>
        <w:t xml:space="preserve">מעשים שהם בגדר חבלה גופנית </w:t>
      </w:r>
    </w:p>
    <w:p w14:paraId="3B0608F1" w14:textId="77777777" w:rsidR="00B820A6" w:rsidRDefault="00594FCA">
      <w:pPr>
        <w:tabs>
          <w:tab w:val="left" w:pos="-58"/>
        </w:tabs>
        <w:spacing w:line="360" w:lineRule="auto"/>
        <w:ind w:left="-315" w:hanging="66"/>
        <w:jc w:val="both"/>
      </w:pPr>
      <w:r>
        <w:rPr>
          <w:rtl/>
        </w:rPr>
        <w:t>א.</w:t>
      </w:r>
      <w:r>
        <w:rPr>
          <w:rtl/>
        </w:rPr>
        <w:tab/>
      </w:r>
      <w:r>
        <w:rPr>
          <w:rtl/>
        </w:rPr>
        <w:tab/>
      </w:r>
      <w:r>
        <w:rPr>
          <w:u w:val="single"/>
          <w:rtl/>
        </w:rPr>
        <w:t xml:space="preserve">סרטון "12.9 </w:t>
      </w:r>
      <w:r>
        <w:rPr>
          <w:b/>
          <w:bCs/>
          <w:u w:val="single"/>
          <w:rtl/>
        </w:rPr>
        <w:t>מרביצה לסבתא כי לא מצליחה להעבירה לכיסא</w:t>
      </w:r>
      <w:r>
        <w:rPr>
          <w:u w:val="single"/>
          <w:rtl/>
        </w:rPr>
        <w:t>", מתייחס לסעיף 9 לכתב</w:t>
      </w:r>
      <w:r>
        <w:rPr>
          <w:rtl/>
        </w:rPr>
        <w:tab/>
      </w:r>
      <w:r>
        <w:rPr>
          <w:u w:val="single"/>
          <w:rtl/>
        </w:rPr>
        <w:t>האישום</w:t>
      </w:r>
      <w:r>
        <w:rPr>
          <w:rtl/>
        </w:rPr>
        <w:t xml:space="preserve"> – ביום 12.9.11 בשעה 08:09:10 </w:t>
      </w:r>
      <w:r>
        <w:rPr>
          <w:b/>
          <w:bCs/>
          <w:rtl/>
        </w:rPr>
        <w:t>הכתה הנאשמת את הקשישה</w:t>
      </w:r>
      <w:r>
        <w:rPr>
          <w:rtl/>
        </w:rPr>
        <w:t xml:space="preserve"> בידה בעת שהעבירה</w:t>
      </w:r>
      <w:r>
        <w:rPr>
          <w:rtl/>
        </w:rPr>
        <w:tab/>
        <w:t xml:space="preserve">אותה לכיסא הגלגלים, ולאחר שהצליחה – </w:t>
      </w:r>
      <w:r>
        <w:rPr>
          <w:b/>
          <w:bCs/>
          <w:rtl/>
        </w:rPr>
        <w:t>הכתה אותה בחוזקה בידה</w:t>
      </w:r>
      <w:r>
        <w:rPr>
          <w:rtl/>
        </w:rPr>
        <w:t xml:space="preserve"> ללא כל הצדקה.</w:t>
      </w:r>
    </w:p>
    <w:p w14:paraId="7191C83C" w14:textId="77777777" w:rsidR="00B820A6" w:rsidRDefault="00594FCA">
      <w:pPr>
        <w:numPr>
          <w:ilvl w:val="0"/>
          <w:numId w:val="3"/>
        </w:numPr>
        <w:tabs>
          <w:tab w:val="clear" w:pos="360"/>
          <w:tab w:val="left" w:pos="-58"/>
        </w:tabs>
        <w:overflowPunct w:val="0"/>
        <w:autoSpaceDE w:val="0"/>
        <w:autoSpaceDN w:val="0"/>
        <w:adjustRightInd w:val="0"/>
        <w:spacing w:line="360" w:lineRule="auto"/>
        <w:ind w:left="-97" w:hanging="284"/>
        <w:jc w:val="both"/>
        <w:textAlignment w:val="baseline"/>
      </w:pPr>
      <w:r>
        <w:rPr>
          <w:u w:val="single"/>
          <w:rtl/>
        </w:rPr>
        <w:t xml:space="preserve">בסרטון – "15.9 </w:t>
      </w:r>
      <w:r>
        <w:rPr>
          <w:b/>
          <w:bCs/>
          <w:u w:val="single"/>
          <w:rtl/>
        </w:rPr>
        <w:t>מרביצה לסבתא כי משתעלת בארוחת בוקר</w:t>
      </w:r>
      <w:r>
        <w:rPr>
          <w:u w:val="single"/>
          <w:rtl/>
        </w:rPr>
        <w:t>" המתייחס לסעיף 11 בכתב האישום</w:t>
      </w:r>
      <w:r>
        <w:rPr>
          <w:rtl/>
        </w:rPr>
        <w:t xml:space="preserve"> - ביום 15.9.11 בשעה 09:36:00 </w:t>
      </w:r>
      <w:r>
        <w:rPr>
          <w:b/>
          <w:bCs/>
          <w:rtl/>
        </w:rPr>
        <w:t>חבטה הנאשמת בגסות בראש הקשישה</w:t>
      </w:r>
      <w:r>
        <w:rPr>
          <w:rtl/>
        </w:rPr>
        <w:t>, הישובה על כסא גלגלים ליד השולחן, בעת שהאכילה אותה כשלאורך הארוחה הנאשמת מצחצחת שיניה מול הקשישה, וכשהקשישה משתעלת או משתנקת מהאוכל שהנאשמת מחדירה לפיה, הנאשמת קמה, חובטת בראשה ונעלמת. כשחזרה- בהמשך ההאכלה, שוב נראית הקשישה משתעלת, אך הנאשמת לא מסייעת לה, אלא ממשיכה לצחצח מולה את שיניה.</w:t>
      </w:r>
    </w:p>
    <w:p w14:paraId="00BB98F7" w14:textId="77777777" w:rsidR="00B820A6" w:rsidRDefault="00594FCA">
      <w:pPr>
        <w:numPr>
          <w:ilvl w:val="0"/>
          <w:numId w:val="3"/>
        </w:numPr>
        <w:tabs>
          <w:tab w:val="clear" w:pos="360"/>
          <w:tab w:val="left" w:pos="-58"/>
        </w:tabs>
        <w:overflowPunct w:val="0"/>
        <w:autoSpaceDE w:val="0"/>
        <w:autoSpaceDN w:val="0"/>
        <w:adjustRightInd w:val="0"/>
        <w:spacing w:line="360" w:lineRule="auto"/>
        <w:ind w:left="-97" w:hanging="237"/>
        <w:jc w:val="both"/>
        <w:textAlignment w:val="baseline"/>
      </w:pPr>
      <w:r>
        <w:rPr>
          <w:u w:val="single"/>
          <w:rtl/>
        </w:rPr>
        <w:t>בסרטון "</w:t>
      </w:r>
      <w:r>
        <w:rPr>
          <w:b/>
          <w:bCs/>
          <w:u w:val="single"/>
          <w:rtl/>
        </w:rPr>
        <w:t>מרביצה לסבתא כי נחנקת מהמים 30.9</w:t>
      </w:r>
      <w:r>
        <w:rPr>
          <w:u w:val="single"/>
          <w:rtl/>
        </w:rPr>
        <w:t>" המתייחס לסעיף 14 לכתב האישום</w:t>
      </w:r>
      <w:r>
        <w:rPr>
          <w:rtl/>
        </w:rPr>
        <w:t xml:space="preserve"> הנאשמת, שמשקה את הקשישה במים, </w:t>
      </w:r>
      <w:r>
        <w:rPr>
          <w:b/>
          <w:bCs/>
          <w:rtl/>
        </w:rPr>
        <w:t xml:space="preserve">תוקעת </w:t>
      </w:r>
      <w:r>
        <w:rPr>
          <w:rtl/>
        </w:rPr>
        <w:t>בכסא</w:t>
      </w:r>
      <w:r>
        <w:rPr>
          <w:b/>
          <w:bCs/>
          <w:rtl/>
        </w:rPr>
        <w:t xml:space="preserve"> בגסות ובכוח את יד הקשישה,</w:t>
      </w:r>
      <w:r>
        <w:rPr>
          <w:rtl/>
        </w:rPr>
        <w:t xml:space="preserve"> שהפריעה לה, </w:t>
      </w:r>
      <w:r>
        <w:rPr>
          <w:b/>
          <w:bCs/>
          <w:rtl/>
        </w:rPr>
        <w:t>וסטרה לה בכח פעמיים, בהפרש של 10 שניות</w:t>
      </w:r>
      <w:r>
        <w:rPr>
          <w:rtl/>
        </w:rPr>
        <w:t xml:space="preserve"> (בשעה 10:38:10 ובשעה 10:38:20).</w:t>
      </w:r>
    </w:p>
    <w:p w14:paraId="37E7F640" w14:textId="77777777" w:rsidR="00B820A6" w:rsidRDefault="00594FCA">
      <w:pPr>
        <w:numPr>
          <w:ilvl w:val="0"/>
          <w:numId w:val="3"/>
        </w:numPr>
        <w:tabs>
          <w:tab w:val="clear" w:pos="360"/>
          <w:tab w:val="left" w:pos="-58"/>
        </w:tabs>
        <w:overflowPunct w:val="0"/>
        <w:autoSpaceDE w:val="0"/>
        <w:autoSpaceDN w:val="0"/>
        <w:adjustRightInd w:val="0"/>
        <w:spacing w:line="360" w:lineRule="auto"/>
        <w:ind w:left="-97" w:hanging="237"/>
        <w:jc w:val="both"/>
        <w:textAlignment w:val="baseline"/>
      </w:pPr>
      <w:r>
        <w:rPr>
          <w:u w:val="single"/>
          <w:rtl/>
        </w:rPr>
        <w:lastRenderedPageBreak/>
        <w:t>בסרטון "</w:t>
      </w:r>
      <w:r>
        <w:rPr>
          <w:u w:val="single"/>
        </w:rPr>
        <w:t>ch1_20111005_1318844431_Player</w:t>
      </w:r>
      <w:r>
        <w:rPr>
          <w:u w:val="single"/>
          <w:rtl/>
        </w:rPr>
        <w:t>" המתייחס לסעיף 16 לכתב האישום</w:t>
      </w:r>
      <w:r>
        <w:rPr>
          <w:rtl/>
        </w:rPr>
        <w:t xml:space="preserve"> - ביום 5.10.11 בשעה 10:38:09 וב-10:38:17 ,תוך כדי האכלת והשקיית הקשישה, </w:t>
      </w:r>
      <w:r>
        <w:rPr>
          <w:b/>
          <w:bCs/>
          <w:rtl/>
        </w:rPr>
        <w:t xml:space="preserve">חבטה הנאשמת במצחה של הקשישה פעמיים תוך הדיפת ראשה לאחור, בהפרש של שניות ספורות, בעוצמה ובגסות, </w:t>
      </w:r>
      <w:r>
        <w:rPr>
          <w:rtl/>
        </w:rPr>
        <w:t xml:space="preserve">בזו אחר זו. גם אם לא נותר סימן חבלה, אין לי ספק שמדובר במכות מכאיבות ומשפילות גם יחד, המקיימות את אלמנט החבלה כהגדרתה בחוק לצורך הוכחת יסודות עבירת התקיפה, כפי שארחיב בהמשך. </w:t>
      </w:r>
    </w:p>
    <w:p w14:paraId="58DEC9C5" w14:textId="77777777" w:rsidR="00B820A6" w:rsidRDefault="00594FCA">
      <w:pPr>
        <w:numPr>
          <w:ilvl w:val="0"/>
          <w:numId w:val="3"/>
        </w:numPr>
        <w:tabs>
          <w:tab w:val="clear" w:pos="360"/>
          <w:tab w:val="left" w:pos="-58"/>
        </w:tabs>
        <w:overflowPunct w:val="0"/>
        <w:autoSpaceDE w:val="0"/>
        <w:autoSpaceDN w:val="0"/>
        <w:adjustRightInd w:val="0"/>
        <w:spacing w:line="360" w:lineRule="auto"/>
        <w:ind w:left="-97" w:hanging="237"/>
        <w:jc w:val="both"/>
        <w:textAlignment w:val="baseline"/>
      </w:pPr>
      <w:r>
        <w:rPr>
          <w:u w:val="single"/>
          <w:rtl/>
        </w:rPr>
        <w:t xml:space="preserve">בסרטון "17.9 </w:t>
      </w:r>
      <w:r>
        <w:rPr>
          <w:b/>
          <w:bCs/>
          <w:u w:val="single"/>
          <w:rtl/>
        </w:rPr>
        <w:t>מרביצה לסבתא ארוחת בוקר במיטה</w:t>
      </w:r>
      <w:r>
        <w:rPr>
          <w:u w:val="single"/>
          <w:rtl/>
        </w:rPr>
        <w:t>", המתייחס לסעיף 13 לכתב האישום</w:t>
      </w:r>
      <w:r>
        <w:rPr>
          <w:rtl/>
        </w:rPr>
        <w:t xml:space="preserve"> - ביום 17.9.11 בשעה 10:08:30 הנאשמת מנסה להאכיל בכח את הקשישה כשהיא </w:t>
      </w:r>
      <w:r>
        <w:rPr>
          <w:b/>
          <w:bCs/>
          <w:rtl/>
        </w:rPr>
        <w:t>נאבקת בקשישה המסרבת לאכול</w:t>
      </w:r>
      <w:r>
        <w:rPr>
          <w:rtl/>
        </w:rPr>
        <w:t xml:space="preserve"> </w:t>
      </w:r>
      <w:r>
        <w:rPr>
          <w:b/>
          <w:bCs/>
          <w:rtl/>
        </w:rPr>
        <w:t>בהורדת ידיה מפניה בגסות ועצבנות</w:t>
      </w:r>
      <w:r>
        <w:rPr>
          <w:rtl/>
        </w:rPr>
        <w:t xml:space="preserve"> שוב ושוב, כשלבסוף היא אוחזת בפי הקשישה, פותחת אותו בכח ותוחבת לתוכו בכח את האוכל. </w:t>
      </w:r>
      <w:r>
        <w:rPr>
          <w:b/>
          <w:bCs/>
          <w:rtl/>
        </w:rPr>
        <w:t>הקשישה מנסה להתנגד בהרמת ידיה, אך מתחיל שוב מאבק חוזר של הורדת ידיה בגסות ע"י הנאשמת</w:t>
      </w:r>
      <w:r>
        <w:rPr>
          <w:rtl/>
        </w:rPr>
        <w:t xml:space="preserve">, כשהאוכל נשפך ומלכלך, יש צורך בניגובו, והכל תוך </w:t>
      </w:r>
      <w:r>
        <w:rPr>
          <w:b/>
          <w:bCs/>
          <w:rtl/>
        </w:rPr>
        <w:t>חבטות עזות בידי הקשישה לצורך הורדתן</w:t>
      </w:r>
      <w:r>
        <w:rPr>
          <w:rtl/>
        </w:rPr>
        <w:t xml:space="preserve">, </w:t>
      </w:r>
      <w:r>
        <w:rPr>
          <w:b/>
          <w:bCs/>
          <w:rtl/>
        </w:rPr>
        <w:t>והרמת יד מאיימת של הנאשמת מול הקשישה</w:t>
      </w:r>
      <w:r>
        <w:rPr>
          <w:rtl/>
        </w:rPr>
        <w:t>. לבסוף הקשישה נחלשה או התייאשה ואיפשרה לנאשמת להאכילה. הגבר המופיע בחדר הקשישה בסרטון ז' בעת הטיפול בה, שוב נכנס לחדרה יחד עם ידידה נוספת, מוריד את חולצת הטריקו מפלג גופו העליון ונותר עם גופיה.</w:t>
      </w:r>
    </w:p>
    <w:p w14:paraId="75EF6BAC" w14:textId="77777777" w:rsidR="00B820A6" w:rsidRDefault="00594FCA">
      <w:pPr>
        <w:numPr>
          <w:ilvl w:val="0"/>
          <w:numId w:val="3"/>
        </w:numPr>
        <w:tabs>
          <w:tab w:val="clear" w:pos="360"/>
          <w:tab w:val="left" w:pos="-58"/>
        </w:tabs>
        <w:overflowPunct w:val="0"/>
        <w:autoSpaceDE w:val="0"/>
        <w:autoSpaceDN w:val="0"/>
        <w:adjustRightInd w:val="0"/>
        <w:spacing w:line="360" w:lineRule="auto"/>
        <w:ind w:left="-97" w:hanging="237"/>
        <w:jc w:val="both"/>
        <w:textAlignment w:val="baseline"/>
      </w:pPr>
      <w:r>
        <w:rPr>
          <w:u w:val="single"/>
          <w:rtl/>
        </w:rPr>
        <w:t xml:space="preserve">בסרטון </w:t>
      </w:r>
      <w:r>
        <w:rPr>
          <w:u w:val="single"/>
        </w:rPr>
        <w:t>ch3_20111001_1318797629_Player</w:t>
      </w:r>
      <w:r>
        <w:rPr>
          <w:u w:val="single"/>
          <w:rtl/>
        </w:rPr>
        <w:t>", המתייחס לסעיף 15 לכתב האישום</w:t>
      </w:r>
      <w:r>
        <w:rPr>
          <w:rtl/>
        </w:rPr>
        <w:t xml:space="preserve"> - ביום 1.10.11 בשעה 13:50:32 </w:t>
      </w:r>
      <w:r>
        <w:rPr>
          <w:b/>
          <w:bCs/>
          <w:rtl/>
        </w:rPr>
        <w:t>הנאשמת מטיחה/מטילה בגסות את הקשישה למיטה</w:t>
      </w:r>
      <w:r>
        <w:rPr>
          <w:rtl/>
        </w:rPr>
        <w:t xml:space="preserve">, כאילו מדובר בחפץ, מרימה את ראש הקשישה, מניחה תחתיו כרית, </w:t>
      </w:r>
      <w:r>
        <w:rPr>
          <w:b/>
          <w:bCs/>
          <w:rtl/>
        </w:rPr>
        <w:t>ומטיחה והודפת אותו בגסות לכרית</w:t>
      </w:r>
      <w:r>
        <w:rPr>
          <w:rtl/>
        </w:rPr>
        <w:t>.</w:t>
      </w:r>
    </w:p>
    <w:p w14:paraId="7D028EE8" w14:textId="77777777" w:rsidR="00B820A6" w:rsidRDefault="00B820A6">
      <w:pPr>
        <w:tabs>
          <w:tab w:val="left" w:pos="-58"/>
        </w:tabs>
        <w:ind w:left="-97"/>
        <w:jc w:val="both"/>
      </w:pPr>
    </w:p>
    <w:p w14:paraId="663149FF" w14:textId="77777777" w:rsidR="00B820A6" w:rsidRDefault="00594FCA">
      <w:pPr>
        <w:tabs>
          <w:tab w:val="left" w:pos="-58"/>
        </w:tabs>
        <w:spacing w:line="360" w:lineRule="auto"/>
        <w:ind w:left="-766"/>
        <w:jc w:val="both"/>
        <w:rPr>
          <w:u w:val="single"/>
          <w:rtl/>
        </w:rPr>
      </w:pPr>
      <w:r>
        <w:tab/>
      </w:r>
      <w:r>
        <w:rPr>
          <w:u w:val="single"/>
          <w:rtl/>
        </w:rPr>
        <w:t xml:space="preserve">מעשים שהם בגדר חבלה נפשית </w:t>
      </w:r>
    </w:p>
    <w:p w14:paraId="0BF0B540" w14:textId="77777777" w:rsidR="00B820A6" w:rsidRDefault="00594FCA">
      <w:pPr>
        <w:pStyle w:val="ListParagraph"/>
        <w:numPr>
          <w:ilvl w:val="0"/>
          <w:numId w:val="4"/>
        </w:numPr>
        <w:tabs>
          <w:tab w:val="left" w:pos="-58"/>
        </w:tabs>
        <w:spacing w:line="360" w:lineRule="auto"/>
        <w:jc w:val="both"/>
        <w:rPr>
          <w:u w:val="single"/>
        </w:rPr>
      </w:pPr>
      <w:r>
        <w:rPr>
          <w:u w:val="single"/>
          <w:rtl/>
        </w:rPr>
        <w:t>סרטון "16.9 מורידה מכנסיים לסבתא לפני שינה כשחבר של סבינה בחדר" (להלן –סרטון</w:t>
      </w:r>
      <w:r>
        <w:rPr>
          <w:rtl/>
        </w:rPr>
        <w:tab/>
      </w:r>
      <w:r>
        <w:rPr>
          <w:u w:val="single"/>
          <w:rtl/>
        </w:rPr>
        <w:t>החבר) המתייחס לסעיף 12 בכתב האישום</w:t>
      </w:r>
      <w:r>
        <w:rPr>
          <w:rtl/>
        </w:rPr>
        <w:t>, ביום 16.9.11 בשעה 20:50, כאשר הגבר מסרטון ה'</w:t>
      </w:r>
      <w:r>
        <w:rPr>
          <w:rFonts w:hint="cs"/>
          <w:rtl/>
        </w:rPr>
        <w:t xml:space="preserve"> </w:t>
      </w:r>
      <w:r>
        <w:rPr>
          <w:rtl/>
        </w:rPr>
        <w:t xml:space="preserve">שוב נוכח בחדר הקשישה בעת הטיפול בה, </w:t>
      </w:r>
      <w:r>
        <w:rPr>
          <w:b/>
          <w:bCs/>
          <w:rtl/>
        </w:rPr>
        <w:t>חשפה הנאשמת בטן הקשישה</w:t>
      </w:r>
      <w:r>
        <w:rPr>
          <w:rtl/>
        </w:rPr>
        <w:t xml:space="preserve"> בהרימה את</w:t>
      </w:r>
      <w:r>
        <w:rPr>
          <w:rFonts w:hint="cs"/>
          <w:rtl/>
        </w:rPr>
        <w:t xml:space="preserve"> </w:t>
      </w:r>
      <w:r>
        <w:rPr>
          <w:rtl/>
        </w:rPr>
        <w:t xml:space="preserve">חולצתה מעל בטנה, כן </w:t>
      </w:r>
      <w:r>
        <w:rPr>
          <w:b/>
          <w:bCs/>
          <w:rtl/>
        </w:rPr>
        <w:t>הסירה את מכנסי הקשישה, כך שלמבושי הקשישה נותר חיתול</w:t>
      </w:r>
      <w:r>
        <w:rPr>
          <w:rFonts w:hint="cs"/>
          <w:b/>
          <w:bCs/>
          <w:rtl/>
        </w:rPr>
        <w:t xml:space="preserve"> </w:t>
      </w:r>
      <w:r>
        <w:rPr>
          <w:b/>
          <w:bCs/>
          <w:rtl/>
        </w:rPr>
        <w:t>בלבד</w:t>
      </w:r>
      <w:r>
        <w:rPr>
          <w:rtl/>
        </w:rPr>
        <w:t xml:space="preserve">, </w:t>
      </w:r>
      <w:r>
        <w:rPr>
          <w:b/>
          <w:bCs/>
          <w:rtl/>
        </w:rPr>
        <w:t>והגבר שנכנס לחדר מתבונן בגופה של הקשישה, ניגש אליה, נוגע בידה</w:t>
      </w:r>
      <w:r>
        <w:rPr>
          <w:rtl/>
        </w:rPr>
        <w:t>, ואף נותר עם</w:t>
      </w:r>
      <w:r>
        <w:rPr>
          <w:rFonts w:hint="cs"/>
          <w:rtl/>
        </w:rPr>
        <w:t xml:space="preserve"> </w:t>
      </w:r>
      <w:r>
        <w:rPr>
          <w:rtl/>
        </w:rPr>
        <w:t>הקשישה לבד בחדר, כשהנאשמת יצאה וחזרה, רוב הזמן משעה 20:51 – 20:53 הוא שוהה</w:t>
      </w:r>
      <w:r>
        <w:rPr>
          <w:rtl/>
        </w:rPr>
        <w:tab/>
        <w:t>בחדר,</w:t>
      </w:r>
      <w:r>
        <w:rPr>
          <w:rFonts w:hint="cs"/>
          <w:rtl/>
        </w:rPr>
        <w:t xml:space="preserve"> </w:t>
      </w:r>
      <w:r>
        <w:rPr>
          <w:rtl/>
        </w:rPr>
        <w:t>כשהקשישה</w:t>
      </w:r>
      <w:r>
        <w:rPr>
          <w:rFonts w:hint="cs"/>
          <w:rtl/>
        </w:rPr>
        <w:t xml:space="preserve"> </w:t>
      </w:r>
      <w:r>
        <w:rPr>
          <w:rtl/>
        </w:rPr>
        <w:t>ללא</w:t>
      </w:r>
      <w:r>
        <w:rPr>
          <w:rFonts w:hint="cs"/>
          <w:rtl/>
        </w:rPr>
        <w:t xml:space="preserve"> </w:t>
      </w:r>
      <w:r>
        <w:rPr>
          <w:rtl/>
        </w:rPr>
        <w:t>מכנסיים, חשופת רגליים ומחותלת בחיתול, והוא נשאר גם במהלך</w:t>
      </w:r>
      <w:r>
        <w:rPr>
          <w:rFonts w:hint="cs"/>
          <w:rtl/>
        </w:rPr>
        <w:t xml:space="preserve"> </w:t>
      </w:r>
      <w:r>
        <w:rPr>
          <w:rtl/>
        </w:rPr>
        <w:t xml:space="preserve">טיפול הנאשמת בקשישה כשהנאשמת סובבה אותה על צידה ותחבה כרית בין ירכיה. </w:t>
      </w:r>
      <w:r>
        <w:rPr>
          <w:rFonts w:hint="cs"/>
          <w:rtl/>
        </w:rPr>
        <w:t xml:space="preserve"> </w:t>
      </w:r>
      <w:r>
        <w:rPr>
          <w:rtl/>
        </w:rPr>
        <w:t xml:space="preserve">אני דוחה את טענות ב"כ הנאשמת כי קשה להיווכח שהיה אדם נוסף בחדר, או כי אין מדובר בגבר (ראה עמ' 7 ש' 12-17 לפרו'), שכן עולה מהסרטון בבירור כי מדובר בגבר שהנאשמת והקשישה ראו אותו, ונוכחותו בחדר נובעת מניצול מצבה של הקשישה חסרת האונים והיכולת להגן על פרטיותה, להצניע מערומיה , ולהתנגד לחשיפתה בפני זרים. </w:t>
      </w:r>
    </w:p>
    <w:p w14:paraId="2C660429" w14:textId="77777777" w:rsidR="00B820A6" w:rsidRDefault="00594FCA">
      <w:pPr>
        <w:pStyle w:val="ListParagraph"/>
        <w:numPr>
          <w:ilvl w:val="0"/>
          <w:numId w:val="4"/>
        </w:numPr>
        <w:tabs>
          <w:tab w:val="left" w:pos="-58"/>
        </w:tabs>
        <w:spacing w:line="360" w:lineRule="auto"/>
        <w:jc w:val="both"/>
        <w:rPr>
          <w:rtl/>
        </w:rPr>
      </w:pPr>
      <w:r>
        <w:rPr>
          <w:rtl/>
        </w:rPr>
        <w:t>כמו-כן עולה פגיעה נפשית מכל שאר הסרטונים א-ו, בהם קיימת גם תקיפה פיסית.</w:t>
      </w:r>
    </w:p>
    <w:p w14:paraId="60BA5D4D" w14:textId="77777777" w:rsidR="00B820A6" w:rsidRDefault="00B820A6">
      <w:pPr>
        <w:tabs>
          <w:tab w:val="left" w:pos="-58"/>
        </w:tabs>
        <w:jc w:val="both"/>
        <w:rPr>
          <w:rtl/>
        </w:rPr>
      </w:pPr>
    </w:p>
    <w:p w14:paraId="689A4CF4" w14:textId="77777777" w:rsidR="00B820A6" w:rsidRDefault="00594FCA">
      <w:pPr>
        <w:numPr>
          <w:ilvl w:val="0"/>
          <w:numId w:val="2"/>
        </w:numPr>
        <w:tabs>
          <w:tab w:val="left" w:pos="-58"/>
        </w:tabs>
        <w:overflowPunct w:val="0"/>
        <w:autoSpaceDE w:val="0"/>
        <w:autoSpaceDN w:val="0"/>
        <w:adjustRightInd w:val="0"/>
        <w:spacing w:line="360" w:lineRule="auto"/>
        <w:jc w:val="both"/>
        <w:textAlignment w:val="baseline"/>
      </w:pPr>
      <w:r>
        <w:rPr>
          <w:rtl/>
        </w:rPr>
        <w:t>מקובלת עליי טענת המאשימה כי מעשי החבטות והדיפות הקשישה גרמו לה לכאב, לא כל שכן הדיפות ראשה בזו אחר זו. כמו-כן המכות שהנחיתה הנאשמת על ידי הקשישה בעת האכלתה במיטה, עונים על הגדרת "</w:t>
      </w:r>
      <w:r>
        <w:rPr>
          <w:b/>
          <w:bCs/>
          <w:rtl/>
        </w:rPr>
        <w:t>חבלה</w:t>
      </w:r>
      <w:r w:rsidR="009837D0">
        <w:rPr>
          <w:rtl/>
        </w:rPr>
        <w:t xml:space="preserve">" בסעיף </w:t>
      </w:r>
      <w:hyperlink r:id="rId20" w:history="1">
        <w:r w:rsidR="009837D0" w:rsidRPr="009837D0">
          <w:rPr>
            <w:color w:val="0000FF"/>
            <w:u w:val="single"/>
            <w:rtl/>
          </w:rPr>
          <w:t>34</w:t>
        </w:r>
        <w:r w:rsidR="009837D0" w:rsidRPr="009837D0">
          <w:rPr>
            <w:rFonts w:hint="eastAsia"/>
            <w:color w:val="0000FF"/>
            <w:u w:val="single"/>
            <w:rtl/>
          </w:rPr>
          <w:t>כד</w:t>
        </w:r>
      </w:hyperlink>
      <w:r>
        <w:rPr>
          <w:rtl/>
        </w:rPr>
        <w:t xml:space="preserve"> ל</w:t>
      </w:r>
      <w:hyperlink r:id="rId21" w:history="1">
        <w:r w:rsidR="00B818E8" w:rsidRPr="00B818E8">
          <w:rPr>
            <w:rStyle w:val="Hyperlink"/>
            <w:rFonts w:hint="eastAsia"/>
            <w:rtl/>
          </w:rPr>
          <w:t>חוק</w:t>
        </w:r>
        <w:r w:rsidR="00B818E8" w:rsidRPr="00B818E8">
          <w:rPr>
            <w:rStyle w:val="Hyperlink"/>
            <w:rtl/>
          </w:rPr>
          <w:t xml:space="preserve"> </w:t>
        </w:r>
        <w:r w:rsidR="00B818E8" w:rsidRPr="00B818E8">
          <w:rPr>
            <w:rStyle w:val="Hyperlink"/>
            <w:rFonts w:hint="eastAsia"/>
            <w:rtl/>
          </w:rPr>
          <w:t>העונשין</w:t>
        </w:r>
      </w:hyperlink>
      <w:r>
        <w:rPr>
          <w:rtl/>
        </w:rPr>
        <w:t xml:space="preserve">, מעצם הכאב שבמכה. כך גם הכאב העולה מהפגיעה הנפשית בביזוי הקשישה והשפלתה במכלול המעשים שבסרטונים, החבטות בראשה בעת האכלתה, זריקתה למיטה, והטחת ראשה בגסות בכרית, ושאר המעשים המשפילים, כשברור שאין מדובר במעשה חד פעמי. </w:t>
      </w:r>
    </w:p>
    <w:p w14:paraId="028721C2" w14:textId="77777777" w:rsidR="00B820A6" w:rsidRDefault="00B820A6">
      <w:pPr>
        <w:tabs>
          <w:tab w:val="left" w:pos="-58"/>
        </w:tabs>
        <w:jc w:val="both"/>
      </w:pPr>
    </w:p>
    <w:p w14:paraId="1526BF49" w14:textId="77777777" w:rsidR="00B820A6" w:rsidRDefault="00594FCA">
      <w:pPr>
        <w:numPr>
          <w:ilvl w:val="0"/>
          <w:numId w:val="2"/>
        </w:numPr>
        <w:tabs>
          <w:tab w:val="left" w:pos="-58"/>
        </w:tabs>
        <w:overflowPunct w:val="0"/>
        <w:autoSpaceDE w:val="0"/>
        <w:autoSpaceDN w:val="0"/>
        <w:adjustRightInd w:val="0"/>
        <w:spacing w:line="360" w:lineRule="auto"/>
        <w:jc w:val="both"/>
        <w:textAlignment w:val="baseline"/>
      </w:pPr>
      <w:r>
        <w:rPr>
          <w:rtl/>
        </w:rPr>
        <w:t>אין חולק שמעשי הנאשמת נובעים מיחסי מטפל-מטופל, שהם יחסיים מיוחדים, המאפיינים את אלמנט הטיפול והרגישות המתחייבת מצד המטפל, ומאידך את התלות בו מצד המטופל, ולפיכך</w:t>
      </w:r>
      <w:r>
        <w:rPr>
          <w:b/>
          <w:bCs/>
          <w:rtl/>
        </w:rPr>
        <w:t xml:space="preserve"> יש ליתן להם את הביטוי והאפיון המרכזי בענייננו</w:t>
      </w:r>
      <w:r>
        <w:rPr>
          <w:rtl/>
        </w:rPr>
        <w:t xml:space="preserve">, </w:t>
      </w:r>
      <w:r>
        <w:rPr>
          <w:b/>
          <w:bCs/>
          <w:rtl/>
        </w:rPr>
        <w:t>שכן מדובר ביחסי תלות של קשישה חסרת ישע במטפלת שתפקידה לסייע לה, לתמוך בה, להיות לה למשענת ולעזר, ולעודד אותה בשעתה ובמצבה הקשה</w:t>
      </w:r>
      <w:r>
        <w:rPr>
          <w:rtl/>
        </w:rPr>
        <w:t xml:space="preserve">. לפיכך, מתוקף יחסי אמון אלה, מעשי התקיפה של הנאשמת אינם הולמים את עבירת התקיפה סתם, כשהמותקפת היא קשישה חסרת ישע, והתוקפת היא המטפלת והאחראית עליה, אלא יש ליתן למערכת יחסים מיוחדת זו ביטוי של נסיבות מחמירות במסגרת עבירת התקיפה, שכן לא רק שמדובר בחסר ישע, שאין ביכולתו להתנגד לתקיפה, אלא גם בתוקף שאמור להגן על חסר הישע, לסייע לו ולתמוך בו, בעוד הדיסק המתעד אירועים של תקיפות והשפלות הקשישה, מדבר בעד עצמו. </w:t>
      </w:r>
    </w:p>
    <w:p w14:paraId="0A8502A8" w14:textId="77777777" w:rsidR="00B820A6" w:rsidRDefault="00B820A6">
      <w:pPr>
        <w:tabs>
          <w:tab w:val="left" w:pos="-97"/>
          <w:tab w:val="left" w:pos="-58"/>
        </w:tabs>
        <w:ind w:left="-766"/>
        <w:jc w:val="both"/>
        <w:rPr>
          <w:rtl/>
        </w:rPr>
      </w:pPr>
    </w:p>
    <w:p w14:paraId="2BC394D0" w14:textId="77777777" w:rsidR="00B820A6" w:rsidRDefault="00594FCA">
      <w:pPr>
        <w:numPr>
          <w:ilvl w:val="0"/>
          <w:numId w:val="2"/>
        </w:numPr>
        <w:tabs>
          <w:tab w:val="left" w:pos="-58"/>
        </w:tabs>
        <w:overflowPunct w:val="0"/>
        <w:autoSpaceDE w:val="0"/>
        <w:autoSpaceDN w:val="0"/>
        <w:adjustRightInd w:val="0"/>
        <w:spacing w:line="360" w:lineRule="auto"/>
        <w:ind w:hanging="644"/>
        <w:jc w:val="both"/>
        <w:textAlignment w:val="baseline"/>
      </w:pPr>
      <w:r>
        <w:rPr>
          <w:rtl/>
        </w:rPr>
        <w:t xml:space="preserve">מקובלת עלי טענת המאשימה בסיכומיה כי הפגיעה הנפשית העולה מהמעשים שבסרטונים, אינה דורשת הוכחה נוספת או עדות הקשישה לצורך החומרה שבמעשה (ראה עמ' 6 ש' 22-25 לפרו'), שכן בנוסף לעצם החבלה </w:t>
      </w:r>
      <w:r>
        <w:rPr>
          <w:u w:val="single"/>
          <w:rtl/>
        </w:rPr>
        <w:t>הפיזית</w:t>
      </w:r>
      <w:r>
        <w:rPr>
          <w:rtl/>
        </w:rPr>
        <w:t xml:space="preserve"> בהטחות ראשה של הקשישה, הכאת ידיה והטחתה בגסות, מדובר בגילויי </w:t>
      </w:r>
      <w:r>
        <w:rPr>
          <w:u w:val="single"/>
          <w:rtl/>
        </w:rPr>
        <w:t>השפלות נפשיות חוזרות</w:t>
      </w:r>
      <w:r>
        <w:rPr>
          <w:rtl/>
        </w:rPr>
        <w:t xml:space="preserve">, ברי לצופה בהן כי </w:t>
      </w:r>
      <w:r>
        <w:rPr>
          <w:b/>
          <w:bCs/>
          <w:rtl/>
        </w:rPr>
        <w:t>פגיעתן הנפשית</w:t>
      </w:r>
      <w:r>
        <w:rPr>
          <w:rtl/>
        </w:rPr>
        <w:t xml:space="preserve"> היא בגדר ביזוי כבוד האדם, גם אם לא הוכחה חבלה של ממש, לא כל שכן </w:t>
      </w:r>
      <w:r>
        <w:rPr>
          <w:b/>
          <w:bCs/>
          <w:rtl/>
        </w:rPr>
        <w:t>כשהקשישה חסרת הישע</w:t>
      </w:r>
      <w:r>
        <w:rPr>
          <w:rtl/>
        </w:rPr>
        <w:t xml:space="preserve"> </w:t>
      </w:r>
      <w:r>
        <w:rPr>
          <w:b/>
          <w:bCs/>
          <w:rtl/>
        </w:rPr>
        <w:t>ואונים</w:t>
      </w:r>
      <w:r>
        <w:rPr>
          <w:rtl/>
        </w:rPr>
        <w:t xml:space="preserve"> שאין ביכולתה להתנגד להן, אלא להשלים עמן ועם פגיעתן הנפשית ובהן, לרבות חשיפת חלקי גופה בפני גבר זר. בעניין זה נקבע במשפט העברי כי הצער הנפשי הכרוך בהתערטלות בפני זרים, חמור ממכות וחבורות פיזיות, בבחינת: </w:t>
      </w:r>
      <w:r>
        <w:rPr>
          <w:b/>
          <w:bCs/>
          <w:rtl/>
        </w:rPr>
        <w:t xml:space="preserve">"בזיוני דאינש עדיף ליה טפי מניחא דגופיה, דלא ליצטער", </w:t>
      </w:r>
      <w:r>
        <w:rPr>
          <w:rtl/>
        </w:rPr>
        <w:t xml:space="preserve">דהיינו – ביזיון האדם מהיעדר כסות קשה יותר מצער הגוף (ראה שיטות קמאי על בבלי סנהדרין מה, א ד"ה: "אותה בכסותה"). </w:t>
      </w:r>
    </w:p>
    <w:p w14:paraId="0930C8BB" w14:textId="77777777" w:rsidR="00B820A6" w:rsidRDefault="00B820A6">
      <w:pPr>
        <w:tabs>
          <w:tab w:val="left" w:pos="-58"/>
        </w:tabs>
        <w:jc w:val="both"/>
        <w:rPr>
          <w:sz w:val="16"/>
          <w:szCs w:val="16"/>
        </w:rPr>
      </w:pPr>
    </w:p>
    <w:p w14:paraId="2F916741" w14:textId="77777777" w:rsidR="00B820A6" w:rsidRDefault="00594FCA">
      <w:pPr>
        <w:numPr>
          <w:ilvl w:val="0"/>
          <w:numId w:val="2"/>
        </w:numPr>
        <w:tabs>
          <w:tab w:val="left" w:pos="-58"/>
        </w:tabs>
        <w:overflowPunct w:val="0"/>
        <w:autoSpaceDE w:val="0"/>
        <w:autoSpaceDN w:val="0"/>
        <w:adjustRightInd w:val="0"/>
        <w:spacing w:line="360" w:lineRule="auto"/>
        <w:ind w:hanging="644"/>
        <w:jc w:val="both"/>
        <w:textAlignment w:val="baseline"/>
      </w:pPr>
      <w:r>
        <w:rPr>
          <w:rtl/>
        </w:rPr>
        <w:t>על היחס המזלזל, המביש, המשפיל והפוגע כלפי הקשישה, ניתן ללמוד גם מסרטון הארוחה מ-15.9 (המתייחס לסעיף 11 בכתב האישום), רואים בין השעות 09:35:00 עד 09:36:00 שהנאשמת מצחצחת שיניה אל מול פני הקשישה, תוך כדי האכלת הקשישה, כביטוי לזלזול בה ולהשפלתה. גם כאשר נדרשה הנאשמת להשתמש בשתי ידיה כדי להשקות את הקשישה, היא השאירה את מברשת השיניים בפיה, וכך גם כשהקשישה החלה להשתעל בעקבות השתיה, עד שלבסוף חבטה הנאשמת בגסות בראש הקשישה המשתנקת (09:36:00) ועזבה את השולחן. בהמשך הסרטון בין הדקות 09:40:10 עד 09:40:55 לאחר שהנאשמת חזרה, היא קינחה את אפה, תוך כדי שהאכילה את הקשישה, והניחה את הממחטה המשומשת קרוב למצחה של הקשישה ולצלחתה.</w:t>
      </w:r>
    </w:p>
    <w:p w14:paraId="783300BA" w14:textId="77777777" w:rsidR="00B820A6" w:rsidRDefault="00B820A6">
      <w:pPr>
        <w:tabs>
          <w:tab w:val="left" w:pos="-58"/>
        </w:tabs>
        <w:ind w:left="-766"/>
        <w:jc w:val="both"/>
        <w:rPr>
          <w:rtl/>
        </w:rPr>
      </w:pPr>
    </w:p>
    <w:p w14:paraId="57AFD0C9" w14:textId="77777777" w:rsidR="00B820A6" w:rsidRDefault="00594FCA">
      <w:pPr>
        <w:tabs>
          <w:tab w:val="left" w:pos="-58"/>
        </w:tabs>
        <w:spacing w:line="360" w:lineRule="auto"/>
        <w:ind w:left="-122"/>
        <w:jc w:val="both"/>
        <w:rPr>
          <w:u w:val="single"/>
        </w:rPr>
      </w:pPr>
      <w:r>
        <w:rPr>
          <w:u w:val="single"/>
          <w:rtl/>
        </w:rPr>
        <w:t xml:space="preserve">אי תחולת </w:t>
      </w:r>
      <w:hyperlink r:id="rId22" w:history="1">
        <w:r w:rsidR="009837D0" w:rsidRPr="009837D0">
          <w:rPr>
            <w:rFonts w:hint="eastAsia"/>
            <w:color w:val="0000FF"/>
            <w:u w:val="single"/>
            <w:rtl/>
          </w:rPr>
          <w:t>סעיף</w:t>
        </w:r>
        <w:r w:rsidR="009837D0" w:rsidRPr="009837D0">
          <w:rPr>
            <w:color w:val="0000FF"/>
            <w:u w:val="single"/>
            <w:rtl/>
          </w:rPr>
          <w:t xml:space="preserve"> 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u w:val="single"/>
          <w:rtl/>
        </w:rPr>
        <w:t xml:space="preserve"> מאחר שאין מדובר בחבלה של ממש</w:t>
      </w:r>
    </w:p>
    <w:p w14:paraId="0EE99A8C" w14:textId="77777777" w:rsidR="00B820A6" w:rsidRDefault="00594FCA">
      <w:pPr>
        <w:numPr>
          <w:ilvl w:val="0"/>
          <w:numId w:val="2"/>
        </w:numPr>
        <w:tabs>
          <w:tab w:val="left" w:pos="-58"/>
        </w:tabs>
        <w:overflowPunct w:val="0"/>
        <w:autoSpaceDE w:val="0"/>
        <w:autoSpaceDN w:val="0"/>
        <w:adjustRightInd w:val="0"/>
        <w:spacing w:line="360" w:lineRule="auto"/>
        <w:ind w:hanging="644"/>
        <w:jc w:val="both"/>
        <w:textAlignment w:val="baseline"/>
      </w:pPr>
      <w:r>
        <w:rPr>
          <w:rtl/>
        </w:rPr>
        <w:t xml:space="preserve">לנאשמת מיוחסת עבירה לפי </w:t>
      </w:r>
      <w:hyperlink r:id="rId23" w:history="1">
        <w:r w:rsidR="009837D0" w:rsidRPr="009837D0">
          <w:rPr>
            <w:rFonts w:hint="eastAsia"/>
            <w:color w:val="0000FF"/>
            <w:u w:val="single"/>
            <w:rtl/>
          </w:rPr>
          <w:t>סעיף</w:t>
        </w:r>
        <w:r w:rsidR="009837D0" w:rsidRPr="009837D0">
          <w:rPr>
            <w:color w:val="0000FF"/>
            <w:u w:val="single"/>
            <w:rtl/>
          </w:rPr>
          <w:t xml:space="preserve"> 368</w:t>
        </w:r>
        <w:r w:rsidR="009837D0" w:rsidRPr="009837D0">
          <w:rPr>
            <w:rFonts w:hint="eastAsia"/>
            <w:color w:val="0000FF"/>
            <w:u w:val="single"/>
            <w:rtl/>
          </w:rPr>
          <w:t>ב</w:t>
        </w:r>
      </w:hyperlink>
      <w:r>
        <w:rPr>
          <w:rtl/>
        </w:rPr>
        <w:t xml:space="preserve"> ל</w:t>
      </w:r>
      <w:hyperlink r:id="rId24" w:history="1">
        <w:r w:rsidR="00B818E8" w:rsidRPr="00B818E8">
          <w:rPr>
            <w:rStyle w:val="Hyperlink"/>
            <w:rFonts w:hint="eastAsia"/>
            <w:rtl/>
          </w:rPr>
          <w:t>חוק</w:t>
        </w:r>
        <w:r w:rsidR="00B818E8" w:rsidRPr="00B818E8">
          <w:rPr>
            <w:rStyle w:val="Hyperlink"/>
            <w:rtl/>
          </w:rPr>
          <w:t xml:space="preserve"> </w:t>
        </w:r>
        <w:r w:rsidR="00B818E8" w:rsidRPr="00B818E8">
          <w:rPr>
            <w:rStyle w:val="Hyperlink"/>
            <w:rFonts w:hint="eastAsia"/>
            <w:rtl/>
          </w:rPr>
          <w:t>העונשין</w:t>
        </w:r>
      </w:hyperlink>
      <w:r>
        <w:rPr>
          <w:rtl/>
        </w:rPr>
        <w:t xml:space="preserve"> התשל"ז - 1977 [להלן -החוק] שכותרתו "</w:t>
      </w:r>
      <w:r>
        <w:rPr>
          <w:b/>
          <w:bCs/>
          <w:rtl/>
        </w:rPr>
        <w:t>תקיפת קטין או חסר ישע</w:t>
      </w:r>
      <w:r>
        <w:rPr>
          <w:rtl/>
        </w:rPr>
        <w:t>":</w:t>
      </w:r>
    </w:p>
    <w:p w14:paraId="32DA9313" w14:textId="77777777" w:rsidR="00B820A6" w:rsidRDefault="00594FCA">
      <w:pPr>
        <w:pStyle w:val="P00"/>
        <w:spacing w:before="72"/>
        <w:ind w:left="0"/>
        <w:rPr>
          <w:rStyle w:val="default"/>
          <w:rFonts w:cs="FrankRuehl"/>
          <w:b/>
          <w:bCs/>
          <w:noProof w:val="0"/>
          <w:rtl/>
        </w:rPr>
      </w:pPr>
      <w:r>
        <w:rPr>
          <w:rStyle w:val="big-number"/>
          <w:rFonts w:cs="Miriam"/>
          <w:b/>
          <w:bCs/>
          <w:noProof w:val="0"/>
          <w:rtl/>
        </w:rPr>
        <w:t>368</w:t>
      </w:r>
      <w:r>
        <w:rPr>
          <w:rStyle w:val="default"/>
          <w:rFonts w:cs="FrankRuehl"/>
          <w:b/>
          <w:bCs/>
          <w:noProof w:val="0"/>
          <w:rtl/>
        </w:rPr>
        <w:t>ב. (א)</w:t>
      </w:r>
      <w:r>
        <w:rPr>
          <w:rStyle w:val="default"/>
          <w:rFonts w:cs="FrankRuehl"/>
          <w:b/>
          <w:bCs/>
          <w:noProof w:val="0"/>
          <w:rtl/>
        </w:rPr>
        <w:tab/>
        <w:t xml:space="preserve">התוקף קטין או חסר ישע וגורם לו </w:t>
      </w:r>
      <w:r>
        <w:rPr>
          <w:rStyle w:val="default"/>
          <w:rFonts w:cs="FrankRuehl"/>
          <w:b/>
          <w:bCs/>
          <w:noProof w:val="0"/>
          <w:u w:val="single"/>
          <w:rtl/>
        </w:rPr>
        <w:t>חבלה של ממש</w:t>
      </w:r>
      <w:r>
        <w:rPr>
          <w:rStyle w:val="default"/>
          <w:rFonts w:cs="FrankRuehl"/>
          <w:b/>
          <w:bCs/>
          <w:noProof w:val="0"/>
          <w:rtl/>
        </w:rPr>
        <w:t>, דינו - מאסר חמש שנים; היה התוקף אחראי על הקטין או על חסר הישע, דינו - מאסר שבע שנים.</w:t>
      </w:r>
    </w:p>
    <w:p w14:paraId="06490BCF" w14:textId="77777777" w:rsidR="00B820A6" w:rsidRDefault="00594FCA">
      <w:pPr>
        <w:pStyle w:val="P00"/>
        <w:spacing w:before="72"/>
        <w:ind w:left="0"/>
        <w:rPr>
          <w:rStyle w:val="default"/>
          <w:rFonts w:cs="FrankRuehl"/>
          <w:b/>
          <w:bCs/>
          <w:noProof w:val="0"/>
          <w:rtl/>
        </w:rPr>
      </w:pPr>
      <w:r>
        <w:rPr>
          <w:rFonts w:cs="FrankRuehl"/>
          <w:b/>
          <w:bCs/>
          <w:noProof w:val="0"/>
          <w:sz w:val="26"/>
          <w:rtl/>
        </w:rPr>
        <w:tab/>
      </w:r>
      <w:r>
        <w:rPr>
          <w:rStyle w:val="default"/>
          <w:rFonts w:cs="FrankRuehl"/>
          <w:b/>
          <w:bCs/>
          <w:noProof w:val="0"/>
          <w:rtl/>
        </w:rPr>
        <w:t>(ב)</w:t>
      </w:r>
      <w:r>
        <w:rPr>
          <w:rStyle w:val="default"/>
          <w:rFonts w:cs="FrankRuehl"/>
          <w:b/>
          <w:bCs/>
          <w:noProof w:val="0"/>
          <w:rtl/>
        </w:rPr>
        <w:tab/>
        <w:t>נעברה עבירה לפי סעיף קטן (א) ונגרמה לקטין או לחסר הישע חבלה חמורה, דינו של התוקף - מאסר שבע שנים, ואם היה התוקף אחראי על הקטין או חסר הישע, דינו - מאסר תשע שנים.</w:t>
      </w:r>
    </w:p>
    <w:p w14:paraId="3B56B7C0" w14:textId="77777777" w:rsidR="00B820A6" w:rsidRDefault="00594FCA">
      <w:pPr>
        <w:tabs>
          <w:tab w:val="left" w:pos="-58"/>
        </w:tabs>
        <w:ind w:left="-766"/>
        <w:jc w:val="both"/>
        <w:rPr>
          <w:rStyle w:val="default"/>
          <w:rFonts w:cs="FrankRuehl"/>
          <w:rtl/>
        </w:rPr>
      </w:pPr>
      <w:r>
        <w:rPr>
          <w:rFonts w:cs="FrankRuehl"/>
          <w:b/>
          <w:bCs/>
          <w:rtl/>
        </w:rPr>
        <w:tab/>
      </w:r>
      <w:r>
        <w:rPr>
          <w:rFonts w:cs="FrankRuehl"/>
          <w:b/>
          <w:bCs/>
          <w:rtl/>
        </w:rPr>
        <w:tab/>
      </w:r>
      <w:r>
        <w:rPr>
          <w:rFonts w:cs="FrankRuehl"/>
          <w:b/>
          <w:bCs/>
          <w:rtl/>
        </w:rPr>
        <w:tab/>
      </w:r>
      <w:r>
        <w:rPr>
          <w:rStyle w:val="default"/>
          <w:rFonts w:cs="FrankRuehl"/>
          <w:b/>
          <w:bCs/>
          <w:rtl/>
        </w:rPr>
        <w:t>(ג) לענין סעיף זה, "</w:t>
      </w:r>
      <w:r>
        <w:rPr>
          <w:rStyle w:val="default"/>
          <w:rFonts w:cs="FrankRuehl"/>
          <w:b/>
          <w:bCs/>
          <w:u w:val="single"/>
          <w:rtl/>
        </w:rPr>
        <w:t>חבלה</w:t>
      </w:r>
      <w:r>
        <w:rPr>
          <w:rStyle w:val="default"/>
          <w:rFonts w:cs="FrankRuehl"/>
          <w:b/>
          <w:bCs/>
          <w:rtl/>
        </w:rPr>
        <w:t xml:space="preserve">" - בין </w:t>
      </w:r>
      <w:r>
        <w:rPr>
          <w:rStyle w:val="default"/>
          <w:rFonts w:cs="FrankRuehl"/>
          <w:b/>
          <w:bCs/>
          <w:u w:val="single"/>
          <w:rtl/>
        </w:rPr>
        <w:t>גופנית</w:t>
      </w:r>
      <w:r>
        <w:rPr>
          <w:rStyle w:val="default"/>
          <w:rFonts w:cs="FrankRuehl"/>
          <w:b/>
          <w:bCs/>
          <w:rtl/>
        </w:rPr>
        <w:t xml:space="preserve"> בין </w:t>
      </w:r>
      <w:r>
        <w:rPr>
          <w:rStyle w:val="default"/>
          <w:rFonts w:cs="FrankRuehl"/>
          <w:b/>
          <w:bCs/>
          <w:u w:val="single"/>
          <w:rtl/>
        </w:rPr>
        <w:t>נפשית</w:t>
      </w:r>
      <w:r>
        <w:rPr>
          <w:rStyle w:val="default"/>
          <w:rFonts w:cs="FrankRuehl"/>
          <w:b/>
          <w:bCs/>
          <w:rtl/>
        </w:rPr>
        <w:t xml:space="preserve">.  </w:t>
      </w:r>
      <w:r>
        <w:rPr>
          <w:rStyle w:val="default"/>
          <w:rFonts w:cs="FrankRuehl"/>
          <w:rtl/>
        </w:rPr>
        <w:t>(ההדגשות שלי א.ז).</w:t>
      </w:r>
    </w:p>
    <w:p w14:paraId="08D41965" w14:textId="77777777" w:rsidR="00B820A6" w:rsidRDefault="00B820A6">
      <w:pPr>
        <w:tabs>
          <w:tab w:val="left" w:pos="-58"/>
        </w:tabs>
        <w:ind w:left="-766"/>
        <w:jc w:val="both"/>
        <w:rPr>
          <w:b/>
          <w:bCs/>
        </w:rPr>
      </w:pPr>
    </w:p>
    <w:p w14:paraId="4BDEE699" w14:textId="77777777" w:rsidR="00B820A6" w:rsidRDefault="00594FCA">
      <w:pPr>
        <w:numPr>
          <w:ilvl w:val="0"/>
          <w:numId w:val="2"/>
        </w:numPr>
        <w:tabs>
          <w:tab w:val="left" w:pos="-58"/>
        </w:tabs>
        <w:overflowPunct w:val="0"/>
        <w:autoSpaceDE w:val="0"/>
        <w:autoSpaceDN w:val="0"/>
        <w:adjustRightInd w:val="0"/>
        <w:spacing w:line="360" w:lineRule="auto"/>
        <w:ind w:hanging="644"/>
        <w:jc w:val="both"/>
        <w:textAlignment w:val="baseline"/>
      </w:pPr>
      <w:r>
        <w:rPr>
          <w:rtl/>
        </w:rPr>
        <w:t xml:space="preserve">תנאי לתחולת עבירת תקיפת חסר ישע לפי </w:t>
      </w:r>
      <w:hyperlink r:id="rId25" w:history="1">
        <w:r w:rsidR="009837D0" w:rsidRPr="009837D0">
          <w:rPr>
            <w:rFonts w:hint="eastAsia"/>
            <w:color w:val="0000FF"/>
            <w:u w:val="single"/>
            <w:rtl/>
          </w:rPr>
          <w:t>סעיף</w:t>
        </w:r>
        <w:r w:rsidR="009837D0" w:rsidRPr="009837D0">
          <w:rPr>
            <w:color w:val="0000FF"/>
            <w:u w:val="single"/>
            <w:rtl/>
          </w:rPr>
          <w:t xml:space="preserve"> 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rtl/>
        </w:rPr>
        <w:t>, הינו קיומה של "</w:t>
      </w:r>
      <w:r>
        <w:rPr>
          <w:b/>
          <w:bCs/>
          <w:rtl/>
        </w:rPr>
        <w:t>חבלה של ממש</w:t>
      </w:r>
      <w:r>
        <w:rPr>
          <w:rtl/>
        </w:rPr>
        <w:t xml:space="preserve">", ואולם </w:t>
      </w:r>
      <w:hyperlink r:id="rId26" w:history="1">
        <w:r w:rsidR="009837D0" w:rsidRPr="009837D0">
          <w:rPr>
            <w:rFonts w:hint="eastAsia"/>
            <w:color w:val="0000FF"/>
            <w:u w:val="single"/>
            <w:rtl/>
          </w:rPr>
          <w:t>בסעיף</w:t>
        </w:r>
        <w:r w:rsidR="009837D0" w:rsidRPr="009837D0">
          <w:rPr>
            <w:color w:val="0000FF"/>
            <w:u w:val="single"/>
            <w:rtl/>
          </w:rPr>
          <w:t xml:space="preserve"> 34</w:t>
        </w:r>
        <w:r w:rsidR="009837D0" w:rsidRPr="009837D0">
          <w:rPr>
            <w:rFonts w:hint="eastAsia"/>
            <w:color w:val="0000FF"/>
            <w:u w:val="single"/>
            <w:rtl/>
          </w:rPr>
          <w:t>כד</w:t>
        </w:r>
      </w:hyperlink>
      <w:r>
        <w:rPr>
          <w:rtl/>
        </w:rPr>
        <w:t xml:space="preserve"> ל</w:t>
      </w:r>
      <w:hyperlink r:id="rId27" w:history="1">
        <w:r w:rsidR="00B818E8" w:rsidRPr="00B818E8">
          <w:rPr>
            <w:rStyle w:val="Hyperlink"/>
            <w:rFonts w:hint="eastAsia"/>
            <w:rtl/>
          </w:rPr>
          <w:t>חוק</w:t>
        </w:r>
        <w:r w:rsidR="00B818E8" w:rsidRPr="00B818E8">
          <w:rPr>
            <w:rStyle w:val="Hyperlink"/>
            <w:rtl/>
          </w:rPr>
          <w:t xml:space="preserve"> </w:t>
        </w:r>
        <w:r w:rsidR="00B818E8" w:rsidRPr="00B818E8">
          <w:rPr>
            <w:rStyle w:val="Hyperlink"/>
            <w:rFonts w:hint="eastAsia"/>
            <w:rtl/>
          </w:rPr>
          <w:t>העונשין</w:t>
        </w:r>
      </w:hyperlink>
      <w:r>
        <w:rPr>
          <w:rtl/>
        </w:rPr>
        <w:t>, לא קיימת הגדרה למונח "</w:t>
      </w:r>
      <w:r>
        <w:rPr>
          <w:b/>
          <w:bCs/>
          <w:rtl/>
        </w:rPr>
        <w:t>חבלה של ממש</w:t>
      </w:r>
      <w:r>
        <w:rPr>
          <w:rtl/>
        </w:rPr>
        <w:t>" אלא רק למונחים "</w:t>
      </w:r>
      <w:r>
        <w:rPr>
          <w:b/>
          <w:bCs/>
          <w:rtl/>
        </w:rPr>
        <w:t>חבלה</w:t>
      </w:r>
      <w:r>
        <w:rPr>
          <w:rtl/>
        </w:rPr>
        <w:t>" או "</w:t>
      </w:r>
      <w:r>
        <w:rPr>
          <w:b/>
          <w:bCs/>
          <w:rtl/>
        </w:rPr>
        <w:t>חבלה חמורה</w:t>
      </w:r>
      <w:r>
        <w:rPr>
          <w:rtl/>
        </w:rPr>
        <w:t>", כלהלן:</w:t>
      </w:r>
    </w:p>
    <w:p w14:paraId="41414A2F" w14:textId="77777777" w:rsidR="00B820A6" w:rsidRDefault="00594FCA">
      <w:pPr>
        <w:tabs>
          <w:tab w:val="left" w:pos="-58"/>
        </w:tabs>
        <w:ind w:left="-766"/>
        <w:jc w:val="both"/>
        <w:rPr>
          <w:b/>
          <w:bCs/>
          <w:rtl/>
        </w:rPr>
      </w:pPr>
      <w:r>
        <w:rPr>
          <w:rtl/>
        </w:rPr>
        <w:tab/>
      </w:r>
      <w:r>
        <w:rPr>
          <w:rtl/>
        </w:rPr>
        <w:tab/>
      </w:r>
      <w:r>
        <w:rPr>
          <w:rStyle w:val="big-number"/>
          <w:rFonts w:cs="Miriam"/>
          <w:rtl/>
        </w:rPr>
        <w:t>34</w:t>
      </w:r>
      <w:r>
        <w:rPr>
          <w:rStyle w:val="default"/>
          <w:rFonts w:cs="FrankRuehl"/>
          <w:rtl/>
        </w:rPr>
        <w:t>כד</w:t>
      </w:r>
      <w:r>
        <w:rPr>
          <w:rtl/>
        </w:rPr>
        <w:tab/>
      </w:r>
      <w:r>
        <w:rPr>
          <w:rStyle w:val="default"/>
          <w:rFonts w:cs="FrankRuehl"/>
          <w:rtl/>
        </w:rPr>
        <w:t>"</w:t>
      </w:r>
      <w:r>
        <w:rPr>
          <w:b/>
          <w:bCs/>
          <w:rtl/>
        </w:rPr>
        <w:t xml:space="preserve">חבלה" - מכאוב, מחלה או ליקוי גופניים, בין קבועים ובין עוברים; </w:t>
      </w:r>
    </w:p>
    <w:p w14:paraId="00C7B54F" w14:textId="77777777" w:rsidR="00B820A6" w:rsidRDefault="00594FCA">
      <w:pPr>
        <w:tabs>
          <w:tab w:val="left" w:pos="-58"/>
        </w:tabs>
        <w:ind w:left="793" w:hanging="793"/>
        <w:jc w:val="both"/>
        <w:rPr>
          <w:b/>
          <w:bCs/>
          <w:rtl/>
        </w:rPr>
      </w:pPr>
      <w:r>
        <w:rPr>
          <w:b/>
          <w:bCs/>
          <w:rtl/>
        </w:rPr>
        <w:tab/>
        <w:t>"חבלה חמורה" – חבלה העולה כדי חבלה מסוכנת, או הפוגעת או עלולה לפגוע קשות או לתמיד בבריאות הנחבל או בנוחותו, או המגיעה כדי מום קבע או כדי פגיעת קבע או פגיעה קשה באחד האיברים, הקרומים או החושים החיצוניים או הפנימיים</w:t>
      </w:r>
      <w:r>
        <w:rPr>
          <w:rFonts w:hint="cs"/>
          <w:b/>
          <w:bCs/>
          <w:rtl/>
        </w:rPr>
        <w:t>."</w:t>
      </w:r>
    </w:p>
    <w:p w14:paraId="08834F13" w14:textId="77777777" w:rsidR="00B820A6" w:rsidRDefault="00594FCA">
      <w:pPr>
        <w:tabs>
          <w:tab w:val="left" w:pos="-58"/>
        </w:tabs>
        <w:ind w:left="793" w:hanging="793"/>
        <w:jc w:val="both"/>
        <w:rPr>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b/>
          <w:bCs/>
          <w:rtl/>
        </w:rPr>
        <w:t xml:space="preserve">  </w:t>
      </w:r>
      <w:r>
        <w:rPr>
          <w:rtl/>
        </w:rPr>
        <w:t>(ההדגשה שלי –א.ז)</w:t>
      </w:r>
    </w:p>
    <w:p w14:paraId="307D484C" w14:textId="77777777" w:rsidR="00B820A6" w:rsidRDefault="00B820A6">
      <w:pPr>
        <w:tabs>
          <w:tab w:val="left" w:pos="-58"/>
        </w:tabs>
        <w:ind w:left="793" w:hanging="793"/>
        <w:jc w:val="both"/>
        <w:rPr>
          <w:b/>
          <w:bCs/>
          <w:rtl/>
        </w:rPr>
      </w:pPr>
    </w:p>
    <w:p w14:paraId="514B5A05" w14:textId="77777777" w:rsidR="00B820A6" w:rsidRDefault="00594FCA">
      <w:pPr>
        <w:tabs>
          <w:tab w:val="left" w:pos="-58"/>
        </w:tabs>
        <w:ind w:left="793" w:hanging="793"/>
        <w:jc w:val="both"/>
        <w:rPr>
          <w:b/>
          <w:bCs/>
          <w:rtl/>
        </w:rPr>
      </w:pPr>
      <w:r>
        <w:rPr>
          <w:b/>
          <w:bCs/>
          <w:rtl/>
        </w:rPr>
        <w:t>לאור האמור לעיל, מעשי הנאשמת עונים על הגדרת ה"חבלה".</w:t>
      </w:r>
    </w:p>
    <w:p w14:paraId="52C9622C" w14:textId="77777777" w:rsidR="00B820A6" w:rsidRDefault="00B820A6">
      <w:pPr>
        <w:tabs>
          <w:tab w:val="left" w:pos="-58"/>
        </w:tabs>
        <w:ind w:left="793" w:hanging="793"/>
        <w:jc w:val="both"/>
        <w:rPr>
          <w:b/>
          <w:bCs/>
          <w:rtl/>
        </w:rPr>
      </w:pPr>
    </w:p>
    <w:p w14:paraId="12C806CE" w14:textId="77777777" w:rsidR="00B820A6" w:rsidRDefault="00B820A6">
      <w:pPr>
        <w:tabs>
          <w:tab w:val="left" w:pos="-58"/>
        </w:tabs>
        <w:ind w:left="793" w:hanging="793"/>
        <w:jc w:val="both"/>
        <w:rPr>
          <w:b/>
          <w:bCs/>
          <w:rtl/>
        </w:rPr>
      </w:pPr>
    </w:p>
    <w:p w14:paraId="1EB9D7FE" w14:textId="77777777" w:rsidR="00B820A6" w:rsidRDefault="00594FCA">
      <w:pPr>
        <w:numPr>
          <w:ilvl w:val="0"/>
          <w:numId w:val="2"/>
        </w:numPr>
        <w:tabs>
          <w:tab w:val="left" w:pos="-58"/>
        </w:tabs>
        <w:overflowPunct w:val="0"/>
        <w:autoSpaceDE w:val="0"/>
        <w:autoSpaceDN w:val="0"/>
        <w:adjustRightInd w:val="0"/>
        <w:spacing w:line="360" w:lineRule="auto"/>
        <w:ind w:hanging="644"/>
        <w:jc w:val="both"/>
        <w:textAlignment w:val="baseline"/>
      </w:pPr>
      <w:r>
        <w:rPr>
          <w:rtl/>
        </w:rPr>
        <w:t xml:space="preserve">כב' השופט יעקב קדמי, בספרו  על הדין בפלילים (חלק שלישי) מהדורת תשס"ו – 2006, עמ' 1522, אמר כי הדרישה </w:t>
      </w:r>
      <w:r>
        <w:rPr>
          <w:u w:val="single"/>
          <w:rtl/>
        </w:rPr>
        <w:t>לחבלה של ממש</w:t>
      </w:r>
      <w:r>
        <w:rPr>
          <w:rtl/>
        </w:rPr>
        <w:t xml:space="preserve"> – זכתה לפירוש מרחיב של </w:t>
      </w:r>
      <w:r>
        <w:rPr>
          <w:u w:val="single"/>
          <w:rtl/>
        </w:rPr>
        <w:t>פגיעה גופנית "מוחשית"</w:t>
      </w:r>
      <w:r>
        <w:rPr>
          <w:rtl/>
        </w:rPr>
        <w:t xml:space="preserve"> להבדיל מפגיעה חסרת משמעות ונטולת ביטוי "מוחשי". כמו"כ בהכרעת הדין ב</w:t>
      </w:r>
      <w:hyperlink r:id="rId28" w:history="1">
        <w:r w:rsidR="00B818E8" w:rsidRPr="00B818E8">
          <w:rPr>
            <w:rStyle w:val="Hyperlink"/>
            <w:rFonts w:hint="eastAsia"/>
            <w:rtl/>
          </w:rPr>
          <w:t>ת</w:t>
        </w:r>
        <w:r w:rsidR="00B818E8" w:rsidRPr="00B818E8">
          <w:rPr>
            <w:rStyle w:val="Hyperlink"/>
            <w:rtl/>
          </w:rPr>
          <w:t>"</w:t>
        </w:r>
        <w:r w:rsidR="00B818E8" w:rsidRPr="00B818E8">
          <w:rPr>
            <w:rStyle w:val="Hyperlink"/>
            <w:rFonts w:hint="eastAsia"/>
            <w:rtl/>
          </w:rPr>
          <w:t>פ</w:t>
        </w:r>
        <w:r w:rsidR="00B818E8" w:rsidRPr="00B818E8">
          <w:rPr>
            <w:rStyle w:val="Hyperlink"/>
            <w:rtl/>
          </w:rPr>
          <w:t xml:space="preserve"> (</w:t>
        </w:r>
        <w:r w:rsidR="00B818E8" w:rsidRPr="00B818E8">
          <w:rPr>
            <w:rStyle w:val="Hyperlink"/>
            <w:rFonts w:hint="eastAsia"/>
            <w:rtl/>
          </w:rPr>
          <w:t>חי</w:t>
        </w:r>
        <w:r w:rsidR="00B818E8" w:rsidRPr="00B818E8">
          <w:rPr>
            <w:rStyle w:val="Hyperlink"/>
            <w:rtl/>
          </w:rPr>
          <w:t>') 34952-02-11</w:t>
        </w:r>
      </w:hyperlink>
      <w:r>
        <w:rPr>
          <w:rtl/>
        </w:rPr>
        <w:t xml:space="preserve">  </w:t>
      </w:r>
      <w:r>
        <w:rPr>
          <w:b/>
          <w:bCs/>
          <w:rtl/>
        </w:rPr>
        <w:t>מדינת ישראל נ' גוסיין קולי אטקישייב</w:t>
      </w:r>
      <w:r>
        <w:rPr>
          <w:rtl/>
        </w:rPr>
        <w:t xml:space="preserve"> מיום 31.7.11. הואשם הנאשם בעבירה של תקיפת קטין, לפי </w:t>
      </w:r>
      <w:hyperlink r:id="rId29" w:history="1">
        <w:r w:rsidR="009837D0" w:rsidRPr="009837D0">
          <w:rPr>
            <w:rFonts w:hint="eastAsia"/>
            <w:color w:val="0000FF"/>
            <w:u w:val="single"/>
            <w:rtl/>
          </w:rPr>
          <w:t>סעיף</w:t>
        </w:r>
        <w:r w:rsidR="009837D0" w:rsidRPr="009837D0">
          <w:rPr>
            <w:color w:val="0000FF"/>
            <w:u w:val="single"/>
            <w:rtl/>
          </w:rPr>
          <w:t xml:space="preserve"> 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rtl/>
        </w:rPr>
        <w:t xml:space="preserve"> הזהה לעבירה נשוא תיק זה, כשלקטינה שם נגרם סימן אדום בגודל </w:t>
      </w:r>
      <w:smartTag w:uri="urn:schemas-microsoft-com:office:smarttags" w:element="PersonName">
        <w:smartTagPr>
          <w:attr w:name="ProductID" w:val="3 ס&quot;מ"/>
        </w:smartTagPr>
        <w:r>
          <w:rPr>
            <w:rtl/>
          </w:rPr>
          <w:t>3 ס"מ</w:t>
        </w:r>
      </w:smartTag>
      <w:r>
        <w:rPr>
          <w:rtl/>
        </w:rPr>
        <w:t>, שנעלם לאחר 24 שעות. על אף שהיתה זו תקיפה שגרמה לחבלה, ביהמ"ש קבע כי לא השתכלל יסוד ה"</w:t>
      </w:r>
      <w:r>
        <w:rPr>
          <w:b/>
          <w:bCs/>
          <w:rtl/>
        </w:rPr>
        <w:t>חבלה של ממש</w:t>
      </w:r>
      <w:r>
        <w:rPr>
          <w:rtl/>
        </w:rPr>
        <w:t>" באמרו בעמ' 26 להכרעת הדין:</w:t>
      </w:r>
    </w:p>
    <w:p w14:paraId="5A9FE5DE" w14:textId="77777777" w:rsidR="00B820A6" w:rsidRDefault="00B820A6">
      <w:pPr>
        <w:tabs>
          <w:tab w:val="left" w:pos="-58"/>
        </w:tabs>
        <w:ind w:left="-766"/>
        <w:jc w:val="both"/>
        <w:rPr>
          <w:rtl/>
        </w:rPr>
      </w:pPr>
    </w:p>
    <w:p w14:paraId="43425123" w14:textId="77777777" w:rsidR="00B820A6" w:rsidRDefault="00594FCA">
      <w:pPr>
        <w:ind w:left="186" w:right="284"/>
        <w:jc w:val="both"/>
        <w:rPr>
          <w:rFonts w:ascii="Arial" w:hAnsi="Arial"/>
          <w:b/>
          <w:bCs/>
          <w:rtl/>
        </w:rPr>
      </w:pPr>
      <w:r>
        <w:rPr>
          <w:rFonts w:hint="cs"/>
          <w:b/>
          <w:bCs/>
          <w:rtl/>
        </w:rPr>
        <w:t>"</w:t>
      </w:r>
      <w:r>
        <w:rPr>
          <w:b/>
          <w:bCs/>
          <w:rtl/>
        </w:rPr>
        <w:t xml:space="preserve">נראה לי כי סימן אדום קטן, החולף תוך פחות מ-24 שעות, הוא אכן חבלה, אך אינו עולה כדי חבלה של ממש. סימן אדום קטן וחולף, תוך זמן קצר, הוא ליקוי גופני עובר, כמשמעותו בסעיף 34כד המצוטט לעיל, ולפיכך הוא חבלה. פרשנות מרחיבה למונח חבלה של ממש לסימן הנדון, באופן שיוגדר כחבלה של ממש, היתה מרוקנת מתוכן את המונח חבלה (ראו גם: </w:t>
      </w:r>
      <w:hyperlink r:id="rId30" w:history="1">
        <w:r w:rsidR="00B818E8" w:rsidRPr="00B818E8">
          <w:rPr>
            <w:rStyle w:val="Hyperlink"/>
            <w:rFonts w:hint="eastAsia"/>
            <w:b/>
            <w:bCs/>
            <w:rtl/>
          </w:rPr>
          <w:t>תפ</w:t>
        </w:r>
        <w:r w:rsidR="00B818E8" w:rsidRPr="00B818E8">
          <w:rPr>
            <w:rStyle w:val="Hyperlink"/>
            <w:b/>
            <w:bCs/>
            <w:rtl/>
          </w:rPr>
          <w:t>"</w:t>
        </w:r>
        <w:r w:rsidR="00B818E8" w:rsidRPr="00B818E8">
          <w:rPr>
            <w:rStyle w:val="Hyperlink"/>
            <w:rFonts w:hint="eastAsia"/>
            <w:b/>
            <w:bCs/>
            <w:rtl/>
          </w:rPr>
          <w:t>ח</w:t>
        </w:r>
        <w:r w:rsidR="00B818E8" w:rsidRPr="00B818E8">
          <w:rPr>
            <w:rStyle w:val="Hyperlink"/>
            <w:b/>
            <w:bCs/>
            <w:rtl/>
          </w:rPr>
          <w:t xml:space="preserve"> (</w:t>
        </w:r>
        <w:r w:rsidR="00B818E8" w:rsidRPr="00B818E8">
          <w:rPr>
            <w:rStyle w:val="Hyperlink"/>
            <w:rFonts w:hint="eastAsia"/>
            <w:b/>
            <w:bCs/>
            <w:rtl/>
          </w:rPr>
          <w:t>ת</w:t>
        </w:r>
        <w:r w:rsidR="00B818E8" w:rsidRPr="00B818E8">
          <w:rPr>
            <w:rStyle w:val="Hyperlink"/>
            <w:b/>
            <w:bCs/>
            <w:rtl/>
          </w:rPr>
          <w:t>"</w:t>
        </w:r>
        <w:r w:rsidR="00B818E8" w:rsidRPr="00B818E8">
          <w:rPr>
            <w:rStyle w:val="Hyperlink"/>
            <w:rFonts w:hint="eastAsia"/>
            <w:b/>
            <w:bCs/>
            <w:rtl/>
          </w:rPr>
          <w:t>א</w:t>
        </w:r>
        <w:r w:rsidR="00B818E8" w:rsidRPr="00B818E8">
          <w:rPr>
            <w:rStyle w:val="Hyperlink"/>
            <w:b/>
            <w:bCs/>
            <w:rtl/>
          </w:rPr>
          <w:t>) 1112/04</w:t>
        </w:r>
      </w:hyperlink>
      <w:r>
        <w:rPr>
          <w:b/>
          <w:bCs/>
          <w:rtl/>
        </w:rPr>
        <w:t xml:space="preserve"> מדינת ישראל נ' כהן (לא פורסם, 21.7.05); </w:t>
      </w:r>
      <w:hyperlink r:id="rId31" w:history="1">
        <w:r w:rsidR="00B818E8" w:rsidRPr="00B818E8">
          <w:rPr>
            <w:rStyle w:val="Hyperlink"/>
            <w:rFonts w:hint="eastAsia"/>
            <w:b/>
            <w:bCs/>
            <w:rtl/>
          </w:rPr>
          <w:t>ע</w:t>
        </w:r>
        <w:r w:rsidR="00B818E8" w:rsidRPr="00B818E8">
          <w:rPr>
            <w:rStyle w:val="Hyperlink"/>
            <w:b/>
            <w:bCs/>
            <w:rtl/>
          </w:rPr>
          <w:t>"</w:t>
        </w:r>
        <w:r w:rsidR="00B818E8" w:rsidRPr="00B818E8">
          <w:rPr>
            <w:rStyle w:val="Hyperlink"/>
            <w:rFonts w:hint="eastAsia"/>
            <w:b/>
            <w:bCs/>
            <w:rtl/>
          </w:rPr>
          <w:t>פ</w:t>
        </w:r>
        <w:r w:rsidR="00B818E8" w:rsidRPr="00B818E8">
          <w:rPr>
            <w:rStyle w:val="Hyperlink"/>
            <w:b/>
            <w:bCs/>
            <w:rtl/>
          </w:rPr>
          <w:t xml:space="preserve"> (</w:t>
        </w:r>
        <w:r w:rsidR="00B818E8" w:rsidRPr="00B818E8">
          <w:rPr>
            <w:rStyle w:val="Hyperlink"/>
            <w:rFonts w:hint="eastAsia"/>
            <w:b/>
            <w:bCs/>
            <w:rtl/>
          </w:rPr>
          <w:t>ת</w:t>
        </w:r>
        <w:r w:rsidR="00B818E8" w:rsidRPr="00B818E8">
          <w:rPr>
            <w:rStyle w:val="Hyperlink"/>
            <w:b/>
            <w:bCs/>
            <w:rtl/>
          </w:rPr>
          <w:t>"</w:t>
        </w:r>
        <w:r w:rsidR="00B818E8" w:rsidRPr="00B818E8">
          <w:rPr>
            <w:rStyle w:val="Hyperlink"/>
            <w:rFonts w:hint="eastAsia"/>
            <w:b/>
            <w:bCs/>
            <w:rtl/>
          </w:rPr>
          <w:t>א</w:t>
        </w:r>
        <w:r w:rsidR="00B818E8" w:rsidRPr="00B818E8">
          <w:rPr>
            <w:rStyle w:val="Hyperlink"/>
            <w:b/>
            <w:bCs/>
            <w:rtl/>
          </w:rPr>
          <w:t>) 2125/94</w:t>
        </w:r>
      </w:hyperlink>
      <w:r>
        <w:rPr>
          <w:b/>
          <w:bCs/>
          <w:rtl/>
        </w:rPr>
        <w:t xml:space="preserve"> בן ארי נ' מדינת ישראל (לא פורסם, 23.1.97)). משמעות קביעתי דלעיל פירושה כי הנאשם לא עבר עבירה לפי סעיף 368ב(א) ל</w:t>
      </w:r>
      <w:hyperlink r:id="rId32" w:history="1">
        <w:r w:rsidR="00B818E8" w:rsidRPr="00B818E8">
          <w:rPr>
            <w:rStyle w:val="Hyperlink"/>
            <w:rFonts w:hint="eastAsia"/>
            <w:b/>
            <w:bCs/>
            <w:rtl/>
          </w:rPr>
          <w:t>חוק</w:t>
        </w:r>
        <w:r w:rsidR="00B818E8" w:rsidRPr="00B818E8">
          <w:rPr>
            <w:rStyle w:val="Hyperlink"/>
            <w:b/>
            <w:bCs/>
            <w:rtl/>
          </w:rPr>
          <w:t xml:space="preserve"> </w:t>
        </w:r>
        <w:r w:rsidR="00B818E8" w:rsidRPr="00B818E8">
          <w:rPr>
            <w:rStyle w:val="Hyperlink"/>
            <w:rFonts w:hint="eastAsia"/>
            <w:b/>
            <w:bCs/>
            <w:rtl/>
          </w:rPr>
          <w:t>העונשין</w:t>
        </w:r>
      </w:hyperlink>
      <w:r>
        <w:rPr>
          <w:b/>
          <w:bCs/>
          <w:rtl/>
        </w:rPr>
        <w:t>, אלא עבירה של תקיפת סתם לפי סעיף 379 לחוק</w:t>
      </w:r>
      <w:r>
        <w:rPr>
          <w:rFonts w:ascii="Arial" w:hAnsi="Arial" w:hint="cs"/>
          <w:b/>
          <w:bCs/>
          <w:rtl/>
        </w:rPr>
        <w:t>"</w:t>
      </w:r>
      <w:r>
        <w:rPr>
          <w:rFonts w:ascii="Arial" w:hAnsi="Arial"/>
          <w:b/>
          <w:bCs/>
          <w:rtl/>
        </w:rPr>
        <w:t>.</w:t>
      </w:r>
    </w:p>
    <w:p w14:paraId="622F7D3C" w14:textId="77777777" w:rsidR="00B820A6" w:rsidRDefault="00B820A6">
      <w:pPr>
        <w:ind w:left="186" w:right="284"/>
        <w:jc w:val="both"/>
        <w:rPr>
          <w:rFonts w:ascii="Arial" w:hAnsi="Arial"/>
          <w:rtl/>
        </w:rPr>
      </w:pPr>
    </w:p>
    <w:p w14:paraId="52E4589D" w14:textId="77777777" w:rsidR="00B820A6" w:rsidRDefault="00594FCA">
      <w:pPr>
        <w:spacing w:line="360" w:lineRule="auto"/>
        <w:ind w:left="-97"/>
        <w:jc w:val="both"/>
        <w:rPr>
          <w:rFonts w:ascii="Arial" w:hAnsi="Arial"/>
          <w:b/>
          <w:bCs/>
          <w:rtl/>
        </w:rPr>
      </w:pPr>
      <w:r>
        <w:rPr>
          <w:rFonts w:ascii="Arial" w:hAnsi="Arial"/>
          <w:rtl/>
        </w:rPr>
        <w:t xml:space="preserve">כן קבע ביהמ"ש כי המונח </w:t>
      </w:r>
      <w:r>
        <w:rPr>
          <w:rFonts w:ascii="Arial" w:hAnsi="Arial"/>
          <w:b/>
          <w:bCs/>
          <w:rtl/>
        </w:rPr>
        <w:t>"</w:t>
      </w:r>
      <w:r>
        <w:rPr>
          <w:b/>
          <w:bCs/>
          <w:rtl/>
        </w:rPr>
        <w:t>חבלה של ממש"</w:t>
      </w:r>
      <w:r>
        <w:rPr>
          <w:rtl/>
        </w:rPr>
        <w:t xml:space="preserve"> הינו מונח ביניים שהוא: פחות מ"</w:t>
      </w:r>
      <w:r>
        <w:rPr>
          <w:b/>
          <w:bCs/>
          <w:rtl/>
        </w:rPr>
        <w:t>חבלה חמורה</w:t>
      </w:r>
      <w:r>
        <w:rPr>
          <w:rtl/>
        </w:rPr>
        <w:t>" אך יותר מ"</w:t>
      </w:r>
      <w:r>
        <w:rPr>
          <w:b/>
          <w:bCs/>
          <w:rtl/>
        </w:rPr>
        <w:t>חבלה</w:t>
      </w:r>
      <w:r>
        <w:rPr>
          <w:rtl/>
        </w:rPr>
        <w:t xml:space="preserve">". </w:t>
      </w:r>
      <w:r>
        <w:rPr>
          <w:rFonts w:ascii="Arial" w:hAnsi="Arial"/>
          <w:rtl/>
        </w:rPr>
        <w:t xml:space="preserve">על אף שהתביעה עתרה שם להרשעה בעבירה של גרימת חבלה של ממש, ביהמ"ש הרשיע את הנאשם בעבירת מעשה מגונה לפי </w:t>
      </w:r>
      <w:hyperlink r:id="rId33" w:history="1">
        <w:r w:rsidR="009837D0" w:rsidRPr="009837D0">
          <w:rPr>
            <w:rFonts w:ascii="Arial" w:hAnsi="Arial"/>
            <w:color w:val="0000FF"/>
            <w:u w:val="single"/>
            <w:rtl/>
          </w:rPr>
          <w:t>סעיף 348(ג1)</w:t>
        </w:r>
      </w:hyperlink>
      <w:r>
        <w:rPr>
          <w:rFonts w:ascii="Arial" w:hAnsi="Arial"/>
          <w:rtl/>
        </w:rPr>
        <w:t xml:space="preserve"> ל</w:t>
      </w:r>
      <w:hyperlink r:id="rId34" w:history="1">
        <w:r w:rsidR="00B818E8" w:rsidRPr="00B818E8">
          <w:rPr>
            <w:rStyle w:val="Hyperlink"/>
            <w:rFonts w:ascii="Arial" w:hAnsi="Arial"/>
            <w:rtl/>
          </w:rPr>
          <w:t>חוק העונשין</w:t>
        </w:r>
      </w:hyperlink>
      <w:r>
        <w:rPr>
          <w:rFonts w:ascii="Arial" w:hAnsi="Arial"/>
          <w:rtl/>
        </w:rPr>
        <w:t xml:space="preserve"> מאחר שבגרימת סימן אדום שחלף ביממה לא הוכחה חבלה של ממש.</w:t>
      </w:r>
    </w:p>
    <w:p w14:paraId="1D285581" w14:textId="77777777" w:rsidR="00B820A6" w:rsidRDefault="00B820A6">
      <w:pPr>
        <w:tabs>
          <w:tab w:val="left" w:pos="470"/>
        </w:tabs>
        <w:spacing w:line="360" w:lineRule="auto"/>
        <w:jc w:val="both"/>
        <w:rPr>
          <w:rFonts w:ascii="Arial" w:hAnsi="Arial"/>
          <w:rtl/>
        </w:rPr>
      </w:pPr>
    </w:p>
    <w:p w14:paraId="2F6500DE" w14:textId="77777777" w:rsidR="00B820A6" w:rsidRDefault="00594FCA">
      <w:pPr>
        <w:tabs>
          <w:tab w:val="left" w:pos="-664"/>
        </w:tabs>
        <w:spacing w:line="360" w:lineRule="auto"/>
        <w:ind w:left="-97" w:hanging="709"/>
        <w:jc w:val="both"/>
        <w:rPr>
          <w:rtl/>
        </w:rPr>
      </w:pPr>
      <w:r>
        <w:rPr>
          <w:rtl/>
        </w:rPr>
        <w:tab/>
        <w:t>15.</w:t>
      </w:r>
      <w:r>
        <w:rPr>
          <w:rtl/>
        </w:rPr>
        <w:tab/>
        <w:t>גם בענייננו לא הוכח יס</w:t>
      </w:r>
      <w:r w:rsidR="009837D0">
        <w:rPr>
          <w:rtl/>
        </w:rPr>
        <w:t xml:space="preserve">וד החבלה של ממש הנדרש בסעיף </w:t>
      </w:r>
      <w:hyperlink r:id="rId35" w:history="1">
        <w:r w:rsidR="009837D0" w:rsidRPr="009837D0">
          <w:rPr>
            <w:color w:val="0000FF"/>
            <w:u w:val="single"/>
            <w:rtl/>
          </w:rPr>
          <w:t>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rtl/>
        </w:rPr>
        <w:t xml:space="preserve"> אלא </w:t>
      </w:r>
      <w:r>
        <w:rPr>
          <w:b/>
          <w:bCs/>
          <w:rtl/>
        </w:rPr>
        <w:t>חבלה במובן של גרימת כאב פיסי ונפשי</w:t>
      </w:r>
      <w:r>
        <w:rPr>
          <w:rtl/>
        </w:rPr>
        <w:t>, שכן לא הוכח שהחבלות העולות מקטעי הוידאו, לרבות הנפשיות הן בגדר "חבלה של ממש". עם זאת, סבורני כי מדובר בחבלות שנגרמו ב</w:t>
      </w:r>
      <w:r>
        <w:rPr>
          <w:b/>
          <w:bCs/>
          <w:rtl/>
        </w:rPr>
        <w:t>נסיבות מחמירות</w:t>
      </w:r>
      <w:r>
        <w:rPr>
          <w:rtl/>
        </w:rPr>
        <w:t>, כעולה מ</w:t>
      </w:r>
      <w:hyperlink r:id="rId36" w:history="1">
        <w:r w:rsidR="00B818E8" w:rsidRPr="00B818E8">
          <w:rPr>
            <w:rStyle w:val="Hyperlink"/>
            <w:rFonts w:hint="eastAsia"/>
            <w:rtl/>
          </w:rPr>
          <w:t>ת</w:t>
        </w:r>
        <w:r w:rsidR="00B818E8" w:rsidRPr="00B818E8">
          <w:rPr>
            <w:rStyle w:val="Hyperlink"/>
            <w:rtl/>
          </w:rPr>
          <w:t>"</w:t>
        </w:r>
        <w:r w:rsidR="00B818E8" w:rsidRPr="00B818E8">
          <w:rPr>
            <w:rStyle w:val="Hyperlink"/>
            <w:rFonts w:hint="eastAsia"/>
            <w:rtl/>
          </w:rPr>
          <w:t>פ</w:t>
        </w:r>
        <w:r w:rsidR="00B818E8" w:rsidRPr="00B818E8">
          <w:rPr>
            <w:rStyle w:val="Hyperlink"/>
            <w:rtl/>
          </w:rPr>
          <w:t xml:space="preserve"> 10377-04-11</w:t>
        </w:r>
      </w:hyperlink>
      <w:r>
        <w:rPr>
          <w:rtl/>
        </w:rPr>
        <w:t xml:space="preserve"> מ"י נ' </w:t>
      </w:r>
      <w:r>
        <w:rPr>
          <w:b/>
          <w:bCs/>
          <w:rtl/>
        </w:rPr>
        <w:t>אנבל אוליבר</w:t>
      </w:r>
      <w:r>
        <w:rPr>
          <w:rtl/>
        </w:rPr>
        <w:t xml:space="preserve"> מיום 25.1.12, שם הותקפה קשישה חולת אלצהיימר ב-3 הזדמנויות על ידי המטפלת, שהיכתה בישבנה, דחפה אותה, הפילה אותה על הרצפה ואיימה עליה: "אני ארביץ לך", על אף שמספר ימים קודם לכן נשברו עצם בריח ושתי צלעות הקשישה. המאשימה הדגישה </w:t>
      </w:r>
      <w:r>
        <w:rPr>
          <w:rStyle w:val="ArialFrankRuehl14"/>
          <w:b/>
          <w:bCs/>
          <w:sz w:val="28"/>
          <w:rtl/>
        </w:rPr>
        <w:t xml:space="preserve">שמדובר בפעולות משפילות, מכאיבות ומפחידות, שללא ספק גרמו לה גם לחבלה נפשית, </w:t>
      </w:r>
      <w:r>
        <w:rPr>
          <w:rtl/>
        </w:rPr>
        <w:t>אולם ביהמ"ש (כב' השופטת רבקה פרידמ</w:t>
      </w:r>
      <w:r w:rsidR="009837D0">
        <w:rPr>
          <w:rtl/>
        </w:rPr>
        <w:t xml:space="preserve">ן-פלדמן) שלל את תחולת סעיף </w:t>
      </w:r>
      <w:hyperlink r:id="rId37" w:history="1">
        <w:r w:rsidR="009837D0" w:rsidRPr="009837D0">
          <w:rPr>
            <w:color w:val="0000FF"/>
            <w:u w:val="single"/>
            <w:rtl/>
          </w:rPr>
          <w:t>368</w:t>
        </w:r>
        <w:r w:rsidR="009837D0" w:rsidRPr="009837D0">
          <w:rPr>
            <w:rFonts w:hint="eastAsia"/>
            <w:color w:val="0000FF"/>
            <w:u w:val="single"/>
            <w:rtl/>
          </w:rPr>
          <w:t>ב</w:t>
        </w:r>
        <w:r w:rsidR="009837D0" w:rsidRPr="009837D0">
          <w:rPr>
            <w:color w:val="0000FF"/>
            <w:u w:val="single"/>
            <w:rtl/>
          </w:rPr>
          <w:t>(</w:t>
        </w:r>
        <w:r w:rsidR="009837D0" w:rsidRPr="009837D0">
          <w:rPr>
            <w:rFonts w:hint="eastAsia"/>
            <w:color w:val="0000FF"/>
            <w:u w:val="single"/>
            <w:rtl/>
          </w:rPr>
          <w:t>א</w:t>
        </w:r>
        <w:r w:rsidR="009837D0" w:rsidRPr="009837D0">
          <w:rPr>
            <w:color w:val="0000FF"/>
            <w:u w:val="single"/>
            <w:rtl/>
          </w:rPr>
          <w:t>)</w:t>
        </w:r>
      </w:hyperlink>
      <w:r>
        <w:rPr>
          <w:rtl/>
        </w:rPr>
        <w:t xml:space="preserve"> לחוק שעניינו תקיפת חסר ישע, בהעדר גרימת חבלה של ממש, באמרו בעמ' 6 להכעה"ד: </w:t>
      </w:r>
    </w:p>
    <w:p w14:paraId="50DF17AB" w14:textId="77777777" w:rsidR="00B820A6" w:rsidRDefault="00B820A6">
      <w:pPr>
        <w:ind w:left="-97"/>
        <w:jc w:val="both"/>
        <w:rPr>
          <w:sz w:val="12"/>
          <w:szCs w:val="12"/>
          <w:rtl/>
        </w:rPr>
      </w:pPr>
    </w:p>
    <w:p w14:paraId="199BDEDA" w14:textId="77777777" w:rsidR="00B820A6" w:rsidRDefault="00594FCA">
      <w:pPr>
        <w:ind w:left="328" w:right="426" w:hanging="142"/>
        <w:jc w:val="both"/>
        <w:rPr>
          <w:rStyle w:val="ArialFrankRuehl14"/>
          <w:b/>
          <w:bCs/>
          <w:sz w:val="28"/>
          <w:rtl/>
        </w:rPr>
      </w:pPr>
      <w:r>
        <w:rPr>
          <w:rStyle w:val="ArialFrankRuehl14"/>
          <w:b/>
          <w:bCs/>
          <w:sz w:val="28"/>
          <w:rtl/>
        </w:rPr>
        <w:t xml:space="preserve"> "אינני מקבלת טענה זו. לצורך העבירה הנטענת לא די בחבלה אלא צריך שתהיה זו חבלה של ממש. בעניננו מדובר בתקיפה, אך לא כזו שגרמה לחבלה של ממש.</w:t>
      </w:r>
      <w:r>
        <w:rPr>
          <w:b/>
          <w:bCs/>
          <w:rtl/>
        </w:rPr>
        <w:t>"</w:t>
      </w:r>
      <w:r>
        <w:rPr>
          <w:b/>
          <w:bCs/>
          <w:rtl/>
        </w:rPr>
        <w:tab/>
      </w:r>
      <w:r>
        <w:rPr>
          <w:b/>
          <w:bCs/>
          <w:rtl/>
        </w:rPr>
        <w:tab/>
      </w:r>
      <w:r>
        <w:rPr>
          <w:b/>
          <w:bCs/>
          <w:rtl/>
        </w:rPr>
        <w:tab/>
      </w:r>
      <w:r>
        <w:rPr>
          <w:b/>
          <w:bCs/>
          <w:rtl/>
        </w:rPr>
        <w:tab/>
      </w:r>
      <w:r>
        <w:rPr>
          <w:b/>
          <w:bCs/>
          <w:rtl/>
        </w:rPr>
        <w:tab/>
        <w:t xml:space="preserve"> </w:t>
      </w:r>
    </w:p>
    <w:p w14:paraId="0BC121F9" w14:textId="77777777" w:rsidR="00B820A6" w:rsidRDefault="00594FCA">
      <w:pPr>
        <w:spacing w:line="360" w:lineRule="auto"/>
        <w:ind w:left="-97"/>
        <w:jc w:val="both"/>
        <w:rPr>
          <w:rStyle w:val="ArialFrankRuehl14"/>
          <w:sz w:val="28"/>
          <w:rtl/>
        </w:rPr>
      </w:pPr>
      <w:r>
        <w:rPr>
          <w:rStyle w:val="ArialFrankRuehl14"/>
          <w:sz w:val="28"/>
          <w:rtl/>
        </w:rPr>
        <w:t xml:space="preserve">ביהמ"ש אף הרשיע את הנאשמת בעבירה של </w:t>
      </w:r>
      <w:r>
        <w:rPr>
          <w:rStyle w:val="ArialFrankRuehl14"/>
          <w:sz w:val="28"/>
          <w:u w:val="single"/>
          <w:rtl/>
        </w:rPr>
        <w:t xml:space="preserve">תקיפה בנסיבות מחמירות לפי </w:t>
      </w:r>
      <w:hyperlink r:id="rId38" w:history="1">
        <w:r w:rsidR="009837D0" w:rsidRPr="009837D0">
          <w:rPr>
            <w:rStyle w:val="ArialFrankRuehl14"/>
            <w:color w:val="0000FF"/>
            <w:sz w:val="28"/>
            <w:u w:val="single"/>
            <w:rtl/>
          </w:rPr>
          <w:t>סעיף 379</w:t>
        </w:r>
      </w:hyperlink>
      <w:r w:rsidR="009837D0">
        <w:rPr>
          <w:rStyle w:val="ArialFrankRuehl14"/>
          <w:sz w:val="28"/>
          <w:u w:val="single"/>
          <w:rtl/>
        </w:rPr>
        <w:t xml:space="preserve"> בנסיבות סעיף </w:t>
      </w:r>
      <w:hyperlink r:id="rId39" w:history="1">
        <w:r w:rsidR="009837D0" w:rsidRPr="009837D0">
          <w:rPr>
            <w:rStyle w:val="ArialFrankRuehl14"/>
            <w:color w:val="0000FF"/>
            <w:sz w:val="28"/>
            <w:u w:val="single"/>
            <w:rtl/>
          </w:rPr>
          <w:t>382(ב)(2)</w:t>
        </w:r>
      </w:hyperlink>
      <w:r>
        <w:rPr>
          <w:rStyle w:val="ArialFrankRuehl14"/>
          <w:sz w:val="28"/>
          <w:u w:val="single"/>
          <w:rtl/>
        </w:rPr>
        <w:t xml:space="preserve"> ל</w:t>
      </w:r>
      <w:hyperlink r:id="rId40" w:history="1">
        <w:r w:rsidR="00B818E8" w:rsidRPr="00B818E8">
          <w:rPr>
            <w:rStyle w:val="Hyperlink"/>
            <w:rFonts w:ascii="Arial" w:hAnsi="Arial"/>
            <w:sz w:val="28"/>
            <w:rtl/>
          </w:rPr>
          <w:t>חוק העונשין</w:t>
        </w:r>
      </w:hyperlink>
      <w:r>
        <w:rPr>
          <w:rStyle w:val="ArialFrankRuehl14"/>
          <w:sz w:val="28"/>
          <w:rtl/>
        </w:rPr>
        <w:t xml:space="preserve">, בקבעו כי: </w:t>
      </w:r>
    </w:p>
    <w:p w14:paraId="0B40F998" w14:textId="77777777" w:rsidR="00B820A6" w:rsidRDefault="00B820A6">
      <w:pPr>
        <w:ind w:left="186" w:right="426" w:hanging="141"/>
        <w:jc w:val="both"/>
        <w:rPr>
          <w:rStyle w:val="ArialFrankRuehl14"/>
          <w:sz w:val="28"/>
          <w:rtl/>
        </w:rPr>
      </w:pPr>
    </w:p>
    <w:p w14:paraId="56B3EF2B" w14:textId="77777777" w:rsidR="00B820A6" w:rsidRDefault="00594FCA">
      <w:pPr>
        <w:ind w:left="186" w:right="426" w:hanging="141"/>
        <w:jc w:val="both"/>
        <w:rPr>
          <w:rStyle w:val="ArialFrankRuehl14"/>
          <w:b/>
          <w:bCs/>
          <w:sz w:val="28"/>
          <w:rtl/>
        </w:rPr>
      </w:pPr>
      <w:r>
        <w:rPr>
          <w:rStyle w:val="ArialFrankRuehl14"/>
          <w:sz w:val="28"/>
          <w:rtl/>
        </w:rPr>
        <w:t xml:space="preserve"> </w:t>
      </w:r>
      <w:r>
        <w:rPr>
          <w:rStyle w:val="ArialFrankRuehl14"/>
          <w:sz w:val="28"/>
          <w:rtl/>
        </w:rPr>
        <w:tab/>
      </w:r>
      <w:r>
        <w:rPr>
          <w:rStyle w:val="ArialFrankRuehl14"/>
          <w:b/>
          <w:bCs/>
          <w:sz w:val="28"/>
          <w:rtl/>
        </w:rPr>
        <w:t xml:space="preserve">"בנסיבות אלה לא הוכחו יסודות העבירה כנדרש עפ"י סעיף 368  ב' (א). </w:t>
      </w:r>
    </w:p>
    <w:p w14:paraId="4FEB323E" w14:textId="77777777" w:rsidR="00B820A6" w:rsidRDefault="00594FCA">
      <w:pPr>
        <w:ind w:left="186" w:right="426" w:hanging="141"/>
        <w:jc w:val="both"/>
        <w:rPr>
          <w:rStyle w:val="ArialFrankRuehl14"/>
          <w:b/>
          <w:bCs/>
          <w:sz w:val="28"/>
          <w:u w:val="single"/>
          <w:rtl/>
        </w:rPr>
      </w:pPr>
      <w:r>
        <w:rPr>
          <w:rStyle w:val="ArialFrankRuehl14"/>
          <w:b/>
          <w:bCs/>
          <w:sz w:val="28"/>
          <w:rtl/>
        </w:rPr>
        <w:t xml:space="preserve">   יחד עם זאת, כאמור הוכח הנאשמת תקפה את המתלוננת והוכח כי הנאשמת הייתה אחראית על המתלוננת, שהינה חסרת ישע, </w:t>
      </w:r>
      <w:r>
        <w:rPr>
          <w:rStyle w:val="ArialFrankRuehl14"/>
          <w:b/>
          <w:bCs/>
          <w:sz w:val="28"/>
          <w:u w:val="single"/>
          <w:rtl/>
        </w:rPr>
        <w:t>ולפיכך הוכחה העבירה של תקיפה בנסיבות מחמירות לפי סעיף 379 בנסיבות סעיף 382 (ב) (2) ל</w:t>
      </w:r>
      <w:hyperlink r:id="rId41" w:history="1">
        <w:r w:rsidR="00B818E8" w:rsidRPr="00B818E8">
          <w:rPr>
            <w:rStyle w:val="Hyperlink"/>
            <w:rFonts w:ascii="Arial" w:hAnsi="Arial"/>
            <w:b/>
            <w:bCs/>
            <w:sz w:val="28"/>
            <w:rtl/>
          </w:rPr>
          <w:t>חוק העונשין</w:t>
        </w:r>
      </w:hyperlink>
      <w:r>
        <w:rPr>
          <w:rStyle w:val="ArialFrankRuehl14"/>
          <w:b/>
          <w:bCs/>
          <w:sz w:val="28"/>
          <w:u w:val="single"/>
          <w:rtl/>
        </w:rPr>
        <w:t>.</w:t>
      </w:r>
    </w:p>
    <w:p w14:paraId="0CF34467" w14:textId="77777777" w:rsidR="00B820A6" w:rsidRDefault="00594FCA">
      <w:pPr>
        <w:ind w:left="186" w:right="426"/>
        <w:jc w:val="both"/>
        <w:rPr>
          <w:rStyle w:val="ArialFrankRuehl14"/>
          <w:sz w:val="28"/>
          <w:rtl/>
        </w:rPr>
      </w:pPr>
      <w:r>
        <w:rPr>
          <w:rStyle w:val="ArialFrankRuehl14"/>
          <w:b/>
          <w:bCs/>
          <w:sz w:val="28"/>
          <w:rtl/>
        </w:rPr>
        <w:t xml:space="preserve">כתב האישום אמנם אינו מיחס לנאשמת עבירה זו, אולם מדובר בעבירה קלה מזו שיוחסה לה, עבירה אשר רכיביה הינם חלק מרכיבי העבירה שיוחסה לנאשמת, הייתה לנאשמת הזדמנות להתגונן מפני עבירה זו, והיא אף עשתה כן, ולפיכך ניתן להרשיעה בעבירה החלופית." </w:t>
      </w:r>
      <w:r>
        <w:rPr>
          <w:rStyle w:val="ArialFrankRuehl14"/>
          <w:rFonts w:hint="cs"/>
          <w:b/>
          <w:bCs/>
          <w:sz w:val="28"/>
          <w:rtl/>
        </w:rPr>
        <w:tab/>
      </w:r>
      <w:r>
        <w:rPr>
          <w:rStyle w:val="ArialFrankRuehl14"/>
          <w:rFonts w:hint="cs"/>
          <w:b/>
          <w:bCs/>
          <w:sz w:val="28"/>
          <w:rtl/>
        </w:rPr>
        <w:tab/>
      </w:r>
      <w:r>
        <w:rPr>
          <w:rStyle w:val="ArialFrankRuehl14"/>
          <w:rFonts w:hint="cs"/>
          <w:b/>
          <w:bCs/>
          <w:sz w:val="28"/>
          <w:rtl/>
        </w:rPr>
        <w:tab/>
      </w:r>
      <w:r>
        <w:rPr>
          <w:rStyle w:val="ArialFrankRuehl14"/>
          <w:b/>
          <w:bCs/>
          <w:sz w:val="28"/>
          <w:rtl/>
        </w:rPr>
        <w:t xml:space="preserve"> </w:t>
      </w:r>
      <w:r>
        <w:rPr>
          <w:rStyle w:val="ArialFrankRuehl14"/>
          <w:b/>
          <w:bCs/>
          <w:sz w:val="28"/>
          <w:rtl/>
        </w:rPr>
        <w:tab/>
      </w:r>
      <w:r>
        <w:rPr>
          <w:rStyle w:val="ArialFrankRuehl14"/>
          <w:b/>
          <w:bCs/>
          <w:sz w:val="28"/>
          <w:rtl/>
        </w:rPr>
        <w:tab/>
        <w:t xml:space="preserve">                       </w:t>
      </w:r>
      <w:r>
        <w:rPr>
          <w:rStyle w:val="ArialFrankRuehl14"/>
          <w:sz w:val="28"/>
          <w:rtl/>
        </w:rPr>
        <w:t>(ההדגשה שלי א.ז.)</w:t>
      </w:r>
    </w:p>
    <w:p w14:paraId="6B93C8A8" w14:textId="77777777" w:rsidR="00B820A6" w:rsidRDefault="00B820A6">
      <w:pPr>
        <w:ind w:left="186" w:right="426"/>
        <w:jc w:val="both"/>
        <w:rPr>
          <w:rStyle w:val="ArialFrankRuehl14"/>
          <w:sz w:val="28"/>
          <w:rtl/>
        </w:rPr>
      </w:pPr>
    </w:p>
    <w:p w14:paraId="1F85B970" w14:textId="77777777" w:rsidR="00B820A6" w:rsidRDefault="00B820A6">
      <w:pPr>
        <w:ind w:left="186" w:right="426"/>
        <w:jc w:val="both"/>
        <w:rPr>
          <w:rStyle w:val="ArialFrankRuehl14"/>
          <w:sz w:val="28"/>
          <w:rtl/>
        </w:rPr>
      </w:pPr>
    </w:p>
    <w:p w14:paraId="6827C072" w14:textId="77777777" w:rsidR="00B820A6" w:rsidRDefault="00594FCA">
      <w:pPr>
        <w:spacing w:line="360" w:lineRule="auto"/>
        <w:ind w:left="-97" w:hanging="709"/>
        <w:jc w:val="both"/>
        <w:rPr>
          <w:rStyle w:val="ArialFrankRuehl14"/>
          <w:sz w:val="28"/>
          <w:rtl/>
        </w:rPr>
      </w:pPr>
      <w:r>
        <w:rPr>
          <w:rStyle w:val="ArialFrankRuehl14"/>
          <w:sz w:val="28"/>
          <w:rtl/>
        </w:rPr>
        <w:t>16.</w:t>
      </w:r>
      <w:r>
        <w:rPr>
          <w:rStyle w:val="ArialFrankRuehl14"/>
          <w:sz w:val="28"/>
          <w:rtl/>
        </w:rPr>
        <w:tab/>
        <w:t>סבורני כי כך גם המצב בענייננו, בו עפ"י הגדרת המונח "</w:t>
      </w:r>
      <w:r>
        <w:rPr>
          <w:rStyle w:val="ArialFrankRuehl14"/>
          <w:b/>
          <w:bCs/>
          <w:sz w:val="28"/>
          <w:rtl/>
        </w:rPr>
        <w:t>חבלה</w:t>
      </w:r>
      <w:r>
        <w:rPr>
          <w:rStyle w:val="ArialFrankRuehl14"/>
          <w:sz w:val="28"/>
          <w:rtl/>
        </w:rPr>
        <w:t>" הוכח קיום תנאי ה"</w:t>
      </w:r>
      <w:r>
        <w:rPr>
          <w:rStyle w:val="ArialFrankRuehl14"/>
          <w:b/>
          <w:bCs/>
          <w:sz w:val="28"/>
          <w:rtl/>
        </w:rPr>
        <w:t>מכאוב</w:t>
      </w:r>
      <w:r>
        <w:rPr>
          <w:rStyle w:val="ArialFrankRuehl14"/>
          <w:sz w:val="28"/>
          <w:rtl/>
        </w:rPr>
        <w:t xml:space="preserve">" </w:t>
      </w:r>
      <w:hyperlink r:id="rId42" w:history="1">
        <w:r w:rsidR="009837D0" w:rsidRPr="009837D0">
          <w:rPr>
            <w:rStyle w:val="ArialFrankRuehl14"/>
            <w:color w:val="0000FF"/>
            <w:sz w:val="28"/>
            <w:u w:val="single"/>
            <w:rtl/>
          </w:rPr>
          <w:t>בסעיף 34כד</w:t>
        </w:r>
      </w:hyperlink>
      <w:r>
        <w:rPr>
          <w:rStyle w:val="ArialFrankRuehl14"/>
          <w:sz w:val="28"/>
          <w:rtl/>
        </w:rPr>
        <w:t xml:space="preserve"> ל</w:t>
      </w:r>
      <w:hyperlink r:id="rId43" w:history="1">
        <w:r w:rsidR="00B818E8" w:rsidRPr="00B818E8">
          <w:rPr>
            <w:rStyle w:val="Hyperlink"/>
            <w:rFonts w:ascii="Arial" w:hAnsi="Arial"/>
            <w:sz w:val="28"/>
            <w:rtl/>
          </w:rPr>
          <w:t>חוק העונשין</w:t>
        </w:r>
      </w:hyperlink>
      <w:r>
        <w:rPr>
          <w:rStyle w:val="ArialFrankRuehl14"/>
          <w:sz w:val="28"/>
          <w:rtl/>
        </w:rPr>
        <w:t>, הנגרם מהמעשה הפיזי ועונה על הגדרת ה"</w:t>
      </w:r>
      <w:r>
        <w:rPr>
          <w:rStyle w:val="ArialFrankRuehl14"/>
          <w:b/>
          <w:bCs/>
          <w:sz w:val="28"/>
          <w:rtl/>
        </w:rPr>
        <w:t>חבלה – בין גופנית בין נפשית</w:t>
      </w:r>
      <w:r w:rsidR="009837D0">
        <w:rPr>
          <w:rStyle w:val="ArialFrankRuehl14"/>
          <w:sz w:val="28"/>
          <w:rtl/>
        </w:rPr>
        <w:t xml:space="preserve">" </w:t>
      </w:r>
      <w:hyperlink r:id="rId44" w:history="1">
        <w:r w:rsidR="009837D0" w:rsidRPr="009837D0">
          <w:rPr>
            <w:rStyle w:val="Hyperlink"/>
            <w:rFonts w:ascii="Arial" w:hAnsi="Arial"/>
            <w:sz w:val="28"/>
            <w:rtl/>
          </w:rPr>
          <w:t>שבסעיף 368ב(ג)</w:t>
        </w:r>
      </w:hyperlink>
      <w:r>
        <w:rPr>
          <w:rStyle w:val="ArialFrankRuehl14"/>
          <w:sz w:val="28"/>
          <w:rtl/>
        </w:rPr>
        <w:t xml:space="preserve"> לחוק העונשין. כמו-כן גם בענייננו אין חולק כי </w:t>
      </w:r>
      <w:r>
        <w:rPr>
          <w:rStyle w:val="ArialFrankRuehl14"/>
          <w:b/>
          <w:bCs/>
          <w:sz w:val="28"/>
          <w:rtl/>
        </w:rPr>
        <w:t>הנאשמת הייתה מטפלת של הקשישה ואחראית עליה</w:t>
      </w:r>
      <w:r>
        <w:rPr>
          <w:rStyle w:val="ArialFrankRuehl14"/>
          <w:sz w:val="28"/>
          <w:rtl/>
        </w:rPr>
        <w:t xml:space="preserve">, לפיכך מתקיים גם התנאי של ביצוע המעשים ע"י </w:t>
      </w:r>
      <w:r>
        <w:rPr>
          <w:rStyle w:val="ArialFrankRuehl14"/>
          <w:sz w:val="28"/>
          <w:u w:val="single"/>
          <w:rtl/>
        </w:rPr>
        <w:t>האחראית על המתלוננת חסרת ישע</w:t>
      </w:r>
      <w:r w:rsidR="009837D0">
        <w:rPr>
          <w:rStyle w:val="ArialFrankRuehl14"/>
          <w:sz w:val="28"/>
          <w:rtl/>
        </w:rPr>
        <w:t xml:space="preserve">, כנדרש </w:t>
      </w:r>
      <w:hyperlink r:id="rId45" w:history="1">
        <w:r w:rsidR="009837D0" w:rsidRPr="009837D0">
          <w:rPr>
            <w:rStyle w:val="Hyperlink"/>
            <w:rFonts w:ascii="Arial" w:hAnsi="Arial"/>
            <w:sz w:val="28"/>
            <w:rtl/>
          </w:rPr>
          <w:t>בסעיף 382(ב)(2)</w:t>
        </w:r>
      </w:hyperlink>
      <w:r>
        <w:rPr>
          <w:rStyle w:val="ArialFrankRuehl14"/>
          <w:sz w:val="28"/>
          <w:rtl/>
        </w:rPr>
        <w:t xml:space="preserve"> ל</w:t>
      </w:r>
      <w:hyperlink r:id="rId46" w:history="1">
        <w:r w:rsidR="00B818E8" w:rsidRPr="00B818E8">
          <w:rPr>
            <w:rStyle w:val="Hyperlink"/>
            <w:rFonts w:ascii="Arial" w:hAnsi="Arial"/>
            <w:sz w:val="28"/>
            <w:rtl/>
          </w:rPr>
          <w:t>חוק העונשין</w:t>
        </w:r>
      </w:hyperlink>
      <w:r>
        <w:rPr>
          <w:rStyle w:val="ArialFrankRuehl14"/>
          <w:sz w:val="28"/>
          <w:rtl/>
        </w:rPr>
        <w:t xml:space="preserve">, כשמהסרטונים ניתן בהחלט להיווכח כי הקשישה הינה חסרת ישע וחסרת אונים. מכאן שהוכח כי </w:t>
      </w:r>
      <w:r>
        <w:rPr>
          <w:rStyle w:val="ArialFrankRuehl14"/>
          <w:b/>
          <w:bCs/>
          <w:sz w:val="28"/>
          <w:rtl/>
        </w:rPr>
        <w:t>עבירת התקיפה בוצעה בנסיבות מחמירות</w:t>
      </w:r>
      <w:r>
        <w:rPr>
          <w:rStyle w:val="ArialFrankRuehl14"/>
          <w:sz w:val="28"/>
          <w:rtl/>
        </w:rPr>
        <w:t xml:space="preserve">. מאחר ולנאשמת היתה הזדמנות להתגונן מפני עבירה זו, והיא אף עשתה כן באמצעות בא כוחה, ניתן להרשיעה על בסיס העובדות והראיות שבפניי בעבירה של </w:t>
      </w:r>
      <w:r>
        <w:rPr>
          <w:rStyle w:val="ArialFrankRuehl14"/>
          <w:b/>
          <w:bCs/>
          <w:sz w:val="28"/>
          <w:rtl/>
        </w:rPr>
        <w:t>תקיפה בנסיבות מחמירות</w:t>
      </w:r>
      <w:r>
        <w:rPr>
          <w:rStyle w:val="ArialFrankRuehl14"/>
          <w:sz w:val="28"/>
          <w:rtl/>
        </w:rPr>
        <w:t>.</w:t>
      </w:r>
    </w:p>
    <w:p w14:paraId="580ECF8C" w14:textId="77777777" w:rsidR="00B820A6" w:rsidRDefault="00B820A6">
      <w:pPr>
        <w:spacing w:line="360" w:lineRule="auto"/>
        <w:ind w:left="186" w:hanging="283"/>
        <w:jc w:val="both"/>
        <w:rPr>
          <w:rStyle w:val="ArialFrankRuehl14"/>
          <w:sz w:val="28"/>
          <w:rtl/>
        </w:rPr>
      </w:pPr>
    </w:p>
    <w:p w14:paraId="4B3D0A8C" w14:textId="77777777" w:rsidR="00B820A6" w:rsidRDefault="00594FCA">
      <w:pPr>
        <w:tabs>
          <w:tab w:val="left" w:pos="-806"/>
          <w:tab w:val="left" w:pos="-97"/>
        </w:tabs>
        <w:spacing w:line="360" w:lineRule="auto"/>
        <w:ind w:hanging="806"/>
        <w:jc w:val="both"/>
        <w:rPr>
          <w:rStyle w:val="ArialFrankRuehl14"/>
        </w:rPr>
      </w:pPr>
      <w:r>
        <w:rPr>
          <w:rStyle w:val="ArialFrankRuehl14"/>
          <w:sz w:val="28"/>
          <w:rtl/>
        </w:rPr>
        <w:t>17.</w:t>
      </w:r>
      <w:r>
        <w:rPr>
          <w:rStyle w:val="ArialFrankRuehl14"/>
          <w:sz w:val="28"/>
          <w:rtl/>
        </w:rPr>
        <w:tab/>
        <w:t xml:space="preserve">אין בידי לקבל את טענת הסניגור, כי נסיבות המקרה מצדיקות להסתפק בהרשעה בעבירת תקיפה סתם, בלי ליחס לכאן נסיבות מיוחדות, שכן מקובלת עליי טענת המאשימה כי יש ליתן ביטוי משמעותי לחומרה בהרשעה, למערכת היחסים המיוחדת של מטפל </w:t>
      </w:r>
      <w:r w:rsidR="009837D0">
        <w:rPr>
          <w:rStyle w:val="ArialFrankRuehl14"/>
          <w:sz w:val="28"/>
          <w:rtl/>
        </w:rPr>
        <w:t xml:space="preserve">במטופל חסר ישע, כעולה מסעיף </w:t>
      </w:r>
      <w:hyperlink r:id="rId47" w:history="1">
        <w:r w:rsidR="009837D0" w:rsidRPr="009837D0">
          <w:rPr>
            <w:rStyle w:val="ArialFrankRuehl14"/>
            <w:color w:val="0000FF"/>
            <w:sz w:val="28"/>
            <w:u w:val="single"/>
            <w:rtl/>
          </w:rPr>
          <w:t>382(ב)(2)</w:t>
        </w:r>
      </w:hyperlink>
      <w:r>
        <w:rPr>
          <w:rStyle w:val="ArialFrankRuehl14"/>
          <w:sz w:val="28"/>
          <w:rtl/>
        </w:rPr>
        <w:t xml:space="preserve"> ל</w:t>
      </w:r>
      <w:hyperlink r:id="rId48" w:history="1">
        <w:r w:rsidR="00B818E8" w:rsidRPr="00B818E8">
          <w:rPr>
            <w:rStyle w:val="Hyperlink"/>
            <w:rFonts w:ascii="Arial" w:hAnsi="Arial"/>
            <w:sz w:val="28"/>
            <w:rtl/>
          </w:rPr>
          <w:t>חוק העונשין</w:t>
        </w:r>
      </w:hyperlink>
      <w:r>
        <w:rPr>
          <w:rStyle w:val="ArialFrankRuehl14"/>
          <w:sz w:val="28"/>
          <w:rtl/>
        </w:rPr>
        <w:t xml:space="preserve">, ולא יהיה זה ראוי ונכון להתייחס לסדרת מעשי התקיפה של הנאשמת כאל מעשי </w:t>
      </w:r>
      <w:r>
        <w:rPr>
          <w:rStyle w:val="ArialFrankRuehl14"/>
          <w:b/>
          <w:bCs/>
          <w:sz w:val="28"/>
          <w:rtl/>
        </w:rPr>
        <w:t>תקיפה סתם</w:t>
      </w:r>
      <w:r>
        <w:rPr>
          <w:rStyle w:val="ArialFrankRuehl14"/>
          <w:sz w:val="28"/>
          <w:rtl/>
        </w:rPr>
        <w:t xml:space="preserve">, תוך התעלמות מיחסי מטפל-מטופל, כשבענייננו מדובר במטופלת קשישה חסרת ישע וחסרת אונים, וכעולה מסעיפים אלה: </w:t>
      </w:r>
    </w:p>
    <w:p w14:paraId="7FCA6AC8" w14:textId="77777777" w:rsidR="00B820A6" w:rsidRDefault="00B820A6">
      <w:pPr>
        <w:ind w:left="-664"/>
        <w:jc w:val="both"/>
        <w:rPr>
          <w:rStyle w:val="ArialFrankRuehl14"/>
          <w:sz w:val="28"/>
          <w:szCs w:val="16"/>
        </w:rPr>
      </w:pPr>
    </w:p>
    <w:p w14:paraId="136F7744" w14:textId="77777777" w:rsidR="00B820A6" w:rsidRDefault="00594FCA">
      <w:pPr>
        <w:spacing w:line="360" w:lineRule="auto"/>
        <w:ind w:left="324" w:right="284"/>
        <w:jc w:val="both"/>
        <w:rPr>
          <w:rStyle w:val="default"/>
          <w:rFonts w:cs="FrankRuehl"/>
          <w:b/>
          <w:bCs/>
        </w:rPr>
      </w:pPr>
      <w:r>
        <w:rPr>
          <w:rtl/>
        </w:rPr>
        <w:t>"</w:t>
      </w:r>
      <w:r>
        <w:rPr>
          <w:rStyle w:val="default"/>
          <w:rFonts w:cs="FrankRuehl"/>
          <w:b/>
          <w:bCs/>
          <w:rtl/>
        </w:rPr>
        <w:t xml:space="preserve">379.   </w:t>
      </w:r>
      <w:r>
        <w:rPr>
          <w:rStyle w:val="default"/>
          <w:rFonts w:cs="FrankRuehl"/>
          <w:b/>
          <w:bCs/>
          <w:u w:val="single"/>
          <w:rtl/>
        </w:rPr>
        <w:t>דין תקיפה סתם</w:t>
      </w:r>
    </w:p>
    <w:p w14:paraId="363F21E1" w14:textId="77777777" w:rsidR="00B820A6" w:rsidRDefault="00594FCA">
      <w:pPr>
        <w:pStyle w:val="P00"/>
        <w:tabs>
          <w:tab w:val="clear" w:pos="1021"/>
          <w:tab w:val="clear" w:pos="1474"/>
          <w:tab w:val="left" w:pos="1037"/>
        </w:tabs>
        <w:spacing w:before="72"/>
        <w:ind w:left="1037" w:right="284"/>
        <w:rPr>
          <w:rStyle w:val="default"/>
          <w:rFonts w:cs="FrankRuehl"/>
          <w:b/>
          <w:bCs/>
          <w:noProof w:val="0"/>
          <w:rtl/>
        </w:rPr>
      </w:pPr>
      <w:r>
        <w:rPr>
          <w:rStyle w:val="default"/>
          <w:rFonts w:cs="FrankRuehl"/>
          <w:b/>
          <w:bCs/>
          <w:noProof w:val="0"/>
          <w:rtl/>
        </w:rPr>
        <w:t>התוקף שלא כדין את חברו, דינו - מאסר שנתיים, והוא אם לא נקבע בחוק זה עונש אחר לעבירה זו מחמת נסיבותיה.</w:t>
      </w:r>
    </w:p>
    <w:p w14:paraId="2F0374BA" w14:textId="77777777" w:rsidR="00B820A6" w:rsidRDefault="00B820A6">
      <w:pPr>
        <w:pStyle w:val="P00"/>
        <w:tabs>
          <w:tab w:val="clear" w:pos="1021"/>
          <w:tab w:val="clear" w:pos="1474"/>
          <w:tab w:val="left" w:pos="1037"/>
        </w:tabs>
        <w:spacing w:before="72"/>
        <w:ind w:left="1037" w:right="284"/>
        <w:rPr>
          <w:rStyle w:val="default"/>
          <w:rFonts w:cs="FrankRuehl"/>
          <w:b/>
          <w:bCs/>
          <w:noProof w:val="0"/>
          <w:u w:val="single"/>
          <w:rtl/>
        </w:rPr>
      </w:pPr>
    </w:p>
    <w:p w14:paraId="32A1E20E" w14:textId="77777777" w:rsidR="00B820A6" w:rsidRDefault="00594FCA">
      <w:pPr>
        <w:pStyle w:val="P00"/>
        <w:tabs>
          <w:tab w:val="clear" w:pos="1021"/>
          <w:tab w:val="clear" w:pos="1474"/>
          <w:tab w:val="left" w:pos="1037"/>
        </w:tabs>
        <w:spacing w:before="72"/>
        <w:ind w:left="1037" w:right="284"/>
        <w:rPr>
          <w:rStyle w:val="default"/>
          <w:rFonts w:cs="FrankRuehl"/>
          <w:b/>
          <w:bCs/>
          <w:noProof w:val="0"/>
          <w:u w:val="single"/>
          <w:rtl/>
        </w:rPr>
      </w:pPr>
      <w:r>
        <w:rPr>
          <w:rStyle w:val="default"/>
          <w:rFonts w:cs="FrankRuehl"/>
          <w:b/>
          <w:bCs/>
          <w:noProof w:val="0"/>
          <w:u w:val="single"/>
          <w:rtl/>
        </w:rPr>
        <w:t>תקיפות בנסיבות מחמירות</w:t>
      </w:r>
    </w:p>
    <w:p w14:paraId="076A0ECD" w14:textId="77777777" w:rsidR="00B820A6" w:rsidRDefault="00594FCA">
      <w:pPr>
        <w:pStyle w:val="P00"/>
        <w:tabs>
          <w:tab w:val="clear" w:pos="1021"/>
        </w:tabs>
        <w:spacing w:before="72"/>
        <w:ind w:left="1037" w:right="284" w:hanging="713"/>
        <w:rPr>
          <w:rStyle w:val="default"/>
          <w:rFonts w:cs="FrankRuehl"/>
          <w:b/>
          <w:bCs/>
          <w:noProof w:val="0"/>
          <w:rtl/>
        </w:rPr>
      </w:pPr>
      <w:r>
        <w:rPr>
          <w:rStyle w:val="default"/>
          <w:rFonts w:cs="FrankRuehl"/>
          <w:b/>
          <w:bCs/>
          <w:noProof w:val="0"/>
          <w:rtl/>
        </w:rPr>
        <w:t>382</w:t>
      </w:r>
      <w:r>
        <w:rPr>
          <w:rStyle w:val="big-number"/>
          <w:rFonts w:cs="Miriam"/>
          <w:b/>
          <w:bCs/>
          <w:noProof w:val="0"/>
          <w:rtl/>
        </w:rPr>
        <w:t>.</w:t>
      </w:r>
      <w:r>
        <w:rPr>
          <w:rStyle w:val="big-number"/>
          <w:rFonts w:cs="Miriam"/>
          <w:b/>
          <w:bCs/>
          <w:noProof w:val="0"/>
          <w:rtl/>
        </w:rPr>
        <w:tab/>
      </w:r>
      <w:bookmarkStart w:id="8" w:name="_GoBack"/>
      <w:bookmarkEnd w:id="8"/>
      <w:r>
        <w:rPr>
          <w:rStyle w:val="default"/>
          <w:rFonts w:cs="FrankRuehl"/>
          <w:b/>
          <w:bCs/>
          <w:noProof w:val="0"/>
          <w:rtl/>
        </w:rPr>
        <w:t>(א)</w:t>
      </w:r>
      <w:r>
        <w:rPr>
          <w:rStyle w:val="default"/>
          <w:rFonts w:cs="FrankRuehl"/>
          <w:b/>
          <w:bCs/>
        </w:rPr>
        <w:t xml:space="preserve"> </w:t>
      </w:r>
      <w:r>
        <w:rPr>
          <w:rStyle w:val="default"/>
          <w:rFonts w:cs="FrankRuehl"/>
          <w:b/>
          <w:bCs/>
          <w:noProof w:val="0"/>
          <w:rtl/>
        </w:rPr>
        <w:t>נעברה עבירה לפי סעיפים 379 או 380 כשהיו נוכחים שניים או יותר שחברו יחד לביצוע המעשה בידי אחד או אחדים מהם דינו של כל אחד מהם – כפל העונש הקבוע לעבירה.</w:t>
      </w:r>
    </w:p>
    <w:p w14:paraId="0AC68E8A" w14:textId="77777777" w:rsidR="00B820A6" w:rsidRDefault="00594FCA">
      <w:pPr>
        <w:pStyle w:val="P00"/>
        <w:tabs>
          <w:tab w:val="clear" w:pos="1021"/>
        </w:tabs>
        <w:spacing w:before="72"/>
        <w:ind w:left="1037" w:right="284" w:hanging="713"/>
        <w:rPr>
          <w:rStyle w:val="default"/>
          <w:rFonts w:cs="FrankRuehl"/>
          <w:b/>
          <w:bCs/>
          <w:noProof w:val="0"/>
          <w:rtl/>
        </w:rPr>
      </w:pPr>
      <w:r>
        <w:rPr>
          <w:rStyle w:val="default"/>
          <w:rFonts w:cs="FrankRuehl"/>
          <w:b/>
          <w:bCs/>
          <w:noProof w:val="0"/>
          <w:rtl/>
        </w:rPr>
        <w:tab/>
      </w:r>
      <w:r>
        <w:rPr>
          <w:rStyle w:val="default"/>
          <w:rFonts w:cs="FrankRuehl"/>
          <w:b/>
          <w:bCs/>
          <w:noProof w:val="0"/>
          <w:rtl/>
        </w:rPr>
        <w:tab/>
        <w:t>(ב) העובר עבירה לפי סעיף 379 כלפי בן משפחתו, דינו - כפל העונש הקבוע לעבירה; לענין סעיף זה, "בן משפחתו" - לרבות מי שהיה בן משפחתו בעבר, והוא אחד מאלה:</w:t>
      </w:r>
    </w:p>
    <w:p w14:paraId="7E570338" w14:textId="77777777" w:rsidR="00B820A6" w:rsidRDefault="00594FCA">
      <w:pPr>
        <w:pStyle w:val="P22"/>
        <w:spacing w:before="72"/>
        <w:ind w:left="1037" w:right="284"/>
        <w:rPr>
          <w:rStyle w:val="default"/>
          <w:rFonts w:cs="FrankRuehl"/>
          <w:b/>
          <w:bCs/>
          <w:noProof w:val="0"/>
          <w:rtl/>
        </w:rPr>
      </w:pPr>
      <w:r>
        <w:rPr>
          <w:rStyle w:val="default"/>
          <w:rFonts w:cs="FrankRuehl"/>
          <w:b/>
          <w:bCs/>
          <w:noProof w:val="0"/>
          <w:rtl/>
        </w:rPr>
        <w:t xml:space="preserve">   (1)  בן זוגו, לרבות הידוע בציבור כבן זוגו;</w:t>
      </w:r>
    </w:p>
    <w:p w14:paraId="6B23794C" w14:textId="77777777" w:rsidR="00B820A6" w:rsidRDefault="00594FCA">
      <w:pPr>
        <w:ind w:left="1179" w:right="284" w:hanging="855"/>
        <w:jc w:val="both"/>
        <w:rPr>
          <w:rtl/>
        </w:rPr>
      </w:pPr>
      <w:r>
        <w:rPr>
          <w:rStyle w:val="default"/>
          <w:rFonts w:cs="FrankRuehl"/>
          <w:b/>
          <w:bCs/>
          <w:rtl/>
        </w:rPr>
        <w:tab/>
        <w:t xml:space="preserve">(2)  קטין או חסר ישע, שעליו עובר העבירה אחראי, כהגדרת "אחראי על קטין או </w:t>
      </w:r>
      <w:r>
        <w:rPr>
          <w:rStyle w:val="default"/>
          <w:rFonts w:cs="FrankRuehl"/>
          <w:b/>
          <w:bCs/>
          <w:u w:val="single"/>
          <w:rtl/>
        </w:rPr>
        <w:t>חסר ישע" בסעיף 368א</w:t>
      </w:r>
      <w:r>
        <w:rPr>
          <w:rtl/>
        </w:rPr>
        <w:t xml:space="preserve">  (ההדגשה שלי  - א.ז).</w:t>
      </w:r>
    </w:p>
    <w:p w14:paraId="4AF13F7C" w14:textId="77777777" w:rsidR="00B820A6" w:rsidRDefault="00B820A6">
      <w:pPr>
        <w:ind w:left="1179" w:right="284" w:hanging="855"/>
        <w:jc w:val="both"/>
        <w:rPr>
          <w:rStyle w:val="ArialFrankRuehl14"/>
          <w:rtl/>
        </w:rPr>
      </w:pPr>
    </w:p>
    <w:p w14:paraId="241D6106" w14:textId="77777777" w:rsidR="00B820A6" w:rsidRDefault="00B820A6">
      <w:pPr>
        <w:ind w:left="1179" w:right="284" w:hanging="855"/>
        <w:jc w:val="both"/>
        <w:rPr>
          <w:rStyle w:val="ArialFrankRuehl14"/>
          <w:rtl/>
        </w:rPr>
      </w:pPr>
    </w:p>
    <w:p w14:paraId="161FE904" w14:textId="77777777" w:rsidR="00B820A6" w:rsidRDefault="00594FCA">
      <w:pPr>
        <w:tabs>
          <w:tab w:val="left" w:pos="-58"/>
        </w:tabs>
        <w:spacing w:line="360" w:lineRule="auto"/>
        <w:ind w:left="186" w:hanging="708"/>
        <w:jc w:val="both"/>
      </w:pPr>
      <w:r>
        <w:rPr>
          <w:rtl/>
        </w:rPr>
        <w:t>18.</w:t>
      </w:r>
      <w:r>
        <w:rPr>
          <w:rtl/>
        </w:rPr>
        <w:tab/>
      </w:r>
      <w:r>
        <w:rPr>
          <w:rtl/>
        </w:rPr>
        <w:tab/>
        <w:t>באשר לפסיקה שהביאה המאשימה, אין בידי להסיק ממנה לענייננו, שכן בענייננו לא הוכח אלמנט החבלה של ממש. ב</w:t>
      </w:r>
      <w:hyperlink r:id="rId49" w:history="1">
        <w:r w:rsidR="00B818E8" w:rsidRPr="00B818E8">
          <w:rPr>
            <w:rStyle w:val="Hyperlink"/>
            <w:rFonts w:hint="eastAsia"/>
            <w:rtl/>
          </w:rPr>
          <w:t>ת</w:t>
        </w:r>
        <w:r w:rsidR="00B818E8" w:rsidRPr="00B818E8">
          <w:rPr>
            <w:rStyle w:val="Hyperlink"/>
            <w:rtl/>
          </w:rPr>
          <w:t>"</w:t>
        </w:r>
        <w:r w:rsidR="00B818E8" w:rsidRPr="00B818E8">
          <w:rPr>
            <w:rStyle w:val="Hyperlink"/>
            <w:rFonts w:hint="eastAsia"/>
            <w:rtl/>
          </w:rPr>
          <w:t>פ</w:t>
        </w:r>
        <w:r w:rsidR="00B818E8" w:rsidRPr="00B818E8">
          <w:rPr>
            <w:rStyle w:val="Hyperlink"/>
            <w:rtl/>
          </w:rPr>
          <w:t xml:space="preserve"> (</w:t>
        </w:r>
        <w:r w:rsidR="00B818E8" w:rsidRPr="00B818E8">
          <w:rPr>
            <w:rStyle w:val="Hyperlink"/>
            <w:rFonts w:hint="eastAsia"/>
            <w:rtl/>
          </w:rPr>
          <w:t>ת</w:t>
        </w:r>
        <w:r w:rsidR="00B818E8" w:rsidRPr="00B818E8">
          <w:rPr>
            <w:rStyle w:val="Hyperlink"/>
            <w:rtl/>
          </w:rPr>
          <w:t>"</w:t>
        </w:r>
        <w:r w:rsidR="00B818E8" w:rsidRPr="00B818E8">
          <w:rPr>
            <w:rStyle w:val="Hyperlink"/>
            <w:rFonts w:hint="eastAsia"/>
            <w:rtl/>
          </w:rPr>
          <w:t>א</w:t>
        </w:r>
        <w:r w:rsidR="00B818E8" w:rsidRPr="00B818E8">
          <w:rPr>
            <w:rStyle w:val="Hyperlink"/>
            <w:rtl/>
          </w:rPr>
          <w:t>) 4140/99</w:t>
        </w:r>
      </w:hyperlink>
      <w:r>
        <w:rPr>
          <w:rtl/>
        </w:rPr>
        <w:t xml:space="preserve"> </w:t>
      </w:r>
      <w:r>
        <w:rPr>
          <w:b/>
          <w:bCs/>
          <w:rtl/>
        </w:rPr>
        <w:t>מ"י נ' ארווס יפה</w:t>
      </w:r>
      <w:r>
        <w:rPr>
          <w:rtl/>
        </w:rPr>
        <w:t xml:space="preserve"> מיום 8.4.02 שהמאשימה צירפה לסיכומיה, ציוותה קשישה, ערירית, את ביתה לנאשמת המטפלת, שהשיבה לה רעה תחת טובה, משכה את הקשישה בכח, צבטה אותה והותירה על גופה </w:t>
      </w:r>
      <w:r>
        <w:rPr>
          <w:u w:val="single"/>
          <w:rtl/>
        </w:rPr>
        <w:t>סימני חבלה של ממש</w:t>
      </w:r>
      <w:r>
        <w:rPr>
          <w:rtl/>
        </w:rPr>
        <w:t>, עד כדי כך שהדבר עורר את חשדם של גורמי הרווחה. בענייננו מדובר בחבלות פחות חמורות ולא של ממש, אלא בנסיבות מחמירות.</w:t>
      </w:r>
    </w:p>
    <w:p w14:paraId="613AFD04" w14:textId="77777777" w:rsidR="00B820A6" w:rsidRDefault="00B820A6">
      <w:pPr>
        <w:tabs>
          <w:tab w:val="left" w:pos="-58"/>
        </w:tabs>
        <w:spacing w:line="360" w:lineRule="auto"/>
        <w:ind w:left="186" w:hanging="708"/>
        <w:jc w:val="both"/>
        <w:rPr>
          <w:sz w:val="16"/>
          <w:szCs w:val="16"/>
        </w:rPr>
      </w:pPr>
    </w:p>
    <w:p w14:paraId="2F0975FE" w14:textId="77777777" w:rsidR="00B820A6" w:rsidRDefault="00594FCA">
      <w:pPr>
        <w:tabs>
          <w:tab w:val="left" w:pos="-58"/>
        </w:tabs>
        <w:spacing w:line="360" w:lineRule="auto"/>
        <w:ind w:left="186" w:hanging="708"/>
        <w:jc w:val="both"/>
      </w:pPr>
      <w:r>
        <w:rPr>
          <w:rtl/>
        </w:rPr>
        <w:tab/>
      </w:r>
      <w:r>
        <w:rPr>
          <w:rtl/>
        </w:rPr>
        <w:tab/>
        <w:t xml:space="preserve">כך גם בתפ (נצ') </w:t>
      </w:r>
      <w:r>
        <w:rPr>
          <w:b/>
          <w:bCs/>
          <w:rtl/>
        </w:rPr>
        <w:t xml:space="preserve">מ"י נ' </w:t>
      </w:r>
      <w:hyperlink r:id="rId50" w:history="1">
        <w:r w:rsidR="00B462B0" w:rsidRPr="00B462B0">
          <w:rPr>
            <w:rFonts w:hint="eastAsia"/>
            <w:b/>
            <w:bCs/>
            <w:color w:val="0000FF"/>
            <w:u w:val="single"/>
            <w:rtl/>
          </w:rPr>
          <w:t>טאטור</w:t>
        </w:r>
        <w:r w:rsidR="00B462B0" w:rsidRPr="00B462B0">
          <w:rPr>
            <w:b/>
            <w:bCs/>
            <w:color w:val="0000FF"/>
            <w:u w:val="single"/>
            <w:rtl/>
          </w:rPr>
          <w:t xml:space="preserve"> </w:t>
        </w:r>
        <w:r w:rsidR="00B462B0" w:rsidRPr="00B462B0">
          <w:rPr>
            <w:rFonts w:hint="eastAsia"/>
            <w:b/>
            <w:bCs/>
            <w:color w:val="0000FF"/>
            <w:u w:val="single"/>
            <w:rtl/>
          </w:rPr>
          <w:t>אחמד</w:t>
        </w:r>
      </w:hyperlink>
      <w:r>
        <w:rPr>
          <w:rtl/>
        </w:rPr>
        <w:t xml:space="preserve">, בו מדובר בעבירת תקיפת קטין בן 15, הנאשם חבט במתלונן באגרופיו, הפילו לרצפה ובעט בו ברגליו ובכל חלקי גופו, והוגשה תעודה רפואית ממנה עלה כי למתלונן נגרמו חבלות של ממש: נפיחות קלה בכתף שמאל עם רגישות במישוש ורגישות במישוש ירך שמאל, שלא כבענייננו. </w:t>
      </w:r>
    </w:p>
    <w:p w14:paraId="19006E90" w14:textId="77777777" w:rsidR="00B820A6" w:rsidRDefault="00B820A6">
      <w:pPr>
        <w:spacing w:line="360" w:lineRule="auto"/>
        <w:ind w:left="186" w:right="-284" w:hanging="708"/>
        <w:jc w:val="both"/>
        <w:rPr>
          <w:rStyle w:val="ArialFrankRuehl14"/>
          <w:sz w:val="28"/>
          <w:rtl/>
        </w:rPr>
      </w:pPr>
    </w:p>
    <w:p w14:paraId="409E4342" w14:textId="77777777" w:rsidR="00B820A6" w:rsidRDefault="00594FCA">
      <w:pPr>
        <w:spacing w:line="360" w:lineRule="auto"/>
        <w:ind w:left="186" w:right="-142" w:hanging="992"/>
        <w:jc w:val="both"/>
        <w:rPr>
          <w:rStyle w:val="ArialFrankRuehl14"/>
          <w:b/>
          <w:bCs/>
          <w:sz w:val="28"/>
          <w:rtl/>
        </w:rPr>
      </w:pPr>
      <w:r>
        <w:rPr>
          <w:rStyle w:val="ArialFrankRuehl14"/>
          <w:sz w:val="28"/>
          <w:rtl/>
        </w:rPr>
        <w:t>19.</w:t>
      </w:r>
      <w:r>
        <w:rPr>
          <w:rStyle w:val="ArialFrankRuehl14"/>
          <w:sz w:val="28"/>
          <w:rtl/>
        </w:rPr>
        <w:tab/>
      </w:r>
      <w:r>
        <w:rPr>
          <w:rStyle w:val="ArialFrankRuehl14"/>
          <w:b/>
          <w:bCs/>
          <w:sz w:val="28"/>
          <w:rtl/>
        </w:rPr>
        <w:t xml:space="preserve">אשר על כן, ולאור כל האמור לעיל, אני מרשיעה את הנאשמת בעבירה של תקיפה בנסיבות מחמירות לפי </w:t>
      </w:r>
      <w:hyperlink r:id="rId51" w:history="1">
        <w:r w:rsidR="009837D0" w:rsidRPr="009837D0">
          <w:rPr>
            <w:rStyle w:val="ArialFrankRuehl14"/>
            <w:b/>
            <w:bCs/>
            <w:color w:val="0000FF"/>
            <w:sz w:val="28"/>
            <w:u w:val="single"/>
            <w:rtl/>
          </w:rPr>
          <w:t>סעיף 379</w:t>
        </w:r>
      </w:hyperlink>
      <w:r>
        <w:rPr>
          <w:rStyle w:val="ArialFrankRuehl14"/>
          <w:b/>
          <w:bCs/>
          <w:sz w:val="28"/>
          <w:rtl/>
        </w:rPr>
        <w:t xml:space="preserve"> בנסיבו</w:t>
      </w:r>
      <w:r w:rsidR="009837D0">
        <w:rPr>
          <w:rStyle w:val="ArialFrankRuehl14"/>
          <w:b/>
          <w:bCs/>
          <w:sz w:val="28"/>
          <w:rtl/>
        </w:rPr>
        <w:t xml:space="preserve">ת סעיף </w:t>
      </w:r>
      <w:hyperlink r:id="rId52" w:history="1">
        <w:r w:rsidR="009837D0" w:rsidRPr="009837D0">
          <w:rPr>
            <w:rStyle w:val="ArialFrankRuehl14"/>
            <w:b/>
            <w:bCs/>
            <w:color w:val="0000FF"/>
            <w:sz w:val="28"/>
            <w:u w:val="single"/>
            <w:rtl/>
          </w:rPr>
          <w:t>382(ב)(2)</w:t>
        </w:r>
      </w:hyperlink>
      <w:r>
        <w:rPr>
          <w:rStyle w:val="ArialFrankRuehl14"/>
          <w:b/>
          <w:bCs/>
          <w:sz w:val="28"/>
          <w:rtl/>
        </w:rPr>
        <w:t xml:space="preserve"> ל</w:t>
      </w:r>
      <w:hyperlink r:id="rId53" w:history="1">
        <w:r w:rsidR="00B818E8" w:rsidRPr="00B818E8">
          <w:rPr>
            <w:rStyle w:val="Hyperlink"/>
            <w:rFonts w:ascii="Arial" w:hAnsi="Arial"/>
            <w:b/>
            <w:bCs/>
            <w:sz w:val="28"/>
            <w:rtl/>
          </w:rPr>
          <w:t>חוק העונשין</w:t>
        </w:r>
      </w:hyperlink>
      <w:r>
        <w:rPr>
          <w:rStyle w:val="ArialFrankRuehl14"/>
          <w:b/>
          <w:bCs/>
          <w:sz w:val="28"/>
          <w:rtl/>
        </w:rPr>
        <w:t xml:space="preserve"> תשל"ז – 1977. </w:t>
      </w:r>
    </w:p>
    <w:p w14:paraId="1287169E" w14:textId="77777777" w:rsidR="00B820A6" w:rsidRDefault="00B820A6">
      <w:pPr>
        <w:spacing w:line="360" w:lineRule="auto"/>
        <w:ind w:left="720" w:right="-284" w:hanging="720"/>
        <w:jc w:val="both"/>
        <w:rPr>
          <w:rStyle w:val="ArialFrankRuehl14"/>
          <w:sz w:val="28"/>
          <w:rtl/>
        </w:rPr>
      </w:pPr>
    </w:p>
    <w:p w14:paraId="637B647E" w14:textId="77777777" w:rsidR="00B820A6" w:rsidRDefault="00B820A6">
      <w:pPr>
        <w:bidi w:val="0"/>
        <w:rPr>
          <w:rStyle w:val="ArialFrankRuehl14"/>
          <w:sz w:val="28"/>
        </w:rPr>
      </w:pPr>
    </w:p>
    <w:p w14:paraId="0FCB1F5A" w14:textId="77777777" w:rsidR="00B820A6" w:rsidRDefault="00B820A6">
      <w:pPr>
        <w:spacing w:line="360" w:lineRule="auto"/>
        <w:ind w:left="720" w:right="-284" w:hanging="720"/>
        <w:jc w:val="both"/>
        <w:rPr>
          <w:rStyle w:val="ArialFrankRuehl14"/>
          <w:sz w:val="28"/>
          <w:rtl/>
        </w:rPr>
      </w:pPr>
    </w:p>
    <w:p w14:paraId="7E7E708C" w14:textId="77777777" w:rsidR="00B820A6" w:rsidRDefault="00594FCA">
      <w:pPr>
        <w:spacing w:line="360" w:lineRule="auto"/>
        <w:ind w:left="45" w:hanging="45"/>
        <w:jc w:val="both"/>
        <w:rPr>
          <w:rStyle w:val="ArialFrankRuehl14"/>
          <w:b/>
          <w:bCs/>
          <w:sz w:val="28"/>
          <w:rtl/>
        </w:rPr>
      </w:pPr>
      <w:r>
        <w:rPr>
          <w:rStyle w:val="ArialFrankRuehl14"/>
          <w:b/>
          <w:bCs/>
          <w:sz w:val="28"/>
          <w:rtl/>
        </w:rPr>
        <w:t xml:space="preserve"> ניתנה היום, ח' כסלו תשע"ד (11.11.13), בנוכחות ב"כ המאשימה, הגב' טל מושקוביץ - </w:t>
      </w:r>
      <w:r>
        <w:rPr>
          <w:rStyle w:val="ArialFrankRuehl14"/>
          <w:rFonts w:hint="cs"/>
          <w:b/>
          <w:bCs/>
          <w:sz w:val="28"/>
          <w:rtl/>
        </w:rPr>
        <w:t>מתמחה,</w:t>
      </w:r>
      <w:r>
        <w:rPr>
          <w:rStyle w:val="ArialFrankRuehl14"/>
          <w:b/>
          <w:bCs/>
          <w:sz w:val="28"/>
          <w:rtl/>
        </w:rPr>
        <w:t xml:space="preserve"> הנאשמת וב"כ עו"ד מיכאל הורוביץ.</w:t>
      </w:r>
    </w:p>
    <w:p w14:paraId="53B0952F" w14:textId="77777777" w:rsidR="00B820A6" w:rsidRDefault="00B820A6">
      <w:pPr>
        <w:spacing w:line="360" w:lineRule="auto"/>
        <w:ind w:left="45" w:right="-142" w:hanging="45"/>
        <w:jc w:val="both"/>
        <w:rPr>
          <w:rStyle w:val="ArialFrankRuehl14"/>
          <w:b/>
          <w:bCs/>
          <w:sz w:val="28"/>
          <w:rtl/>
        </w:rPr>
      </w:pPr>
    </w:p>
    <w:p w14:paraId="3857FC53" w14:textId="77777777" w:rsidR="00B820A6" w:rsidRDefault="00B820A6">
      <w:pPr>
        <w:spacing w:line="360" w:lineRule="auto"/>
        <w:ind w:left="45" w:right="-142" w:hanging="45"/>
        <w:jc w:val="both"/>
        <w:rPr>
          <w:rStyle w:val="ArialFrankRuehl14"/>
          <w:b/>
          <w:bCs/>
          <w:sz w:val="28"/>
          <w:rtl/>
        </w:rPr>
      </w:pPr>
    </w:p>
    <w:p w14:paraId="2277C43C" w14:textId="77777777" w:rsidR="00B820A6" w:rsidRDefault="00594FCA">
      <w:pPr>
        <w:spacing w:line="360" w:lineRule="auto"/>
        <w:ind w:left="45" w:hanging="45"/>
        <w:jc w:val="right"/>
        <w:rPr>
          <w:rStyle w:val="ArialFrankRuehl14"/>
          <w:b/>
          <w:bCs/>
          <w:sz w:val="28"/>
          <w:rtl/>
        </w:rPr>
      </w:pPr>
      <w:r>
        <w:rPr>
          <w:rStyle w:val="ArialFrankRuehl14"/>
          <w:rFonts w:hint="cs"/>
          <w:b/>
          <w:bCs/>
          <w:sz w:val="28"/>
          <w:rtl/>
        </w:rPr>
        <w:t>_____________________</w:t>
      </w:r>
    </w:p>
    <w:p w14:paraId="67B00198" w14:textId="77777777" w:rsidR="00B820A6" w:rsidRDefault="00594FCA">
      <w:pPr>
        <w:spacing w:line="360" w:lineRule="auto"/>
        <w:ind w:left="5805"/>
        <w:jc w:val="center"/>
        <w:rPr>
          <w:rStyle w:val="ArialFrankRuehl14"/>
          <w:b/>
          <w:bCs/>
          <w:sz w:val="28"/>
          <w:rtl/>
        </w:rPr>
      </w:pPr>
      <w:r w:rsidRPr="00594FCA">
        <w:rPr>
          <w:rStyle w:val="ArialFrankRuehl14"/>
          <w:b/>
          <w:bCs/>
          <w:color w:val="FFFFFF"/>
          <w:sz w:val="2"/>
          <w:szCs w:val="2"/>
          <w:rtl/>
        </w:rPr>
        <w:t>5129371</w:t>
      </w:r>
      <w:r>
        <w:rPr>
          <w:rStyle w:val="ArialFrankRuehl14"/>
          <w:rFonts w:hint="cs"/>
          <w:b/>
          <w:bCs/>
          <w:sz w:val="28"/>
          <w:rtl/>
        </w:rPr>
        <w:t>אילתה זיסקינד, שופטת</w:t>
      </w:r>
    </w:p>
    <w:p w14:paraId="663A0F37" w14:textId="77777777" w:rsidR="00B820A6" w:rsidRPr="00594FCA" w:rsidRDefault="00594FCA">
      <w:pPr>
        <w:jc w:val="both"/>
        <w:rPr>
          <w:rFonts w:ascii="Arial" w:hAnsi="Arial" w:cs="FrankRuehl"/>
          <w:color w:val="FFFFFF"/>
          <w:sz w:val="2"/>
          <w:szCs w:val="2"/>
          <w:rtl/>
        </w:rPr>
      </w:pPr>
      <w:r w:rsidRPr="00594FCA">
        <w:rPr>
          <w:rFonts w:ascii="Arial" w:hAnsi="Arial" w:cs="FrankRuehl"/>
          <w:color w:val="FFFFFF"/>
          <w:sz w:val="2"/>
          <w:szCs w:val="2"/>
          <w:rtl/>
        </w:rPr>
        <w:t>54678313</w:t>
      </w:r>
    </w:p>
    <w:p w14:paraId="5C669981" w14:textId="77777777" w:rsidR="00B820A6" w:rsidRDefault="00B820A6">
      <w:pPr>
        <w:jc w:val="both"/>
        <w:rPr>
          <w:rFonts w:ascii="Arial" w:hAnsi="Arial" w:cs="FrankRuehl"/>
          <w:sz w:val="28"/>
          <w:szCs w:val="28"/>
          <w:rtl/>
        </w:rPr>
      </w:pPr>
    </w:p>
    <w:p w14:paraId="671BD29C" w14:textId="77777777" w:rsidR="00B820A6" w:rsidRDefault="00B820A6">
      <w:pPr>
        <w:jc w:val="both"/>
        <w:rPr>
          <w:rFonts w:ascii="Arial" w:hAnsi="Arial" w:cs="FrankRuehl"/>
          <w:sz w:val="28"/>
          <w:szCs w:val="28"/>
          <w:rtl/>
        </w:rPr>
      </w:pPr>
    </w:p>
    <w:p w14:paraId="316BA854" w14:textId="77777777" w:rsidR="00B820A6" w:rsidRDefault="00B820A6">
      <w:pPr>
        <w:jc w:val="both"/>
        <w:rPr>
          <w:rFonts w:ascii="Arial" w:hAnsi="Arial" w:cs="FrankRuehl"/>
          <w:sz w:val="28"/>
          <w:szCs w:val="28"/>
          <w:rtl/>
        </w:rPr>
      </w:pPr>
    </w:p>
    <w:p w14:paraId="0A256973" w14:textId="77777777" w:rsidR="00B820A6" w:rsidRPr="009C2734" w:rsidRDefault="009C2734">
      <w:pPr>
        <w:tabs>
          <w:tab w:val="left" w:pos="1625"/>
        </w:tabs>
        <w:jc w:val="both"/>
        <w:rPr>
          <w:rFonts w:cs="FrankRuehl"/>
          <w:color w:val="FFFFFF"/>
          <w:sz w:val="2"/>
          <w:szCs w:val="2"/>
          <w:rtl/>
        </w:rPr>
      </w:pPr>
      <w:r w:rsidRPr="009C2734">
        <w:rPr>
          <w:rFonts w:cs="FrankRuehl"/>
          <w:color w:val="FFFFFF"/>
          <w:sz w:val="2"/>
          <w:szCs w:val="2"/>
          <w:rtl/>
        </w:rPr>
        <w:t>5129371</w:t>
      </w:r>
    </w:p>
    <w:p w14:paraId="584B0677" w14:textId="77777777" w:rsidR="00594FCA" w:rsidRPr="009C2734" w:rsidRDefault="009C2734" w:rsidP="00594FCA">
      <w:pPr>
        <w:keepNext/>
        <w:rPr>
          <w:rFonts w:ascii="David" w:hAnsi="David"/>
          <w:color w:val="FFFFFF"/>
          <w:sz w:val="2"/>
          <w:szCs w:val="2"/>
          <w:rtl/>
        </w:rPr>
      </w:pPr>
      <w:r w:rsidRPr="009C2734">
        <w:rPr>
          <w:rFonts w:ascii="David" w:hAnsi="David"/>
          <w:color w:val="FFFFFF"/>
          <w:sz w:val="2"/>
          <w:szCs w:val="2"/>
          <w:rtl/>
        </w:rPr>
        <w:t>54678313</w:t>
      </w:r>
    </w:p>
    <w:p w14:paraId="5143EB15" w14:textId="77777777" w:rsidR="00594FCA" w:rsidRDefault="00594FCA" w:rsidP="00594FCA">
      <w:pPr>
        <w:rPr>
          <w:rtl/>
        </w:rPr>
      </w:pPr>
    </w:p>
    <w:p w14:paraId="359E5507" w14:textId="77777777" w:rsidR="00594FCA" w:rsidRDefault="00594FCA" w:rsidP="00594FCA">
      <w:pPr>
        <w:jc w:val="center"/>
        <w:rPr>
          <w:color w:val="0000FF"/>
          <w:u w:val="single"/>
        </w:rPr>
      </w:pPr>
      <w:r w:rsidRPr="00891D2F">
        <w:rPr>
          <w:rFonts w:hint="eastAsia"/>
          <w:color w:val="000000"/>
          <w:rtl/>
        </w:rPr>
        <w:t>בעניין</w:t>
      </w:r>
      <w:r w:rsidRPr="00891D2F">
        <w:rPr>
          <w:color w:val="000000"/>
          <w:rtl/>
        </w:rPr>
        <w:t xml:space="preserve"> </w:t>
      </w:r>
      <w:r w:rsidRPr="00891D2F">
        <w:rPr>
          <w:rFonts w:hint="eastAsia"/>
          <w:color w:val="000000"/>
          <w:rtl/>
        </w:rPr>
        <w:t>עריכה</w:t>
      </w:r>
      <w:r w:rsidRPr="00891D2F">
        <w:rPr>
          <w:color w:val="000000"/>
          <w:rtl/>
        </w:rPr>
        <w:t xml:space="preserve"> </w:t>
      </w:r>
      <w:r w:rsidRPr="00891D2F">
        <w:rPr>
          <w:rFonts w:hint="eastAsia"/>
          <w:color w:val="000000"/>
          <w:rtl/>
        </w:rPr>
        <w:t>ושינויים</w:t>
      </w:r>
      <w:r w:rsidRPr="00891D2F">
        <w:rPr>
          <w:color w:val="000000"/>
          <w:rtl/>
        </w:rPr>
        <w:t xml:space="preserve"> </w:t>
      </w:r>
      <w:r w:rsidRPr="00891D2F">
        <w:rPr>
          <w:rFonts w:hint="eastAsia"/>
          <w:color w:val="000000"/>
          <w:rtl/>
        </w:rPr>
        <w:t>במסמכי</w:t>
      </w:r>
      <w:r w:rsidRPr="00891D2F">
        <w:rPr>
          <w:color w:val="000000"/>
          <w:rtl/>
        </w:rPr>
        <w:t xml:space="preserve"> </w:t>
      </w:r>
      <w:r w:rsidRPr="00891D2F">
        <w:rPr>
          <w:rFonts w:hint="eastAsia"/>
          <w:color w:val="000000"/>
          <w:rtl/>
        </w:rPr>
        <w:t>פסיקה</w:t>
      </w:r>
      <w:r w:rsidRPr="00891D2F">
        <w:rPr>
          <w:color w:val="000000"/>
          <w:rtl/>
        </w:rPr>
        <w:t xml:space="preserve">, </w:t>
      </w:r>
      <w:r w:rsidRPr="00891D2F">
        <w:rPr>
          <w:rFonts w:hint="eastAsia"/>
          <w:color w:val="000000"/>
          <w:rtl/>
        </w:rPr>
        <w:t>חקיקה</w:t>
      </w:r>
      <w:r w:rsidRPr="00891D2F">
        <w:rPr>
          <w:color w:val="000000"/>
          <w:rtl/>
        </w:rPr>
        <w:t xml:space="preserve"> </w:t>
      </w:r>
      <w:r w:rsidRPr="00891D2F">
        <w:rPr>
          <w:rFonts w:hint="eastAsia"/>
          <w:color w:val="000000"/>
          <w:rtl/>
        </w:rPr>
        <w:t>ועוד</w:t>
      </w:r>
      <w:r w:rsidRPr="00891D2F">
        <w:rPr>
          <w:color w:val="000000"/>
          <w:rtl/>
        </w:rPr>
        <w:t xml:space="preserve"> </w:t>
      </w:r>
      <w:r w:rsidRPr="00891D2F">
        <w:rPr>
          <w:rFonts w:hint="eastAsia"/>
          <w:color w:val="000000"/>
          <w:rtl/>
        </w:rPr>
        <w:t>באתר</w:t>
      </w:r>
      <w:r w:rsidRPr="00891D2F">
        <w:rPr>
          <w:color w:val="000000"/>
          <w:rtl/>
        </w:rPr>
        <w:t xml:space="preserve"> </w:t>
      </w:r>
      <w:r w:rsidRPr="00891D2F">
        <w:rPr>
          <w:rFonts w:hint="eastAsia"/>
          <w:color w:val="000000"/>
          <w:rtl/>
        </w:rPr>
        <w:t>נבו</w:t>
      </w:r>
      <w:r w:rsidRPr="00891D2F">
        <w:rPr>
          <w:color w:val="000000"/>
          <w:rtl/>
        </w:rPr>
        <w:t xml:space="preserve"> – </w:t>
      </w:r>
      <w:r w:rsidRPr="00891D2F">
        <w:rPr>
          <w:rFonts w:hint="eastAsia"/>
          <w:color w:val="000000"/>
          <w:rtl/>
        </w:rPr>
        <w:t>הקש</w:t>
      </w:r>
      <w:r w:rsidRPr="00891D2F">
        <w:rPr>
          <w:color w:val="000000"/>
          <w:rtl/>
        </w:rPr>
        <w:t xml:space="preserve"> </w:t>
      </w:r>
      <w:r w:rsidRPr="00891D2F">
        <w:rPr>
          <w:rFonts w:hint="eastAsia"/>
          <w:color w:val="000000"/>
          <w:rtl/>
        </w:rPr>
        <w:t>כאן</w:t>
      </w:r>
    </w:p>
    <w:p w14:paraId="1630C390" w14:textId="77777777" w:rsidR="009C2734" w:rsidRPr="009C2734" w:rsidRDefault="009C2734" w:rsidP="009C2734">
      <w:pPr>
        <w:keepNext/>
        <w:rPr>
          <w:rFonts w:ascii="David" w:hAnsi="David"/>
          <w:color w:val="000000"/>
          <w:sz w:val="22"/>
          <w:szCs w:val="22"/>
          <w:rtl/>
        </w:rPr>
      </w:pPr>
    </w:p>
    <w:p w14:paraId="67CB32DE" w14:textId="77777777" w:rsidR="009C2734" w:rsidRPr="009C2734" w:rsidRDefault="009C2734" w:rsidP="009C2734">
      <w:pPr>
        <w:keepNext/>
        <w:rPr>
          <w:rFonts w:ascii="David" w:hAnsi="David"/>
          <w:color w:val="000000"/>
          <w:sz w:val="22"/>
          <w:szCs w:val="22"/>
          <w:rtl/>
        </w:rPr>
      </w:pPr>
      <w:r w:rsidRPr="009C2734">
        <w:rPr>
          <w:rFonts w:ascii="David" w:hAnsi="David" w:hint="eastAsia"/>
          <w:color w:val="000000"/>
          <w:sz w:val="22"/>
          <w:szCs w:val="22"/>
          <w:rtl/>
        </w:rPr>
        <w:t>אילתה</w:t>
      </w:r>
      <w:r w:rsidRPr="009C2734">
        <w:rPr>
          <w:rFonts w:ascii="David" w:hAnsi="David"/>
          <w:color w:val="000000"/>
          <w:sz w:val="22"/>
          <w:szCs w:val="22"/>
          <w:rtl/>
        </w:rPr>
        <w:t xml:space="preserve"> </w:t>
      </w:r>
      <w:r w:rsidRPr="009C2734">
        <w:rPr>
          <w:rFonts w:ascii="David" w:hAnsi="David" w:hint="eastAsia"/>
          <w:color w:val="000000"/>
          <w:sz w:val="22"/>
          <w:szCs w:val="22"/>
          <w:rtl/>
        </w:rPr>
        <w:t>זיסקינד</w:t>
      </w:r>
      <w:r w:rsidRPr="009C2734">
        <w:rPr>
          <w:rFonts w:ascii="David" w:hAnsi="David"/>
          <w:color w:val="000000"/>
          <w:sz w:val="22"/>
          <w:szCs w:val="22"/>
          <w:rtl/>
        </w:rPr>
        <w:t xml:space="preserve"> 54678313-/</w:t>
      </w:r>
    </w:p>
    <w:p w14:paraId="796B5A64" w14:textId="77777777" w:rsidR="00B820A6" w:rsidRPr="00594FCA" w:rsidRDefault="009C2734" w:rsidP="009C2734">
      <w:pPr>
        <w:rPr>
          <w:color w:val="0000FF"/>
          <w:u w:val="single"/>
        </w:rPr>
      </w:pPr>
      <w:r w:rsidRPr="009C2734">
        <w:rPr>
          <w:rFonts w:hint="eastAsia"/>
          <w:color w:val="000000"/>
          <w:u w:val="single"/>
          <w:rtl/>
        </w:rPr>
        <w:t>נוסח</w:t>
      </w:r>
      <w:r w:rsidRPr="009C2734">
        <w:rPr>
          <w:color w:val="000000"/>
          <w:u w:val="single"/>
          <w:rtl/>
        </w:rPr>
        <w:t xml:space="preserve"> </w:t>
      </w:r>
      <w:r w:rsidRPr="009C2734">
        <w:rPr>
          <w:rFonts w:hint="eastAsia"/>
          <w:color w:val="000000"/>
          <w:u w:val="single"/>
          <w:rtl/>
        </w:rPr>
        <w:t>מסמך</w:t>
      </w:r>
      <w:r w:rsidRPr="009C2734">
        <w:rPr>
          <w:color w:val="000000"/>
          <w:u w:val="single"/>
          <w:rtl/>
        </w:rPr>
        <w:t xml:space="preserve"> </w:t>
      </w:r>
      <w:r w:rsidRPr="009C2734">
        <w:rPr>
          <w:rFonts w:hint="eastAsia"/>
          <w:color w:val="000000"/>
          <w:u w:val="single"/>
          <w:rtl/>
        </w:rPr>
        <w:t>זה</w:t>
      </w:r>
      <w:r w:rsidRPr="009C2734">
        <w:rPr>
          <w:color w:val="000000"/>
          <w:u w:val="single"/>
          <w:rtl/>
        </w:rPr>
        <w:t xml:space="preserve"> </w:t>
      </w:r>
      <w:r w:rsidRPr="009C2734">
        <w:rPr>
          <w:rFonts w:hint="eastAsia"/>
          <w:color w:val="000000"/>
          <w:u w:val="single"/>
          <w:rtl/>
        </w:rPr>
        <w:t>כפוף</w:t>
      </w:r>
      <w:r w:rsidRPr="009C2734">
        <w:rPr>
          <w:color w:val="000000"/>
          <w:u w:val="single"/>
          <w:rtl/>
        </w:rPr>
        <w:t xml:space="preserve"> </w:t>
      </w:r>
      <w:r w:rsidRPr="009C2734">
        <w:rPr>
          <w:rFonts w:hint="eastAsia"/>
          <w:color w:val="000000"/>
          <w:u w:val="single"/>
          <w:rtl/>
        </w:rPr>
        <w:t>לשינויי</w:t>
      </w:r>
      <w:r w:rsidRPr="009C2734">
        <w:rPr>
          <w:color w:val="000000"/>
          <w:u w:val="single"/>
          <w:rtl/>
        </w:rPr>
        <w:t xml:space="preserve"> </w:t>
      </w:r>
      <w:r w:rsidRPr="009C2734">
        <w:rPr>
          <w:rFonts w:hint="eastAsia"/>
          <w:color w:val="000000"/>
          <w:u w:val="single"/>
          <w:rtl/>
        </w:rPr>
        <w:t>ניסוח</w:t>
      </w:r>
      <w:r w:rsidRPr="009C2734">
        <w:rPr>
          <w:color w:val="000000"/>
          <w:u w:val="single"/>
          <w:rtl/>
        </w:rPr>
        <w:t xml:space="preserve"> </w:t>
      </w:r>
      <w:r w:rsidRPr="009C2734">
        <w:rPr>
          <w:rFonts w:hint="eastAsia"/>
          <w:color w:val="000000"/>
          <w:u w:val="single"/>
          <w:rtl/>
        </w:rPr>
        <w:t>ועריכה</w:t>
      </w:r>
    </w:p>
    <w:sectPr w:rsidR="00B820A6" w:rsidRPr="00594FCA" w:rsidSect="009C2734">
      <w:headerReference w:type="even" r:id="rId54"/>
      <w:headerReference w:type="default" r:id="rId55"/>
      <w:footerReference w:type="even" r:id="rId56"/>
      <w:footerReference w:type="default" r:id="rId57"/>
      <w:pgSz w:w="11907" w:h="16840" w:code="9"/>
      <w:pgMar w:top="1701" w:right="1797" w:bottom="1440" w:left="1797"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4A392" w14:textId="77777777" w:rsidR="00F94438" w:rsidRPr="003419DC" w:rsidRDefault="00F94438">
      <w:pPr>
        <w:rPr>
          <w:rFonts w:cs="Arial"/>
          <w:szCs w:val="20"/>
        </w:rPr>
      </w:pPr>
      <w:r>
        <w:separator/>
      </w:r>
    </w:p>
  </w:endnote>
  <w:endnote w:type="continuationSeparator" w:id="0">
    <w:p w14:paraId="0AA46631" w14:textId="77777777" w:rsidR="00F94438" w:rsidRPr="003419DC" w:rsidRDefault="00F9443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0B40" w14:textId="77777777" w:rsidR="00D538C5" w:rsidRDefault="00D538C5" w:rsidP="009C27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8AF3798" w14:textId="77777777" w:rsidR="00D538C5" w:rsidRPr="009C2734" w:rsidRDefault="00D538C5" w:rsidP="009C2734">
    <w:pPr>
      <w:pStyle w:val="Footer"/>
      <w:pBdr>
        <w:top w:val="single" w:sz="4" w:space="1" w:color="auto"/>
        <w:between w:val="single" w:sz="4" w:space="0" w:color="auto"/>
      </w:pBdr>
      <w:spacing w:after="60"/>
      <w:jc w:val="center"/>
      <w:rPr>
        <w:rFonts w:ascii="FrankRuehl" w:hAnsi="FrankRuehl" w:cs="FrankRuehl"/>
        <w:color w:val="000000"/>
      </w:rPr>
    </w:pPr>
    <w:r w:rsidRPr="009C27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9A860" w14:textId="77777777" w:rsidR="00D538C5" w:rsidRDefault="00D538C5" w:rsidP="009C273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271D3">
      <w:rPr>
        <w:rFonts w:ascii="FrankRuehl" w:hAnsi="FrankRuehl" w:cs="FrankRuehl"/>
        <w:noProof/>
        <w:rtl/>
      </w:rPr>
      <w:t>1</w:t>
    </w:r>
    <w:r>
      <w:rPr>
        <w:rFonts w:ascii="FrankRuehl" w:hAnsi="FrankRuehl" w:cs="FrankRuehl"/>
        <w:rtl/>
      </w:rPr>
      <w:fldChar w:fldCharType="end"/>
    </w:r>
  </w:p>
  <w:p w14:paraId="415D2B2A" w14:textId="77777777" w:rsidR="00D538C5" w:rsidRPr="009C2734" w:rsidRDefault="00D538C5" w:rsidP="009C2734">
    <w:pPr>
      <w:pStyle w:val="Footer"/>
      <w:pBdr>
        <w:top w:val="single" w:sz="4" w:space="1" w:color="auto"/>
        <w:between w:val="single" w:sz="4" w:space="0" w:color="auto"/>
      </w:pBdr>
      <w:spacing w:after="60"/>
      <w:jc w:val="center"/>
      <w:rPr>
        <w:rFonts w:ascii="FrankRuehl" w:hAnsi="FrankRuehl" w:cs="FrankRuehl"/>
        <w:color w:val="000000"/>
      </w:rPr>
    </w:pPr>
    <w:r w:rsidRPr="009C2734">
      <w:rPr>
        <w:rFonts w:ascii="FrankRuehl" w:hAnsi="FrankRuehl" w:cs="FrankRuehl"/>
        <w:color w:val="000000"/>
      </w:rPr>
      <w:pict w14:anchorId="4CDCB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B62D" w14:textId="77777777" w:rsidR="00F94438" w:rsidRPr="003419DC" w:rsidRDefault="00F94438">
      <w:pPr>
        <w:rPr>
          <w:rFonts w:cs="Arial"/>
          <w:szCs w:val="20"/>
        </w:rPr>
      </w:pPr>
      <w:r>
        <w:separator/>
      </w:r>
    </w:p>
  </w:footnote>
  <w:footnote w:type="continuationSeparator" w:id="0">
    <w:p w14:paraId="35300E60" w14:textId="77777777" w:rsidR="00F94438" w:rsidRPr="003419DC" w:rsidRDefault="00F9443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D8442" w14:textId="77777777" w:rsidR="00D538C5" w:rsidRPr="009C2734" w:rsidRDefault="00D538C5" w:rsidP="009C273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18370-11-11</w:t>
    </w:r>
    <w:r>
      <w:rPr>
        <w:rFonts w:ascii="David" w:hAnsi="David"/>
        <w:color w:val="000000"/>
        <w:sz w:val="22"/>
        <w:szCs w:val="22"/>
        <w:rtl/>
      </w:rPr>
      <w:tab/>
      <w:t xml:space="preserve"> מדינת ישראל נ' סבינה גורונג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63BB8" w14:textId="77777777" w:rsidR="00D538C5" w:rsidRPr="009C2734" w:rsidRDefault="00D538C5" w:rsidP="009C2734">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18370-11-11</w:t>
    </w:r>
    <w:r>
      <w:rPr>
        <w:rFonts w:ascii="David" w:hAnsi="David"/>
        <w:color w:val="000000"/>
        <w:sz w:val="22"/>
        <w:szCs w:val="22"/>
        <w:rtl/>
      </w:rPr>
      <w:tab/>
      <w:t xml:space="preserve"> מדינת ישראל נ' סבינה גורונג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75D"/>
    <w:multiLevelType w:val="hybridMultilevel"/>
    <w:tmpl w:val="87124FEE"/>
    <w:lvl w:ilvl="0" w:tplc="EBC6A8BA">
      <w:start w:val="2"/>
      <w:numFmt w:val="decimal"/>
      <w:lvlText w:val="%1."/>
      <w:lvlJc w:val="left"/>
      <w:pPr>
        <w:tabs>
          <w:tab w:val="num" w:pos="-122"/>
        </w:tabs>
        <w:ind w:left="-122" w:hanging="360"/>
      </w:pPr>
      <w:rPr>
        <w:rFonts w:cs="Times New Roman" w:hint="default"/>
      </w:rPr>
    </w:lvl>
    <w:lvl w:ilvl="1" w:tplc="21B2FF6E">
      <w:start w:val="11"/>
      <w:numFmt w:val="decimal"/>
      <w:lvlText w:val="%2."/>
      <w:lvlJc w:val="left"/>
      <w:pPr>
        <w:tabs>
          <w:tab w:val="num" w:pos="360"/>
        </w:tabs>
        <w:ind w:left="360" w:hanging="360"/>
      </w:pPr>
      <w:rPr>
        <w:rFonts w:cs="Times New Roman" w:hint="default"/>
      </w:rPr>
    </w:lvl>
    <w:lvl w:ilvl="2" w:tplc="870445E0">
      <w:start w:val="1"/>
      <w:numFmt w:val="decimal"/>
      <w:lvlText w:val="%3)"/>
      <w:lvlJc w:val="left"/>
      <w:pPr>
        <w:tabs>
          <w:tab w:val="num" w:pos="1068"/>
        </w:tabs>
        <w:ind w:left="1068" w:hanging="360"/>
      </w:pPr>
      <w:rPr>
        <w:rFonts w:cs="Times New Roman" w:hint="default"/>
        <w:b w:val="0"/>
        <w:bCs w:val="0"/>
      </w:rPr>
    </w:lvl>
    <w:lvl w:ilvl="3" w:tplc="04090013">
      <w:start w:val="1"/>
      <w:numFmt w:val="hebrew1"/>
      <w:lvlText w:val="%4."/>
      <w:lvlJc w:val="center"/>
      <w:pPr>
        <w:tabs>
          <w:tab w:val="num" w:pos="360"/>
        </w:tabs>
        <w:ind w:left="360" w:hanging="360"/>
      </w:pPr>
      <w:rPr>
        <w:rFonts w:cs="Times New Roman" w:hint="default"/>
        <w:szCs w:val="20"/>
      </w:rPr>
    </w:lvl>
    <w:lvl w:ilvl="4" w:tplc="04090019">
      <w:start w:val="1"/>
      <w:numFmt w:val="lowerLetter"/>
      <w:lvlText w:val="%5."/>
      <w:lvlJc w:val="left"/>
      <w:pPr>
        <w:tabs>
          <w:tab w:val="num" w:pos="2758"/>
        </w:tabs>
        <w:ind w:left="2758" w:hanging="360"/>
      </w:pPr>
      <w:rPr>
        <w:rFonts w:cs="Times New Roman"/>
      </w:rPr>
    </w:lvl>
    <w:lvl w:ilvl="5" w:tplc="0409001B" w:tentative="1">
      <w:start w:val="1"/>
      <w:numFmt w:val="lowerRoman"/>
      <w:lvlText w:val="%6."/>
      <w:lvlJc w:val="right"/>
      <w:pPr>
        <w:tabs>
          <w:tab w:val="num" w:pos="3478"/>
        </w:tabs>
        <w:ind w:left="3478" w:hanging="180"/>
      </w:pPr>
      <w:rPr>
        <w:rFonts w:cs="Times New Roman"/>
      </w:rPr>
    </w:lvl>
    <w:lvl w:ilvl="6" w:tplc="0409000F" w:tentative="1">
      <w:start w:val="1"/>
      <w:numFmt w:val="decimal"/>
      <w:lvlText w:val="%7."/>
      <w:lvlJc w:val="left"/>
      <w:pPr>
        <w:tabs>
          <w:tab w:val="num" w:pos="4198"/>
        </w:tabs>
        <w:ind w:left="4198" w:hanging="360"/>
      </w:pPr>
      <w:rPr>
        <w:rFonts w:cs="Times New Roman"/>
      </w:rPr>
    </w:lvl>
    <w:lvl w:ilvl="7" w:tplc="04090019" w:tentative="1">
      <w:start w:val="1"/>
      <w:numFmt w:val="lowerLetter"/>
      <w:lvlText w:val="%8."/>
      <w:lvlJc w:val="left"/>
      <w:pPr>
        <w:tabs>
          <w:tab w:val="num" w:pos="4918"/>
        </w:tabs>
        <w:ind w:left="4918" w:hanging="360"/>
      </w:pPr>
      <w:rPr>
        <w:rFonts w:cs="Times New Roman"/>
      </w:rPr>
    </w:lvl>
    <w:lvl w:ilvl="8" w:tplc="0409001B" w:tentative="1">
      <w:start w:val="1"/>
      <w:numFmt w:val="lowerRoman"/>
      <w:lvlText w:val="%9."/>
      <w:lvlJc w:val="right"/>
      <w:pPr>
        <w:tabs>
          <w:tab w:val="num" w:pos="5638"/>
        </w:tabs>
        <w:ind w:left="5638" w:hanging="180"/>
      </w:pPr>
      <w:rPr>
        <w:rFonts w:cs="Times New Roman"/>
      </w:rPr>
    </w:lvl>
  </w:abstractNum>
  <w:abstractNum w:abstractNumId="1" w15:restartNumberingAfterBreak="0">
    <w:nsid w:val="14924F20"/>
    <w:multiLevelType w:val="hybridMultilevel"/>
    <w:tmpl w:val="25F23A3E"/>
    <w:lvl w:ilvl="0" w:tplc="BEF6569C">
      <w:start w:val="2"/>
      <w:numFmt w:val="hebrew1"/>
      <w:lvlText w:val="%1."/>
      <w:lvlJc w:val="left"/>
      <w:pPr>
        <w:tabs>
          <w:tab w:val="num" w:pos="360"/>
        </w:tabs>
        <w:ind w:left="360" w:hanging="360"/>
      </w:pPr>
      <w:rPr>
        <w:rFonts w:cs="David" w:hint="default"/>
        <w:sz w:val="24"/>
        <w:szCs w:val="24"/>
        <w:u w:val="none"/>
      </w:rPr>
    </w:lvl>
    <w:lvl w:ilvl="1" w:tplc="0409000F">
      <w:start w:val="1"/>
      <w:numFmt w:val="decimal"/>
      <w:lvlText w:val="%2."/>
      <w:lvlJc w:val="left"/>
      <w:pPr>
        <w:tabs>
          <w:tab w:val="num" w:pos="699"/>
        </w:tabs>
        <w:ind w:left="699" w:hanging="360"/>
      </w:pPr>
      <w:rPr>
        <w:rFonts w:cs="Times New Roman" w:hint="default"/>
        <w:u w:val="none"/>
      </w:rPr>
    </w:lvl>
    <w:lvl w:ilvl="2" w:tplc="0409001B" w:tentative="1">
      <w:start w:val="1"/>
      <w:numFmt w:val="lowerRoman"/>
      <w:lvlText w:val="%3."/>
      <w:lvlJc w:val="right"/>
      <w:pPr>
        <w:tabs>
          <w:tab w:val="num" w:pos="1419"/>
        </w:tabs>
        <w:ind w:left="1419" w:hanging="180"/>
      </w:pPr>
      <w:rPr>
        <w:rFonts w:cs="Times New Roman"/>
      </w:rPr>
    </w:lvl>
    <w:lvl w:ilvl="3" w:tplc="0409000F">
      <w:start w:val="1"/>
      <w:numFmt w:val="decimal"/>
      <w:lvlText w:val="%4."/>
      <w:lvlJc w:val="left"/>
      <w:pPr>
        <w:tabs>
          <w:tab w:val="num" w:pos="2139"/>
        </w:tabs>
        <w:ind w:left="2139" w:hanging="360"/>
      </w:pPr>
      <w:rPr>
        <w:rFonts w:cs="Times New Roman"/>
      </w:rPr>
    </w:lvl>
    <w:lvl w:ilvl="4" w:tplc="04090019" w:tentative="1">
      <w:start w:val="1"/>
      <w:numFmt w:val="lowerLetter"/>
      <w:lvlText w:val="%5."/>
      <w:lvlJc w:val="left"/>
      <w:pPr>
        <w:tabs>
          <w:tab w:val="num" w:pos="2859"/>
        </w:tabs>
        <w:ind w:left="2859" w:hanging="360"/>
      </w:pPr>
      <w:rPr>
        <w:rFonts w:cs="Times New Roman"/>
      </w:rPr>
    </w:lvl>
    <w:lvl w:ilvl="5" w:tplc="0409001B" w:tentative="1">
      <w:start w:val="1"/>
      <w:numFmt w:val="lowerRoman"/>
      <w:lvlText w:val="%6."/>
      <w:lvlJc w:val="right"/>
      <w:pPr>
        <w:tabs>
          <w:tab w:val="num" w:pos="3579"/>
        </w:tabs>
        <w:ind w:left="3579" w:hanging="180"/>
      </w:pPr>
      <w:rPr>
        <w:rFonts w:cs="Times New Roman"/>
      </w:rPr>
    </w:lvl>
    <w:lvl w:ilvl="6" w:tplc="0409000F" w:tentative="1">
      <w:start w:val="1"/>
      <w:numFmt w:val="decimal"/>
      <w:lvlText w:val="%7."/>
      <w:lvlJc w:val="left"/>
      <w:pPr>
        <w:tabs>
          <w:tab w:val="num" w:pos="4299"/>
        </w:tabs>
        <w:ind w:left="4299" w:hanging="360"/>
      </w:pPr>
      <w:rPr>
        <w:rFonts w:cs="Times New Roman"/>
      </w:rPr>
    </w:lvl>
    <w:lvl w:ilvl="7" w:tplc="04090019" w:tentative="1">
      <w:start w:val="1"/>
      <w:numFmt w:val="lowerLetter"/>
      <w:lvlText w:val="%8."/>
      <w:lvlJc w:val="left"/>
      <w:pPr>
        <w:tabs>
          <w:tab w:val="num" w:pos="5019"/>
        </w:tabs>
        <w:ind w:left="5019" w:hanging="360"/>
      </w:pPr>
      <w:rPr>
        <w:rFonts w:cs="Times New Roman"/>
      </w:rPr>
    </w:lvl>
    <w:lvl w:ilvl="8" w:tplc="0409001B" w:tentative="1">
      <w:start w:val="1"/>
      <w:numFmt w:val="lowerRoman"/>
      <w:lvlText w:val="%9."/>
      <w:lvlJc w:val="right"/>
      <w:pPr>
        <w:tabs>
          <w:tab w:val="num" w:pos="5739"/>
        </w:tabs>
        <w:ind w:left="5739" w:hanging="180"/>
      </w:pPr>
      <w:rPr>
        <w:rFonts w:cs="Times New Roman"/>
      </w:rPr>
    </w:lvl>
  </w:abstractNum>
  <w:abstractNum w:abstractNumId="2" w15:restartNumberingAfterBreak="0">
    <w:nsid w:val="23867BD4"/>
    <w:multiLevelType w:val="hybridMultilevel"/>
    <w:tmpl w:val="7452E2D6"/>
    <w:lvl w:ilvl="0" w:tplc="3FBC88B8">
      <w:start w:val="7"/>
      <w:numFmt w:val="hebrew1"/>
      <w:lvlText w:val="%1."/>
      <w:lvlJc w:val="center"/>
      <w:pPr>
        <w:ind w:left="15" w:hanging="360"/>
      </w:pPr>
      <w:rPr>
        <w:rFonts w:hint="default"/>
      </w:rPr>
    </w:lvl>
    <w:lvl w:ilvl="1" w:tplc="04090019" w:tentative="1">
      <w:start w:val="1"/>
      <w:numFmt w:val="lowerLetter"/>
      <w:lvlText w:val="%2."/>
      <w:lvlJc w:val="left"/>
      <w:pPr>
        <w:ind w:left="735" w:hanging="360"/>
      </w:pPr>
    </w:lvl>
    <w:lvl w:ilvl="2" w:tplc="0409001B" w:tentative="1">
      <w:start w:val="1"/>
      <w:numFmt w:val="lowerRoman"/>
      <w:lvlText w:val="%3."/>
      <w:lvlJc w:val="right"/>
      <w:pPr>
        <w:ind w:left="1455" w:hanging="180"/>
      </w:pPr>
    </w:lvl>
    <w:lvl w:ilvl="3" w:tplc="0409000F" w:tentative="1">
      <w:start w:val="1"/>
      <w:numFmt w:val="decimal"/>
      <w:lvlText w:val="%4."/>
      <w:lvlJc w:val="left"/>
      <w:pPr>
        <w:ind w:left="2175" w:hanging="360"/>
      </w:pPr>
    </w:lvl>
    <w:lvl w:ilvl="4" w:tplc="04090019" w:tentative="1">
      <w:start w:val="1"/>
      <w:numFmt w:val="lowerLetter"/>
      <w:lvlText w:val="%5."/>
      <w:lvlJc w:val="left"/>
      <w:pPr>
        <w:ind w:left="2895" w:hanging="360"/>
      </w:pPr>
    </w:lvl>
    <w:lvl w:ilvl="5" w:tplc="0409001B" w:tentative="1">
      <w:start w:val="1"/>
      <w:numFmt w:val="lowerRoman"/>
      <w:lvlText w:val="%6."/>
      <w:lvlJc w:val="right"/>
      <w:pPr>
        <w:ind w:left="3615" w:hanging="180"/>
      </w:pPr>
    </w:lvl>
    <w:lvl w:ilvl="6" w:tplc="0409000F" w:tentative="1">
      <w:start w:val="1"/>
      <w:numFmt w:val="decimal"/>
      <w:lvlText w:val="%7."/>
      <w:lvlJc w:val="left"/>
      <w:pPr>
        <w:ind w:left="4335" w:hanging="360"/>
      </w:pPr>
    </w:lvl>
    <w:lvl w:ilvl="7" w:tplc="04090019" w:tentative="1">
      <w:start w:val="1"/>
      <w:numFmt w:val="lowerLetter"/>
      <w:lvlText w:val="%8."/>
      <w:lvlJc w:val="left"/>
      <w:pPr>
        <w:ind w:left="5055" w:hanging="360"/>
      </w:pPr>
    </w:lvl>
    <w:lvl w:ilvl="8" w:tplc="0409001B" w:tentative="1">
      <w:start w:val="1"/>
      <w:numFmt w:val="lowerRoman"/>
      <w:lvlText w:val="%9."/>
      <w:lvlJc w:val="right"/>
      <w:pPr>
        <w:ind w:left="5775" w:hanging="180"/>
      </w:pPr>
    </w:lvl>
  </w:abstractNum>
  <w:abstractNum w:abstractNumId="3" w15:restartNumberingAfterBreak="0">
    <w:nsid w:val="7E3E7682"/>
    <w:multiLevelType w:val="hybridMultilevel"/>
    <w:tmpl w:val="02E2F036"/>
    <w:lvl w:ilvl="0" w:tplc="B5E45F24">
      <w:start w:val="6"/>
      <w:numFmt w:val="decimal"/>
      <w:lvlText w:val="%1."/>
      <w:lvlJc w:val="left"/>
      <w:pPr>
        <w:tabs>
          <w:tab w:val="num" w:pos="-122"/>
        </w:tabs>
        <w:ind w:left="-122" w:hanging="360"/>
      </w:pPr>
      <w:rPr>
        <w:rFonts w:cs="Times New Roman" w:hint="default"/>
      </w:rPr>
    </w:lvl>
    <w:lvl w:ilvl="1" w:tplc="04090019" w:tentative="1">
      <w:start w:val="1"/>
      <w:numFmt w:val="lowerLetter"/>
      <w:lvlText w:val="%2."/>
      <w:lvlJc w:val="left"/>
      <w:pPr>
        <w:tabs>
          <w:tab w:val="num" w:pos="598"/>
        </w:tabs>
        <w:ind w:left="598" w:hanging="360"/>
      </w:pPr>
      <w:rPr>
        <w:rFonts w:cs="Times New Roman"/>
      </w:rPr>
    </w:lvl>
    <w:lvl w:ilvl="2" w:tplc="0409001B" w:tentative="1">
      <w:start w:val="1"/>
      <w:numFmt w:val="lowerRoman"/>
      <w:lvlText w:val="%3."/>
      <w:lvlJc w:val="right"/>
      <w:pPr>
        <w:tabs>
          <w:tab w:val="num" w:pos="1318"/>
        </w:tabs>
        <w:ind w:left="1318" w:hanging="180"/>
      </w:pPr>
      <w:rPr>
        <w:rFonts w:cs="Times New Roman"/>
      </w:rPr>
    </w:lvl>
    <w:lvl w:ilvl="3" w:tplc="0409000F">
      <w:start w:val="1"/>
      <w:numFmt w:val="decimal"/>
      <w:lvlText w:val="%4."/>
      <w:lvlJc w:val="left"/>
      <w:pPr>
        <w:tabs>
          <w:tab w:val="num" w:pos="360"/>
        </w:tabs>
        <w:ind w:left="360" w:hanging="360"/>
      </w:pPr>
      <w:rPr>
        <w:rFonts w:cs="Times New Roman" w:hint="default"/>
      </w:rPr>
    </w:lvl>
    <w:lvl w:ilvl="4" w:tplc="04090019" w:tentative="1">
      <w:start w:val="1"/>
      <w:numFmt w:val="lowerLetter"/>
      <w:lvlText w:val="%5."/>
      <w:lvlJc w:val="left"/>
      <w:pPr>
        <w:tabs>
          <w:tab w:val="num" w:pos="2758"/>
        </w:tabs>
        <w:ind w:left="2758" w:hanging="360"/>
      </w:pPr>
      <w:rPr>
        <w:rFonts w:cs="Times New Roman"/>
      </w:rPr>
    </w:lvl>
    <w:lvl w:ilvl="5" w:tplc="0409001B" w:tentative="1">
      <w:start w:val="1"/>
      <w:numFmt w:val="lowerRoman"/>
      <w:lvlText w:val="%6."/>
      <w:lvlJc w:val="right"/>
      <w:pPr>
        <w:tabs>
          <w:tab w:val="num" w:pos="3478"/>
        </w:tabs>
        <w:ind w:left="3478" w:hanging="180"/>
      </w:pPr>
      <w:rPr>
        <w:rFonts w:cs="Times New Roman"/>
      </w:rPr>
    </w:lvl>
    <w:lvl w:ilvl="6" w:tplc="0409000F" w:tentative="1">
      <w:start w:val="1"/>
      <w:numFmt w:val="decimal"/>
      <w:lvlText w:val="%7."/>
      <w:lvlJc w:val="left"/>
      <w:pPr>
        <w:tabs>
          <w:tab w:val="num" w:pos="4198"/>
        </w:tabs>
        <w:ind w:left="4198" w:hanging="360"/>
      </w:pPr>
      <w:rPr>
        <w:rFonts w:cs="Times New Roman"/>
      </w:rPr>
    </w:lvl>
    <w:lvl w:ilvl="7" w:tplc="04090019" w:tentative="1">
      <w:start w:val="1"/>
      <w:numFmt w:val="lowerLetter"/>
      <w:lvlText w:val="%8."/>
      <w:lvlJc w:val="left"/>
      <w:pPr>
        <w:tabs>
          <w:tab w:val="num" w:pos="4918"/>
        </w:tabs>
        <w:ind w:left="4918" w:hanging="360"/>
      </w:pPr>
      <w:rPr>
        <w:rFonts w:cs="Times New Roman"/>
      </w:rPr>
    </w:lvl>
    <w:lvl w:ilvl="8" w:tplc="0409001B" w:tentative="1">
      <w:start w:val="1"/>
      <w:numFmt w:val="lowerRoman"/>
      <w:lvlText w:val="%9."/>
      <w:lvlJc w:val="right"/>
      <w:pPr>
        <w:tabs>
          <w:tab w:val="num" w:pos="5638"/>
        </w:tabs>
        <w:ind w:left="5638" w:hanging="180"/>
      </w:pPr>
      <w:rPr>
        <w:rFonts w:cs="Times New Roman"/>
      </w:rPr>
    </w:lvl>
  </w:abstractNum>
  <w:num w:numId="1" w16cid:durableId="851457355">
    <w:abstractNumId w:val="0"/>
  </w:num>
  <w:num w:numId="2" w16cid:durableId="1158498966">
    <w:abstractNumId w:val="3"/>
  </w:num>
  <w:num w:numId="3" w16cid:durableId="352390779">
    <w:abstractNumId w:val="1"/>
  </w:num>
  <w:num w:numId="4" w16cid:durableId="1126705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20A6"/>
    <w:rsid w:val="00231F8D"/>
    <w:rsid w:val="00594FCA"/>
    <w:rsid w:val="00891D2F"/>
    <w:rsid w:val="00916B46"/>
    <w:rsid w:val="009271D3"/>
    <w:rsid w:val="00965911"/>
    <w:rsid w:val="009837D0"/>
    <w:rsid w:val="009C2734"/>
    <w:rsid w:val="009C40B9"/>
    <w:rsid w:val="00A65691"/>
    <w:rsid w:val="00AD3EF6"/>
    <w:rsid w:val="00B462B0"/>
    <w:rsid w:val="00B818E8"/>
    <w:rsid w:val="00B820A6"/>
    <w:rsid w:val="00C1495E"/>
    <w:rsid w:val="00D538C5"/>
    <w:rsid w:val="00F944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A58B733"/>
  <w15:chartTrackingRefBased/>
  <w15:docId w15:val="{E5240A54-D7EC-4DB6-9E88-A8B670BE6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20A6"/>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820A6"/>
    <w:pPr>
      <w:tabs>
        <w:tab w:val="center" w:pos="4153"/>
        <w:tab w:val="right" w:pos="8306"/>
      </w:tabs>
    </w:pPr>
  </w:style>
  <w:style w:type="paragraph" w:styleId="Footer">
    <w:name w:val="footer"/>
    <w:basedOn w:val="Normal"/>
    <w:rsid w:val="00B820A6"/>
    <w:pPr>
      <w:tabs>
        <w:tab w:val="center" w:pos="4153"/>
        <w:tab w:val="right" w:pos="8306"/>
      </w:tabs>
    </w:pPr>
  </w:style>
  <w:style w:type="character" w:customStyle="1" w:styleId="default">
    <w:name w:val="default"/>
    <w:rsid w:val="00B820A6"/>
    <w:rPr>
      <w:rFonts w:ascii="Times New Roman" w:hAnsi="Times New Roman" w:cs="Times New Roman"/>
      <w:sz w:val="26"/>
      <w:szCs w:val="26"/>
    </w:rPr>
  </w:style>
  <w:style w:type="paragraph" w:customStyle="1" w:styleId="P00">
    <w:name w:val="P00"/>
    <w:rsid w:val="00B820A6"/>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eastAsia="he-IL"/>
    </w:rPr>
  </w:style>
  <w:style w:type="character" w:customStyle="1" w:styleId="big-number">
    <w:name w:val="big-number"/>
    <w:rsid w:val="00B820A6"/>
    <w:rPr>
      <w:rFonts w:ascii="Times New Roman" w:hAnsi="Times New Roman" w:cs="Times New Roman"/>
      <w:sz w:val="32"/>
      <w:szCs w:val="32"/>
    </w:rPr>
  </w:style>
  <w:style w:type="paragraph" w:customStyle="1" w:styleId="P22">
    <w:name w:val="P22"/>
    <w:basedOn w:val="P00"/>
    <w:rsid w:val="00B820A6"/>
    <w:pPr>
      <w:tabs>
        <w:tab w:val="clear" w:pos="624"/>
        <w:tab w:val="clear" w:pos="1021"/>
      </w:tabs>
      <w:ind w:right="1021"/>
    </w:pPr>
  </w:style>
  <w:style w:type="character" w:customStyle="1" w:styleId="ArialFrankRuehl14">
    <w:name w:val="סגנון (לטיני) Arial (עברית ושפות אחרות) FrankRuehl ‏14 נק'"/>
    <w:rsid w:val="00B820A6"/>
    <w:rPr>
      <w:rFonts w:ascii="Arial" w:hAnsi="Arial" w:cs="David"/>
      <w:sz w:val="24"/>
      <w:szCs w:val="24"/>
      <w:lang w:bidi="he-IL"/>
    </w:rPr>
  </w:style>
  <w:style w:type="paragraph" w:styleId="ListParagraph">
    <w:name w:val="List Paragraph"/>
    <w:basedOn w:val="Normal"/>
    <w:qFormat/>
    <w:rsid w:val="00B820A6"/>
    <w:pPr>
      <w:ind w:left="720"/>
      <w:contextualSpacing/>
    </w:pPr>
  </w:style>
  <w:style w:type="character" w:styleId="LineNumber">
    <w:name w:val="line number"/>
    <w:basedOn w:val="DefaultParagraphFont"/>
    <w:rsid w:val="00B820A6"/>
  </w:style>
  <w:style w:type="character" w:styleId="PageNumber">
    <w:name w:val="page number"/>
    <w:basedOn w:val="DefaultParagraphFont"/>
    <w:rsid w:val="00594FCA"/>
  </w:style>
  <w:style w:type="character" w:styleId="Hyperlink">
    <w:name w:val="Hyperlink"/>
    <w:rsid w:val="00594F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34kd" TargetMode="External"/><Relationship Id="rId26" Type="http://schemas.openxmlformats.org/officeDocument/2006/relationships/hyperlink" Target="http://www.nevo.co.il/law/70301/34kd" TargetMode="External"/><Relationship Id="rId39" Type="http://schemas.openxmlformats.org/officeDocument/2006/relationships/hyperlink" Target="http://www.nevo.co.il/law/70301/382.b.2"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4kd" TargetMode="External"/><Relationship Id="rId47" Type="http://schemas.openxmlformats.org/officeDocument/2006/relationships/hyperlink" Target="http://www.nevo.co.il/law/70301/382.b.2" TargetMode="External"/><Relationship Id="rId50" Type="http://schemas.openxmlformats.org/officeDocument/2006/relationships/hyperlink" Target="http://www.nevo.co.il/case/1445967"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law/70301/368b.a" TargetMode="External"/><Relationship Id="rId11" Type="http://schemas.openxmlformats.org/officeDocument/2006/relationships/hyperlink" Target="http://www.nevo.co.il/law/70301/368b.a"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368b.a"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382.b.2" TargetMode="External"/><Relationship Id="rId53" Type="http://schemas.openxmlformats.org/officeDocument/2006/relationships/hyperlink" Target="http://www.nevo.co.il/law/70301"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kd" TargetMode="External"/><Relationship Id="rId14" Type="http://schemas.openxmlformats.org/officeDocument/2006/relationships/hyperlink" Target="http://www.nevo.co.il/law/70301/382.b.2" TargetMode="External"/><Relationship Id="rId22" Type="http://schemas.openxmlformats.org/officeDocument/2006/relationships/hyperlink" Target="http://www.nevo.co.il/law/70301/368b.a"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234276" TargetMode="External"/><Relationship Id="rId35" Type="http://schemas.openxmlformats.org/officeDocument/2006/relationships/hyperlink" Target="http://www.nevo.co.il/law/70301/368b.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footer" Target="footer1.xml"/><Relationship Id="rId8" Type="http://schemas.openxmlformats.org/officeDocument/2006/relationships/hyperlink" Target="http://www.nevo.co.il/law/70301/348.c1" TargetMode="External"/><Relationship Id="rId51" Type="http://schemas.openxmlformats.org/officeDocument/2006/relationships/hyperlink" Target="http://www.nevo.co.il/law/70301/379" TargetMode="External"/><Relationship Id="rId3" Type="http://schemas.openxmlformats.org/officeDocument/2006/relationships/settings" Target="settings.xml"/><Relationship Id="rId12" Type="http://schemas.openxmlformats.org/officeDocument/2006/relationships/hyperlink" Target="http://www.nevo.co.il/law/70301/368b.c" TargetMode="External"/><Relationship Id="rId17" Type="http://schemas.openxmlformats.org/officeDocument/2006/relationships/hyperlink" Target="http://www.nevo.co.il/law/70301/368b.a" TargetMode="External"/><Relationship Id="rId25" Type="http://schemas.openxmlformats.org/officeDocument/2006/relationships/hyperlink" Target="http://www.nevo.co.il/law/70301/368b.a" TargetMode="External"/><Relationship Id="rId33" Type="http://schemas.openxmlformats.org/officeDocument/2006/relationships/hyperlink" Target="http://www.nevo.co.il/law/70301/348.c1" TargetMode="External"/><Relationship Id="rId38" Type="http://schemas.openxmlformats.org/officeDocument/2006/relationships/hyperlink" Target="http://www.nevo.co.il/law/70301/379" TargetMode="External"/><Relationship Id="rId46" Type="http://schemas.openxmlformats.org/officeDocument/2006/relationships/hyperlink" Target="http://www.nevo.co.il/law/70301" TargetMode="External"/><Relationship Id="rId59" Type="http://schemas.openxmlformats.org/officeDocument/2006/relationships/theme" Target="theme/theme1.xml"/><Relationship Id="rId20" Type="http://schemas.openxmlformats.org/officeDocument/2006/relationships/hyperlink" Target="http://www.nevo.co.il/law/70301/34kd" TargetMode="External"/><Relationship Id="rId41" Type="http://schemas.openxmlformats.org/officeDocument/2006/relationships/hyperlink" Target="http://www.nevo.co.il/law/70301"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68b" TargetMode="External"/><Relationship Id="rId23" Type="http://schemas.openxmlformats.org/officeDocument/2006/relationships/hyperlink" Target="http://www.nevo.co.il/law/70301/368b" TargetMode="External"/><Relationship Id="rId28" Type="http://schemas.openxmlformats.org/officeDocument/2006/relationships/hyperlink" Target="http://www.nevo.co.il/case/5411297" TargetMode="External"/><Relationship Id="rId36" Type="http://schemas.openxmlformats.org/officeDocument/2006/relationships/hyperlink" Target="http://www.nevo.co.il/case/2558345" TargetMode="External"/><Relationship Id="rId49" Type="http://schemas.openxmlformats.org/officeDocument/2006/relationships/hyperlink" Target="http://www.nevo.co.il/case/1567043" TargetMode="External"/><Relationship Id="rId57" Type="http://schemas.openxmlformats.org/officeDocument/2006/relationships/footer" Target="footer2.xml"/><Relationship Id="rId10" Type="http://schemas.openxmlformats.org/officeDocument/2006/relationships/hyperlink" Target="http://www.nevo.co.il/law/70301/368b" TargetMode="External"/><Relationship Id="rId31" Type="http://schemas.openxmlformats.org/officeDocument/2006/relationships/hyperlink" Target="http://www.nevo.co.il/case/17914705" TargetMode="External"/><Relationship Id="rId44" Type="http://schemas.openxmlformats.org/officeDocument/2006/relationships/hyperlink" Target="http://www.nevo.co.il/law/70301/368b.c" TargetMode="External"/><Relationship Id="rId52" Type="http://schemas.openxmlformats.org/officeDocument/2006/relationships/hyperlink" Target="http://www.nevo.co.il/law/70301/382.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3033</Words>
  <Characters>17291</Characters>
  <Application>Microsoft Office Word</Application>
  <DocSecurity>0</DocSecurity>
  <Lines>144</Lines>
  <Paragraphs>40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20284</CharactersWithSpaces>
  <SharedDoc>false</SharedDoc>
  <HLinks>
    <vt:vector size="282" baseType="variant">
      <vt:variant>
        <vt:i4>7995492</vt:i4>
      </vt:variant>
      <vt:variant>
        <vt:i4>138</vt:i4>
      </vt:variant>
      <vt:variant>
        <vt:i4>0</vt:i4>
      </vt:variant>
      <vt:variant>
        <vt:i4>5</vt:i4>
      </vt:variant>
      <vt:variant>
        <vt:lpwstr>http://www.nevo.co.il/law/70301</vt:lpwstr>
      </vt:variant>
      <vt:variant>
        <vt:lpwstr/>
      </vt:variant>
      <vt:variant>
        <vt:i4>7143478</vt:i4>
      </vt:variant>
      <vt:variant>
        <vt:i4>135</vt:i4>
      </vt:variant>
      <vt:variant>
        <vt:i4>0</vt:i4>
      </vt:variant>
      <vt:variant>
        <vt:i4>5</vt:i4>
      </vt:variant>
      <vt:variant>
        <vt:lpwstr>http://www.nevo.co.il/law/70301/382.b.2</vt:lpwstr>
      </vt:variant>
      <vt:variant>
        <vt:lpwstr/>
      </vt:variant>
      <vt:variant>
        <vt:i4>6422630</vt:i4>
      </vt:variant>
      <vt:variant>
        <vt:i4>132</vt:i4>
      </vt:variant>
      <vt:variant>
        <vt:i4>0</vt:i4>
      </vt:variant>
      <vt:variant>
        <vt:i4>5</vt:i4>
      </vt:variant>
      <vt:variant>
        <vt:lpwstr>http://www.nevo.co.il/law/70301/379</vt:lpwstr>
      </vt:variant>
      <vt:variant>
        <vt:lpwstr/>
      </vt:variant>
      <vt:variant>
        <vt:i4>3866739</vt:i4>
      </vt:variant>
      <vt:variant>
        <vt:i4>129</vt:i4>
      </vt:variant>
      <vt:variant>
        <vt:i4>0</vt:i4>
      </vt:variant>
      <vt:variant>
        <vt:i4>5</vt:i4>
      </vt:variant>
      <vt:variant>
        <vt:lpwstr>http://www.nevo.co.il/case/1445967</vt:lpwstr>
      </vt:variant>
      <vt:variant>
        <vt:lpwstr/>
      </vt:variant>
      <vt:variant>
        <vt:i4>3407986</vt:i4>
      </vt:variant>
      <vt:variant>
        <vt:i4>126</vt:i4>
      </vt:variant>
      <vt:variant>
        <vt:i4>0</vt:i4>
      </vt:variant>
      <vt:variant>
        <vt:i4>5</vt:i4>
      </vt:variant>
      <vt:variant>
        <vt:lpwstr>http://www.nevo.co.il/case/1567043</vt:lpwstr>
      </vt:variant>
      <vt:variant>
        <vt:lpwstr/>
      </vt:variant>
      <vt:variant>
        <vt:i4>7995492</vt:i4>
      </vt:variant>
      <vt:variant>
        <vt:i4>123</vt:i4>
      </vt:variant>
      <vt:variant>
        <vt:i4>0</vt:i4>
      </vt:variant>
      <vt:variant>
        <vt:i4>5</vt:i4>
      </vt:variant>
      <vt:variant>
        <vt:lpwstr>http://www.nevo.co.il/law/70301</vt:lpwstr>
      </vt:variant>
      <vt:variant>
        <vt:lpwstr/>
      </vt:variant>
      <vt:variant>
        <vt:i4>7143478</vt:i4>
      </vt:variant>
      <vt:variant>
        <vt:i4>120</vt:i4>
      </vt:variant>
      <vt:variant>
        <vt:i4>0</vt:i4>
      </vt:variant>
      <vt:variant>
        <vt:i4>5</vt:i4>
      </vt:variant>
      <vt:variant>
        <vt:lpwstr>http://www.nevo.co.il/law/70301/382.b.2</vt:lpwstr>
      </vt:variant>
      <vt:variant>
        <vt:lpwstr/>
      </vt:variant>
      <vt:variant>
        <vt:i4>7995492</vt:i4>
      </vt:variant>
      <vt:variant>
        <vt:i4>117</vt:i4>
      </vt:variant>
      <vt:variant>
        <vt:i4>0</vt:i4>
      </vt:variant>
      <vt:variant>
        <vt:i4>5</vt:i4>
      </vt:variant>
      <vt:variant>
        <vt:lpwstr>http://www.nevo.co.il/law/70301</vt:lpwstr>
      </vt:variant>
      <vt:variant>
        <vt:lpwstr/>
      </vt:variant>
      <vt:variant>
        <vt:i4>7143478</vt:i4>
      </vt:variant>
      <vt:variant>
        <vt:i4>114</vt:i4>
      </vt:variant>
      <vt:variant>
        <vt:i4>0</vt:i4>
      </vt:variant>
      <vt:variant>
        <vt:i4>5</vt:i4>
      </vt:variant>
      <vt:variant>
        <vt:lpwstr>http://www.nevo.co.il/law/70301/382.b.2</vt:lpwstr>
      </vt:variant>
      <vt:variant>
        <vt:lpwstr/>
      </vt:variant>
      <vt:variant>
        <vt:i4>6422640</vt:i4>
      </vt:variant>
      <vt:variant>
        <vt:i4>111</vt:i4>
      </vt:variant>
      <vt:variant>
        <vt:i4>0</vt:i4>
      </vt:variant>
      <vt:variant>
        <vt:i4>5</vt:i4>
      </vt:variant>
      <vt:variant>
        <vt:lpwstr>http://www.nevo.co.il/law/70301/368b.c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327693</vt:i4>
      </vt:variant>
      <vt:variant>
        <vt:i4>105</vt:i4>
      </vt:variant>
      <vt:variant>
        <vt:i4>0</vt:i4>
      </vt:variant>
      <vt:variant>
        <vt:i4>5</vt:i4>
      </vt:variant>
      <vt:variant>
        <vt:lpwstr>http://www.nevo.co.il/law/70301/34kd</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7995492</vt:i4>
      </vt:variant>
      <vt:variant>
        <vt:i4>99</vt:i4>
      </vt:variant>
      <vt:variant>
        <vt:i4>0</vt:i4>
      </vt:variant>
      <vt:variant>
        <vt:i4>5</vt:i4>
      </vt:variant>
      <vt:variant>
        <vt:lpwstr>http://www.nevo.co.il/law/70301</vt:lpwstr>
      </vt:variant>
      <vt:variant>
        <vt:lpwstr/>
      </vt:variant>
      <vt:variant>
        <vt:i4>7143478</vt:i4>
      </vt:variant>
      <vt:variant>
        <vt:i4>96</vt:i4>
      </vt:variant>
      <vt:variant>
        <vt:i4>0</vt:i4>
      </vt:variant>
      <vt:variant>
        <vt:i4>5</vt:i4>
      </vt:variant>
      <vt:variant>
        <vt:lpwstr>http://www.nevo.co.il/law/70301/382.b.2</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6291568</vt:i4>
      </vt:variant>
      <vt:variant>
        <vt:i4>90</vt:i4>
      </vt:variant>
      <vt:variant>
        <vt:i4>0</vt:i4>
      </vt:variant>
      <vt:variant>
        <vt:i4>5</vt:i4>
      </vt:variant>
      <vt:variant>
        <vt:lpwstr>http://www.nevo.co.il/law/70301/368b.a</vt:lpwstr>
      </vt:variant>
      <vt:variant>
        <vt:lpwstr/>
      </vt:variant>
      <vt:variant>
        <vt:i4>3211389</vt:i4>
      </vt:variant>
      <vt:variant>
        <vt:i4>87</vt:i4>
      </vt:variant>
      <vt:variant>
        <vt:i4>0</vt:i4>
      </vt:variant>
      <vt:variant>
        <vt:i4>5</vt:i4>
      </vt:variant>
      <vt:variant>
        <vt:lpwstr>http://www.nevo.co.il/case/2558345</vt:lpwstr>
      </vt:variant>
      <vt:variant>
        <vt:lpwstr/>
      </vt:variant>
      <vt:variant>
        <vt:i4>6291568</vt:i4>
      </vt:variant>
      <vt:variant>
        <vt:i4>84</vt:i4>
      </vt:variant>
      <vt:variant>
        <vt:i4>0</vt:i4>
      </vt:variant>
      <vt:variant>
        <vt:i4>5</vt:i4>
      </vt:variant>
      <vt:variant>
        <vt:lpwstr>http://www.nevo.co.il/law/70301/368b.a</vt:lpwstr>
      </vt:variant>
      <vt:variant>
        <vt:lpwstr/>
      </vt:variant>
      <vt:variant>
        <vt:i4>7995492</vt:i4>
      </vt:variant>
      <vt:variant>
        <vt:i4>81</vt:i4>
      </vt:variant>
      <vt:variant>
        <vt:i4>0</vt:i4>
      </vt:variant>
      <vt:variant>
        <vt:i4>5</vt:i4>
      </vt:variant>
      <vt:variant>
        <vt:lpwstr>http://www.nevo.co.il/law/70301</vt:lpwstr>
      </vt:variant>
      <vt:variant>
        <vt:lpwstr/>
      </vt:variant>
      <vt:variant>
        <vt:i4>8257597</vt:i4>
      </vt:variant>
      <vt:variant>
        <vt:i4>78</vt:i4>
      </vt:variant>
      <vt:variant>
        <vt:i4>0</vt:i4>
      </vt:variant>
      <vt:variant>
        <vt:i4>5</vt:i4>
      </vt:variant>
      <vt:variant>
        <vt:lpwstr>http://www.nevo.co.il/law/70301/348.c1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3932277</vt:i4>
      </vt:variant>
      <vt:variant>
        <vt:i4>72</vt:i4>
      </vt:variant>
      <vt:variant>
        <vt:i4>0</vt:i4>
      </vt:variant>
      <vt:variant>
        <vt:i4>5</vt:i4>
      </vt:variant>
      <vt:variant>
        <vt:lpwstr>http://www.nevo.co.il/case/17914705</vt:lpwstr>
      </vt:variant>
      <vt:variant>
        <vt:lpwstr/>
      </vt:variant>
      <vt:variant>
        <vt:i4>3473525</vt:i4>
      </vt:variant>
      <vt:variant>
        <vt:i4>69</vt:i4>
      </vt:variant>
      <vt:variant>
        <vt:i4>0</vt:i4>
      </vt:variant>
      <vt:variant>
        <vt:i4>5</vt:i4>
      </vt:variant>
      <vt:variant>
        <vt:lpwstr>http://www.nevo.co.il/case/2234276</vt:lpwstr>
      </vt:variant>
      <vt:variant>
        <vt:lpwstr/>
      </vt:variant>
      <vt:variant>
        <vt:i4>6291568</vt:i4>
      </vt:variant>
      <vt:variant>
        <vt:i4>66</vt:i4>
      </vt:variant>
      <vt:variant>
        <vt:i4>0</vt:i4>
      </vt:variant>
      <vt:variant>
        <vt:i4>5</vt:i4>
      </vt:variant>
      <vt:variant>
        <vt:lpwstr>http://www.nevo.co.il/law/70301/368b.a</vt:lpwstr>
      </vt:variant>
      <vt:variant>
        <vt:lpwstr/>
      </vt:variant>
      <vt:variant>
        <vt:i4>3211384</vt:i4>
      </vt:variant>
      <vt:variant>
        <vt:i4>63</vt:i4>
      </vt:variant>
      <vt:variant>
        <vt:i4>0</vt:i4>
      </vt:variant>
      <vt:variant>
        <vt:i4>5</vt:i4>
      </vt:variant>
      <vt:variant>
        <vt:lpwstr>http://www.nevo.co.il/case/5411297</vt:lpwstr>
      </vt:variant>
      <vt:variant>
        <vt:lpwstr/>
      </vt:variant>
      <vt:variant>
        <vt:i4>7995492</vt:i4>
      </vt:variant>
      <vt:variant>
        <vt:i4>60</vt:i4>
      </vt:variant>
      <vt:variant>
        <vt:i4>0</vt:i4>
      </vt:variant>
      <vt:variant>
        <vt:i4>5</vt:i4>
      </vt:variant>
      <vt:variant>
        <vt:lpwstr>http://www.nevo.co.il/law/70301</vt:lpwstr>
      </vt:variant>
      <vt:variant>
        <vt:lpwstr/>
      </vt:variant>
      <vt:variant>
        <vt:i4>327693</vt:i4>
      </vt:variant>
      <vt:variant>
        <vt:i4>57</vt:i4>
      </vt:variant>
      <vt:variant>
        <vt:i4>0</vt:i4>
      </vt:variant>
      <vt:variant>
        <vt:i4>5</vt:i4>
      </vt:variant>
      <vt:variant>
        <vt:lpwstr>http://www.nevo.co.il/law/70301/34kd</vt:lpwstr>
      </vt:variant>
      <vt:variant>
        <vt:lpwstr/>
      </vt:variant>
      <vt:variant>
        <vt:i4>6291568</vt:i4>
      </vt:variant>
      <vt:variant>
        <vt:i4>54</vt:i4>
      </vt:variant>
      <vt:variant>
        <vt:i4>0</vt:i4>
      </vt:variant>
      <vt:variant>
        <vt:i4>5</vt:i4>
      </vt:variant>
      <vt:variant>
        <vt:lpwstr>http://www.nevo.co.il/law/70301/368b.a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65630</vt:i4>
      </vt:variant>
      <vt:variant>
        <vt:i4>48</vt:i4>
      </vt:variant>
      <vt:variant>
        <vt:i4>0</vt:i4>
      </vt:variant>
      <vt:variant>
        <vt:i4>5</vt:i4>
      </vt:variant>
      <vt:variant>
        <vt:lpwstr>http://www.nevo.co.il/law/70301/368b</vt:lpwstr>
      </vt:variant>
      <vt:variant>
        <vt:lpwstr/>
      </vt:variant>
      <vt:variant>
        <vt:i4>6291568</vt:i4>
      </vt:variant>
      <vt:variant>
        <vt:i4>45</vt:i4>
      </vt:variant>
      <vt:variant>
        <vt:i4>0</vt:i4>
      </vt:variant>
      <vt:variant>
        <vt:i4>5</vt:i4>
      </vt:variant>
      <vt:variant>
        <vt:lpwstr>http://www.nevo.co.il/law/70301/368b.a</vt:lpwstr>
      </vt:variant>
      <vt:variant>
        <vt:lpwstr/>
      </vt:variant>
      <vt:variant>
        <vt:i4>7995492</vt:i4>
      </vt:variant>
      <vt:variant>
        <vt:i4>42</vt:i4>
      </vt:variant>
      <vt:variant>
        <vt:i4>0</vt:i4>
      </vt:variant>
      <vt:variant>
        <vt:i4>5</vt:i4>
      </vt:variant>
      <vt:variant>
        <vt:lpwstr>http://www.nevo.co.il/law/70301</vt:lpwstr>
      </vt:variant>
      <vt:variant>
        <vt:lpwstr/>
      </vt:variant>
      <vt:variant>
        <vt:i4>327693</vt:i4>
      </vt:variant>
      <vt:variant>
        <vt:i4>39</vt:i4>
      </vt:variant>
      <vt:variant>
        <vt:i4>0</vt:i4>
      </vt:variant>
      <vt:variant>
        <vt:i4>5</vt:i4>
      </vt:variant>
      <vt:variant>
        <vt:lpwstr>http://www.nevo.co.il/law/70301/34kd</vt:lpwstr>
      </vt:variant>
      <vt:variant>
        <vt:lpwstr/>
      </vt:variant>
      <vt:variant>
        <vt:i4>7995492</vt:i4>
      </vt:variant>
      <vt:variant>
        <vt:i4>36</vt:i4>
      </vt:variant>
      <vt:variant>
        <vt:i4>0</vt:i4>
      </vt:variant>
      <vt:variant>
        <vt:i4>5</vt:i4>
      </vt:variant>
      <vt:variant>
        <vt:lpwstr>http://www.nevo.co.il/law/70301</vt:lpwstr>
      </vt:variant>
      <vt:variant>
        <vt:lpwstr/>
      </vt:variant>
      <vt:variant>
        <vt:i4>327693</vt:i4>
      </vt:variant>
      <vt:variant>
        <vt:i4>33</vt:i4>
      </vt:variant>
      <vt:variant>
        <vt:i4>0</vt:i4>
      </vt:variant>
      <vt:variant>
        <vt:i4>5</vt:i4>
      </vt:variant>
      <vt:variant>
        <vt:lpwstr>http://www.nevo.co.il/law/70301/34kd</vt:lpwstr>
      </vt:variant>
      <vt:variant>
        <vt:lpwstr/>
      </vt:variant>
      <vt:variant>
        <vt:i4>6291568</vt:i4>
      </vt:variant>
      <vt:variant>
        <vt:i4>30</vt:i4>
      </vt:variant>
      <vt:variant>
        <vt:i4>0</vt:i4>
      </vt:variant>
      <vt:variant>
        <vt:i4>5</vt:i4>
      </vt:variant>
      <vt:variant>
        <vt:lpwstr>http://www.nevo.co.il/law/70301/368b.a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65630</vt:i4>
      </vt:variant>
      <vt:variant>
        <vt:i4>24</vt:i4>
      </vt:variant>
      <vt:variant>
        <vt:i4>0</vt:i4>
      </vt:variant>
      <vt:variant>
        <vt:i4>5</vt:i4>
      </vt:variant>
      <vt:variant>
        <vt:lpwstr>http://www.nevo.co.il/law/70301/368b</vt:lpwstr>
      </vt:variant>
      <vt:variant>
        <vt:lpwstr/>
      </vt:variant>
      <vt:variant>
        <vt:i4>7143478</vt:i4>
      </vt:variant>
      <vt:variant>
        <vt:i4>21</vt:i4>
      </vt:variant>
      <vt:variant>
        <vt:i4>0</vt:i4>
      </vt:variant>
      <vt:variant>
        <vt:i4>5</vt:i4>
      </vt:variant>
      <vt:variant>
        <vt:lpwstr>http://www.nevo.co.il/law/70301/382.b.2</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6422640</vt:i4>
      </vt:variant>
      <vt:variant>
        <vt:i4>15</vt:i4>
      </vt:variant>
      <vt:variant>
        <vt:i4>0</vt:i4>
      </vt:variant>
      <vt:variant>
        <vt:i4>5</vt:i4>
      </vt:variant>
      <vt:variant>
        <vt:lpwstr>http://www.nevo.co.il/law/70301/368b.c</vt:lpwstr>
      </vt:variant>
      <vt:variant>
        <vt:lpwstr/>
      </vt:variant>
      <vt:variant>
        <vt:i4>6291568</vt:i4>
      </vt:variant>
      <vt:variant>
        <vt:i4>12</vt:i4>
      </vt:variant>
      <vt:variant>
        <vt:i4>0</vt:i4>
      </vt:variant>
      <vt:variant>
        <vt:i4>5</vt:i4>
      </vt:variant>
      <vt:variant>
        <vt:lpwstr>http://www.nevo.co.il/law/70301/368b.a</vt:lpwstr>
      </vt:variant>
      <vt:variant>
        <vt:lpwstr/>
      </vt:variant>
      <vt:variant>
        <vt:i4>65630</vt:i4>
      </vt:variant>
      <vt:variant>
        <vt:i4>9</vt:i4>
      </vt:variant>
      <vt:variant>
        <vt:i4>0</vt:i4>
      </vt:variant>
      <vt:variant>
        <vt:i4>5</vt:i4>
      </vt:variant>
      <vt:variant>
        <vt:lpwstr>http://www.nevo.co.il/law/70301/368b</vt:lpwstr>
      </vt:variant>
      <vt:variant>
        <vt:lpwstr/>
      </vt:variant>
      <vt:variant>
        <vt:i4>327693</vt:i4>
      </vt:variant>
      <vt:variant>
        <vt:i4>6</vt:i4>
      </vt:variant>
      <vt:variant>
        <vt:i4>0</vt:i4>
      </vt:variant>
      <vt:variant>
        <vt:i4>5</vt:i4>
      </vt:variant>
      <vt:variant>
        <vt:lpwstr>http://www.nevo.co.il/law/70301/34kd</vt:lpwstr>
      </vt:variant>
      <vt:variant>
        <vt:lpwstr/>
      </vt:variant>
      <vt:variant>
        <vt:i4>8257597</vt:i4>
      </vt:variant>
      <vt:variant>
        <vt:i4>3</vt:i4>
      </vt:variant>
      <vt:variant>
        <vt:i4>0</vt:i4>
      </vt:variant>
      <vt:variant>
        <vt:i4>5</vt:i4>
      </vt:variant>
      <vt:variant>
        <vt:lpwstr>http://www.nevo.co.il/law/70301/348.c1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2022-05-24T10:42:00Z</dcterms:created>
  <dcterms:modified xsi:type="dcterms:W3CDTF">2022-05-24T10:42:00Z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18370</vt:lpwstr>
  </property>
  <property fmtid="{D5CDD505-2E9C-101B-9397-08002B2CF9AE}" pid="6" name="NEWPARTB">
    <vt:lpwstr>11</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סבינה גורונג</vt:lpwstr>
  </property>
  <property fmtid="{D5CDD505-2E9C-101B-9397-08002B2CF9AE}" pid="10" name="LAWYER">
    <vt:lpwstr>מתן עקיבא;מיכאל הורוביץ</vt:lpwstr>
  </property>
  <property fmtid="{D5CDD505-2E9C-101B-9397-08002B2CF9AE}" pid="11" name="JUDGE">
    <vt:lpwstr>אילתה זיסקינד</vt:lpwstr>
  </property>
  <property fmtid="{D5CDD505-2E9C-101B-9397-08002B2CF9AE}" pid="12" name="CITY">
    <vt:lpwstr>י-ם</vt:lpwstr>
  </property>
  <property fmtid="{D5CDD505-2E9C-101B-9397-08002B2CF9AE}" pid="13" name="DATE">
    <vt:lpwstr>20131111</vt:lpwstr>
  </property>
  <property fmtid="{D5CDD505-2E9C-101B-9397-08002B2CF9AE}" pid="14" name="TYPE_N_DATE">
    <vt:lpwstr>38020131111</vt:lpwstr>
  </property>
  <property fmtid="{D5CDD505-2E9C-101B-9397-08002B2CF9AE}" pid="15" name="WORDNUMPAGES">
    <vt:lpwstr>8</vt:lpwstr>
  </property>
  <property fmtid="{D5CDD505-2E9C-101B-9397-08002B2CF9AE}" pid="16" name="TYPE_ABS_DATE">
    <vt:lpwstr>380020131111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5411297;2234276;17914705;2558345;1567043;1445967</vt:lpwstr>
  </property>
  <property fmtid="{D5CDD505-2E9C-101B-9397-08002B2CF9AE}" pid="36" name="LAWLISTTMP1">
    <vt:lpwstr>70301/368b:2;368b.a:6;34kd:4;348.c1;379:2;382.b.2:4;368b.c</vt:lpwstr>
  </property>
</Properties>
</file>