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D3A1F" w:rsidRPr="00E271D8" w14:paraId="1E451C49" w14:textId="77777777">
        <w:trPr>
          <w:trHeight w:hRule="exact" w:val="418"/>
          <w:jc w:val="center"/>
        </w:trPr>
        <w:tc>
          <w:tcPr>
            <w:tcW w:w="8721" w:type="dxa"/>
            <w:gridSpan w:val="2"/>
          </w:tcPr>
          <w:p w14:paraId="78BA4DBC" w14:textId="77777777" w:rsidR="002D3A1F" w:rsidRPr="00E271D8" w:rsidRDefault="00E271D8">
            <w:pPr>
              <w:pStyle w:val="Header"/>
              <w:jc w:val="center"/>
              <w:rPr>
                <w:rFonts w:ascii="Tahoma" w:hAnsi="Tahoma" w:cs="Tahoma"/>
                <w:color w:val="000080"/>
                <w:rtl/>
              </w:rPr>
            </w:pPr>
            <w:bookmarkStart w:id="0" w:name="LastJudge"/>
            <w:r w:rsidRPr="00E271D8">
              <w:rPr>
                <w:rFonts w:ascii="Tahoma" w:hAnsi="Tahoma" w:cs="Tahoma"/>
                <w:b/>
                <w:bCs/>
                <w:color w:val="000080"/>
                <w:rtl/>
              </w:rPr>
              <w:t>בית משפט השלום בתל אביב - יפו</w:t>
            </w:r>
          </w:p>
        </w:tc>
      </w:tr>
      <w:tr w:rsidR="002D3A1F" w:rsidRPr="00E271D8" w14:paraId="45A86E29" w14:textId="77777777">
        <w:trPr>
          <w:trHeight w:val="337"/>
          <w:jc w:val="center"/>
        </w:trPr>
        <w:tc>
          <w:tcPr>
            <w:tcW w:w="5047" w:type="dxa"/>
          </w:tcPr>
          <w:p w14:paraId="5C5AE114" w14:textId="77777777" w:rsidR="002D3A1F" w:rsidRPr="00E271D8" w:rsidRDefault="002D3A1F">
            <w:pPr>
              <w:pStyle w:val="Header"/>
              <w:rPr>
                <w:rFonts w:cs="FrankRuehl"/>
                <w:sz w:val="28"/>
                <w:szCs w:val="28"/>
                <w:rtl/>
              </w:rPr>
            </w:pPr>
          </w:p>
        </w:tc>
        <w:tc>
          <w:tcPr>
            <w:tcW w:w="3674" w:type="dxa"/>
          </w:tcPr>
          <w:p w14:paraId="25799DD3" w14:textId="77777777" w:rsidR="002D3A1F" w:rsidRPr="00E271D8" w:rsidRDefault="002D3A1F">
            <w:pPr>
              <w:pStyle w:val="Header"/>
              <w:jc w:val="right"/>
              <w:rPr>
                <w:rFonts w:cs="FrankRuehl"/>
                <w:sz w:val="28"/>
                <w:szCs w:val="28"/>
                <w:rtl/>
              </w:rPr>
            </w:pPr>
          </w:p>
        </w:tc>
      </w:tr>
      <w:tr w:rsidR="002D3A1F" w:rsidRPr="00E271D8" w14:paraId="27935EC0" w14:textId="77777777">
        <w:trPr>
          <w:trHeight w:val="337"/>
          <w:jc w:val="center"/>
        </w:trPr>
        <w:tc>
          <w:tcPr>
            <w:tcW w:w="8721" w:type="dxa"/>
            <w:gridSpan w:val="2"/>
          </w:tcPr>
          <w:p w14:paraId="6996F1CF" w14:textId="77777777" w:rsidR="002D3A1F" w:rsidRPr="00E271D8" w:rsidRDefault="00E271D8">
            <w:pPr>
              <w:rPr>
                <w:rFonts w:cs="FrankRuehl"/>
                <w:sz w:val="28"/>
                <w:szCs w:val="28"/>
                <w:rtl/>
              </w:rPr>
            </w:pPr>
            <w:r w:rsidRPr="00E271D8">
              <w:rPr>
                <w:rFonts w:cs="FrankRuehl"/>
                <w:sz w:val="28"/>
                <w:szCs w:val="28"/>
                <w:rtl/>
              </w:rPr>
              <w:t>ת"פ</w:t>
            </w:r>
            <w:r w:rsidRPr="00E271D8">
              <w:rPr>
                <w:rFonts w:cs="FrankRuehl" w:hint="cs"/>
                <w:sz w:val="28"/>
                <w:szCs w:val="28"/>
                <w:rtl/>
              </w:rPr>
              <w:t xml:space="preserve"> </w:t>
            </w:r>
            <w:r w:rsidRPr="00E271D8">
              <w:rPr>
                <w:rFonts w:cs="FrankRuehl"/>
                <w:sz w:val="28"/>
                <w:szCs w:val="28"/>
                <w:rtl/>
              </w:rPr>
              <w:t>23084-10-12</w:t>
            </w:r>
            <w:r w:rsidRPr="00E271D8">
              <w:rPr>
                <w:rFonts w:cs="FrankRuehl" w:hint="cs"/>
                <w:sz w:val="28"/>
                <w:szCs w:val="28"/>
                <w:rtl/>
              </w:rPr>
              <w:t xml:space="preserve"> </w:t>
            </w:r>
            <w:r w:rsidRPr="00E271D8">
              <w:rPr>
                <w:rFonts w:cs="FrankRuehl"/>
                <w:sz w:val="28"/>
                <w:szCs w:val="28"/>
                <w:rtl/>
              </w:rPr>
              <w:t>מדינת ישראל נ' ארזוני</w:t>
            </w:r>
          </w:p>
          <w:p w14:paraId="5EC78703" w14:textId="77777777" w:rsidR="002D3A1F" w:rsidRPr="00E271D8" w:rsidRDefault="002D3A1F">
            <w:pPr>
              <w:pStyle w:val="Header"/>
              <w:rPr>
                <w:rtl/>
              </w:rPr>
            </w:pPr>
          </w:p>
        </w:tc>
      </w:tr>
    </w:tbl>
    <w:p w14:paraId="5BA6AB5D" w14:textId="77777777" w:rsidR="002D3A1F" w:rsidRPr="00E271D8" w:rsidRDefault="00E271D8">
      <w:pPr>
        <w:pStyle w:val="Header"/>
      </w:pPr>
      <w:r w:rsidRPr="00E271D8">
        <w:rPr>
          <w:rFonts w:hint="cs"/>
          <w:rtl/>
        </w:rPr>
        <w:t xml:space="preserve"> </w:t>
      </w:r>
    </w:p>
    <w:p w14:paraId="2408F0CB" w14:textId="77777777" w:rsidR="002D3A1F" w:rsidRPr="00E271D8" w:rsidRDefault="002D3A1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2D3A1F" w:rsidRPr="00E271D8" w14:paraId="2374ECD4" w14:textId="77777777">
        <w:trPr>
          <w:trHeight w:val="295"/>
          <w:jc w:val="center"/>
        </w:trPr>
        <w:tc>
          <w:tcPr>
            <w:tcW w:w="743" w:type="dxa"/>
            <w:tcBorders>
              <w:top w:val="nil"/>
              <w:left w:val="nil"/>
              <w:bottom w:val="nil"/>
              <w:right w:val="nil"/>
            </w:tcBorders>
          </w:tcPr>
          <w:p w14:paraId="060A65B4" w14:textId="77777777" w:rsidR="002D3A1F" w:rsidRPr="00E271D8" w:rsidRDefault="00E271D8">
            <w:pPr>
              <w:jc w:val="both"/>
              <w:rPr>
                <w:rFonts w:ascii="Arial" w:hAnsi="Arial"/>
                <w:b/>
                <w:bCs/>
              </w:rPr>
            </w:pPr>
            <w:r w:rsidRPr="00E271D8">
              <w:rPr>
                <w:rFonts w:ascii="Arial" w:hAnsi="Arial"/>
                <w:b/>
                <w:bCs/>
                <w:rtl/>
              </w:rPr>
              <w:t xml:space="preserve">בפני </w:t>
            </w:r>
          </w:p>
        </w:tc>
        <w:tc>
          <w:tcPr>
            <w:tcW w:w="8077" w:type="dxa"/>
            <w:tcBorders>
              <w:top w:val="nil"/>
              <w:left w:val="nil"/>
              <w:bottom w:val="nil"/>
              <w:right w:val="nil"/>
            </w:tcBorders>
          </w:tcPr>
          <w:p w14:paraId="57EC6894" w14:textId="77777777" w:rsidR="002D3A1F" w:rsidRPr="00E271D8" w:rsidRDefault="00E271D8">
            <w:pPr>
              <w:rPr>
                <w:rFonts w:ascii="Arial" w:hAnsi="Arial"/>
                <w:b/>
                <w:bCs/>
                <w:highlight w:val="yellow"/>
              </w:rPr>
            </w:pPr>
            <w:r w:rsidRPr="00E271D8">
              <w:rPr>
                <w:rFonts w:ascii="Arial" w:hAnsi="Arial" w:hint="cs"/>
                <w:b/>
                <w:bCs/>
                <w:rtl/>
              </w:rPr>
              <w:t>כב' ה</w:t>
            </w:r>
            <w:r w:rsidRPr="00E271D8">
              <w:rPr>
                <w:rFonts w:hint="cs"/>
                <w:rtl/>
              </w:rPr>
              <w:t>שופטת</w:t>
            </w:r>
            <w:r w:rsidRPr="00E271D8">
              <w:rPr>
                <w:rFonts w:ascii="Arial" w:hAnsi="Arial"/>
                <w:b/>
                <w:bCs/>
                <w:rtl/>
              </w:rPr>
              <w:t xml:space="preserve"> </w:t>
            </w:r>
            <w:r w:rsidRPr="00E271D8">
              <w:rPr>
                <w:rFonts w:hint="cs"/>
                <w:rtl/>
              </w:rPr>
              <w:t>הדסה נאור</w:t>
            </w:r>
          </w:p>
        </w:tc>
      </w:tr>
    </w:tbl>
    <w:p w14:paraId="57AE4C8B" w14:textId="77777777" w:rsidR="002D3A1F" w:rsidRPr="00E271D8" w:rsidRDefault="002D3A1F">
      <w:pPr>
        <w:rPr>
          <w:rtl/>
        </w:rPr>
      </w:pPr>
    </w:p>
    <w:p w14:paraId="54BB4DEE" w14:textId="77777777" w:rsidR="002D3A1F" w:rsidRPr="00E271D8" w:rsidRDefault="002D3A1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2D3A1F" w:rsidRPr="00E271D8" w14:paraId="59153235" w14:textId="77777777">
        <w:trPr>
          <w:trHeight w:val="355"/>
          <w:jc w:val="center"/>
        </w:trPr>
        <w:tc>
          <w:tcPr>
            <w:tcW w:w="852" w:type="dxa"/>
            <w:tcBorders>
              <w:top w:val="nil"/>
              <w:left w:val="nil"/>
              <w:bottom w:val="nil"/>
              <w:right w:val="nil"/>
            </w:tcBorders>
          </w:tcPr>
          <w:p w14:paraId="30A990B5" w14:textId="77777777" w:rsidR="002D3A1F" w:rsidRPr="00E271D8" w:rsidRDefault="002D3A1F">
            <w:pPr>
              <w:jc w:val="both"/>
              <w:rPr>
                <w:rFonts w:ascii="Arial" w:hAnsi="Arial" w:cs="FrankRuehl"/>
                <w:b/>
                <w:bCs/>
                <w:sz w:val="28"/>
                <w:szCs w:val="28"/>
                <w:rtl/>
              </w:rPr>
            </w:pPr>
            <w:bookmarkStart w:id="1" w:name="FirstAppellant"/>
          </w:p>
          <w:p w14:paraId="74214325" w14:textId="77777777" w:rsidR="002D3A1F" w:rsidRPr="00E271D8" w:rsidRDefault="00E271D8">
            <w:pPr>
              <w:jc w:val="both"/>
              <w:rPr>
                <w:rFonts w:ascii="Arial" w:hAnsi="Arial" w:cs="FrankRuehl"/>
                <w:b/>
                <w:bCs/>
                <w:sz w:val="28"/>
                <w:szCs w:val="28"/>
              </w:rPr>
            </w:pPr>
            <w:r w:rsidRPr="00E271D8">
              <w:rPr>
                <w:rFonts w:ascii="Arial" w:hAnsi="Arial" w:cs="FrankRuehl"/>
                <w:b/>
                <w:bCs/>
                <w:sz w:val="28"/>
                <w:szCs w:val="28"/>
                <w:rtl/>
              </w:rPr>
              <w:t>בעניין:</w:t>
            </w:r>
          </w:p>
        </w:tc>
        <w:tc>
          <w:tcPr>
            <w:tcW w:w="4241" w:type="dxa"/>
            <w:tcBorders>
              <w:top w:val="nil"/>
              <w:left w:val="nil"/>
              <w:bottom w:val="nil"/>
              <w:right w:val="nil"/>
            </w:tcBorders>
          </w:tcPr>
          <w:p w14:paraId="3B19E903" w14:textId="77777777" w:rsidR="002D3A1F" w:rsidRPr="00E271D8" w:rsidRDefault="002D3A1F">
            <w:pPr>
              <w:jc w:val="both"/>
              <w:rPr>
                <w:rFonts w:ascii="Arial" w:hAnsi="Arial"/>
                <w:b/>
                <w:bCs/>
                <w:sz w:val="26"/>
                <w:szCs w:val="26"/>
                <w:rtl/>
              </w:rPr>
            </w:pPr>
          </w:p>
          <w:p w14:paraId="6C0CFA9E" w14:textId="77777777" w:rsidR="002D3A1F" w:rsidRPr="00E271D8" w:rsidRDefault="00E271D8">
            <w:pPr>
              <w:jc w:val="both"/>
              <w:rPr>
                <w:rFonts w:ascii="Arial" w:hAnsi="Arial"/>
                <w:b/>
                <w:bCs/>
                <w:sz w:val="26"/>
                <w:szCs w:val="26"/>
              </w:rPr>
            </w:pPr>
            <w:r w:rsidRPr="00E271D8">
              <w:rPr>
                <w:rFonts w:hint="cs"/>
                <w:rtl/>
              </w:rPr>
              <w:t>מדינת ישראל</w:t>
            </w:r>
          </w:p>
        </w:tc>
        <w:tc>
          <w:tcPr>
            <w:tcW w:w="3727" w:type="dxa"/>
            <w:tcBorders>
              <w:top w:val="nil"/>
              <w:left w:val="nil"/>
              <w:bottom w:val="nil"/>
              <w:right w:val="nil"/>
            </w:tcBorders>
          </w:tcPr>
          <w:p w14:paraId="48F77A21" w14:textId="77777777" w:rsidR="002D3A1F" w:rsidRPr="00E271D8" w:rsidRDefault="002D3A1F">
            <w:pPr>
              <w:jc w:val="both"/>
              <w:rPr>
                <w:rFonts w:ascii="Arial" w:hAnsi="Arial"/>
                <w:b/>
                <w:bCs/>
                <w:sz w:val="26"/>
                <w:szCs w:val="26"/>
              </w:rPr>
            </w:pPr>
          </w:p>
        </w:tc>
      </w:tr>
      <w:tr w:rsidR="002D3A1F" w:rsidRPr="00E271D8" w14:paraId="68F6C924" w14:textId="77777777">
        <w:trPr>
          <w:trHeight w:val="355"/>
          <w:jc w:val="center"/>
        </w:trPr>
        <w:tc>
          <w:tcPr>
            <w:tcW w:w="852" w:type="dxa"/>
            <w:tcBorders>
              <w:top w:val="nil"/>
              <w:left w:val="nil"/>
              <w:bottom w:val="nil"/>
              <w:right w:val="nil"/>
            </w:tcBorders>
          </w:tcPr>
          <w:p w14:paraId="1D33FC83" w14:textId="77777777" w:rsidR="002D3A1F" w:rsidRPr="00E271D8" w:rsidRDefault="002D3A1F">
            <w:pPr>
              <w:jc w:val="both"/>
              <w:rPr>
                <w:rFonts w:ascii="Arial" w:hAnsi="Arial" w:cs="FrankRuehl"/>
                <w:b/>
                <w:bCs/>
                <w:sz w:val="28"/>
                <w:szCs w:val="28"/>
                <w:rtl/>
              </w:rPr>
            </w:pPr>
            <w:bookmarkStart w:id="2" w:name="FirstLawyer"/>
            <w:bookmarkEnd w:id="1"/>
          </w:p>
        </w:tc>
        <w:tc>
          <w:tcPr>
            <w:tcW w:w="4241" w:type="dxa"/>
            <w:tcBorders>
              <w:top w:val="nil"/>
              <w:left w:val="nil"/>
              <w:bottom w:val="nil"/>
              <w:right w:val="nil"/>
            </w:tcBorders>
          </w:tcPr>
          <w:p w14:paraId="6E6AFE96" w14:textId="77777777" w:rsidR="002D3A1F" w:rsidRPr="00E271D8" w:rsidRDefault="00E271D8">
            <w:pPr>
              <w:jc w:val="both"/>
              <w:rPr>
                <w:b/>
                <w:bCs/>
                <w:sz w:val="26"/>
                <w:szCs w:val="26"/>
                <w:rtl/>
              </w:rPr>
            </w:pPr>
            <w:r w:rsidRPr="00E271D8">
              <w:rPr>
                <w:rFonts w:hint="cs"/>
                <w:b/>
                <w:bCs/>
                <w:sz w:val="26"/>
                <w:szCs w:val="26"/>
                <w:rtl/>
              </w:rPr>
              <w:t>ע"י ב"כ עו"ד לילך שטיבל</w:t>
            </w:r>
          </w:p>
        </w:tc>
        <w:tc>
          <w:tcPr>
            <w:tcW w:w="3727" w:type="dxa"/>
            <w:tcBorders>
              <w:top w:val="nil"/>
              <w:left w:val="nil"/>
              <w:bottom w:val="nil"/>
              <w:right w:val="nil"/>
            </w:tcBorders>
          </w:tcPr>
          <w:p w14:paraId="19B5A7E5" w14:textId="77777777" w:rsidR="002D3A1F" w:rsidRPr="00E271D8" w:rsidRDefault="00E271D8">
            <w:pPr>
              <w:jc w:val="right"/>
              <w:rPr>
                <w:rFonts w:ascii="Arial" w:hAnsi="Arial"/>
                <w:b/>
                <w:bCs/>
                <w:sz w:val="26"/>
                <w:szCs w:val="26"/>
                <w:rtl/>
              </w:rPr>
            </w:pPr>
            <w:r w:rsidRPr="00E271D8">
              <w:rPr>
                <w:rFonts w:ascii="Arial" w:hAnsi="Arial"/>
                <w:b/>
                <w:bCs/>
                <w:sz w:val="26"/>
                <w:szCs w:val="26"/>
                <w:rtl/>
              </w:rPr>
              <w:t>ה</w:t>
            </w:r>
            <w:r w:rsidRPr="00E271D8">
              <w:rPr>
                <w:rFonts w:hint="cs"/>
                <w:rtl/>
              </w:rPr>
              <w:t>מאשימה</w:t>
            </w:r>
          </w:p>
        </w:tc>
      </w:tr>
      <w:bookmarkEnd w:id="2"/>
      <w:tr w:rsidR="002D3A1F" w:rsidRPr="00E271D8" w14:paraId="2BC90681" w14:textId="77777777">
        <w:trPr>
          <w:trHeight w:val="355"/>
          <w:jc w:val="center"/>
        </w:trPr>
        <w:tc>
          <w:tcPr>
            <w:tcW w:w="852" w:type="dxa"/>
            <w:tcBorders>
              <w:top w:val="nil"/>
              <w:left w:val="nil"/>
              <w:bottom w:val="nil"/>
              <w:right w:val="nil"/>
            </w:tcBorders>
          </w:tcPr>
          <w:p w14:paraId="5E8F58D2" w14:textId="77777777" w:rsidR="002D3A1F" w:rsidRPr="00E271D8" w:rsidRDefault="002D3A1F">
            <w:pPr>
              <w:jc w:val="both"/>
              <w:rPr>
                <w:rFonts w:ascii="Arial" w:hAnsi="Arial" w:cs="FrankRuehl"/>
                <w:b/>
                <w:bCs/>
                <w:sz w:val="28"/>
                <w:szCs w:val="28"/>
                <w:rtl/>
              </w:rPr>
            </w:pPr>
          </w:p>
        </w:tc>
        <w:tc>
          <w:tcPr>
            <w:tcW w:w="7968" w:type="dxa"/>
            <w:gridSpan w:val="2"/>
            <w:tcBorders>
              <w:top w:val="nil"/>
              <w:left w:val="nil"/>
              <w:bottom w:val="nil"/>
              <w:right w:val="nil"/>
            </w:tcBorders>
          </w:tcPr>
          <w:p w14:paraId="3C4F5BF6" w14:textId="77777777" w:rsidR="002D3A1F" w:rsidRPr="00E271D8" w:rsidRDefault="002D3A1F">
            <w:pPr>
              <w:jc w:val="center"/>
              <w:rPr>
                <w:rFonts w:ascii="Arial" w:hAnsi="Arial"/>
                <w:b/>
                <w:bCs/>
                <w:sz w:val="26"/>
                <w:szCs w:val="26"/>
                <w:rtl/>
              </w:rPr>
            </w:pPr>
          </w:p>
          <w:p w14:paraId="4B87C6E1" w14:textId="77777777" w:rsidR="002D3A1F" w:rsidRPr="00E271D8" w:rsidRDefault="00E271D8">
            <w:pPr>
              <w:jc w:val="center"/>
              <w:rPr>
                <w:rFonts w:ascii="Arial" w:hAnsi="Arial"/>
                <w:b/>
                <w:bCs/>
                <w:sz w:val="26"/>
                <w:szCs w:val="26"/>
                <w:rtl/>
              </w:rPr>
            </w:pPr>
            <w:r w:rsidRPr="00E271D8">
              <w:rPr>
                <w:rFonts w:ascii="Arial" w:hAnsi="Arial"/>
                <w:b/>
                <w:bCs/>
                <w:sz w:val="26"/>
                <w:szCs w:val="26"/>
                <w:rtl/>
              </w:rPr>
              <w:t>נגד</w:t>
            </w:r>
          </w:p>
          <w:p w14:paraId="32E58FC3" w14:textId="77777777" w:rsidR="002D3A1F" w:rsidRPr="00E271D8" w:rsidRDefault="002D3A1F">
            <w:pPr>
              <w:jc w:val="both"/>
              <w:rPr>
                <w:rFonts w:ascii="Arial" w:hAnsi="Arial"/>
                <w:b/>
                <w:bCs/>
                <w:sz w:val="26"/>
                <w:szCs w:val="26"/>
              </w:rPr>
            </w:pPr>
          </w:p>
        </w:tc>
      </w:tr>
      <w:tr w:rsidR="002D3A1F" w:rsidRPr="00E271D8" w14:paraId="666434E2" w14:textId="77777777">
        <w:trPr>
          <w:trHeight w:val="355"/>
          <w:jc w:val="center"/>
        </w:trPr>
        <w:tc>
          <w:tcPr>
            <w:tcW w:w="852" w:type="dxa"/>
            <w:tcBorders>
              <w:top w:val="nil"/>
              <w:left w:val="nil"/>
              <w:bottom w:val="nil"/>
              <w:right w:val="nil"/>
            </w:tcBorders>
          </w:tcPr>
          <w:p w14:paraId="5A0B5475" w14:textId="77777777" w:rsidR="002D3A1F" w:rsidRPr="00E271D8" w:rsidRDefault="002D3A1F">
            <w:pPr>
              <w:jc w:val="both"/>
              <w:rPr>
                <w:rFonts w:ascii="Arial" w:hAnsi="Arial" w:cs="FrankRuehl"/>
                <w:b/>
                <w:bCs/>
                <w:sz w:val="28"/>
                <w:szCs w:val="28"/>
                <w:rtl/>
              </w:rPr>
            </w:pPr>
          </w:p>
        </w:tc>
        <w:tc>
          <w:tcPr>
            <w:tcW w:w="4241" w:type="dxa"/>
            <w:tcBorders>
              <w:top w:val="nil"/>
              <w:left w:val="nil"/>
              <w:bottom w:val="nil"/>
              <w:right w:val="nil"/>
            </w:tcBorders>
          </w:tcPr>
          <w:p w14:paraId="7FB40549" w14:textId="77777777" w:rsidR="002D3A1F" w:rsidRPr="00E271D8" w:rsidRDefault="00E271D8">
            <w:pPr>
              <w:jc w:val="both"/>
              <w:rPr>
                <w:b/>
                <w:bCs/>
                <w:sz w:val="26"/>
                <w:szCs w:val="26"/>
                <w:rtl/>
              </w:rPr>
            </w:pPr>
            <w:r w:rsidRPr="00E271D8">
              <w:rPr>
                <w:rFonts w:hint="cs"/>
                <w:rtl/>
              </w:rPr>
              <w:t>חיים ארזוני</w:t>
            </w:r>
          </w:p>
        </w:tc>
        <w:tc>
          <w:tcPr>
            <w:tcW w:w="3727" w:type="dxa"/>
            <w:tcBorders>
              <w:top w:val="nil"/>
              <w:left w:val="nil"/>
              <w:bottom w:val="nil"/>
              <w:right w:val="nil"/>
            </w:tcBorders>
          </w:tcPr>
          <w:p w14:paraId="383BBA3B" w14:textId="77777777" w:rsidR="002D3A1F" w:rsidRPr="00E271D8" w:rsidRDefault="002D3A1F">
            <w:pPr>
              <w:jc w:val="right"/>
              <w:rPr>
                <w:rFonts w:ascii="Arial" w:hAnsi="Arial"/>
                <w:b/>
                <w:bCs/>
                <w:sz w:val="26"/>
                <w:szCs w:val="26"/>
              </w:rPr>
            </w:pPr>
          </w:p>
        </w:tc>
      </w:tr>
      <w:tr w:rsidR="002D3A1F" w:rsidRPr="00E271D8" w14:paraId="325EDE00" w14:textId="77777777">
        <w:trPr>
          <w:trHeight w:val="355"/>
          <w:jc w:val="center"/>
        </w:trPr>
        <w:tc>
          <w:tcPr>
            <w:tcW w:w="852" w:type="dxa"/>
            <w:tcBorders>
              <w:top w:val="nil"/>
              <w:left w:val="nil"/>
              <w:bottom w:val="nil"/>
              <w:right w:val="nil"/>
            </w:tcBorders>
          </w:tcPr>
          <w:p w14:paraId="2D4DBEEF" w14:textId="77777777" w:rsidR="002D3A1F" w:rsidRPr="00E271D8" w:rsidRDefault="002D3A1F">
            <w:pPr>
              <w:jc w:val="both"/>
              <w:rPr>
                <w:rFonts w:ascii="Arial" w:hAnsi="Arial" w:cs="FrankRuehl"/>
                <w:b/>
                <w:bCs/>
                <w:sz w:val="28"/>
                <w:szCs w:val="28"/>
                <w:rtl/>
              </w:rPr>
            </w:pPr>
          </w:p>
        </w:tc>
        <w:tc>
          <w:tcPr>
            <w:tcW w:w="4241" w:type="dxa"/>
            <w:tcBorders>
              <w:top w:val="nil"/>
              <w:left w:val="nil"/>
              <w:bottom w:val="nil"/>
              <w:right w:val="nil"/>
            </w:tcBorders>
          </w:tcPr>
          <w:p w14:paraId="1AA2A1D4" w14:textId="77777777" w:rsidR="002D3A1F" w:rsidRPr="00E271D8" w:rsidRDefault="00E271D8">
            <w:pPr>
              <w:jc w:val="both"/>
              <w:rPr>
                <w:b/>
                <w:bCs/>
                <w:sz w:val="26"/>
                <w:szCs w:val="26"/>
                <w:rtl/>
              </w:rPr>
            </w:pPr>
            <w:r w:rsidRPr="00E271D8">
              <w:rPr>
                <w:rFonts w:hint="cs"/>
                <w:b/>
                <w:bCs/>
                <w:sz w:val="26"/>
                <w:szCs w:val="26"/>
                <w:rtl/>
              </w:rPr>
              <w:t>ע"י ב"כ עו"ד שירן ברגמן</w:t>
            </w:r>
          </w:p>
        </w:tc>
        <w:tc>
          <w:tcPr>
            <w:tcW w:w="3727" w:type="dxa"/>
            <w:tcBorders>
              <w:top w:val="nil"/>
              <w:left w:val="nil"/>
              <w:bottom w:val="nil"/>
              <w:right w:val="nil"/>
            </w:tcBorders>
          </w:tcPr>
          <w:p w14:paraId="6C271509" w14:textId="77777777" w:rsidR="002D3A1F" w:rsidRPr="00E271D8" w:rsidRDefault="00E271D8">
            <w:pPr>
              <w:jc w:val="right"/>
              <w:rPr>
                <w:rFonts w:ascii="Arial" w:hAnsi="Arial"/>
                <w:b/>
                <w:bCs/>
                <w:sz w:val="26"/>
                <w:szCs w:val="26"/>
              </w:rPr>
            </w:pPr>
            <w:r w:rsidRPr="00E271D8">
              <w:rPr>
                <w:rFonts w:ascii="Arial" w:hAnsi="Arial"/>
                <w:b/>
                <w:bCs/>
                <w:sz w:val="26"/>
                <w:szCs w:val="26"/>
                <w:rtl/>
              </w:rPr>
              <w:t>ה</w:t>
            </w:r>
            <w:r w:rsidRPr="00E271D8">
              <w:rPr>
                <w:rFonts w:hint="cs"/>
                <w:rtl/>
              </w:rPr>
              <w:t>נאשם</w:t>
            </w:r>
          </w:p>
        </w:tc>
      </w:tr>
    </w:tbl>
    <w:p w14:paraId="7C7776D8" w14:textId="77777777" w:rsidR="00A227CC" w:rsidRDefault="00A227CC">
      <w:pPr>
        <w:rPr>
          <w:rtl/>
        </w:rPr>
      </w:pPr>
      <w:bookmarkStart w:id="3" w:name="LawTable"/>
      <w:bookmarkEnd w:id="3"/>
    </w:p>
    <w:p w14:paraId="0E173C4D" w14:textId="77777777" w:rsidR="00A227CC" w:rsidRPr="00A227CC" w:rsidRDefault="00A227CC" w:rsidP="00A227CC">
      <w:pPr>
        <w:spacing w:after="120" w:line="240" w:lineRule="exact"/>
        <w:ind w:left="283" w:hanging="283"/>
        <w:jc w:val="both"/>
        <w:rPr>
          <w:rFonts w:ascii="FrankRuehl" w:hAnsi="FrankRuehl" w:cs="FrankRuehl"/>
          <w:rtl/>
        </w:rPr>
      </w:pPr>
      <w:r w:rsidRPr="00A227CC">
        <w:rPr>
          <w:rFonts w:ascii="FrankRuehl" w:hAnsi="FrankRuehl" w:cs="FrankRuehl" w:hint="eastAsia"/>
          <w:rtl/>
        </w:rPr>
        <w:t>חקיקה</w:t>
      </w:r>
      <w:r w:rsidRPr="00A227CC">
        <w:rPr>
          <w:rFonts w:ascii="FrankRuehl" w:hAnsi="FrankRuehl" w:cs="FrankRuehl"/>
          <w:rtl/>
        </w:rPr>
        <w:t xml:space="preserve"> </w:t>
      </w:r>
      <w:r w:rsidRPr="00A227CC">
        <w:rPr>
          <w:rFonts w:ascii="FrankRuehl" w:hAnsi="FrankRuehl" w:cs="FrankRuehl" w:hint="eastAsia"/>
          <w:rtl/>
        </w:rPr>
        <w:t>שאוזכרה</w:t>
      </w:r>
      <w:r w:rsidRPr="00A227CC">
        <w:rPr>
          <w:rFonts w:ascii="FrankRuehl" w:hAnsi="FrankRuehl" w:cs="FrankRuehl"/>
          <w:rtl/>
        </w:rPr>
        <w:t xml:space="preserve">: </w:t>
      </w:r>
    </w:p>
    <w:p w14:paraId="2C7104F4" w14:textId="77777777" w:rsidR="00A227CC" w:rsidRPr="00A227CC" w:rsidRDefault="00A227CC" w:rsidP="00A227CC">
      <w:pPr>
        <w:spacing w:after="120" w:line="240" w:lineRule="exact"/>
        <w:ind w:left="283" w:hanging="283"/>
        <w:jc w:val="both"/>
        <w:rPr>
          <w:rFonts w:ascii="FrankRuehl" w:hAnsi="FrankRuehl" w:cs="FrankRuehl"/>
          <w:color w:val="0000FF"/>
          <w:u w:val="single"/>
          <w:rtl/>
        </w:rPr>
      </w:pPr>
      <w:hyperlink r:id="rId7" w:history="1">
        <w:r w:rsidRPr="00A227CC">
          <w:rPr>
            <w:rStyle w:val="Hyperlink"/>
            <w:rFonts w:ascii="FrankRuehl" w:hAnsi="FrankRuehl" w:cs="FrankRuehl" w:hint="eastAsia"/>
            <w:rtl/>
          </w:rPr>
          <w:t>חוק</w:t>
        </w:r>
        <w:r w:rsidRPr="00A227CC">
          <w:rPr>
            <w:rStyle w:val="Hyperlink"/>
            <w:rFonts w:ascii="FrankRuehl" w:hAnsi="FrankRuehl" w:cs="FrankRuehl"/>
            <w:rtl/>
          </w:rPr>
          <w:t xml:space="preserve"> </w:t>
        </w:r>
        <w:r w:rsidRPr="00A227CC">
          <w:rPr>
            <w:rStyle w:val="Hyperlink"/>
            <w:rFonts w:ascii="FrankRuehl" w:hAnsi="FrankRuehl" w:cs="FrankRuehl" w:hint="eastAsia"/>
            <w:rtl/>
          </w:rPr>
          <w:t>העונשין</w:t>
        </w:r>
        <w:r w:rsidRPr="00A227CC">
          <w:rPr>
            <w:rStyle w:val="Hyperlink"/>
            <w:rFonts w:ascii="FrankRuehl" w:hAnsi="FrankRuehl" w:cs="FrankRuehl"/>
            <w:rtl/>
          </w:rPr>
          <w:t xml:space="preserve">, </w:t>
        </w:r>
        <w:r w:rsidRPr="00A227CC">
          <w:rPr>
            <w:rStyle w:val="Hyperlink"/>
            <w:rFonts w:ascii="FrankRuehl" w:hAnsi="FrankRuehl" w:cs="FrankRuehl" w:hint="eastAsia"/>
            <w:rtl/>
          </w:rPr>
          <w:t>תשל</w:t>
        </w:r>
        <w:r w:rsidRPr="00A227CC">
          <w:rPr>
            <w:rStyle w:val="Hyperlink"/>
            <w:rFonts w:ascii="FrankRuehl" w:hAnsi="FrankRuehl" w:cs="FrankRuehl"/>
            <w:rtl/>
          </w:rPr>
          <w:t>"</w:t>
        </w:r>
        <w:r w:rsidRPr="00A227CC">
          <w:rPr>
            <w:rStyle w:val="Hyperlink"/>
            <w:rFonts w:ascii="FrankRuehl" w:hAnsi="FrankRuehl" w:cs="FrankRuehl" w:hint="eastAsia"/>
            <w:rtl/>
          </w:rPr>
          <w:t>ז</w:t>
        </w:r>
        <w:r w:rsidRPr="00A227CC">
          <w:rPr>
            <w:rStyle w:val="Hyperlink"/>
            <w:rFonts w:ascii="FrankRuehl" w:hAnsi="FrankRuehl" w:cs="FrankRuehl"/>
            <w:rtl/>
          </w:rPr>
          <w:t>-1977</w:t>
        </w:r>
      </w:hyperlink>
      <w:r w:rsidRPr="00A227CC">
        <w:rPr>
          <w:rFonts w:ascii="FrankRuehl" w:hAnsi="FrankRuehl" w:cs="FrankRuehl"/>
          <w:color w:val="0000FF"/>
          <w:u w:val="single"/>
          <w:rtl/>
        </w:rPr>
        <w:t xml:space="preserve">: </w:t>
      </w:r>
      <w:r w:rsidRPr="00A227CC">
        <w:rPr>
          <w:rFonts w:ascii="FrankRuehl" w:hAnsi="FrankRuehl" w:cs="FrankRuehl" w:hint="eastAsia"/>
          <w:color w:val="0000FF"/>
          <w:u w:val="single"/>
          <w:rtl/>
        </w:rPr>
        <w:t>סע</w:t>
      </w:r>
      <w:r w:rsidRPr="00A227CC">
        <w:rPr>
          <w:rFonts w:ascii="FrankRuehl" w:hAnsi="FrankRuehl" w:cs="FrankRuehl"/>
          <w:color w:val="0000FF"/>
          <w:u w:val="single"/>
          <w:rtl/>
        </w:rPr>
        <w:t xml:space="preserve">'  </w:t>
      </w:r>
      <w:hyperlink r:id="rId8" w:history="1">
        <w:r w:rsidRPr="00A227CC">
          <w:rPr>
            <w:rStyle w:val="Hyperlink"/>
            <w:rFonts w:ascii="FrankRuehl" w:hAnsi="FrankRuehl" w:cs="FrankRuehl"/>
          </w:rPr>
          <w:t>348(</w:t>
        </w:r>
        <w:r w:rsidRPr="00A227CC">
          <w:rPr>
            <w:rStyle w:val="Hyperlink"/>
            <w:rFonts w:ascii="FrankRuehl" w:hAnsi="FrankRuehl" w:cs="FrankRuehl" w:hint="eastAsia"/>
            <w:rtl/>
          </w:rPr>
          <w:t>ג</w:t>
        </w:r>
        <w:r w:rsidRPr="00A227CC">
          <w:rPr>
            <w:rStyle w:val="Hyperlink"/>
            <w:rFonts w:ascii="FrankRuehl" w:hAnsi="FrankRuehl" w:cs="FrankRuehl"/>
            <w:rtl/>
          </w:rPr>
          <w:t>1</w:t>
        </w:r>
        <w:r w:rsidRPr="00A227CC">
          <w:rPr>
            <w:rStyle w:val="Hyperlink"/>
            <w:rFonts w:ascii="FrankRuehl" w:hAnsi="FrankRuehl" w:cs="FrankRuehl"/>
          </w:rPr>
          <w:t>)</w:t>
        </w:r>
      </w:hyperlink>
    </w:p>
    <w:p w14:paraId="06D7DA36" w14:textId="77777777" w:rsidR="00A227CC" w:rsidRPr="00A227CC" w:rsidRDefault="00A227CC" w:rsidP="00A227CC">
      <w:pPr>
        <w:spacing w:after="120" w:line="240" w:lineRule="exact"/>
        <w:ind w:left="283" w:hanging="283"/>
        <w:jc w:val="both"/>
        <w:rPr>
          <w:rFonts w:ascii="FrankRuehl" w:hAnsi="FrankRuehl" w:cs="FrankRuehl"/>
          <w:color w:val="0000FF"/>
          <w:u w:val="single"/>
          <w:rtl/>
        </w:rPr>
      </w:pPr>
      <w:hyperlink r:id="rId9" w:history="1">
        <w:r w:rsidRPr="00A227CC">
          <w:rPr>
            <w:rStyle w:val="Hyperlink"/>
            <w:rFonts w:ascii="FrankRuehl" w:hAnsi="FrankRuehl" w:cs="FrankRuehl" w:hint="eastAsia"/>
            <w:rtl/>
          </w:rPr>
          <w:t>חוק</w:t>
        </w:r>
        <w:r w:rsidRPr="00A227CC">
          <w:rPr>
            <w:rStyle w:val="Hyperlink"/>
            <w:rFonts w:ascii="FrankRuehl" w:hAnsi="FrankRuehl" w:cs="FrankRuehl"/>
            <w:rtl/>
          </w:rPr>
          <w:t xml:space="preserve"> </w:t>
        </w:r>
        <w:r w:rsidRPr="00A227CC">
          <w:rPr>
            <w:rStyle w:val="Hyperlink"/>
            <w:rFonts w:ascii="FrankRuehl" w:hAnsi="FrankRuehl" w:cs="FrankRuehl" w:hint="eastAsia"/>
            <w:rtl/>
          </w:rPr>
          <w:t>למניעת</w:t>
        </w:r>
        <w:r w:rsidRPr="00A227CC">
          <w:rPr>
            <w:rStyle w:val="Hyperlink"/>
            <w:rFonts w:ascii="FrankRuehl" w:hAnsi="FrankRuehl" w:cs="FrankRuehl"/>
            <w:rtl/>
          </w:rPr>
          <w:t xml:space="preserve"> </w:t>
        </w:r>
        <w:r w:rsidRPr="00A227CC">
          <w:rPr>
            <w:rStyle w:val="Hyperlink"/>
            <w:rFonts w:ascii="FrankRuehl" w:hAnsi="FrankRuehl" w:cs="FrankRuehl" w:hint="eastAsia"/>
            <w:rtl/>
          </w:rPr>
          <w:t>הטרדה</w:t>
        </w:r>
        <w:r w:rsidRPr="00A227CC">
          <w:rPr>
            <w:rStyle w:val="Hyperlink"/>
            <w:rFonts w:ascii="FrankRuehl" w:hAnsi="FrankRuehl" w:cs="FrankRuehl"/>
            <w:rtl/>
          </w:rPr>
          <w:t xml:space="preserve"> </w:t>
        </w:r>
        <w:r w:rsidRPr="00A227CC">
          <w:rPr>
            <w:rStyle w:val="Hyperlink"/>
            <w:rFonts w:ascii="FrankRuehl" w:hAnsi="FrankRuehl" w:cs="FrankRuehl" w:hint="eastAsia"/>
            <w:rtl/>
          </w:rPr>
          <w:t>מינית</w:t>
        </w:r>
        <w:r w:rsidRPr="00A227CC">
          <w:rPr>
            <w:rStyle w:val="Hyperlink"/>
            <w:rFonts w:ascii="FrankRuehl" w:hAnsi="FrankRuehl" w:cs="FrankRuehl"/>
            <w:rtl/>
          </w:rPr>
          <w:t xml:space="preserve">, </w:t>
        </w:r>
        <w:r w:rsidRPr="00A227CC">
          <w:rPr>
            <w:rStyle w:val="Hyperlink"/>
            <w:rFonts w:ascii="FrankRuehl" w:hAnsi="FrankRuehl" w:cs="FrankRuehl" w:hint="eastAsia"/>
            <w:rtl/>
          </w:rPr>
          <w:t>תשנ</w:t>
        </w:r>
        <w:r w:rsidRPr="00A227CC">
          <w:rPr>
            <w:rStyle w:val="Hyperlink"/>
            <w:rFonts w:ascii="FrankRuehl" w:hAnsi="FrankRuehl" w:cs="FrankRuehl"/>
            <w:rtl/>
          </w:rPr>
          <w:t>"</w:t>
        </w:r>
        <w:r w:rsidRPr="00A227CC">
          <w:rPr>
            <w:rStyle w:val="Hyperlink"/>
            <w:rFonts w:ascii="FrankRuehl" w:hAnsi="FrankRuehl" w:cs="FrankRuehl" w:hint="eastAsia"/>
            <w:rtl/>
          </w:rPr>
          <w:t>ח</w:t>
        </w:r>
        <w:r w:rsidRPr="00A227CC">
          <w:rPr>
            <w:rStyle w:val="Hyperlink"/>
            <w:rFonts w:ascii="FrankRuehl" w:hAnsi="FrankRuehl" w:cs="FrankRuehl"/>
            <w:rtl/>
          </w:rPr>
          <w:t>-1998</w:t>
        </w:r>
      </w:hyperlink>
      <w:r w:rsidRPr="00A227CC">
        <w:rPr>
          <w:rFonts w:ascii="FrankRuehl" w:hAnsi="FrankRuehl" w:cs="FrankRuehl"/>
          <w:color w:val="0000FF"/>
          <w:u w:val="single"/>
          <w:rtl/>
        </w:rPr>
        <w:t xml:space="preserve">: </w:t>
      </w:r>
      <w:r w:rsidRPr="00A227CC">
        <w:rPr>
          <w:rFonts w:ascii="FrankRuehl" w:hAnsi="FrankRuehl" w:cs="FrankRuehl" w:hint="eastAsia"/>
          <w:color w:val="0000FF"/>
          <w:u w:val="single"/>
          <w:rtl/>
        </w:rPr>
        <w:t>סע</w:t>
      </w:r>
      <w:r w:rsidRPr="00A227CC">
        <w:rPr>
          <w:rFonts w:ascii="FrankRuehl" w:hAnsi="FrankRuehl" w:cs="FrankRuehl"/>
          <w:color w:val="0000FF"/>
          <w:u w:val="single"/>
          <w:rtl/>
        </w:rPr>
        <w:t xml:space="preserve">'  </w:t>
      </w:r>
      <w:hyperlink r:id="rId10" w:history="1">
        <w:r w:rsidRPr="00A227CC">
          <w:rPr>
            <w:rStyle w:val="Hyperlink"/>
            <w:rFonts w:ascii="FrankRuehl" w:hAnsi="FrankRuehl" w:cs="FrankRuehl"/>
          </w:rPr>
          <w:t>3</w:t>
        </w:r>
      </w:hyperlink>
      <w:r w:rsidRPr="00A227CC">
        <w:rPr>
          <w:rFonts w:ascii="FrankRuehl" w:hAnsi="FrankRuehl" w:cs="FrankRuehl"/>
          <w:color w:val="0000FF"/>
          <w:u w:val="single"/>
          <w:rtl/>
        </w:rPr>
        <w:t xml:space="preserve">, </w:t>
      </w:r>
      <w:hyperlink r:id="rId11" w:history="1">
        <w:r w:rsidRPr="00A227CC">
          <w:rPr>
            <w:rStyle w:val="Hyperlink"/>
            <w:rFonts w:ascii="FrankRuehl" w:hAnsi="FrankRuehl" w:cs="FrankRuehl"/>
          </w:rPr>
          <w:t>3(</w:t>
        </w:r>
        <w:r w:rsidRPr="00A227CC">
          <w:rPr>
            <w:rStyle w:val="Hyperlink"/>
            <w:rFonts w:ascii="FrankRuehl" w:hAnsi="FrankRuehl" w:cs="FrankRuehl" w:hint="eastAsia"/>
            <w:rtl/>
          </w:rPr>
          <w:t>א</w:t>
        </w:r>
        <w:r w:rsidRPr="00A227CC">
          <w:rPr>
            <w:rStyle w:val="Hyperlink"/>
            <w:rFonts w:ascii="FrankRuehl" w:hAnsi="FrankRuehl" w:cs="FrankRuehl"/>
            <w:rtl/>
          </w:rPr>
          <w:t>)(5</w:t>
        </w:r>
        <w:r w:rsidRPr="00A227CC">
          <w:rPr>
            <w:rStyle w:val="Hyperlink"/>
            <w:rFonts w:ascii="FrankRuehl" w:hAnsi="FrankRuehl" w:cs="FrankRuehl"/>
          </w:rPr>
          <w:t>)</w:t>
        </w:r>
      </w:hyperlink>
      <w:r w:rsidRPr="00A227CC">
        <w:rPr>
          <w:rFonts w:ascii="FrankRuehl" w:hAnsi="FrankRuehl" w:cs="FrankRuehl"/>
          <w:color w:val="0000FF"/>
          <w:u w:val="single"/>
          <w:rtl/>
        </w:rPr>
        <w:t xml:space="preserve">, </w:t>
      </w:r>
      <w:hyperlink r:id="rId12" w:history="1">
        <w:r w:rsidRPr="00A227CC">
          <w:rPr>
            <w:rStyle w:val="Hyperlink"/>
            <w:rFonts w:ascii="FrankRuehl" w:hAnsi="FrankRuehl" w:cs="FrankRuehl"/>
          </w:rPr>
          <w:t>5(</w:t>
        </w:r>
        <w:r w:rsidRPr="00A227CC">
          <w:rPr>
            <w:rStyle w:val="Hyperlink"/>
            <w:rFonts w:ascii="FrankRuehl" w:hAnsi="FrankRuehl" w:cs="FrankRuehl" w:hint="eastAsia"/>
            <w:rtl/>
          </w:rPr>
          <w:t>א</w:t>
        </w:r>
        <w:r w:rsidRPr="00A227CC">
          <w:rPr>
            <w:rStyle w:val="Hyperlink"/>
            <w:rFonts w:ascii="FrankRuehl" w:hAnsi="FrankRuehl" w:cs="FrankRuehl"/>
          </w:rPr>
          <w:t>)</w:t>
        </w:r>
      </w:hyperlink>
    </w:p>
    <w:p w14:paraId="21DB0DBB" w14:textId="77777777" w:rsidR="00A227CC" w:rsidRPr="00A227CC" w:rsidRDefault="00A227CC" w:rsidP="00A227CC">
      <w:pPr>
        <w:spacing w:after="120" w:line="240" w:lineRule="exact"/>
        <w:ind w:left="283" w:hanging="283"/>
        <w:jc w:val="both"/>
        <w:rPr>
          <w:rFonts w:ascii="FrankRuehl" w:hAnsi="FrankRuehl" w:cs="FrankRuehl"/>
          <w:color w:val="0000FF"/>
          <w:u w:val="single"/>
          <w:rtl/>
        </w:rPr>
      </w:pPr>
      <w:hyperlink r:id="rId13" w:history="1">
        <w:r w:rsidRPr="00A227CC">
          <w:rPr>
            <w:rStyle w:val="Hyperlink"/>
            <w:rFonts w:ascii="FrankRuehl" w:hAnsi="FrankRuehl" w:cs="FrankRuehl" w:hint="eastAsia"/>
            <w:rtl/>
          </w:rPr>
          <w:t>חוק</w:t>
        </w:r>
        <w:r w:rsidRPr="00A227CC">
          <w:rPr>
            <w:rStyle w:val="Hyperlink"/>
            <w:rFonts w:ascii="FrankRuehl" w:hAnsi="FrankRuehl" w:cs="FrankRuehl"/>
            <w:rtl/>
          </w:rPr>
          <w:t xml:space="preserve"> </w:t>
        </w:r>
        <w:r w:rsidRPr="00A227CC">
          <w:rPr>
            <w:rStyle w:val="Hyperlink"/>
            <w:rFonts w:ascii="FrankRuehl" w:hAnsi="FrankRuehl" w:cs="FrankRuehl" w:hint="eastAsia"/>
            <w:rtl/>
          </w:rPr>
          <w:t>סדר</w:t>
        </w:r>
        <w:r w:rsidRPr="00A227CC">
          <w:rPr>
            <w:rStyle w:val="Hyperlink"/>
            <w:rFonts w:ascii="FrankRuehl" w:hAnsi="FrankRuehl" w:cs="FrankRuehl"/>
            <w:rtl/>
          </w:rPr>
          <w:t xml:space="preserve"> </w:t>
        </w:r>
        <w:r w:rsidRPr="00A227CC">
          <w:rPr>
            <w:rStyle w:val="Hyperlink"/>
            <w:rFonts w:ascii="FrankRuehl" w:hAnsi="FrankRuehl" w:cs="FrankRuehl" w:hint="eastAsia"/>
            <w:rtl/>
          </w:rPr>
          <w:t>הדין</w:t>
        </w:r>
        <w:r w:rsidRPr="00A227CC">
          <w:rPr>
            <w:rStyle w:val="Hyperlink"/>
            <w:rFonts w:ascii="FrankRuehl" w:hAnsi="FrankRuehl" w:cs="FrankRuehl"/>
            <w:rtl/>
          </w:rPr>
          <w:t xml:space="preserve"> </w:t>
        </w:r>
        <w:r w:rsidRPr="00A227CC">
          <w:rPr>
            <w:rStyle w:val="Hyperlink"/>
            <w:rFonts w:ascii="FrankRuehl" w:hAnsi="FrankRuehl" w:cs="FrankRuehl" w:hint="eastAsia"/>
            <w:rtl/>
          </w:rPr>
          <w:t>הפלילי</w:t>
        </w:r>
        <w:r w:rsidRPr="00A227CC">
          <w:rPr>
            <w:rStyle w:val="Hyperlink"/>
            <w:rFonts w:ascii="FrankRuehl" w:hAnsi="FrankRuehl" w:cs="FrankRuehl"/>
            <w:rtl/>
          </w:rPr>
          <w:t xml:space="preserve"> [</w:t>
        </w:r>
        <w:r w:rsidRPr="00A227CC">
          <w:rPr>
            <w:rStyle w:val="Hyperlink"/>
            <w:rFonts w:ascii="FrankRuehl" w:hAnsi="FrankRuehl" w:cs="FrankRuehl" w:hint="eastAsia"/>
            <w:rtl/>
          </w:rPr>
          <w:t>נוסח</w:t>
        </w:r>
        <w:r w:rsidRPr="00A227CC">
          <w:rPr>
            <w:rStyle w:val="Hyperlink"/>
            <w:rFonts w:ascii="FrankRuehl" w:hAnsi="FrankRuehl" w:cs="FrankRuehl"/>
            <w:rtl/>
          </w:rPr>
          <w:t xml:space="preserve"> </w:t>
        </w:r>
        <w:r w:rsidRPr="00A227CC">
          <w:rPr>
            <w:rStyle w:val="Hyperlink"/>
            <w:rFonts w:ascii="FrankRuehl" w:hAnsi="FrankRuehl" w:cs="FrankRuehl" w:hint="eastAsia"/>
            <w:rtl/>
          </w:rPr>
          <w:t>משולב</w:t>
        </w:r>
        <w:r w:rsidRPr="00A227CC">
          <w:rPr>
            <w:rStyle w:val="Hyperlink"/>
            <w:rFonts w:ascii="FrankRuehl" w:hAnsi="FrankRuehl" w:cs="FrankRuehl"/>
            <w:rtl/>
          </w:rPr>
          <w:t xml:space="preserve">], </w:t>
        </w:r>
        <w:r w:rsidRPr="00A227CC">
          <w:rPr>
            <w:rStyle w:val="Hyperlink"/>
            <w:rFonts w:ascii="FrankRuehl" w:hAnsi="FrankRuehl" w:cs="FrankRuehl" w:hint="eastAsia"/>
            <w:rtl/>
          </w:rPr>
          <w:t>תשמ</w:t>
        </w:r>
        <w:r w:rsidRPr="00A227CC">
          <w:rPr>
            <w:rStyle w:val="Hyperlink"/>
            <w:rFonts w:ascii="FrankRuehl" w:hAnsi="FrankRuehl" w:cs="FrankRuehl"/>
            <w:rtl/>
          </w:rPr>
          <w:t>"</w:t>
        </w:r>
        <w:r w:rsidRPr="00A227CC">
          <w:rPr>
            <w:rStyle w:val="Hyperlink"/>
            <w:rFonts w:ascii="FrankRuehl" w:hAnsi="FrankRuehl" w:cs="FrankRuehl" w:hint="eastAsia"/>
            <w:rtl/>
          </w:rPr>
          <w:t>ב</w:t>
        </w:r>
        <w:r w:rsidRPr="00A227CC">
          <w:rPr>
            <w:rStyle w:val="Hyperlink"/>
            <w:rFonts w:ascii="FrankRuehl" w:hAnsi="FrankRuehl" w:cs="FrankRuehl"/>
            <w:rtl/>
          </w:rPr>
          <w:t>-1982</w:t>
        </w:r>
      </w:hyperlink>
      <w:r w:rsidRPr="00A227CC">
        <w:rPr>
          <w:rFonts w:ascii="FrankRuehl" w:hAnsi="FrankRuehl" w:cs="FrankRuehl"/>
          <w:color w:val="0000FF"/>
          <w:u w:val="single"/>
          <w:rtl/>
        </w:rPr>
        <w:t xml:space="preserve">: </w:t>
      </w:r>
      <w:r w:rsidRPr="00A227CC">
        <w:rPr>
          <w:rFonts w:ascii="FrankRuehl" w:hAnsi="FrankRuehl" w:cs="FrankRuehl" w:hint="eastAsia"/>
          <w:color w:val="0000FF"/>
          <w:u w:val="single"/>
          <w:rtl/>
        </w:rPr>
        <w:t>סע</w:t>
      </w:r>
      <w:r w:rsidRPr="00A227CC">
        <w:rPr>
          <w:rFonts w:ascii="FrankRuehl" w:hAnsi="FrankRuehl" w:cs="FrankRuehl"/>
          <w:color w:val="0000FF"/>
          <w:u w:val="single"/>
          <w:rtl/>
        </w:rPr>
        <w:t xml:space="preserve">'  </w:t>
      </w:r>
      <w:hyperlink r:id="rId14" w:history="1">
        <w:r w:rsidRPr="00A227CC">
          <w:rPr>
            <w:rStyle w:val="Hyperlink"/>
            <w:rFonts w:ascii="FrankRuehl" w:hAnsi="FrankRuehl" w:cs="FrankRuehl"/>
          </w:rPr>
          <w:t>184</w:t>
        </w:r>
      </w:hyperlink>
    </w:p>
    <w:p w14:paraId="6BAA76AE" w14:textId="77777777" w:rsidR="00A227CC" w:rsidRPr="00A227CC" w:rsidRDefault="00A227CC" w:rsidP="00A227C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3A1F" w:rsidRPr="00E271D8" w14:paraId="5C3A5358" w14:textId="77777777">
        <w:trPr>
          <w:trHeight w:val="355"/>
          <w:jc w:val="center"/>
        </w:trPr>
        <w:tc>
          <w:tcPr>
            <w:tcW w:w="8820" w:type="dxa"/>
            <w:tcBorders>
              <w:top w:val="nil"/>
              <w:left w:val="nil"/>
              <w:bottom w:val="nil"/>
              <w:right w:val="nil"/>
            </w:tcBorders>
          </w:tcPr>
          <w:p w14:paraId="0597D073" w14:textId="77777777" w:rsidR="00E271D8" w:rsidRPr="00E271D8" w:rsidRDefault="00E271D8" w:rsidP="00E271D8">
            <w:pPr>
              <w:jc w:val="center"/>
              <w:rPr>
                <w:rFonts w:ascii="Arial" w:hAnsi="Arial"/>
                <w:b/>
                <w:bCs/>
                <w:sz w:val="36"/>
                <w:szCs w:val="36"/>
                <w:rtl/>
              </w:rPr>
            </w:pPr>
            <w:bookmarkStart w:id="4" w:name="LawTable_End"/>
            <w:bookmarkStart w:id="5" w:name="PsakDin" w:colFirst="0" w:colLast="0"/>
            <w:bookmarkEnd w:id="0"/>
            <w:bookmarkEnd w:id="4"/>
          </w:p>
          <w:p w14:paraId="2C247A29" w14:textId="77777777" w:rsidR="00E271D8" w:rsidRPr="00E271D8" w:rsidRDefault="00E271D8" w:rsidP="00E271D8">
            <w:pPr>
              <w:jc w:val="center"/>
              <w:rPr>
                <w:rFonts w:ascii="Arial" w:hAnsi="Arial"/>
                <w:b/>
                <w:bCs/>
                <w:sz w:val="36"/>
                <w:szCs w:val="36"/>
                <w:rtl/>
              </w:rPr>
            </w:pPr>
            <w:r w:rsidRPr="00E271D8">
              <w:rPr>
                <w:rFonts w:ascii="Arial" w:hAnsi="Arial"/>
                <w:b/>
                <w:bCs/>
                <w:sz w:val="36"/>
                <w:szCs w:val="36"/>
                <w:rtl/>
              </w:rPr>
              <w:t>הכרעת דין</w:t>
            </w:r>
          </w:p>
          <w:p w14:paraId="0E6F3B15" w14:textId="77777777" w:rsidR="002D3A1F" w:rsidRPr="00E271D8" w:rsidRDefault="002D3A1F" w:rsidP="00E271D8">
            <w:pPr>
              <w:jc w:val="center"/>
              <w:rPr>
                <w:rFonts w:ascii="Arial" w:hAnsi="Arial"/>
                <w:bCs/>
                <w:sz w:val="36"/>
                <w:szCs w:val="36"/>
                <w:rtl/>
              </w:rPr>
            </w:pPr>
          </w:p>
        </w:tc>
      </w:tr>
      <w:bookmarkEnd w:id="5"/>
    </w:tbl>
    <w:p w14:paraId="449C3215" w14:textId="77777777" w:rsidR="002D3A1F" w:rsidRDefault="002D3A1F">
      <w:pPr>
        <w:rPr>
          <w:rFonts w:ascii="Arial" w:hAnsi="Arial" w:cs="FrankRuehl"/>
          <w:sz w:val="28"/>
          <w:szCs w:val="28"/>
          <w:rtl/>
        </w:rPr>
      </w:pPr>
    </w:p>
    <w:p w14:paraId="373A24AC" w14:textId="77777777" w:rsidR="002D3A1F" w:rsidRDefault="00E271D8">
      <w:pPr>
        <w:numPr>
          <w:ilvl w:val="0"/>
          <w:numId w:val="1"/>
        </w:numPr>
        <w:tabs>
          <w:tab w:val="num" w:pos="540"/>
        </w:tabs>
        <w:spacing w:line="360" w:lineRule="auto"/>
        <w:ind w:left="540" w:hanging="540"/>
        <w:jc w:val="both"/>
        <w:rPr>
          <w:sz w:val="28"/>
          <w:szCs w:val="28"/>
          <w:rtl/>
        </w:rPr>
      </w:pPr>
      <w:r>
        <w:rPr>
          <w:rFonts w:hint="cs"/>
          <w:b/>
          <w:bCs/>
          <w:sz w:val="28"/>
          <w:szCs w:val="28"/>
          <w:rtl/>
        </w:rPr>
        <w:t>על פי עובדות כתב האישום</w:t>
      </w:r>
      <w:r>
        <w:rPr>
          <w:rFonts w:hint="cs"/>
          <w:sz w:val="28"/>
          <w:szCs w:val="28"/>
          <w:rtl/>
        </w:rPr>
        <w:t xml:space="preserve"> שלפניי במשך כשנתיים וחצי עד לשלהי שנת 2010 או בסמוך לכך, שכרה א.צ (להלן: "</w:t>
      </w:r>
      <w:r>
        <w:rPr>
          <w:rFonts w:hint="cs"/>
          <w:b/>
          <w:bCs/>
          <w:sz w:val="28"/>
          <w:szCs w:val="28"/>
          <w:rtl/>
        </w:rPr>
        <w:t>המתלוננת</w:t>
      </w:r>
      <w:r>
        <w:rPr>
          <w:rFonts w:hint="cs"/>
          <w:sz w:val="28"/>
          <w:szCs w:val="28"/>
          <w:rtl/>
        </w:rPr>
        <w:t xml:space="preserve">") עם ארבעת ילדיה דירה מהנאשם ברחוב אלחריזי בחולון. </w:t>
      </w:r>
    </w:p>
    <w:p w14:paraId="4C9DBA8B" w14:textId="77777777" w:rsidR="002D3A1F" w:rsidRDefault="00E271D8">
      <w:pPr>
        <w:spacing w:line="360" w:lineRule="auto"/>
        <w:ind w:left="540"/>
        <w:jc w:val="both"/>
        <w:rPr>
          <w:sz w:val="28"/>
          <w:szCs w:val="28"/>
          <w:rtl/>
        </w:rPr>
      </w:pPr>
      <w:bookmarkStart w:id="6" w:name="ABSTRACT_START"/>
      <w:bookmarkEnd w:id="6"/>
      <w:r>
        <w:rPr>
          <w:rFonts w:hint="cs"/>
          <w:sz w:val="28"/>
          <w:szCs w:val="28"/>
          <w:rtl/>
        </w:rPr>
        <w:t>בתאריך 9.6.2010 בשעה 10:00 או בסמוך לכך, הגיעה המתלוננת למקום עבודתו של הנאשם באזור התעשייה בחולון, על מנת לבקש ממנו, כדרישת המוסד לביטוח לאומי, מכתב אישור על כך שהיא שוכרת ממנו דירה, לשם קבלת דמי הבטחת הכנסה (להלן: "</w:t>
      </w:r>
      <w:r>
        <w:rPr>
          <w:rFonts w:hint="cs"/>
          <w:b/>
          <w:bCs/>
          <w:sz w:val="28"/>
          <w:szCs w:val="28"/>
          <w:rtl/>
        </w:rPr>
        <w:t>המכתב</w:t>
      </w:r>
      <w:r>
        <w:rPr>
          <w:rFonts w:hint="cs"/>
          <w:sz w:val="28"/>
          <w:szCs w:val="28"/>
          <w:rtl/>
        </w:rPr>
        <w:t xml:space="preserve">"). </w:t>
      </w:r>
    </w:p>
    <w:p w14:paraId="5A0A3B17" w14:textId="77777777" w:rsidR="002D3A1F" w:rsidRDefault="00E271D8">
      <w:pPr>
        <w:spacing w:line="360" w:lineRule="auto"/>
        <w:ind w:left="540"/>
        <w:jc w:val="both"/>
        <w:rPr>
          <w:sz w:val="28"/>
          <w:szCs w:val="28"/>
          <w:rtl/>
        </w:rPr>
      </w:pPr>
      <w:r>
        <w:rPr>
          <w:rFonts w:hint="cs"/>
          <w:sz w:val="28"/>
          <w:szCs w:val="28"/>
          <w:rtl/>
        </w:rPr>
        <w:t xml:space="preserve">בתגובה לבקשת המתלוננת מהנאשם לכתוב עבורה את המכתב ביצע בה הנאשם מעשה מגונה, שלא בהסכמתה תוך הפעלת אמצעי לחץ, בכך שאמר לה "היום </w:t>
      </w:r>
      <w:r>
        <w:rPr>
          <w:rFonts w:hint="cs"/>
          <w:sz w:val="28"/>
          <w:szCs w:val="28"/>
          <w:rtl/>
        </w:rPr>
        <w:lastRenderedPageBreak/>
        <w:t xml:space="preserve">את לבושה צנוע", ליטף את ראשה וציין שיכין לה את המכתב אם תתיר לו לגעת בחזהּ. </w:t>
      </w:r>
    </w:p>
    <w:p w14:paraId="5589BDF7" w14:textId="77777777" w:rsidR="002D3A1F" w:rsidRDefault="00E271D8">
      <w:pPr>
        <w:spacing w:line="360" w:lineRule="auto"/>
        <w:ind w:left="540"/>
        <w:jc w:val="both"/>
        <w:rPr>
          <w:sz w:val="28"/>
          <w:szCs w:val="28"/>
          <w:rtl/>
        </w:rPr>
      </w:pPr>
      <w:r>
        <w:rPr>
          <w:rFonts w:hint="cs"/>
          <w:sz w:val="28"/>
          <w:szCs w:val="28"/>
          <w:rtl/>
        </w:rPr>
        <w:t xml:space="preserve">הנאשם התקרב למתלוננת, נגע בשדיה מעל הבגדים תוך שהוא אומר "רק קצת", המתלוננת נרתעה ממעשיו, פסעה אחורה וביקשה ממנו שיחדל, שכן היא רק רוצה את המכתב ומבקשת ללכת. </w:t>
      </w:r>
    </w:p>
    <w:p w14:paraId="20499A0E" w14:textId="77777777" w:rsidR="002D3A1F" w:rsidRDefault="00E271D8">
      <w:pPr>
        <w:spacing w:line="360" w:lineRule="auto"/>
        <w:ind w:left="540"/>
        <w:jc w:val="both"/>
        <w:rPr>
          <w:sz w:val="28"/>
          <w:szCs w:val="28"/>
          <w:rtl/>
        </w:rPr>
      </w:pPr>
      <w:r>
        <w:rPr>
          <w:rFonts w:hint="cs"/>
          <w:sz w:val="28"/>
          <w:szCs w:val="28"/>
          <w:rtl/>
        </w:rPr>
        <w:t xml:space="preserve">לאחר שכתב את המכתב חסם הנאשם בגופו את דרכה של המתלוננת החוצה ורק כשציינה בפניו כי הגרוש שלה מרצה מאסר בבית הסוהר, אפשר לה לעבור. </w:t>
      </w:r>
    </w:p>
    <w:p w14:paraId="42A7BF16" w14:textId="77777777" w:rsidR="002D3A1F" w:rsidRDefault="00E271D8">
      <w:pPr>
        <w:spacing w:line="360" w:lineRule="auto"/>
        <w:ind w:left="540"/>
        <w:jc w:val="both"/>
        <w:rPr>
          <w:sz w:val="28"/>
          <w:szCs w:val="28"/>
          <w:rtl/>
        </w:rPr>
      </w:pPr>
      <w:r>
        <w:rPr>
          <w:rFonts w:hint="cs"/>
          <w:sz w:val="28"/>
          <w:szCs w:val="28"/>
          <w:rtl/>
        </w:rPr>
        <w:t xml:space="preserve">בגין מעשיו אלה מואשם הנאשם, בפרק הוראות החיקוק, בביצוע מעשה מגונה תוך הפעלת אמצעי לחץ, על פי </w:t>
      </w:r>
      <w:hyperlink r:id="rId15" w:history="1">
        <w:r w:rsidR="00A227CC" w:rsidRPr="00A227CC">
          <w:rPr>
            <w:rStyle w:val="Hyperlink"/>
            <w:rFonts w:hint="eastAsia"/>
            <w:sz w:val="28"/>
            <w:szCs w:val="28"/>
            <w:rtl/>
          </w:rPr>
          <w:t>סעיף</w:t>
        </w:r>
        <w:r w:rsidR="00A227CC" w:rsidRPr="00A227CC">
          <w:rPr>
            <w:rStyle w:val="Hyperlink"/>
            <w:sz w:val="28"/>
            <w:szCs w:val="28"/>
            <w:rtl/>
          </w:rPr>
          <w:t xml:space="preserve"> 348(</w:t>
        </w:r>
        <w:r w:rsidR="00A227CC" w:rsidRPr="00A227CC">
          <w:rPr>
            <w:rStyle w:val="Hyperlink"/>
            <w:rFonts w:hint="eastAsia"/>
            <w:sz w:val="28"/>
            <w:szCs w:val="28"/>
            <w:rtl/>
          </w:rPr>
          <w:t>ג</w:t>
        </w:r>
        <w:r w:rsidR="00A227CC" w:rsidRPr="00A227CC">
          <w:rPr>
            <w:rStyle w:val="Hyperlink"/>
            <w:sz w:val="28"/>
            <w:szCs w:val="28"/>
            <w:rtl/>
          </w:rPr>
          <w:t>1)</w:t>
        </w:r>
      </w:hyperlink>
      <w:r>
        <w:rPr>
          <w:rFonts w:hint="cs"/>
          <w:sz w:val="28"/>
          <w:szCs w:val="28"/>
          <w:rtl/>
        </w:rPr>
        <w:t xml:space="preserve"> ל</w:t>
      </w:r>
      <w:hyperlink r:id="rId16" w:history="1">
        <w:r w:rsidRPr="00E271D8">
          <w:rPr>
            <w:rFonts w:hint="eastAsia"/>
            <w:color w:val="0000FF"/>
            <w:sz w:val="28"/>
            <w:szCs w:val="28"/>
            <w:u w:val="single"/>
            <w:rtl/>
          </w:rPr>
          <w:t>חוק</w:t>
        </w:r>
        <w:r w:rsidRPr="00E271D8">
          <w:rPr>
            <w:color w:val="0000FF"/>
            <w:sz w:val="28"/>
            <w:szCs w:val="28"/>
            <w:u w:val="single"/>
            <w:rtl/>
          </w:rPr>
          <w:t xml:space="preserve"> </w:t>
        </w:r>
        <w:r w:rsidRPr="00E271D8">
          <w:rPr>
            <w:rFonts w:hint="eastAsia"/>
            <w:color w:val="0000FF"/>
            <w:sz w:val="28"/>
            <w:szCs w:val="28"/>
            <w:u w:val="single"/>
            <w:rtl/>
          </w:rPr>
          <w:t>העונשין</w:t>
        </w:r>
      </w:hyperlink>
      <w:r>
        <w:rPr>
          <w:rFonts w:hint="cs"/>
          <w:sz w:val="28"/>
          <w:szCs w:val="28"/>
          <w:rtl/>
        </w:rPr>
        <w:t xml:space="preserve">, תשל"ז-1977 </w:t>
      </w:r>
      <w:bookmarkStart w:id="7" w:name="ABSTRACT_END"/>
      <w:bookmarkEnd w:id="7"/>
      <w:r>
        <w:rPr>
          <w:rFonts w:hint="cs"/>
          <w:sz w:val="28"/>
          <w:szCs w:val="28"/>
          <w:rtl/>
        </w:rPr>
        <w:t xml:space="preserve">(להלן: </w:t>
      </w:r>
      <w:r>
        <w:rPr>
          <w:rFonts w:hint="cs"/>
          <w:b/>
          <w:bCs/>
          <w:sz w:val="28"/>
          <w:szCs w:val="28"/>
          <w:rtl/>
        </w:rPr>
        <w:t>"חוק העונשין</w:t>
      </w:r>
      <w:r>
        <w:rPr>
          <w:rFonts w:hint="cs"/>
          <w:sz w:val="28"/>
          <w:szCs w:val="28"/>
          <w:rtl/>
        </w:rPr>
        <w:t>").</w:t>
      </w:r>
    </w:p>
    <w:p w14:paraId="385A8B14" w14:textId="77777777" w:rsidR="002D3A1F" w:rsidRDefault="002D3A1F">
      <w:pPr>
        <w:tabs>
          <w:tab w:val="num" w:pos="540"/>
        </w:tabs>
        <w:spacing w:line="360" w:lineRule="auto"/>
        <w:ind w:left="540" w:hanging="540"/>
        <w:jc w:val="both"/>
        <w:rPr>
          <w:sz w:val="28"/>
          <w:szCs w:val="28"/>
          <w:rtl/>
        </w:rPr>
      </w:pPr>
    </w:p>
    <w:p w14:paraId="0496612D" w14:textId="77777777" w:rsidR="002D3A1F" w:rsidRDefault="00E271D8">
      <w:pPr>
        <w:numPr>
          <w:ilvl w:val="0"/>
          <w:numId w:val="1"/>
        </w:numPr>
        <w:tabs>
          <w:tab w:val="num" w:pos="540"/>
        </w:tabs>
        <w:spacing w:line="360" w:lineRule="auto"/>
        <w:ind w:left="540" w:hanging="540"/>
        <w:jc w:val="both"/>
        <w:rPr>
          <w:sz w:val="28"/>
          <w:szCs w:val="28"/>
        </w:rPr>
      </w:pPr>
      <w:r>
        <w:rPr>
          <w:rFonts w:hint="cs"/>
          <w:b/>
          <w:bCs/>
          <w:sz w:val="28"/>
          <w:szCs w:val="28"/>
          <w:rtl/>
        </w:rPr>
        <w:t xml:space="preserve">במענה לכתב האישום, </w:t>
      </w:r>
      <w:r>
        <w:rPr>
          <w:rFonts w:hint="cs"/>
          <w:sz w:val="28"/>
          <w:szCs w:val="28"/>
          <w:rtl/>
        </w:rPr>
        <w:t xml:space="preserve">הודה הנאשם בעובדה שהשכיר דירה למתלוננת ואת קיומו של המפגש ביניהם במקום עבודתו, אך הכחיש כל נגיעה במתלוננת או מעשה מגונה בה. </w:t>
      </w:r>
    </w:p>
    <w:p w14:paraId="181AA5D6" w14:textId="77777777" w:rsidR="002D3A1F" w:rsidRDefault="002D3A1F">
      <w:pPr>
        <w:tabs>
          <w:tab w:val="num" w:pos="540"/>
        </w:tabs>
        <w:spacing w:line="360" w:lineRule="auto"/>
        <w:ind w:left="540" w:hanging="540"/>
        <w:jc w:val="both"/>
        <w:rPr>
          <w:sz w:val="28"/>
          <w:szCs w:val="28"/>
          <w:rtl/>
        </w:rPr>
      </w:pPr>
    </w:p>
    <w:p w14:paraId="5158B5D8" w14:textId="77777777" w:rsidR="002D3A1F" w:rsidRDefault="00E271D8">
      <w:pPr>
        <w:numPr>
          <w:ilvl w:val="0"/>
          <w:numId w:val="1"/>
        </w:numPr>
        <w:tabs>
          <w:tab w:val="num" w:pos="540"/>
        </w:tabs>
        <w:spacing w:line="360" w:lineRule="auto"/>
        <w:ind w:left="540" w:hanging="540"/>
        <w:jc w:val="both"/>
        <w:rPr>
          <w:sz w:val="28"/>
          <w:szCs w:val="28"/>
          <w:rtl/>
        </w:rPr>
      </w:pPr>
      <w:r>
        <w:rPr>
          <w:rFonts w:hint="cs"/>
          <w:sz w:val="28"/>
          <w:szCs w:val="28"/>
          <w:rtl/>
        </w:rPr>
        <w:t>בעדותו בבית המשפט חזר על הגרסה, אותה מסר בשתי הזדמנויות קודמות, הראשונה – במהלך חקירתו במשטרה בתאריך 5.12.11, כשנה וחצי לאחר האירוע, והשנייה – יום למחרת בתאריך 6.12.11, במהלך העימות עם המתלוננת. על פי גרסתו, בה התמיד בעקביות, אכן הגיעה אליו יום אחד המתלוננת למקום עבודתו, בקשר למכתב, שאת מטרתו המדויקת לא זכר, כשהיא לבושה בחולצת טי-שרט יחסית צנועה, שלא כהרגלה.</w:t>
      </w:r>
    </w:p>
    <w:p w14:paraId="5344F4A9" w14:textId="77777777" w:rsidR="002D3A1F" w:rsidRDefault="00E271D8">
      <w:pPr>
        <w:spacing w:line="360" w:lineRule="auto"/>
        <w:ind w:left="540"/>
        <w:jc w:val="both"/>
        <w:rPr>
          <w:sz w:val="28"/>
          <w:szCs w:val="28"/>
        </w:rPr>
      </w:pPr>
      <w:r>
        <w:rPr>
          <w:rFonts w:hint="cs"/>
          <w:sz w:val="28"/>
          <w:szCs w:val="28"/>
          <w:rtl/>
        </w:rPr>
        <w:t>על כן העיר לה ואמר "</w:t>
      </w:r>
      <w:r>
        <w:rPr>
          <w:rFonts w:hint="cs"/>
          <w:b/>
          <w:bCs/>
          <w:sz w:val="28"/>
          <w:szCs w:val="28"/>
          <w:rtl/>
        </w:rPr>
        <w:t>היום באת צנועה</w:t>
      </w:r>
      <w:r>
        <w:rPr>
          <w:rFonts w:hint="cs"/>
          <w:sz w:val="28"/>
          <w:szCs w:val="28"/>
          <w:rtl/>
        </w:rPr>
        <w:t>". על כך השיבה לו המתלוננת שהיא לא צנועה ושזה חשוף ובתגובה אמר לה שבא לו "</w:t>
      </w:r>
      <w:r>
        <w:rPr>
          <w:rFonts w:hint="cs"/>
          <w:b/>
          <w:bCs/>
          <w:sz w:val="28"/>
          <w:szCs w:val="28"/>
          <w:rtl/>
        </w:rPr>
        <w:t>למחוץ לה את החזה או את הציצי</w:t>
      </w:r>
      <w:r>
        <w:rPr>
          <w:rFonts w:hint="cs"/>
          <w:sz w:val="28"/>
          <w:szCs w:val="28"/>
          <w:rtl/>
        </w:rPr>
        <w:t>".</w:t>
      </w:r>
    </w:p>
    <w:p w14:paraId="176AE564" w14:textId="77777777" w:rsidR="002D3A1F" w:rsidRDefault="00E271D8">
      <w:pPr>
        <w:spacing w:line="360" w:lineRule="auto"/>
        <w:ind w:left="540"/>
        <w:jc w:val="both"/>
        <w:rPr>
          <w:sz w:val="28"/>
          <w:szCs w:val="28"/>
          <w:rtl/>
        </w:rPr>
      </w:pPr>
      <w:r>
        <w:rPr>
          <w:rFonts w:hint="cs"/>
          <w:sz w:val="28"/>
          <w:szCs w:val="28"/>
          <w:rtl/>
        </w:rPr>
        <w:t>המתלוננת הגיבה שהוא מביך אותה "</w:t>
      </w:r>
      <w:r>
        <w:rPr>
          <w:rFonts w:hint="cs"/>
          <w:b/>
          <w:bCs/>
          <w:sz w:val="28"/>
          <w:szCs w:val="28"/>
          <w:rtl/>
        </w:rPr>
        <w:t>ובזה נגמר העניין</w:t>
      </w:r>
      <w:r>
        <w:rPr>
          <w:rFonts w:hint="cs"/>
          <w:sz w:val="28"/>
          <w:szCs w:val="28"/>
          <w:rtl/>
        </w:rPr>
        <w:t>".</w:t>
      </w:r>
    </w:p>
    <w:p w14:paraId="7AEEF9AD" w14:textId="77777777" w:rsidR="002D3A1F" w:rsidRDefault="002D3A1F">
      <w:pPr>
        <w:spacing w:line="360" w:lineRule="auto"/>
        <w:ind w:left="540"/>
        <w:jc w:val="both"/>
        <w:rPr>
          <w:sz w:val="28"/>
          <w:szCs w:val="28"/>
          <w:rtl/>
        </w:rPr>
      </w:pPr>
    </w:p>
    <w:p w14:paraId="3CED6592" w14:textId="77777777" w:rsidR="002D3A1F" w:rsidRDefault="00E271D8">
      <w:pPr>
        <w:numPr>
          <w:ilvl w:val="0"/>
          <w:numId w:val="1"/>
        </w:numPr>
        <w:tabs>
          <w:tab w:val="num" w:pos="540"/>
        </w:tabs>
        <w:spacing w:line="360" w:lineRule="auto"/>
        <w:ind w:left="540" w:hanging="540"/>
        <w:jc w:val="both"/>
        <w:rPr>
          <w:sz w:val="28"/>
          <w:szCs w:val="28"/>
          <w:rtl/>
        </w:rPr>
      </w:pPr>
      <w:r>
        <w:rPr>
          <w:rFonts w:hint="cs"/>
          <w:sz w:val="28"/>
          <w:szCs w:val="28"/>
          <w:rtl/>
        </w:rPr>
        <w:t>אין מחלוקת, אפוא, שהנאשם אמר למתלוננת שהיא לבושה צנוע וכי הוא רוצה לגעת לה בחזה.</w:t>
      </w:r>
    </w:p>
    <w:p w14:paraId="7A5E7876" w14:textId="77777777" w:rsidR="002D3A1F" w:rsidRDefault="00E271D8">
      <w:pPr>
        <w:spacing w:line="360" w:lineRule="auto"/>
        <w:ind w:left="540"/>
        <w:jc w:val="both"/>
        <w:rPr>
          <w:sz w:val="28"/>
          <w:szCs w:val="28"/>
        </w:rPr>
      </w:pPr>
      <w:r>
        <w:rPr>
          <w:rFonts w:hint="cs"/>
          <w:sz w:val="28"/>
          <w:szCs w:val="28"/>
          <w:rtl/>
        </w:rPr>
        <w:lastRenderedPageBreak/>
        <w:t>המחלוקת נוגעת לשאלה האם הנאשם התנה את הכנת המכתב שביקשה ממנו המתלוננת בהסכמתה שיגע בחזה והאם בפועל ליטף את ראשה ונגע בחזה, כמיוחס לנאשם בעובדות כתב האישום.</w:t>
      </w:r>
    </w:p>
    <w:p w14:paraId="154052B0" w14:textId="77777777" w:rsidR="002D3A1F" w:rsidRDefault="002D3A1F">
      <w:pPr>
        <w:spacing w:line="360" w:lineRule="auto"/>
        <w:ind w:left="540"/>
        <w:jc w:val="both"/>
        <w:rPr>
          <w:sz w:val="28"/>
          <w:szCs w:val="28"/>
          <w:rtl/>
        </w:rPr>
      </w:pPr>
    </w:p>
    <w:p w14:paraId="5FB0DB50" w14:textId="77777777" w:rsidR="002D3A1F" w:rsidRDefault="00E271D8">
      <w:pPr>
        <w:numPr>
          <w:ilvl w:val="0"/>
          <w:numId w:val="1"/>
        </w:numPr>
        <w:tabs>
          <w:tab w:val="num" w:pos="540"/>
        </w:tabs>
        <w:spacing w:line="360" w:lineRule="auto"/>
        <w:ind w:left="540" w:hanging="540"/>
        <w:jc w:val="both"/>
        <w:rPr>
          <w:sz w:val="28"/>
          <w:szCs w:val="28"/>
          <w:rtl/>
        </w:rPr>
      </w:pPr>
      <w:r>
        <w:rPr>
          <w:rFonts w:hint="cs"/>
          <w:sz w:val="28"/>
          <w:szCs w:val="28"/>
          <w:rtl/>
        </w:rPr>
        <w:t>מטבע הדברים האירוע התרחש כשרק המתלוננת והנאשם נוכחים בחדר ומכאן שראיית התביעה היחידה, הנוגעת לעובדות השנויות במחלוקת, הינה עדותה של המתלוננת.</w:t>
      </w:r>
    </w:p>
    <w:p w14:paraId="1EDA80CE" w14:textId="77777777" w:rsidR="002D3A1F" w:rsidRDefault="00E271D8">
      <w:pPr>
        <w:spacing w:line="360" w:lineRule="auto"/>
        <w:ind w:left="540"/>
        <w:jc w:val="both"/>
        <w:rPr>
          <w:sz w:val="28"/>
          <w:szCs w:val="28"/>
        </w:rPr>
      </w:pPr>
      <w:r>
        <w:rPr>
          <w:rFonts w:hint="cs"/>
          <w:sz w:val="28"/>
          <w:szCs w:val="28"/>
          <w:rtl/>
        </w:rPr>
        <w:t xml:space="preserve">כאשר ניצב בית המשפט בפני הכרעה על פי עדות יחידה שומה עליו להזהיר עצמו בטרם הרשעה על פיה ומכאן שיש לבחון בזהירות את גרסת המתלוננת והאם ניתן לקבוע על יסודה בלבד כי הוכחו העובדות השנויות במחלוקת מעבר לכל ספק סביר. </w:t>
      </w:r>
    </w:p>
    <w:p w14:paraId="3F8C122A" w14:textId="77777777" w:rsidR="002D3A1F" w:rsidRDefault="002D3A1F">
      <w:pPr>
        <w:tabs>
          <w:tab w:val="num" w:pos="540"/>
        </w:tabs>
        <w:spacing w:line="360" w:lineRule="auto"/>
        <w:ind w:left="540" w:hanging="540"/>
        <w:jc w:val="both"/>
        <w:rPr>
          <w:sz w:val="28"/>
          <w:szCs w:val="28"/>
        </w:rPr>
      </w:pPr>
    </w:p>
    <w:p w14:paraId="7BA198FD" w14:textId="77777777" w:rsidR="002D3A1F" w:rsidRDefault="00E271D8">
      <w:pPr>
        <w:numPr>
          <w:ilvl w:val="0"/>
          <w:numId w:val="1"/>
        </w:numPr>
        <w:tabs>
          <w:tab w:val="num" w:pos="540"/>
        </w:tabs>
        <w:spacing w:line="360" w:lineRule="auto"/>
        <w:ind w:left="540" w:hanging="540"/>
        <w:jc w:val="both"/>
        <w:rPr>
          <w:sz w:val="28"/>
          <w:szCs w:val="28"/>
          <w:rtl/>
        </w:rPr>
      </w:pPr>
      <w:r>
        <w:rPr>
          <w:rFonts w:hint="cs"/>
          <w:sz w:val="28"/>
          <w:szCs w:val="28"/>
          <w:rtl/>
        </w:rPr>
        <w:t>נפתח ונציין שאת התלונה במשטרה הגישה המתלוננת כשנה וחצי לאחר האירוע, בחודש דצמבר 2011 ועל פניו מדובר בעדות כבושה.</w:t>
      </w:r>
    </w:p>
    <w:p w14:paraId="017729E9" w14:textId="77777777" w:rsidR="002D3A1F" w:rsidRDefault="00E271D8">
      <w:pPr>
        <w:spacing w:line="360" w:lineRule="auto"/>
        <w:ind w:left="540"/>
        <w:jc w:val="both"/>
        <w:rPr>
          <w:sz w:val="28"/>
          <w:szCs w:val="28"/>
        </w:rPr>
      </w:pPr>
      <w:r>
        <w:rPr>
          <w:rFonts w:hint="cs"/>
          <w:sz w:val="28"/>
          <w:szCs w:val="28"/>
          <w:rtl/>
        </w:rPr>
        <w:t>אמנם על פי הראיות שהובאו סיפרה המתלוננת, סמוך לאחר האירוע, על מעשיו של הנאשם לגיסה יעקב צלביאנסקי (להלן: "ה</w:t>
      </w:r>
      <w:r>
        <w:rPr>
          <w:rFonts w:hint="cs"/>
          <w:b/>
          <w:bCs/>
          <w:sz w:val="28"/>
          <w:szCs w:val="28"/>
          <w:rtl/>
        </w:rPr>
        <w:t>גיס</w:t>
      </w:r>
      <w:r>
        <w:rPr>
          <w:rFonts w:hint="cs"/>
          <w:sz w:val="28"/>
          <w:szCs w:val="28"/>
          <w:rtl/>
        </w:rPr>
        <w:t>") ולשכן בבניין בו התגוררה בשכירות בדירת הנאשם, מר דוד כהן (להלן: "</w:t>
      </w:r>
      <w:r>
        <w:rPr>
          <w:rFonts w:hint="cs"/>
          <w:b/>
          <w:bCs/>
          <w:sz w:val="28"/>
          <w:szCs w:val="28"/>
          <w:rtl/>
        </w:rPr>
        <w:t>השכן</w:t>
      </w:r>
      <w:r>
        <w:rPr>
          <w:rFonts w:hint="cs"/>
          <w:sz w:val="28"/>
          <w:szCs w:val="28"/>
          <w:rtl/>
        </w:rPr>
        <w:t>"), אך ספק אם יש בעדויות אלה כדי לתמוך בגרסתה, כפי שיפורט להלן:</w:t>
      </w:r>
    </w:p>
    <w:p w14:paraId="538F76D5" w14:textId="77777777" w:rsidR="002D3A1F" w:rsidRDefault="00E271D8">
      <w:pPr>
        <w:spacing w:line="360" w:lineRule="auto"/>
        <w:ind w:left="540"/>
        <w:jc w:val="both"/>
        <w:rPr>
          <w:sz w:val="28"/>
          <w:szCs w:val="28"/>
          <w:rtl/>
        </w:rPr>
      </w:pPr>
      <w:r>
        <w:rPr>
          <w:rFonts w:hint="cs"/>
          <w:sz w:val="28"/>
          <w:szCs w:val="28"/>
          <w:u w:val="single"/>
          <w:rtl/>
        </w:rPr>
        <w:t>על פי גרסתו של  הגיס</w:t>
      </w:r>
      <w:r>
        <w:rPr>
          <w:rFonts w:hint="cs"/>
          <w:sz w:val="28"/>
          <w:szCs w:val="28"/>
          <w:rtl/>
        </w:rPr>
        <w:t xml:space="preserve"> - התקשרה אליו באחד הימים המתלוננת, בשעות הצהרים המוקדמות, ונשמעה לו "</w:t>
      </w:r>
      <w:r>
        <w:rPr>
          <w:rFonts w:hint="cs"/>
          <w:b/>
          <w:bCs/>
          <w:sz w:val="28"/>
          <w:szCs w:val="28"/>
          <w:rtl/>
        </w:rPr>
        <w:t>די נסערת</w:t>
      </w:r>
      <w:r>
        <w:rPr>
          <w:rFonts w:hint="cs"/>
          <w:sz w:val="28"/>
          <w:szCs w:val="28"/>
          <w:rtl/>
        </w:rPr>
        <w:t>", לכן הגיע אליה בהמשך היום והיא סיפרה לו שהייתה לה בעיה עם בעל הדירה אך סירבה לספר מה בדיוק קרה והחלה לבכות. לאחר דין ודברים ביניהם ולאחר שהסכים לתנאי שהציבה שלא יעשה כלום סיפרה לו שהייתה אצל הנאשם בעבודה "</w:t>
      </w:r>
      <w:r>
        <w:rPr>
          <w:rFonts w:hint="cs"/>
          <w:b/>
          <w:bCs/>
          <w:sz w:val="28"/>
          <w:szCs w:val="28"/>
          <w:rtl/>
        </w:rPr>
        <w:t>הוא אמר לה שיש לה חזה יפה ושאל אם הוא יכול לגעת</w:t>
      </w:r>
      <w:r>
        <w:rPr>
          <w:rFonts w:hint="cs"/>
          <w:sz w:val="28"/>
          <w:szCs w:val="28"/>
          <w:rtl/>
        </w:rPr>
        <w:t>" הא ותו לא – גרסה התואמת במלואה את גרסת הנאשם.</w:t>
      </w:r>
    </w:p>
    <w:p w14:paraId="41CEA325" w14:textId="77777777" w:rsidR="002D3A1F" w:rsidRDefault="00E271D8">
      <w:pPr>
        <w:spacing w:line="360" w:lineRule="auto"/>
        <w:ind w:left="540"/>
        <w:jc w:val="both"/>
        <w:rPr>
          <w:b/>
          <w:bCs/>
          <w:sz w:val="28"/>
          <w:szCs w:val="28"/>
          <w:rtl/>
        </w:rPr>
      </w:pPr>
      <w:r>
        <w:rPr>
          <w:rFonts w:hint="cs"/>
          <w:sz w:val="28"/>
          <w:szCs w:val="28"/>
          <w:rtl/>
        </w:rPr>
        <w:t>המתלוננת התבקשה, בחקירתה הנגדית, להתייחס לעובדה שלא סיפרה לגיס שהנאשם נגע בה ובתגובה טענה ש"</w:t>
      </w:r>
      <w:r>
        <w:rPr>
          <w:rFonts w:hint="cs"/>
          <w:b/>
          <w:bCs/>
          <w:sz w:val="28"/>
          <w:szCs w:val="28"/>
          <w:rtl/>
        </w:rPr>
        <w:t>אולי ליעקב לא סיפרתי כי ממנו פחדתי. התגובה שלו הייתה קללות ושאתן לו את הכתובת כי הוא יפרק אותו."</w:t>
      </w:r>
    </w:p>
    <w:p w14:paraId="2F55989C" w14:textId="77777777" w:rsidR="002D3A1F" w:rsidRDefault="00E271D8">
      <w:pPr>
        <w:spacing w:line="360" w:lineRule="auto"/>
        <w:ind w:left="540"/>
        <w:jc w:val="both"/>
        <w:rPr>
          <w:sz w:val="28"/>
          <w:szCs w:val="28"/>
          <w:rtl/>
        </w:rPr>
      </w:pPr>
      <w:r>
        <w:rPr>
          <w:rFonts w:hint="cs"/>
          <w:sz w:val="28"/>
          <w:szCs w:val="28"/>
          <w:rtl/>
        </w:rPr>
        <w:t>כשעומתה עם העובדה שבמשטרה אמרה שסיפרה לגיס שהנאשם נגע בה, השיבה באופן שונה "</w:t>
      </w:r>
      <w:r>
        <w:rPr>
          <w:rFonts w:hint="cs"/>
          <w:b/>
          <w:bCs/>
          <w:sz w:val="28"/>
          <w:szCs w:val="28"/>
          <w:rtl/>
        </w:rPr>
        <w:t>אולי יעקב לא זוכר. אני זוכרת מה הרגשתי</w:t>
      </w:r>
      <w:r>
        <w:rPr>
          <w:rFonts w:hint="cs"/>
          <w:sz w:val="28"/>
          <w:szCs w:val="28"/>
          <w:rtl/>
        </w:rPr>
        <w:t xml:space="preserve">", כשבתשובה זו היא </w:t>
      </w:r>
      <w:r>
        <w:rPr>
          <w:rFonts w:hint="cs"/>
          <w:sz w:val="28"/>
          <w:szCs w:val="28"/>
          <w:rtl/>
        </w:rPr>
        <w:lastRenderedPageBreak/>
        <w:t>מתעלמת מהנימוק שנתנה, דקות ספורות קודם לכן, לטענתה מדוע לא סיפרה לו שהנאשם גם נגע בה.</w:t>
      </w:r>
    </w:p>
    <w:p w14:paraId="01CC6E2B" w14:textId="77777777" w:rsidR="002D3A1F" w:rsidRDefault="00E271D8">
      <w:pPr>
        <w:spacing w:line="360" w:lineRule="auto"/>
        <w:ind w:left="540"/>
        <w:jc w:val="both"/>
        <w:rPr>
          <w:sz w:val="28"/>
          <w:szCs w:val="28"/>
          <w:rtl/>
        </w:rPr>
      </w:pPr>
      <w:r>
        <w:rPr>
          <w:rFonts w:hint="cs"/>
          <w:sz w:val="28"/>
          <w:szCs w:val="28"/>
          <w:u w:val="single"/>
          <w:rtl/>
        </w:rPr>
        <w:t xml:space="preserve">על פי גרסתו של השכן </w:t>
      </w:r>
      <w:r>
        <w:rPr>
          <w:rFonts w:hint="cs"/>
          <w:sz w:val="28"/>
          <w:szCs w:val="28"/>
          <w:rtl/>
        </w:rPr>
        <w:t xml:space="preserve"> - ראה את המתלוננת נכנסת לחדר המדרגות ""</w:t>
      </w:r>
      <w:r>
        <w:rPr>
          <w:rFonts w:hint="cs"/>
          <w:b/>
          <w:bCs/>
          <w:sz w:val="28"/>
          <w:szCs w:val="28"/>
          <w:rtl/>
        </w:rPr>
        <w:t>והייתה בהיסטריה של בכי. אף פעם לא ראיתי אותה ככה נסערת</w:t>
      </w:r>
      <w:r>
        <w:rPr>
          <w:rFonts w:hint="cs"/>
          <w:sz w:val="28"/>
          <w:szCs w:val="28"/>
          <w:rtl/>
        </w:rPr>
        <w:t>"</w:t>
      </w:r>
      <w:r>
        <w:rPr>
          <w:rFonts w:hint="cs"/>
          <w:b/>
          <w:bCs/>
          <w:sz w:val="28"/>
          <w:szCs w:val="28"/>
          <w:rtl/>
        </w:rPr>
        <w:t xml:space="preserve"> </w:t>
      </w:r>
      <w:r>
        <w:rPr>
          <w:rFonts w:hint="cs"/>
          <w:sz w:val="28"/>
          <w:szCs w:val="28"/>
          <w:rtl/>
        </w:rPr>
        <w:t>[...] "</w:t>
      </w:r>
      <w:r>
        <w:rPr>
          <w:rFonts w:hint="cs"/>
          <w:b/>
          <w:bCs/>
          <w:sz w:val="28"/>
          <w:szCs w:val="28"/>
          <w:rtl/>
        </w:rPr>
        <w:t>היא לא רצתה לענות ועלתה למעלה. היא לא אמרה כלום ורק בכתה נסערת</w:t>
      </w:r>
      <w:r>
        <w:rPr>
          <w:rFonts w:hint="cs"/>
          <w:sz w:val="28"/>
          <w:szCs w:val="28"/>
          <w:rtl/>
        </w:rPr>
        <w:t>"</w:t>
      </w:r>
      <w:r>
        <w:rPr>
          <w:rFonts w:hint="cs"/>
          <w:b/>
          <w:bCs/>
          <w:sz w:val="28"/>
          <w:szCs w:val="28"/>
          <w:rtl/>
        </w:rPr>
        <w:t xml:space="preserve"> </w:t>
      </w:r>
      <w:r>
        <w:rPr>
          <w:rFonts w:hint="cs"/>
          <w:sz w:val="28"/>
          <w:szCs w:val="28"/>
          <w:rtl/>
        </w:rPr>
        <w:t>[...]</w:t>
      </w:r>
      <w:r>
        <w:rPr>
          <w:rFonts w:hint="cs"/>
          <w:b/>
          <w:bCs/>
          <w:sz w:val="28"/>
          <w:szCs w:val="28"/>
          <w:rtl/>
        </w:rPr>
        <w:t xml:space="preserve"> "אחרי שעה או שעתיים דפקתי על הדלת. הבנות פתחו לי. היא הייתה שם בסלון בוכה עם פרצוף תשעה באב</w:t>
      </w:r>
      <w:r>
        <w:rPr>
          <w:rFonts w:hint="cs"/>
          <w:sz w:val="28"/>
          <w:szCs w:val="28"/>
          <w:rtl/>
        </w:rPr>
        <w:t xml:space="preserve">". </w:t>
      </w:r>
    </w:p>
    <w:p w14:paraId="1AAB24C4" w14:textId="77777777" w:rsidR="002D3A1F" w:rsidRDefault="00E271D8">
      <w:pPr>
        <w:spacing w:line="360" w:lineRule="auto"/>
        <w:ind w:left="540"/>
        <w:jc w:val="both"/>
        <w:rPr>
          <w:sz w:val="28"/>
          <w:szCs w:val="28"/>
          <w:rtl/>
        </w:rPr>
      </w:pPr>
      <w:r>
        <w:rPr>
          <w:rFonts w:hint="cs"/>
          <w:sz w:val="28"/>
          <w:szCs w:val="28"/>
          <w:rtl/>
        </w:rPr>
        <w:t>בעדותו סיפר שדובב אותה והיא סיפרה לו שהגיעה לנאשם לקבל ממנו מכתב, הוא אמר לה "</w:t>
      </w:r>
      <w:r>
        <w:rPr>
          <w:rFonts w:hint="cs"/>
          <w:b/>
          <w:bCs/>
          <w:sz w:val="28"/>
          <w:szCs w:val="28"/>
          <w:rtl/>
        </w:rPr>
        <w:t>איזה ציצים יפים יש לה, שלח לה ידיים בחזה והיא ברחה משם</w:t>
      </w:r>
      <w:r>
        <w:rPr>
          <w:rFonts w:hint="cs"/>
          <w:sz w:val="28"/>
          <w:szCs w:val="28"/>
          <w:rtl/>
        </w:rPr>
        <w:t>".</w:t>
      </w:r>
    </w:p>
    <w:p w14:paraId="32AE2F13" w14:textId="77777777" w:rsidR="002D3A1F" w:rsidRDefault="00E271D8">
      <w:pPr>
        <w:spacing w:line="360" w:lineRule="auto"/>
        <w:ind w:left="540"/>
        <w:jc w:val="both"/>
        <w:rPr>
          <w:sz w:val="28"/>
          <w:szCs w:val="28"/>
          <w:rtl/>
        </w:rPr>
      </w:pPr>
      <w:r>
        <w:rPr>
          <w:rFonts w:hint="cs"/>
          <w:sz w:val="28"/>
          <w:szCs w:val="28"/>
          <w:rtl/>
        </w:rPr>
        <w:t>מעבר לכך שהמתלוננת עצמה לא העידה על כך שפגשה את השכן ביום האירוע,  לאחר ששבה מפגישה עם הנאשם במקום עבודתו, כשהיא נסערת ובוכה, כטענתו, היא אף לא שללה, בתשובה לשאלה שנשאלה בחקירה נגדית, את גרסתה במשטרה ולפיה סיפרה לו על שארע "</w:t>
      </w:r>
      <w:r>
        <w:rPr>
          <w:rFonts w:hint="cs"/>
          <w:b/>
          <w:bCs/>
          <w:sz w:val="28"/>
          <w:szCs w:val="28"/>
          <w:rtl/>
        </w:rPr>
        <w:t>הרבה זמן אחרי האירוע</w:t>
      </w:r>
      <w:r>
        <w:rPr>
          <w:rFonts w:hint="cs"/>
          <w:sz w:val="28"/>
          <w:szCs w:val="28"/>
          <w:rtl/>
        </w:rPr>
        <w:t>".</w:t>
      </w:r>
    </w:p>
    <w:p w14:paraId="5F50BB66" w14:textId="77777777" w:rsidR="002D3A1F" w:rsidRDefault="002D3A1F">
      <w:pPr>
        <w:spacing w:line="360" w:lineRule="auto"/>
        <w:ind w:left="540"/>
        <w:jc w:val="both"/>
        <w:rPr>
          <w:sz w:val="28"/>
          <w:szCs w:val="28"/>
          <w:rtl/>
        </w:rPr>
      </w:pPr>
    </w:p>
    <w:p w14:paraId="37322D8B" w14:textId="77777777" w:rsidR="002D3A1F" w:rsidRDefault="00E271D8">
      <w:pPr>
        <w:spacing w:line="360" w:lineRule="auto"/>
        <w:ind w:left="540"/>
        <w:jc w:val="both"/>
        <w:rPr>
          <w:sz w:val="28"/>
          <w:szCs w:val="28"/>
          <w:rtl/>
        </w:rPr>
      </w:pPr>
      <w:r>
        <w:rPr>
          <w:rFonts w:hint="cs"/>
          <w:sz w:val="28"/>
          <w:szCs w:val="28"/>
          <w:rtl/>
        </w:rPr>
        <w:t>כאן מתעוררת שאלת אמינותו של השכן, שאישר, לבקשת ב"כ הנאשם בחקירה נגדית, שבינו לבין הנאשם קיים סכסוך על רקע כספי, שהסלים לאירוע אלים במהלכו, לדברי השכן, הנאשם "</w:t>
      </w:r>
      <w:r>
        <w:rPr>
          <w:rFonts w:hint="cs"/>
          <w:b/>
          <w:bCs/>
          <w:sz w:val="28"/>
          <w:szCs w:val="28"/>
          <w:rtl/>
        </w:rPr>
        <w:t>דפק לי את הדלת בפנים וירד לי דם</w:t>
      </w:r>
      <w:r>
        <w:rPr>
          <w:rFonts w:hint="cs"/>
          <w:sz w:val="28"/>
          <w:szCs w:val="28"/>
          <w:rtl/>
        </w:rPr>
        <w:t>" ועל כך אף הגיש תלונה במשטרה.</w:t>
      </w:r>
    </w:p>
    <w:p w14:paraId="1B0A0025" w14:textId="77777777" w:rsidR="002D3A1F" w:rsidRDefault="00E271D8">
      <w:pPr>
        <w:spacing w:line="360" w:lineRule="auto"/>
        <w:ind w:left="540"/>
        <w:jc w:val="both"/>
        <w:rPr>
          <w:sz w:val="28"/>
          <w:szCs w:val="28"/>
          <w:rtl/>
        </w:rPr>
      </w:pPr>
      <w:r>
        <w:rPr>
          <w:rFonts w:hint="cs"/>
          <w:sz w:val="28"/>
          <w:szCs w:val="28"/>
          <w:rtl/>
        </w:rPr>
        <w:t>לא ניתן להשתחרר מהרושם, שלאור מערכת היחסים העכורה בינו לבין הנאשם, הגזים השכן בתיאור התרשמותו ממצבה של המתלוננת, כפי שהתגלה לפניו ובתיאור תוכן הדברים ששמע מהמתלוננת.</w:t>
      </w:r>
    </w:p>
    <w:p w14:paraId="69B44C54" w14:textId="77777777" w:rsidR="002D3A1F" w:rsidRDefault="002D3A1F">
      <w:pPr>
        <w:spacing w:line="360" w:lineRule="auto"/>
        <w:ind w:left="540"/>
        <w:jc w:val="both"/>
        <w:rPr>
          <w:sz w:val="28"/>
          <w:szCs w:val="28"/>
          <w:rtl/>
        </w:rPr>
      </w:pPr>
    </w:p>
    <w:p w14:paraId="44E117E5" w14:textId="77777777" w:rsidR="002D3A1F" w:rsidRDefault="00E271D8">
      <w:pPr>
        <w:numPr>
          <w:ilvl w:val="0"/>
          <w:numId w:val="1"/>
        </w:numPr>
        <w:tabs>
          <w:tab w:val="num" w:pos="540"/>
        </w:tabs>
        <w:spacing w:line="360" w:lineRule="auto"/>
        <w:ind w:left="540" w:hanging="540"/>
        <w:jc w:val="both"/>
        <w:rPr>
          <w:sz w:val="28"/>
          <w:szCs w:val="28"/>
        </w:rPr>
      </w:pPr>
      <w:r>
        <w:rPr>
          <w:rFonts w:hint="cs"/>
          <w:sz w:val="28"/>
          <w:szCs w:val="28"/>
          <w:rtl/>
        </w:rPr>
        <w:t>המתלוננת עצמה הגישה, כאמור, את תלונתה במשטרה כשנה וחצי לאחר האירוע, ובאופן מפתיע סמוך לאחר שנודע לה שהנאשם פתח נגדה ונגד בן זוגה תיק בהוצאה לפועל בגין תשלומים שלא שולמו על ידם בהתאם להסכם השכירות עמו.</w:t>
      </w:r>
    </w:p>
    <w:p w14:paraId="0A5E7CD1" w14:textId="77777777" w:rsidR="002D3A1F" w:rsidRDefault="002D3A1F">
      <w:pPr>
        <w:spacing w:line="360" w:lineRule="auto"/>
        <w:ind w:left="540"/>
        <w:jc w:val="both"/>
        <w:rPr>
          <w:sz w:val="28"/>
          <w:szCs w:val="28"/>
        </w:rPr>
      </w:pPr>
    </w:p>
    <w:p w14:paraId="65E7227C" w14:textId="77777777" w:rsidR="002D3A1F" w:rsidRDefault="00E271D8">
      <w:pPr>
        <w:spacing w:line="360" w:lineRule="auto"/>
        <w:ind w:left="540"/>
        <w:jc w:val="both"/>
        <w:rPr>
          <w:sz w:val="28"/>
          <w:szCs w:val="28"/>
          <w:rtl/>
        </w:rPr>
      </w:pPr>
      <w:r>
        <w:rPr>
          <w:rFonts w:hint="cs"/>
          <w:sz w:val="28"/>
          <w:szCs w:val="28"/>
          <w:rtl/>
        </w:rPr>
        <w:t>מהמסמכים שהוגשו על ידי ההגנה עולה שביום בו הגישה המתלוננת את התלונה, 4.12.11, הגישו המתלוננת ובן זוגה בקשה להארכת מועד להגשת התנגדות, להליכים בהם פתח הנאשם נגדם בלשכת ההוצאה לפועל.</w:t>
      </w:r>
    </w:p>
    <w:p w14:paraId="6F22D09A" w14:textId="77777777" w:rsidR="002D3A1F" w:rsidRDefault="00E271D8">
      <w:pPr>
        <w:spacing w:line="360" w:lineRule="auto"/>
        <w:ind w:left="540"/>
        <w:jc w:val="both"/>
        <w:rPr>
          <w:sz w:val="28"/>
          <w:szCs w:val="28"/>
          <w:rtl/>
        </w:rPr>
      </w:pPr>
      <w:r>
        <w:rPr>
          <w:rFonts w:hint="cs"/>
          <w:sz w:val="28"/>
          <w:szCs w:val="28"/>
          <w:rtl/>
        </w:rPr>
        <w:t>בתצהיר, שנחתם על ידם והוגש ללשכת ההוצאה לפועל, לתמיכה בבקשתם להארכת המועד, טענו כי "</w:t>
      </w:r>
      <w:r>
        <w:rPr>
          <w:rFonts w:hint="cs"/>
          <w:b/>
          <w:bCs/>
          <w:sz w:val="28"/>
          <w:szCs w:val="28"/>
          <w:rtl/>
        </w:rPr>
        <w:t xml:space="preserve">התובע עשה זאת </w:t>
      </w:r>
      <w:r>
        <w:rPr>
          <w:rFonts w:hint="cs"/>
          <w:sz w:val="28"/>
          <w:szCs w:val="28"/>
          <w:rtl/>
        </w:rPr>
        <w:t>(הגיש את התביעה – ה.נ.)</w:t>
      </w:r>
      <w:r>
        <w:rPr>
          <w:rFonts w:hint="cs"/>
          <w:b/>
          <w:bCs/>
          <w:sz w:val="28"/>
          <w:szCs w:val="28"/>
          <w:rtl/>
        </w:rPr>
        <w:t xml:space="preserve"> בכוונה, מכיוון שנאמר לו כי הוגשה נגדו תלונה על הטרדה מינית...</w:t>
      </w:r>
      <w:r>
        <w:rPr>
          <w:rFonts w:hint="cs"/>
          <w:sz w:val="28"/>
          <w:szCs w:val="28"/>
          <w:rtl/>
        </w:rPr>
        <w:t>".</w:t>
      </w:r>
    </w:p>
    <w:p w14:paraId="25A990D1" w14:textId="77777777" w:rsidR="002D3A1F" w:rsidRDefault="00E271D8">
      <w:pPr>
        <w:spacing w:line="360" w:lineRule="auto"/>
        <w:ind w:left="540"/>
        <w:jc w:val="both"/>
        <w:rPr>
          <w:sz w:val="28"/>
          <w:szCs w:val="28"/>
          <w:rtl/>
        </w:rPr>
      </w:pPr>
      <w:r>
        <w:rPr>
          <w:rFonts w:hint="cs"/>
          <w:sz w:val="28"/>
          <w:szCs w:val="28"/>
          <w:rtl/>
        </w:rPr>
        <w:t>במענה לשאלת ב"כ הנאשם, בחקירתה הנגדית, לפיה "</w:t>
      </w:r>
      <w:r>
        <w:rPr>
          <w:rFonts w:hint="cs"/>
          <w:b/>
          <w:bCs/>
          <w:sz w:val="28"/>
          <w:szCs w:val="28"/>
          <w:rtl/>
        </w:rPr>
        <w:t xml:space="preserve">הוא </w:t>
      </w:r>
      <w:r>
        <w:rPr>
          <w:rFonts w:hint="cs"/>
          <w:sz w:val="28"/>
          <w:szCs w:val="28"/>
          <w:rtl/>
        </w:rPr>
        <w:t>(הנאשם – ה.נ.)</w:t>
      </w:r>
      <w:r>
        <w:rPr>
          <w:rFonts w:hint="cs"/>
          <w:b/>
          <w:bCs/>
          <w:sz w:val="28"/>
          <w:szCs w:val="28"/>
          <w:rtl/>
        </w:rPr>
        <w:t xml:space="preserve"> לא ידע על תלונה כי הגשת אותה רק באותו יום. אז מה שכתוב כאן זה שקר</w:t>
      </w:r>
      <w:r>
        <w:rPr>
          <w:rFonts w:hint="cs"/>
          <w:sz w:val="28"/>
          <w:szCs w:val="28"/>
          <w:rtl/>
        </w:rPr>
        <w:t>", לא שללה המתלוננת את הטענה ששיקרה והשיבה "</w:t>
      </w:r>
      <w:r>
        <w:rPr>
          <w:rFonts w:hint="cs"/>
          <w:b/>
          <w:bCs/>
          <w:sz w:val="28"/>
          <w:szCs w:val="28"/>
          <w:rtl/>
        </w:rPr>
        <w:t>יכול להיות</w:t>
      </w:r>
      <w:r>
        <w:rPr>
          <w:rFonts w:hint="cs"/>
          <w:sz w:val="28"/>
          <w:szCs w:val="28"/>
          <w:rtl/>
        </w:rPr>
        <w:t xml:space="preserve">".  </w:t>
      </w:r>
    </w:p>
    <w:p w14:paraId="752578EA" w14:textId="77777777" w:rsidR="002D3A1F" w:rsidRDefault="00E271D8">
      <w:pPr>
        <w:spacing w:line="360" w:lineRule="auto"/>
        <w:ind w:left="540"/>
        <w:jc w:val="both"/>
        <w:rPr>
          <w:sz w:val="28"/>
          <w:szCs w:val="28"/>
          <w:rtl/>
        </w:rPr>
      </w:pPr>
      <w:r>
        <w:rPr>
          <w:rFonts w:hint="cs"/>
          <w:sz w:val="28"/>
          <w:szCs w:val="28"/>
          <w:rtl/>
        </w:rPr>
        <w:t>המתלוננת אומנם העלתה תילי תילים של הסברים לשיהוי בהגשת התלונה, אך מעבר לשיהוי גם בהעלאת ההסברים, אין בכל אלה כדי להסביר כיצד התלונה אכן הוגשה כחודש לאחר שנודע לה, במהלך חודש נובמבר 2011, על פתיחת  תיק ההוצאה לפועל על ידי הנאשם נגדה, ביום בו פנו, כאמור, להוצאה לפועל, כדי להתגונן כנגד התביעה, כשאין מחלוקת כי נכון לאותו מועד חבו המתלוננת ובן זוגה כספים לנאשם על פי הסכם השכירות, חוב שנפרע רק בתאריך 15.8.13, כחודש לפני מועד עדותה בבית המשפט.</w:t>
      </w:r>
    </w:p>
    <w:p w14:paraId="399CA4CA" w14:textId="77777777" w:rsidR="002D3A1F" w:rsidRDefault="002D3A1F">
      <w:pPr>
        <w:tabs>
          <w:tab w:val="num" w:pos="540"/>
        </w:tabs>
        <w:spacing w:line="360" w:lineRule="auto"/>
        <w:ind w:left="540" w:hanging="540"/>
        <w:jc w:val="both"/>
        <w:rPr>
          <w:sz w:val="28"/>
          <w:szCs w:val="28"/>
        </w:rPr>
      </w:pPr>
    </w:p>
    <w:p w14:paraId="496AB5EB" w14:textId="77777777" w:rsidR="002D3A1F" w:rsidRDefault="00E271D8">
      <w:pPr>
        <w:numPr>
          <w:ilvl w:val="0"/>
          <w:numId w:val="1"/>
        </w:numPr>
        <w:tabs>
          <w:tab w:val="num" w:pos="540"/>
        </w:tabs>
        <w:spacing w:line="360" w:lineRule="auto"/>
        <w:ind w:left="540" w:hanging="540"/>
        <w:jc w:val="both"/>
        <w:rPr>
          <w:sz w:val="28"/>
          <w:szCs w:val="28"/>
          <w:rtl/>
        </w:rPr>
      </w:pPr>
      <w:r>
        <w:rPr>
          <w:rFonts w:hint="cs"/>
          <w:sz w:val="28"/>
          <w:szCs w:val="28"/>
          <w:rtl/>
        </w:rPr>
        <w:t>אם אין בכל אלה כדי לעורר את הספק, בטענת המתלוננת לפיה הושיט הנאשם את ידיו ונגע בחזה עם גב היד, באה עדותה בבית המשפט וחיזקה את מסקנתי לפיה תיאורו של הנאשם את האירוע משקף באופן אמין יותר את שהתרחש.</w:t>
      </w:r>
    </w:p>
    <w:p w14:paraId="1DD1DEBA" w14:textId="77777777" w:rsidR="002D3A1F" w:rsidRDefault="002D3A1F">
      <w:pPr>
        <w:spacing w:line="360" w:lineRule="auto"/>
        <w:ind w:left="540"/>
        <w:jc w:val="both"/>
        <w:rPr>
          <w:sz w:val="28"/>
          <w:szCs w:val="28"/>
        </w:rPr>
      </w:pPr>
    </w:p>
    <w:p w14:paraId="175A3DB2" w14:textId="77777777" w:rsidR="002D3A1F" w:rsidRDefault="00E271D8">
      <w:pPr>
        <w:spacing w:line="360" w:lineRule="auto"/>
        <w:ind w:left="540"/>
        <w:jc w:val="both"/>
        <w:rPr>
          <w:sz w:val="28"/>
          <w:szCs w:val="28"/>
          <w:rtl/>
        </w:rPr>
      </w:pPr>
      <w:r>
        <w:rPr>
          <w:rFonts w:hint="cs"/>
          <w:sz w:val="28"/>
          <w:szCs w:val="28"/>
          <w:rtl/>
        </w:rPr>
        <w:t>אך עוד לפני שאפנה לעדותה של המתלוננת בבית המשפט, אתפנה לבדוק את גרסתה במהלך העימות שנערך בינה לבין הנאשם במהלך החקירה.</w:t>
      </w:r>
    </w:p>
    <w:p w14:paraId="7BFD8B02" w14:textId="77777777" w:rsidR="002D3A1F" w:rsidRDefault="00E271D8">
      <w:pPr>
        <w:spacing w:line="360" w:lineRule="auto"/>
        <w:ind w:left="540"/>
        <w:jc w:val="both"/>
        <w:rPr>
          <w:sz w:val="28"/>
          <w:szCs w:val="28"/>
          <w:rtl/>
        </w:rPr>
      </w:pPr>
      <w:r>
        <w:rPr>
          <w:rFonts w:hint="cs"/>
          <w:sz w:val="28"/>
          <w:szCs w:val="28"/>
          <w:rtl/>
        </w:rPr>
        <w:t>וכך תיארה המתלוננת, במהלך העימות, את שאירע באותו יום בחודש יוני 2010, כשנכנסה למסגרייה של הנאשם "</w:t>
      </w:r>
      <w:r>
        <w:rPr>
          <w:rFonts w:hint="cs"/>
          <w:b/>
          <w:bCs/>
          <w:sz w:val="28"/>
          <w:szCs w:val="28"/>
          <w:rtl/>
        </w:rPr>
        <w:t xml:space="preserve">הוא אמר לי הה היום באת צנוע. אמרתי לו שאני צריכה מכתב לביטוח לאומי, הוא לקח דף התיישב עמדתי לידו אני הכתבתי לו והוא כתב. </w:t>
      </w:r>
      <w:r>
        <w:rPr>
          <w:rFonts w:hint="cs"/>
          <w:b/>
          <w:bCs/>
          <w:sz w:val="28"/>
          <w:szCs w:val="28"/>
          <w:u w:val="single"/>
          <w:rtl/>
        </w:rPr>
        <w:t>אחרי זה</w:t>
      </w:r>
      <w:r>
        <w:rPr>
          <w:rFonts w:hint="cs"/>
          <w:sz w:val="28"/>
          <w:szCs w:val="28"/>
          <w:rtl/>
        </w:rPr>
        <w:t xml:space="preserve"> (ההדגשה לא במקור  - ה.נ.) </w:t>
      </w:r>
      <w:r>
        <w:rPr>
          <w:rFonts w:hint="cs"/>
          <w:b/>
          <w:bCs/>
          <w:sz w:val="28"/>
          <w:szCs w:val="28"/>
          <w:rtl/>
        </w:rPr>
        <w:t>ליטף לי את השיער אמר לי שרוצה לגעת לי בחזה וכשהוא התקרב הוא נגע ואז אמרתי לו שיעזוב, שזה לא יפה ולא מתאים</w:t>
      </w:r>
      <w:r>
        <w:rPr>
          <w:rFonts w:hint="cs"/>
          <w:sz w:val="28"/>
          <w:szCs w:val="28"/>
          <w:rtl/>
        </w:rPr>
        <w:t>".</w:t>
      </w:r>
    </w:p>
    <w:p w14:paraId="48CAD884" w14:textId="77777777" w:rsidR="002D3A1F" w:rsidRDefault="002D3A1F">
      <w:pPr>
        <w:spacing w:line="360" w:lineRule="auto"/>
        <w:ind w:left="540"/>
        <w:jc w:val="both"/>
        <w:rPr>
          <w:sz w:val="28"/>
          <w:szCs w:val="28"/>
          <w:rtl/>
        </w:rPr>
      </w:pPr>
    </w:p>
    <w:p w14:paraId="28E1257C" w14:textId="77777777" w:rsidR="002D3A1F" w:rsidRDefault="00E271D8">
      <w:pPr>
        <w:spacing w:line="360" w:lineRule="auto"/>
        <w:ind w:left="540"/>
        <w:jc w:val="both"/>
        <w:rPr>
          <w:sz w:val="28"/>
          <w:szCs w:val="28"/>
          <w:rtl/>
        </w:rPr>
      </w:pPr>
      <w:r>
        <w:rPr>
          <w:rFonts w:hint="cs"/>
          <w:sz w:val="28"/>
          <w:szCs w:val="28"/>
          <w:rtl/>
        </w:rPr>
        <w:t>לא בכדי הדגשתי את המילים "אחרי זה", שכן על פי עובדות כתב האישום, התנה הנאשם את כתיבת המכתב בהסכמת המתלוננת שיגע בחזה ועל כן אף יוחס לו ביצוע עבירה של מעשה מגונה תוך הפעלת אמצעי לחץ – שהעונש לצידה נקבע ל-7 שנות מאסר, בעוד שהעונש, שנקבע לצידה של עבירת מעשה מגונה, שלא בנסיבות מחמירות אלה, עומד על 3 שנות מאסר.</w:t>
      </w:r>
    </w:p>
    <w:p w14:paraId="6067BE3E" w14:textId="77777777" w:rsidR="002D3A1F" w:rsidRDefault="00E271D8">
      <w:pPr>
        <w:spacing w:line="360" w:lineRule="auto"/>
        <w:ind w:left="540"/>
        <w:jc w:val="both"/>
        <w:rPr>
          <w:sz w:val="28"/>
          <w:szCs w:val="28"/>
          <w:rtl/>
        </w:rPr>
      </w:pPr>
      <w:r>
        <w:rPr>
          <w:rFonts w:hint="cs"/>
          <w:sz w:val="28"/>
          <w:szCs w:val="28"/>
          <w:rtl/>
        </w:rPr>
        <w:t>ברי, שעל פי גרסתה של המתלוננת, כפי שהוטחה בפני הנאשם במהלך העימות, לא הייתה כל התניה לכתיבת המכתב המבוקש בנגיעה בחזה ומלכתחילה לא היה מקום להאשימו בעבירה של מעשה מגונה הכוללת נסיבות מחמירות.</w:t>
      </w:r>
    </w:p>
    <w:p w14:paraId="06FA3335" w14:textId="77777777" w:rsidR="002D3A1F" w:rsidRDefault="002D3A1F">
      <w:pPr>
        <w:spacing w:line="360" w:lineRule="auto"/>
        <w:ind w:left="540"/>
        <w:jc w:val="both"/>
        <w:rPr>
          <w:sz w:val="28"/>
          <w:szCs w:val="28"/>
          <w:rtl/>
        </w:rPr>
      </w:pPr>
    </w:p>
    <w:p w14:paraId="478B3432" w14:textId="77777777" w:rsidR="002D3A1F" w:rsidRDefault="00E271D8">
      <w:pPr>
        <w:spacing w:line="360" w:lineRule="auto"/>
        <w:ind w:left="540"/>
        <w:jc w:val="both"/>
        <w:rPr>
          <w:sz w:val="28"/>
          <w:szCs w:val="28"/>
          <w:rtl/>
        </w:rPr>
      </w:pPr>
      <w:r>
        <w:rPr>
          <w:rFonts w:hint="cs"/>
          <w:sz w:val="28"/>
          <w:szCs w:val="28"/>
          <w:rtl/>
        </w:rPr>
        <w:t>אך בכך לא סגי. בחינת עדותה של המתלוננת בבית המשפט מלמד כי בתחילת עדותה, בעת שגוללה בתיאור חופשי את שאירע במקום עבודתו של הנאשם ואת התנהלותה לאחר שיצאה משם, כולל השיחה שקיימה עם הגיס ועם השכן, לא הזכירה כלל שהנאשם נגע בחזה, רק סיפרה שכשסיים לכתוב את המכתב שביקשה ליטף את ראשה.</w:t>
      </w:r>
    </w:p>
    <w:p w14:paraId="425E47FE" w14:textId="77777777" w:rsidR="002D3A1F" w:rsidRDefault="00E271D8">
      <w:pPr>
        <w:spacing w:line="360" w:lineRule="auto"/>
        <w:ind w:left="540"/>
        <w:jc w:val="both"/>
        <w:rPr>
          <w:sz w:val="28"/>
          <w:szCs w:val="28"/>
          <w:rtl/>
        </w:rPr>
      </w:pPr>
      <w:r>
        <w:rPr>
          <w:rFonts w:hint="cs"/>
          <w:sz w:val="28"/>
          <w:szCs w:val="28"/>
          <w:rtl/>
        </w:rPr>
        <w:t>רק כשהתבקשה לחזור על תיאור האירוע "נזכרה" להוסיף, אף זאת בשפה רפה, שהנאשם נגע בחזה, אך "שכחה" לחזור על העובדה שליטף את ראשה.</w:t>
      </w:r>
    </w:p>
    <w:p w14:paraId="35FCAF58" w14:textId="77777777" w:rsidR="002D3A1F" w:rsidRDefault="00E271D8">
      <w:pPr>
        <w:spacing w:line="360" w:lineRule="auto"/>
        <w:ind w:left="540"/>
        <w:jc w:val="both"/>
        <w:rPr>
          <w:sz w:val="28"/>
          <w:szCs w:val="28"/>
          <w:rtl/>
        </w:rPr>
      </w:pPr>
      <w:r>
        <w:rPr>
          <w:rFonts w:hint="cs"/>
          <w:sz w:val="28"/>
          <w:szCs w:val="28"/>
          <w:rtl/>
        </w:rPr>
        <w:t>יחד עם זאת בשתי הגרסאות, הזכירה את גרסת הנאשם לפיה אמר לה, כשנכנסה, שהיא לבושה צנוע ושהוא רוצה לגעת לה בחזה.</w:t>
      </w:r>
    </w:p>
    <w:p w14:paraId="39DF952A" w14:textId="77777777" w:rsidR="002D3A1F" w:rsidRDefault="002D3A1F">
      <w:pPr>
        <w:spacing w:line="360" w:lineRule="auto"/>
        <w:ind w:left="540"/>
        <w:jc w:val="both"/>
        <w:rPr>
          <w:sz w:val="28"/>
          <w:szCs w:val="28"/>
          <w:rtl/>
        </w:rPr>
      </w:pPr>
    </w:p>
    <w:p w14:paraId="516A5010" w14:textId="77777777" w:rsidR="002D3A1F" w:rsidRDefault="00E271D8">
      <w:pPr>
        <w:spacing w:line="360" w:lineRule="auto"/>
        <w:ind w:left="540"/>
        <w:jc w:val="both"/>
        <w:rPr>
          <w:sz w:val="28"/>
          <w:szCs w:val="28"/>
          <w:rtl/>
        </w:rPr>
      </w:pPr>
      <w:r>
        <w:rPr>
          <w:rFonts w:hint="cs"/>
          <w:sz w:val="28"/>
          <w:szCs w:val="28"/>
          <w:rtl/>
        </w:rPr>
        <w:t>הדעת נותנת שנגיעת הנאשם בחזה, אם קרתה, הייתה אמורה להיות שיאו של האירוע הטראומטי מבחינתה והרכיב אותו תדגיש בסיפורה, כי תזעק, בהזדמנות הראשונה שניתנה לה לתאר את האירוע בבית המשפט, שהנאשם נגע בחזה ולא תתייחס לכך כאל סרח עודף, בו תיזכר רק בפעם השנייה שהיא מספרת את סיפורה.</w:t>
      </w:r>
    </w:p>
    <w:p w14:paraId="768E4D8D" w14:textId="77777777" w:rsidR="002D3A1F" w:rsidRDefault="002D3A1F">
      <w:pPr>
        <w:spacing w:line="360" w:lineRule="auto"/>
        <w:ind w:left="540"/>
        <w:jc w:val="both"/>
        <w:rPr>
          <w:sz w:val="28"/>
          <w:szCs w:val="28"/>
          <w:rtl/>
        </w:rPr>
      </w:pPr>
    </w:p>
    <w:p w14:paraId="4C420EF6" w14:textId="77777777" w:rsidR="002D3A1F" w:rsidRDefault="00E271D8">
      <w:pPr>
        <w:numPr>
          <w:ilvl w:val="0"/>
          <w:numId w:val="1"/>
        </w:numPr>
        <w:tabs>
          <w:tab w:val="num" w:pos="540"/>
        </w:tabs>
        <w:spacing w:line="360" w:lineRule="auto"/>
        <w:ind w:left="540" w:hanging="540"/>
        <w:jc w:val="both"/>
        <w:rPr>
          <w:sz w:val="28"/>
          <w:szCs w:val="28"/>
          <w:rtl/>
        </w:rPr>
      </w:pPr>
      <w:r>
        <w:rPr>
          <w:rFonts w:hint="cs"/>
          <w:sz w:val="28"/>
          <w:szCs w:val="28"/>
          <w:rtl/>
        </w:rPr>
        <w:t>מכול המקובץ עולה שביחס לשאלה שבמחלוקת עומדת לפנינו עדות יחידה, שאינה מאופיינת בעוצמה ראייתית גבוהה ושאינה נתמכת בראיות חיצוניות, שלא ניתן על יסודה לבסס הרשעה בפלילים, בעבירה של מעשה מגונה, כשמנגד עומדת עדותו העקבית של הנאשם, הנתמכת למעשה גם בעדותו של הגיס, שהעיד על  גרסתה הראשונית של המתלוננת לאשר ארע.</w:t>
      </w:r>
    </w:p>
    <w:p w14:paraId="1D44CD35" w14:textId="77777777" w:rsidR="002D3A1F" w:rsidRDefault="002D3A1F">
      <w:pPr>
        <w:tabs>
          <w:tab w:val="num" w:pos="540"/>
        </w:tabs>
        <w:spacing w:line="360" w:lineRule="auto"/>
        <w:ind w:left="540" w:hanging="540"/>
        <w:jc w:val="both"/>
        <w:rPr>
          <w:sz w:val="28"/>
          <w:szCs w:val="28"/>
          <w:rtl/>
        </w:rPr>
      </w:pPr>
    </w:p>
    <w:p w14:paraId="73813BEC" w14:textId="77777777" w:rsidR="002D3A1F" w:rsidRDefault="00E271D8">
      <w:pPr>
        <w:numPr>
          <w:ilvl w:val="0"/>
          <w:numId w:val="1"/>
        </w:numPr>
        <w:tabs>
          <w:tab w:val="num" w:pos="540"/>
        </w:tabs>
        <w:spacing w:line="360" w:lineRule="auto"/>
        <w:ind w:left="540" w:hanging="540"/>
        <w:jc w:val="both"/>
        <w:rPr>
          <w:sz w:val="28"/>
          <w:szCs w:val="28"/>
          <w:rtl/>
        </w:rPr>
      </w:pPr>
      <w:r>
        <w:rPr>
          <w:rFonts w:hint="cs"/>
          <w:sz w:val="28"/>
          <w:szCs w:val="28"/>
          <w:rtl/>
        </w:rPr>
        <w:t>נותר לדון בשאלה מה משמעות המעשה בו הודה הנאשם, כבר בגרסתו שנמסרה בהזדמנות הראשונה, בחקירתו במשטרה, ושבה התמיד, כאמור, לאורך כל הדרך, כשלהודאתו נמצאות ראיות חיזוק למכביר.</w:t>
      </w:r>
    </w:p>
    <w:p w14:paraId="3FE4CC7D" w14:textId="77777777" w:rsidR="002D3A1F" w:rsidRDefault="00A227CC">
      <w:pPr>
        <w:spacing w:line="360" w:lineRule="auto"/>
        <w:ind w:left="540"/>
        <w:jc w:val="both"/>
        <w:rPr>
          <w:sz w:val="28"/>
          <w:szCs w:val="28"/>
        </w:rPr>
      </w:pPr>
      <w:hyperlink r:id="rId17" w:history="1">
        <w:r w:rsidRPr="00A227CC">
          <w:rPr>
            <w:rStyle w:val="Hyperlink"/>
            <w:rFonts w:hint="eastAsia"/>
            <w:sz w:val="28"/>
            <w:szCs w:val="28"/>
            <w:rtl/>
          </w:rPr>
          <w:t>סעיף</w:t>
        </w:r>
        <w:r w:rsidRPr="00A227CC">
          <w:rPr>
            <w:rStyle w:val="Hyperlink"/>
            <w:sz w:val="28"/>
            <w:szCs w:val="28"/>
            <w:rtl/>
          </w:rPr>
          <w:t xml:space="preserve"> 3</w:t>
        </w:r>
      </w:hyperlink>
      <w:r w:rsidR="00E271D8">
        <w:rPr>
          <w:rFonts w:hint="cs"/>
          <w:sz w:val="28"/>
          <w:szCs w:val="28"/>
          <w:rtl/>
        </w:rPr>
        <w:t xml:space="preserve"> ל</w:t>
      </w:r>
      <w:hyperlink r:id="rId18" w:history="1">
        <w:r w:rsidR="00E271D8" w:rsidRPr="00E271D8">
          <w:rPr>
            <w:rFonts w:hint="eastAsia"/>
            <w:color w:val="0000FF"/>
            <w:sz w:val="28"/>
            <w:szCs w:val="28"/>
            <w:u w:val="single"/>
            <w:rtl/>
          </w:rPr>
          <w:t>חוק</w:t>
        </w:r>
        <w:r w:rsidR="00E271D8" w:rsidRPr="00E271D8">
          <w:rPr>
            <w:color w:val="0000FF"/>
            <w:sz w:val="28"/>
            <w:szCs w:val="28"/>
            <w:u w:val="single"/>
            <w:rtl/>
          </w:rPr>
          <w:t xml:space="preserve"> </w:t>
        </w:r>
        <w:r w:rsidR="00E271D8" w:rsidRPr="00E271D8">
          <w:rPr>
            <w:rFonts w:hint="eastAsia"/>
            <w:color w:val="0000FF"/>
            <w:sz w:val="28"/>
            <w:szCs w:val="28"/>
            <w:u w:val="single"/>
            <w:rtl/>
          </w:rPr>
          <w:t>למניעת</w:t>
        </w:r>
        <w:r w:rsidR="00E271D8" w:rsidRPr="00E271D8">
          <w:rPr>
            <w:color w:val="0000FF"/>
            <w:sz w:val="28"/>
            <w:szCs w:val="28"/>
            <w:u w:val="single"/>
            <w:rtl/>
          </w:rPr>
          <w:t xml:space="preserve"> </w:t>
        </w:r>
        <w:r w:rsidR="00E271D8" w:rsidRPr="00E271D8">
          <w:rPr>
            <w:rFonts w:hint="eastAsia"/>
            <w:color w:val="0000FF"/>
            <w:sz w:val="28"/>
            <w:szCs w:val="28"/>
            <w:u w:val="single"/>
            <w:rtl/>
          </w:rPr>
          <w:t>הטרדה</w:t>
        </w:r>
        <w:r w:rsidR="00E271D8" w:rsidRPr="00E271D8">
          <w:rPr>
            <w:color w:val="0000FF"/>
            <w:sz w:val="28"/>
            <w:szCs w:val="28"/>
            <w:u w:val="single"/>
            <w:rtl/>
          </w:rPr>
          <w:t xml:space="preserve"> </w:t>
        </w:r>
        <w:r w:rsidR="00E271D8" w:rsidRPr="00E271D8">
          <w:rPr>
            <w:rFonts w:hint="eastAsia"/>
            <w:color w:val="0000FF"/>
            <w:sz w:val="28"/>
            <w:szCs w:val="28"/>
            <w:u w:val="single"/>
            <w:rtl/>
          </w:rPr>
          <w:t>מינית</w:t>
        </w:r>
      </w:hyperlink>
      <w:r w:rsidR="00E271D8">
        <w:rPr>
          <w:rFonts w:hint="cs"/>
          <w:sz w:val="28"/>
          <w:szCs w:val="28"/>
          <w:rtl/>
        </w:rPr>
        <w:t>, התשנ"ח-1998 (להלן: "</w:t>
      </w:r>
      <w:r w:rsidR="00E271D8">
        <w:rPr>
          <w:rFonts w:hint="cs"/>
          <w:b/>
          <w:bCs/>
          <w:sz w:val="28"/>
          <w:szCs w:val="28"/>
          <w:rtl/>
        </w:rPr>
        <w:t>חוק למניעת הטרדה מינית</w:t>
      </w:r>
      <w:r w:rsidR="00E271D8">
        <w:rPr>
          <w:rFonts w:hint="cs"/>
          <w:sz w:val="28"/>
          <w:szCs w:val="28"/>
          <w:rtl/>
        </w:rPr>
        <w:t>") מונה את המעשים המהווים הטרדה מינית ובין היתר קובע בס"ק (א)(3) כי הטרדה מינית היא "</w:t>
      </w:r>
      <w:r w:rsidR="00E271D8">
        <w:rPr>
          <w:rFonts w:hint="cs"/>
          <w:b/>
          <w:bCs/>
          <w:sz w:val="28"/>
          <w:szCs w:val="28"/>
          <w:rtl/>
        </w:rPr>
        <w:t>התייחסות מבזה או משפילה המופנית לאדם ביחס למינו או למיניותו, לרבות נטייתו המינית</w:t>
      </w:r>
      <w:r w:rsidR="00E271D8">
        <w:rPr>
          <w:rFonts w:hint="cs"/>
          <w:sz w:val="28"/>
          <w:szCs w:val="28"/>
          <w:rtl/>
        </w:rPr>
        <w:t>".</w:t>
      </w:r>
    </w:p>
    <w:p w14:paraId="4785A5B6" w14:textId="77777777" w:rsidR="002D3A1F" w:rsidRDefault="00E271D8">
      <w:pPr>
        <w:spacing w:line="360" w:lineRule="auto"/>
        <w:ind w:left="540"/>
        <w:jc w:val="both"/>
        <w:rPr>
          <w:sz w:val="28"/>
          <w:szCs w:val="28"/>
          <w:rtl/>
        </w:rPr>
      </w:pPr>
      <w:r>
        <w:rPr>
          <w:rFonts w:hint="cs"/>
          <w:sz w:val="28"/>
          <w:szCs w:val="28"/>
          <w:rtl/>
        </w:rPr>
        <w:t>אמירת הנאשם למתלוננת שבא לו "</w:t>
      </w:r>
      <w:r>
        <w:rPr>
          <w:rFonts w:hint="cs"/>
          <w:b/>
          <w:bCs/>
          <w:sz w:val="28"/>
          <w:szCs w:val="28"/>
          <w:rtl/>
        </w:rPr>
        <w:t>למחוץ לה את החזה או את הציצי</w:t>
      </w:r>
      <w:r>
        <w:rPr>
          <w:rFonts w:hint="cs"/>
          <w:sz w:val="28"/>
          <w:szCs w:val="28"/>
          <w:rtl/>
        </w:rPr>
        <w:t>", כלשונו, הינה התייחסות מבזה ומשפילה של המתלוננת, בהיותה אישה, ביחס למינה ומיניותה.</w:t>
      </w:r>
    </w:p>
    <w:p w14:paraId="6D3309D6" w14:textId="77777777" w:rsidR="002D3A1F" w:rsidRDefault="00E271D8">
      <w:pPr>
        <w:spacing w:line="360" w:lineRule="auto"/>
        <w:ind w:left="540"/>
        <w:jc w:val="both"/>
        <w:rPr>
          <w:sz w:val="28"/>
          <w:szCs w:val="28"/>
          <w:rtl/>
        </w:rPr>
      </w:pPr>
      <w:r>
        <w:rPr>
          <w:rFonts w:hint="cs"/>
          <w:sz w:val="28"/>
          <w:szCs w:val="28"/>
          <w:rtl/>
        </w:rPr>
        <w:t>תחושת ההשפלה והביזוי אותה חשה המתלוננת באה לידי ביטוי במצבה הנפשי לאחר יציאתה ממקום עבודתו של הנאשם לאחר האירוע, כפי שהעידה עליו המתלוננת ובמיוחד הגיס, שעדותו הותירה עליי רושם אמין, משלא הגזים או הפריז בתיאור המעשה, כפי שסופר לו על ידי המתלוננת, בתיאור מצבה הנפשי, כשהתקשרה אליו לאחר האירוע כשלדבריו "</w:t>
      </w:r>
      <w:r>
        <w:rPr>
          <w:rFonts w:hint="cs"/>
          <w:b/>
          <w:bCs/>
          <w:sz w:val="28"/>
          <w:szCs w:val="28"/>
          <w:rtl/>
        </w:rPr>
        <w:t>נשמעה לי די נסערת</w:t>
      </w:r>
      <w:r>
        <w:rPr>
          <w:rFonts w:hint="cs"/>
          <w:sz w:val="28"/>
          <w:szCs w:val="28"/>
          <w:rtl/>
        </w:rPr>
        <w:t>" ומהתרשמותו ממצבה, כשהגיע אליה מאוחר יותר וסירבה תחילה לספר לו על מה שקרה כש"</w:t>
      </w:r>
      <w:r>
        <w:rPr>
          <w:rFonts w:hint="cs"/>
          <w:b/>
          <w:bCs/>
          <w:sz w:val="28"/>
          <w:szCs w:val="28"/>
          <w:rtl/>
        </w:rPr>
        <w:t>אז היא התחילה לבכות</w:t>
      </w:r>
      <w:r>
        <w:rPr>
          <w:rFonts w:hint="cs"/>
          <w:sz w:val="28"/>
          <w:szCs w:val="28"/>
          <w:rtl/>
        </w:rPr>
        <w:t>".</w:t>
      </w:r>
    </w:p>
    <w:p w14:paraId="5A0D44F6" w14:textId="77777777" w:rsidR="002D3A1F" w:rsidRDefault="002D3A1F">
      <w:pPr>
        <w:spacing w:line="360" w:lineRule="auto"/>
        <w:ind w:left="540"/>
        <w:jc w:val="both"/>
        <w:rPr>
          <w:sz w:val="28"/>
          <w:szCs w:val="28"/>
          <w:rtl/>
        </w:rPr>
      </w:pPr>
    </w:p>
    <w:p w14:paraId="4A1B72B3" w14:textId="77777777" w:rsidR="002D3A1F" w:rsidRDefault="00E271D8">
      <w:pPr>
        <w:spacing w:line="360" w:lineRule="auto"/>
        <w:ind w:left="540"/>
        <w:jc w:val="both"/>
        <w:rPr>
          <w:sz w:val="28"/>
          <w:szCs w:val="28"/>
          <w:rtl/>
        </w:rPr>
      </w:pPr>
      <w:r>
        <w:rPr>
          <w:rFonts w:hint="cs"/>
          <w:sz w:val="28"/>
          <w:szCs w:val="28"/>
          <w:rtl/>
        </w:rPr>
        <w:t>מאחר שהעובדות בהן הודה הנאשם מצאו ביטוין בעובדות כתב האישום, לא היה בהן כדי להפתיע את הנאשם. אף שלא יוחסה לו בגינן עבירה של הטרדה מינית, היוו עובדות אלה חלק מתיאור השתלשלות האירוע עד ביצוע המעשה המגונה, כפי שיוחס לו בכתב האישום.</w:t>
      </w:r>
    </w:p>
    <w:p w14:paraId="1A0C14FF" w14:textId="77777777" w:rsidR="002D3A1F" w:rsidRDefault="00E271D8">
      <w:pPr>
        <w:spacing w:line="360" w:lineRule="auto"/>
        <w:ind w:left="540"/>
        <w:jc w:val="both"/>
        <w:rPr>
          <w:sz w:val="28"/>
          <w:szCs w:val="28"/>
          <w:rtl/>
        </w:rPr>
      </w:pPr>
      <w:r>
        <w:rPr>
          <w:rFonts w:hint="cs"/>
          <w:sz w:val="28"/>
          <w:szCs w:val="28"/>
          <w:rtl/>
        </w:rPr>
        <w:t xml:space="preserve">לא עסקינן, אפוא, במקרה של הרשעה על פי עובדות שהוכחו במהלך המשפט, על פי </w:t>
      </w:r>
      <w:hyperlink r:id="rId19" w:history="1">
        <w:r w:rsidR="00A227CC" w:rsidRPr="00A227CC">
          <w:rPr>
            <w:rStyle w:val="Hyperlink"/>
            <w:rFonts w:hint="eastAsia"/>
            <w:sz w:val="28"/>
            <w:szCs w:val="28"/>
            <w:rtl/>
          </w:rPr>
          <w:t>סעיף</w:t>
        </w:r>
        <w:r w:rsidR="00A227CC" w:rsidRPr="00A227CC">
          <w:rPr>
            <w:rStyle w:val="Hyperlink"/>
            <w:sz w:val="28"/>
            <w:szCs w:val="28"/>
            <w:rtl/>
          </w:rPr>
          <w:t xml:space="preserve"> 184</w:t>
        </w:r>
      </w:hyperlink>
      <w:r>
        <w:rPr>
          <w:rFonts w:hint="cs"/>
          <w:sz w:val="28"/>
          <w:szCs w:val="28"/>
          <w:rtl/>
        </w:rPr>
        <w:t xml:space="preserve"> ל</w:t>
      </w:r>
      <w:hyperlink r:id="rId20" w:history="1">
        <w:r w:rsidRPr="00E271D8">
          <w:rPr>
            <w:rFonts w:hint="eastAsia"/>
            <w:color w:val="0000FF"/>
            <w:sz w:val="28"/>
            <w:szCs w:val="28"/>
            <w:u w:val="single"/>
            <w:rtl/>
          </w:rPr>
          <w:t>חוק</w:t>
        </w:r>
        <w:r w:rsidRPr="00E271D8">
          <w:rPr>
            <w:color w:val="0000FF"/>
            <w:sz w:val="28"/>
            <w:szCs w:val="28"/>
            <w:u w:val="single"/>
            <w:rtl/>
          </w:rPr>
          <w:t xml:space="preserve"> </w:t>
        </w:r>
        <w:r w:rsidRPr="00E271D8">
          <w:rPr>
            <w:rFonts w:hint="eastAsia"/>
            <w:color w:val="0000FF"/>
            <w:sz w:val="28"/>
            <w:szCs w:val="28"/>
            <w:u w:val="single"/>
            <w:rtl/>
          </w:rPr>
          <w:t>סדר</w:t>
        </w:r>
        <w:r w:rsidRPr="00E271D8">
          <w:rPr>
            <w:color w:val="0000FF"/>
            <w:sz w:val="28"/>
            <w:szCs w:val="28"/>
            <w:u w:val="single"/>
            <w:rtl/>
          </w:rPr>
          <w:t xml:space="preserve"> </w:t>
        </w:r>
        <w:r w:rsidRPr="00E271D8">
          <w:rPr>
            <w:rFonts w:hint="eastAsia"/>
            <w:color w:val="0000FF"/>
            <w:sz w:val="28"/>
            <w:szCs w:val="28"/>
            <w:u w:val="single"/>
            <w:rtl/>
          </w:rPr>
          <w:t>הדין</w:t>
        </w:r>
        <w:r w:rsidRPr="00E271D8">
          <w:rPr>
            <w:color w:val="0000FF"/>
            <w:sz w:val="28"/>
            <w:szCs w:val="28"/>
            <w:u w:val="single"/>
            <w:rtl/>
          </w:rPr>
          <w:t xml:space="preserve"> </w:t>
        </w:r>
        <w:r w:rsidRPr="00E271D8">
          <w:rPr>
            <w:rFonts w:hint="eastAsia"/>
            <w:color w:val="0000FF"/>
            <w:sz w:val="28"/>
            <w:szCs w:val="28"/>
            <w:u w:val="single"/>
            <w:rtl/>
          </w:rPr>
          <w:t>הפלילי</w:t>
        </w:r>
      </w:hyperlink>
      <w:r>
        <w:rPr>
          <w:rFonts w:hint="cs"/>
          <w:sz w:val="28"/>
          <w:szCs w:val="28"/>
          <w:rtl/>
        </w:rPr>
        <w:t xml:space="preserve"> [נוסח משולב], תשמ"ב-1982, אלא בהרשעה בעבירה אחרת מזו שיוחסה לנאשם, המתגלה מעובדות כתב האישום והוכחה מעבר לכל ספק סביר.</w:t>
      </w:r>
    </w:p>
    <w:p w14:paraId="5C8E378D" w14:textId="77777777" w:rsidR="002D3A1F" w:rsidRDefault="00E271D8">
      <w:pPr>
        <w:spacing w:line="360" w:lineRule="auto"/>
        <w:ind w:left="540"/>
        <w:jc w:val="both"/>
        <w:rPr>
          <w:sz w:val="28"/>
          <w:szCs w:val="28"/>
          <w:rtl/>
        </w:rPr>
      </w:pPr>
      <w:r>
        <w:rPr>
          <w:rFonts w:hint="cs"/>
          <w:sz w:val="28"/>
          <w:szCs w:val="28"/>
          <w:rtl/>
        </w:rPr>
        <w:t xml:space="preserve">בספרו, על סדר הדין בפלילים, חלק שני מציין המלומד י' קדמי כי בית המשפט אינו כבול לעבירות שנוקבת בהן התביעה ב"הוראות החיקוק" שבכתב האישום. על פי </w:t>
      </w:r>
      <w:hyperlink r:id="rId21" w:history="1">
        <w:r w:rsidRPr="00E271D8">
          <w:rPr>
            <w:rFonts w:hint="eastAsia"/>
            <w:color w:val="0000FF"/>
            <w:sz w:val="28"/>
            <w:szCs w:val="28"/>
            <w:u w:val="single"/>
            <w:rtl/>
          </w:rPr>
          <w:t>חוק</w:t>
        </w:r>
        <w:r w:rsidRPr="00E271D8">
          <w:rPr>
            <w:color w:val="0000FF"/>
            <w:sz w:val="28"/>
            <w:szCs w:val="28"/>
            <w:u w:val="single"/>
            <w:rtl/>
          </w:rPr>
          <w:t xml:space="preserve"> </w:t>
        </w:r>
        <w:r w:rsidRPr="00E271D8">
          <w:rPr>
            <w:rFonts w:hint="eastAsia"/>
            <w:color w:val="0000FF"/>
            <w:sz w:val="28"/>
            <w:szCs w:val="28"/>
            <w:u w:val="single"/>
            <w:rtl/>
          </w:rPr>
          <w:t>סדר</w:t>
        </w:r>
        <w:r w:rsidRPr="00E271D8">
          <w:rPr>
            <w:color w:val="0000FF"/>
            <w:sz w:val="28"/>
            <w:szCs w:val="28"/>
            <w:u w:val="single"/>
            <w:rtl/>
          </w:rPr>
          <w:t xml:space="preserve"> </w:t>
        </w:r>
        <w:r w:rsidRPr="00E271D8">
          <w:rPr>
            <w:rFonts w:hint="eastAsia"/>
            <w:color w:val="0000FF"/>
            <w:sz w:val="28"/>
            <w:szCs w:val="28"/>
            <w:u w:val="single"/>
            <w:rtl/>
          </w:rPr>
          <w:t>הדין</w:t>
        </w:r>
        <w:r w:rsidRPr="00E271D8">
          <w:rPr>
            <w:color w:val="0000FF"/>
            <w:sz w:val="28"/>
            <w:szCs w:val="28"/>
            <w:u w:val="single"/>
            <w:rtl/>
          </w:rPr>
          <w:t xml:space="preserve"> </w:t>
        </w:r>
        <w:r w:rsidRPr="00E271D8">
          <w:rPr>
            <w:rFonts w:hint="eastAsia"/>
            <w:color w:val="0000FF"/>
            <w:sz w:val="28"/>
            <w:szCs w:val="28"/>
            <w:u w:val="single"/>
            <w:rtl/>
          </w:rPr>
          <w:t>הפלילי</w:t>
        </w:r>
      </w:hyperlink>
      <w:r>
        <w:rPr>
          <w:rFonts w:hint="cs"/>
          <w:sz w:val="28"/>
          <w:szCs w:val="28"/>
          <w:rtl/>
        </w:rPr>
        <w:t xml:space="preserve"> הדגש מושם על העובדות, כאשר ציון "הוראות החיקוק" הינו בעיקרו בעל ערך טכני פורמלי (שם בעמ' 1504). בהמשך מפנה המלומד קדמי ל</w:t>
      </w:r>
      <w:hyperlink r:id="rId22" w:history="1">
        <w:r w:rsidRPr="00E271D8">
          <w:rPr>
            <w:rFonts w:hint="eastAsia"/>
            <w:color w:val="0000FF"/>
            <w:sz w:val="28"/>
            <w:szCs w:val="28"/>
            <w:u w:val="single"/>
            <w:rtl/>
          </w:rPr>
          <w:t>ע</w:t>
        </w:r>
        <w:r w:rsidRPr="00E271D8">
          <w:rPr>
            <w:color w:val="0000FF"/>
            <w:sz w:val="28"/>
            <w:szCs w:val="28"/>
            <w:u w:val="single"/>
            <w:rtl/>
          </w:rPr>
          <w:t>"</w:t>
        </w:r>
        <w:r w:rsidRPr="00E271D8">
          <w:rPr>
            <w:rFonts w:hint="eastAsia"/>
            <w:color w:val="0000FF"/>
            <w:sz w:val="28"/>
            <w:szCs w:val="28"/>
            <w:u w:val="single"/>
            <w:rtl/>
          </w:rPr>
          <w:t>פ</w:t>
        </w:r>
        <w:r w:rsidRPr="00E271D8">
          <w:rPr>
            <w:color w:val="0000FF"/>
            <w:sz w:val="28"/>
            <w:szCs w:val="28"/>
            <w:u w:val="single"/>
            <w:rtl/>
          </w:rPr>
          <w:t xml:space="preserve"> 4503/99 (</w:t>
        </w:r>
        <w:r w:rsidRPr="00E271D8">
          <w:rPr>
            <w:rFonts w:hint="eastAsia"/>
            <w:color w:val="0000FF"/>
            <w:sz w:val="28"/>
            <w:szCs w:val="28"/>
            <w:u w:val="single"/>
            <w:rtl/>
          </w:rPr>
          <w:t>פד</w:t>
        </w:r>
        <w:r w:rsidRPr="00E271D8">
          <w:rPr>
            <w:color w:val="0000FF"/>
            <w:sz w:val="28"/>
            <w:szCs w:val="28"/>
            <w:u w:val="single"/>
            <w:rtl/>
          </w:rPr>
          <w:t>"</w:t>
        </w:r>
        <w:r w:rsidRPr="00E271D8">
          <w:rPr>
            <w:rFonts w:hint="eastAsia"/>
            <w:color w:val="0000FF"/>
            <w:sz w:val="28"/>
            <w:szCs w:val="28"/>
            <w:u w:val="single"/>
            <w:rtl/>
          </w:rPr>
          <w:t>י</w:t>
        </w:r>
        <w:r w:rsidRPr="00E271D8">
          <w:rPr>
            <w:color w:val="0000FF"/>
            <w:sz w:val="28"/>
            <w:szCs w:val="28"/>
            <w:u w:val="single"/>
            <w:rtl/>
          </w:rPr>
          <w:t xml:space="preserve"> </w:t>
        </w:r>
        <w:r w:rsidRPr="00E271D8">
          <w:rPr>
            <w:rFonts w:hint="eastAsia"/>
            <w:color w:val="0000FF"/>
            <w:sz w:val="28"/>
            <w:szCs w:val="28"/>
            <w:u w:val="single"/>
            <w:rtl/>
          </w:rPr>
          <w:t>נה</w:t>
        </w:r>
      </w:hyperlink>
      <w:r>
        <w:rPr>
          <w:rFonts w:hint="cs"/>
          <w:sz w:val="28"/>
          <w:szCs w:val="28"/>
          <w:rtl/>
        </w:rPr>
        <w:t xml:space="preserve">(3) 604, יוסף אפרים), שם עמדה בפני בית המשפט שאלת ההרשעה, על פי העובדות המתוארות בכתב האישום, בעבירה שונה מזו שיוחסה לו שם. לדברי קדמי, מקרה כזה </w:t>
      </w:r>
      <w:r>
        <w:rPr>
          <w:rFonts w:hint="cs"/>
          <w:sz w:val="28"/>
          <w:szCs w:val="28"/>
          <w:u w:val="single"/>
          <w:rtl/>
        </w:rPr>
        <w:t xml:space="preserve">אינו בא בגדרי </w:t>
      </w:r>
      <w:hyperlink r:id="rId23" w:history="1">
        <w:r w:rsidR="00A227CC" w:rsidRPr="00A227CC">
          <w:rPr>
            <w:rStyle w:val="Hyperlink"/>
            <w:rFonts w:hint="eastAsia"/>
            <w:sz w:val="28"/>
            <w:szCs w:val="28"/>
            <w:rtl/>
          </w:rPr>
          <w:t>סעיף</w:t>
        </w:r>
        <w:r w:rsidR="00A227CC" w:rsidRPr="00A227CC">
          <w:rPr>
            <w:rStyle w:val="Hyperlink"/>
            <w:sz w:val="28"/>
            <w:szCs w:val="28"/>
            <w:rtl/>
          </w:rPr>
          <w:t xml:space="preserve"> 184</w:t>
        </w:r>
      </w:hyperlink>
      <w:r>
        <w:rPr>
          <w:rFonts w:hint="cs"/>
          <w:sz w:val="28"/>
          <w:szCs w:val="28"/>
          <w:rtl/>
        </w:rPr>
        <w:t>, וזאת משום "שהעתירה להרשיע... לא נועדה בכדי לזקוף לחובתו [של הנאשם] עבירה נוספת, אלא רק להגדיר נכונה את אחריותו..." (שם בעמ' 1506).</w:t>
      </w:r>
    </w:p>
    <w:p w14:paraId="56F60FE9" w14:textId="77777777" w:rsidR="002D3A1F" w:rsidRDefault="002D3A1F">
      <w:pPr>
        <w:spacing w:line="360" w:lineRule="auto"/>
        <w:ind w:left="540"/>
        <w:jc w:val="both"/>
        <w:rPr>
          <w:sz w:val="28"/>
          <w:szCs w:val="28"/>
          <w:rtl/>
        </w:rPr>
      </w:pPr>
    </w:p>
    <w:p w14:paraId="38CD48DE" w14:textId="77777777" w:rsidR="002D3A1F" w:rsidRDefault="00E271D8">
      <w:pPr>
        <w:numPr>
          <w:ilvl w:val="0"/>
          <w:numId w:val="1"/>
        </w:numPr>
        <w:tabs>
          <w:tab w:val="num" w:pos="540"/>
        </w:tabs>
        <w:spacing w:line="360" w:lineRule="auto"/>
        <w:ind w:left="540" w:hanging="540"/>
        <w:jc w:val="both"/>
        <w:rPr>
          <w:b/>
          <w:bCs/>
          <w:sz w:val="28"/>
          <w:szCs w:val="28"/>
          <w:rtl/>
        </w:rPr>
      </w:pPr>
      <w:r>
        <w:rPr>
          <w:rFonts w:hint="cs"/>
          <w:b/>
          <w:bCs/>
          <w:sz w:val="28"/>
          <w:szCs w:val="28"/>
          <w:rtl/>
        </w:rPr>
        <w:t xml:space="preserve">לאור כל האמור לעיל, אני מזכה את הנאשם מהעבירה של מעשה מגונה, על פי </w:t>
      </w:r>
      <w:hyperlink r:id="rId24" w:history="1">
        <w:r w:rsidR="00A227CC" w:rsidRPr="00A227CC">
          <w:rPr>
            <w:rStyle w:val="Hyperlink"/>
            <w:rFonts w:hint="eastAsia"/>
            <w:b/>
            <w:bCs/>
            <w:sz w:val="28"/>
            <w:szCs w:val="28"/>
            <w:rtl/>
          </w:rPr>
          <w:t>סעיף</w:t>
        </w:r>
        <w:r w:rsidR="00A227CC" w:rsidRPr="00A227CC">
          <w:rPr>
            <w:rStyle w:val="Hyperlink"/>
            <w:b/>
            <w:bCs/>
            <w:sz w:val="28"/>
            <w:szCs w:val="28"/>
            <w:rtl/>
          </w:rPr>
          <w:t xml:space="preserve"> 348(</w:t>
        </w:r>
        <w:r w:rsidR="00A227CC" w:rsidRPr="00A227CC">
          <w:rPr>
            <w:rStyle w:val="Hyperlink"/>
            <w:rFonts w:hint="eastAsia"/>
            <w:b/>
            <w:bCs/>
            <w:sz w:val="28"/>
            <w:szCs w:val="28"/>
            <w:rtl/>
          </w:rPr>
          <w:t>ג</w:t>
        </w:r>
        <w:r w:rsidR="00A227CC" w:rsidRPr="00A227CC">
          <w:rPr>
            <w:rStyle w:val="Hyperlink"/>
            <w:b/>
            <w:bCs/>
            <w:sz w:val="28"/>
            <w:szCs w:val="28"/>
            <w:rtl/>
          </w:rPr>
          <w:t>1)</w:t>
        </w:r>
      </w:hyperlink>
      <w:r>
        <w:rPr>
          <w:rFonts w:hint="cs"/>
          <w:b/>
          <w:bCs/>
          <w:sz w:val="28"/>
          <w:szCs w:val="28"/>
          <w:rtl/>
        </w:rPr>
        <w:t xml:space="preserve"> ל</w:t>
      </w:r>
      <w:hyperlink r:id="rId25" w:history="1">
        <w:r w:rsidRPr="00E271D8">
          <w:rPr>
            <w:rFonts w:hint="eastAsia"/>
            <w:b/>
            <w:bCs/>
            <w:color w:val="0000FF"/>
            <w:sz w:val="28"/>
            <w:szCs w:val="28"/>
            <w:u w:val="single"/>
            <w:rtl/>
          </w:rPr>
          <w:t>חוק</w:t>
        </w:r>
        <w:r w:rsidRPr="00E271D8">
          <w:rPr>
            <w:b/>
            <w:bCs/>
            <w:color w:val="0000FF"/>
            <w:sz w:val="28"/>
            <w:szCs w:val="28"/>
            <w:u w:val="single"/>
            <w:rtl/>
          </w:rPr>
          <w:t xml:space="preserve"> </w:t>
        </w:r>
        <w:r w:rsidRPr="00E271D8">
          <w:rPr>
            <w:rFonts w:hint="eastAsia"/>
            <w:b/>
            <w:bCs/>
            <w:color w:val="0000FF"/>
            <w:sz w:val="28"/>
            <w:szCs w:val="28"/>
            <w:u w:val="single"/>
            <w:rtl/>
          </w:rPr>
          <w:t>העונשין</w:t>
        </w:r>
      </w:hyperlink>
      <w:r>
        <w:rPr>
          <w:rFonts w:hint="cs"/>
          <w:b/>
          <w:bCs/>
          <w:sz w:val="28"/>
          <w:szCs w:val="28"/>
          <w:rtl/>
        </w:rPr>
        <w:t xml:space="preserve"> ומרשיעה אותו בעבירה של הטרדה מינית, על פי </w:t>
      </w:r>
      <w:hyperlink r:id="rId26" w:history="1">
        <w:r w:rsidR="00A227CC" w:rsidRPr="00A227CC">
          <w:rPr>
            <w:rStyle w:val="Hyperlink"/>
            <w:rFonts w:hint="eastAsia"/>
            <w:b/>
            <w:bCs/>
            <w:sz w:val="28"/>
            <w:szCs w:val="28"/>
            <w:rtl/>
          </w:rPr>
          <w:t>סעיף</w:t>
        </w:r>
        <w:r w:rsidR="00A227CC" w:rsidRPr="00A227CC">
          <w:rPr>
            <w:rStyle w:val="Hyperlink"/>
            <w:b/>
            <w:bCs/>
            <w:sz w:val="28"/>
            <w:szCs w:val="28"/>
            <w:rtl/>
          </w:rPr>
          <w:t xml:space="preserve"> 5(</w:t>
        </w:r>
        <w:r w:rsidR="00A227CC" w:rsidRPr="00A227CC">
          <w:rPr>
            <w:rStyle w:val="Hyperlink"/>
            <w:rFonts w:hint="eastAsia"/>
            <w:b/>
            <w:bCs/>
            <w:sz w:val="28"/>
            <w:szCs w:val="28"/>
            <w:rtl/>
          </w:rPr>
          <w:t>א</w:t>
        </w:r>
        <w:r w:rsidR="00A227CC" w:rsidRPr="00A227CC">
          <w:rPr>
            <w:rStyle w:val="Hyperlink"/>
            <w:b/>
            <w:bCs/>
            <w:sz w:val="28"/>
            <w:szCs w:val="28"/>
            <w:rtl/>
          </w:rPr>
          <w:t>)</w:t>
        </w:r>
      </w:hyperlink>
      <w:r>
        <w:rPr>
          <w:rFonts w:hint="cs"/>
          <w:b/>
          <w:bCs/>
          <w:sz w:val="28"/>
          <w:szCs w:val="28"/>
          <w:rtl/>
        </w:rPr>
        <w:t xml:space="preserve"> בנסיבות </w:t>
      </w:r>
      <w:hyperlink r:id="rId27" w:history="1">
        <w:r w:rsidR="00A227CC" w:rsidRPr="00A227CC">
          <w:rPr>
            <w:rStyle w:val="Hyperlink"/>
            <w:rFonts w:hint="eastAsia"/>
            <w:b/>
            <w:bCs/>
            <w:sz w:val="28"/>
            <w:szCs w:val="28"/>
            <w:rtl/>
          </w:rPr>
          <w:t>סעיף</w:t>
        </w:r>
        <w:r w:rsidR="00A227CC" w:rsidRPr="00A227CC">
          <w:rPr>
            <w:rStyle w:val="Hyperlink"/>
            <w:b/>
            <w:bCs/>
            <w:sz w:val="28"/>
            <w:szCs w:val="28"/>
            <w:rtl/>
          </w:rPr>
          <w:t xml:space="preserve"> 3(</w:t>
        </w:r>
        <w:r w:rsidR="00A227CC" w:rsidRPr="00A227CC">
          <w:rPr>
            <w:rStyle w:val="Hyperlink"/>
            <w:rFonts w:hint="eastAsia"/>
            <w:b/>
            <w:bCs/>
            <w:sz w:val="28"/>
            <w:szCs w:val="28"/>
            <w:rtl/>
          </w:rPr>
          <w:t>א</w:t>
        </w:r>
        <w:r w:rsidR="00A227CC" w:rsidRPr="00A227CC">
          <w:rPr>
            <w:rStyle w:val="Hyperlink"/>
            <w:b/>
            <w:bCs/>
            <w:sz w:val="28"/>
            <w:szCs w:val="28"/>
            <w:rtl/>
          </w:rPr>
          <w:t>)(5)</w:t>
        </w:r>
      </w:hyperlink>
      <w:r>
        <w:rPr>
          <w:rFonts w:hint="cs"/>
          <w:b/>
          <w:bCs/>
          <w:sz w:val="28"/>
          <w:szCs w:val="28"/>
          <w:rtl/>
        </w:rPr>
        <w:t xml:space="preserve"> ל</w:t>
      </w:r>
      <w:hyperlink r:id="rId28" w:history="1">
        <w:r w:rsidRPr="00E271D8">
          <w:rPr>
            <w:rFonts w:hint="eastAsia"/>
            <w:b/>
            <w:bCs/>
            <w:color w:val="0000FF"/>
            <w:sz w:val="28"/>
            <w:szCs w:val="28"/>
            <w:u w:val="single"/>
            <w:rtl/>
          </w:rPr>
          <w:t>חוק</w:t>
        </w:r>
        <w:r w:rsidRPr="00E271D8">
          <w:rPr>
            <w:b/>
            <w:bCs/>
            <w:color w:val="0000FF"/>
            <w:sz w:val="28"/>
            <w:szCs w:val="28"/>
            <w:u w:val="single"/>
            <w:rtl/>
          </w:rPr>
          <w:t xml:space="preserve"> </w:t>
        </w:r>
        <w:r w:rsidRPr="00E271D8">
          <w:rPr>
            <w:rFonts w:hint="eastAsia"/>
            <w:b/>
            <w:bCs/>
            <w:color w:val="0000FF"/>
            <w:sz w:val="28"/>
            <w:szCs w:val="28"/>
            <w:u w:val="single"/>
            <w:rtl/>
          </w:rPr>
          <w:t>למניעת</w:t>
        </w:r>
        <w:r w:rsidRPr="00E271D8">
          <w:rPr>
            <w:b/>
            <w:bCs/>
            <w:color w:val="0000FF"/>
            <w:sz w:val="28"/>
            <w:szCs w:val="28"/>
            <w:u w:val="single"/>
            <w:rtl/>
          </w:rPr>
          <w:t xml:space="preserve"> </w:t>
        </w:r>
        <w:r w:rsidRPr="00E271D8">
          <w:rPr>
            <w:rFonts w:hint="eastAsia"/>
            <w:b/>
            <w:bCs/>
            <w:color w:val="0000FF"/>
            <w:sz w:val="28"/>
            <w:szCs w:val="28"/>
            <w:u w:val="single"/>
            <w:rtl/>
          </w:rPr>
          <w:t>הטרדה</w:t>
        </w:r>
        <w:r w:rsidRPr="00E271D8">
          <w:rPr>
            <w:b/>
            <w:bCs/>
            <w:color w:val="0000FF"/>
            <w:sz w:val="28"/>
            <w:szCs w:val="28"/>
            <w:u w:val="single"/>
            <w:rtl/>
          </w:rPr>
          <w:t xml:space="preserve"> </w:t>
        </w:r>
        <w:r w:rsidRPr="00E271D8">
          <w:rPr>
            <w:rFonts w:hint="eastAsia"/>
            <w:b/>
            <w:bCs/>
            <w:color w:val="0000FF"/>
            <w:sz w:val="28"/>
            <w:szCs w:val="28"/>
            <w:u w:val="single"/>
            <w:rtl/>
          </w:rPr>
          <w:t>מינית</w:t>
        </w:r>
      </w:hyperlink>
      <w:r>
        <w:rPr>
          <w:rFonts w:hint="cs"/>
          <w:b/>
          <w:bCs/>
          <w:sz w:val="28"/>
          <w:szCs w:val="28"/>
          <w:rtl/>
        </w:rPr>
        <w:t>.</w:t>
      </w:r>
    </w:p>
    <w:p w14:paraId="367143B7" w14:textId="77777777" w:rsidR="002D3A1F" w:rsidRDefault="002D3A1F">
      <w:pPr>
        <w:spacing w:line="360" w:lineRule="auto"/>
        <w:ind w:left="540"/>
        <w:jc w:val="both"/>
        <w:rPr>
          <w:sz w:val="28"/>
          <w:szCs w:val="28"/>
        </w:rPr>
      </w:pPr>
    </w:p>
    <w:p w14:paraId="323F9FDE" w14:textId="77777777" w:rsidR="002D3A1F" w:rsidRDefault="002D3A1F">
      <w:pPr>
        <w:rPr>
          <w:rFonts w:ascii="Arial" w:hAnsi="Arial" w:cs="FrankRuehl"/>
          <w:sz w:val="28"/>
          <w:szCs w:val="28"/>
          <w:rtl/>
        </w:rPr>
      </w:pPr>
    </w:p>
    <w:p w14:paraId="4DE4E010" w14:textId="77777777" w:rsidR="002D3A1F" w:rsidRDefault="00E271D8">
      <w:pPr>
        <w:rPr>
          <w:rFonts w:ascii="Arial" w:hAnsi="Arial"/>
          <w:rtl/>
        </w:rPr>
      </w:pPr>
      <w:r>
        <w:rPr>
          <w:rFonts w:ascii="Arial" w:hAnsi="Arial"/>
          <w:rtl/>
        </w:rPr>
        <w:t xml:space="preserve">ניתנה היום,  כ"ד ניסן תשע"ד , 24 אפריל 2014, במעמד הצדדים </w:t>
      </w:r>
    </w:p>
    <w:p w14:paraId="6074AC8A" w14:textId="77777777" w:rsidR="002D3A1F" w:rsidRPr="00E271D8" w:rsidRDefault="00E271D8">
      <w:pPr>
        <w:tabs>
          <w:tab w:val="left" w:pos="1625"/>
        </w:tabs>
        <w:jc w:val="center"/>
        <w:rPr>
          <w:color w:val="FFFFFF"/>
          <w:sz w:val="2"/>
          <w:szCs w:val="2"/>
          <w:rtl/>
        </w:rPr>
      </w:pPr>
      <w:r w:rsidRPr="00E271D8">
        <w:rPr>
          <w:color w:val="FFFFFF"/>
          <w:sz w:val="2"/>
          <w:szCs w:val="2"/>
          <w:rtl/>
        </w:rPr>
        <w:t>5129371</w:t>
      </w:r>
      <w:r w:rsidRPr="00E271D8">
        <w:rPr>
          <w:rFonts w:hint="cs"/>
          <w:color w:val="FFFFFF"/>
          <w:sz w:val="2"/>
          <w:szCs w:val="2"/>
          <w:rtl/>
        </w:rPr>
        <w:t xml:space="preserve">                                </w:t>
      </w:r>
    </w:p>
    <w:p w14:paraId="770C0518" w14:textId="77777777" w:rsidR="002D3A1F" w:rsidRPr="00E271D8" w:rsidRDefault="00E271D8">
      <w:pPr>
        <w:tabs>
          <w:tab w:val="left" w:pos="1625"/>
        </w:tabs>
        <w:jc w:val="center"/>
        <w:rPr>
          <w:color w:val="FFFFFF"/>
          <w:sz w:val="2"/>
          <w:szCs w:val="2"/>
          <w:rtl/>
        </w:rPr>
      </w:pPr>
      <w:r w:rsidRPr="00E271D8">
        <w:rPr>
          <w:color w:val="FFFFFF"/>
          <w:sz w:val="2"/>
          <w:szCs w:val="2"/>
          <w:rtl/>
        </w:rPr>
        <w:t>54678313</w:t>
      </w:r>
    </w:p>
    <w:p w14:paraId="232C5731" w14:textId="77777777" w:rsidR="002D3A1F" w:rsidRDefault="00E271D8">
      <w:pPr>
        <w:tabs>
          <w:tab w:val="left" w:pos="1625"/>
        </w:tabs>
        <w:jc w:val="center"/>
      </w:pPr>
      <w:r>
        <w:rPr>
          <w:rFonts w:hint="cs"/>
          <w:rtl/>
        </w:rPr>
        <w:t xml:space="preserve">    </w:t>
      </w:r>
    </w:p>
    <w:p w14:paraId="7719B4CF" w14:textId="77777777" w:rsidR="002D3A1F" w:rsidRDefault="00E271D8">
      <w:pPr>
        <w:tabs>
          <w:tab w:val="left" w:pos="2553"/>
        </w:tabs>
      </w:pPr>
      <w:r>
        <w:rPr>
          <w:rFonts w:hint="cs"/>
          <w:rtl/>
        </w:rPr>
        <w:t xml:space="preserve">                                                                </w:t>
      </w:r>
    </w:p>
    <w:p w14:paraId="303A6A60" w14:textId="77777777" w:rsidR="002D3A1F" w:rsidRDefault="002D3A1F">
      <w:pPr>
        <w:tabs>
          <w:tab w:val="left" w:pos="2553"/>
        </w:tabs>
        <w:rPr>
          <w:rFonts w:ascii="Arial" w:hAnsi="Arial"/>
        </w:rPr>
      </w:pPr>
    </w:p>
    <w:p w14:paraId="4C0FC468" w14:textId="77777777" w:rsidR="002D3A1F" w:rsidRDefault="002D3A1F">
      <w:pPr>
        <w:tabs>
          <w:tab w:val="left" w:pos="1625"/>
        </w:tabs>
        <w:jc w:val="center"/>
        <w:rPr>
          <w:rtl/>
        </w:rPr>
      </w:pPr>
    </w:p>
    <w:p w14:paraId="13EEBA54" w14:textId="77777777" w:rsidR="00E271D8" w:rsidRPr="00E271D8" w:rsidRDefault="00E271D8" w:rsidP="00E271D8">
      <w:pPr>
        <w:keepNext/>
        <w:rPr>
          <w:rFonts w:ascii="David" w:hAnsi="David"/>
          <w:color w:val="000000"/>
          <w:sz w:val="22"/>
          <w:szCs w:val="22"/>
          <w:rtl/>
        </w:rPr>
      </w:pPr>
    </w:p>
    <w:p w14:paraId="486ED53F" w14:textId="77777777" w:rsidR="00E271D8" w:rsidRPr="00E271D8" w:rsidRDefault="00E271D8" w:rsidP="00E271D8">
      <w:pPr>
        <w:keepNext/>
        <w:rPr>
          <w:rFonts w:ascii="David" w:hAnsi="David"/>
          <w:color w:val="000000"/>
          <w:sz w:val="22"/>
          <w:szCs w:val="22"/>
          <w:rtl/>
        </w:rPr>
      </w:pPr>
      <w:r w:rsidRPr="00E271D8">
        <w:rPr>
          <w:rFonts w:ascii="David" w:hAnsi="David" w:hint="eastAsia"/>
          <w:color w:val="000000"/>
          <w:sz w:val="22"/>
          <w:szCs w:val="22"/>
          <w:rtl/>
        </w:rPr>
        <w:t>הדסה</w:t>
      </w:r>
      <w:r w:rsidRPr="00E271D8">
        <w:rPr>
          <w:rFonts w:ascii="David" w:hAnsi="David"/>
          <w:color w:val="000000"/>
          <w:sz w:val="22"/>
          <w:szCs w:val="22"/>
          <w:rtl/>
        </w:rPr>
        <w:t xml:space="preserve"> </w:t>
      </w:r>
      <w:r w:rsidRPr="00E271D8">
        <w:rPr>
          <w:rFonts w:ascii="David" w:hAnsi="David" w:hint="eastAsia"/>
          <w:color w:val="000000"/>
          <w:sz w:val="22"/>
          <w:szCs w:val="22"/>
          <w:rtl/>
        </w:rPr>
        <w:t>נאור</w:t>
      </w:r>
      <w:r w:rsidRPr="00E271D8">
        <w:rPr>
          <w:rFonts w:ascii="David" w:hAnsi="David"/>
          <w:color w:val="000000"/>
          <w:sz w:val="22"/>
          <w:szCs w:val="22"/>
          <w:rtl/>
        </w:rPr>
        <w:t xml:space="preserve"> 54678313</w:t>
      </w:r>
    </w:p>
    <w:p w14:paraId="5EF7BC95" w14:textId="77777777" w:rsidR="00E271D8" w:rsidRDefault="00E271D8" w:rsidP="00E271D8">
      <w:r w:rsidRPr="00E271D8">
        <w:rPr>
          <w:rFonts w:hint="eastAsia"/>
          <w:color w:val="000000"/>
          <w:rtl/>
        </w:rPr>
        <w:t>נוסח</w:t>
      </w:r>
      <w:r w:rsidRPr="00E271D8">
        <w:rPr>
          <w:color w:val="000000"/>
          <w:rtl/>
        </w:rPr>
        <w:t xml:space="preserve"> </w:t>
      </w:r>
      <w:r w:rsidRPr="00E271D8">
        <w:rPr>
          <w:rFonts w:hint="eastAsia"/>
          <w:color w:val="000000"/>
          <w:rtl/>
        </w:rPr>
        <w:t>מסמך</w:t>
      </w:r>
      <w:r w:rsidRPr="00E271D8">
        <w:rPr>
          <w:color w:val="000000"/>
          <w:rtl/>
        </w:rPr>
        <w:t xml:space="preserve"> </w:t>
      </w:r>
      <w:r w:rsidRPr="00E271D8">
        <w:rPr>
          <w:rFonts w:hint="eastAsia"/>
          <w:color w:val="000000"/>
          <w:rtl/>
        </w:rPr>
        <w:t>זה</w:t>
      </w:r>
      <w:r w:rsidRPr="00E271D8">
        <w:rPr>
          <w:color w:val="000000"/>
          <w:rtl/>
        </w:rPr>
        <w:t xml:space="preserve"> </w:t>
      </w:r>
      <w:r w:rsidRPr="00E271D8">
        <w:rPr>
          <w:rFonts w:hint="eastAsia"/>
          <w:color w:val="000000"/>
          <w:rtl/>
        </w:rPr>
        <w:t>כפוף</w:t>
      </w:r>
      <w:r w:rsidRPr="00E271D8">
        <w:rPr>
          <w:color w:val="000000"/>
          <w:rtl/>
        </w:rPr>
        <w:t xml:space="preserve"> </w:t>
      </w:r>
      <w:r w:rsidRPr="00E271D8">
        <w:rPr>
          <w:rFonts w:hint="eastAsia"/>
          <w:color w:val="000000"/>
          <w:rtl/>
        </w:rPr>
        <w:t>לשינויי</w:t>
      </w:r>
      <w:r w:rsidRPr="00E271D8">
        <w:rPr>
          <w:color w:val="000000"/>
          <w:rtl/>
        </w:rPr>
        <w:t xml:space="preserve"> </w:t>
      </w:r>
      <w:r w:rsidRPr="00E271D8">
        <w:rPr>
          <w:rFonts w:hint="eastAsia"/>
          <w:color w:val="000000"/>
          <w:rtl/>
        </w:rPr>
        <w:t>ניסוח</w:t>
      </w:r>
      <w:r w:rsidRPr="00E271D8">
        <w:rPr>
          <w:color w:val="000000"/>
          <w:rtl/>
        </w:rPr>
        <w:t xml:space="preserve"> </w:t>
      </w:r>
      <w:r w:rsidRPr="00E271D8">
        <w:rPr>
          <w:rFonts w:hint="eastAsia"/>
          <w:color w:val="000000"/>
          <w:rtl/>
        </w:rPr>
        <w:t>ועריכה</w:t>
      </w:r>
    </w:p>
    <w:p w14:paraId="610A9324" w14:textId="77777777" w:rsidR="00E271D8" w:rsidRDefault="00E271D8" w:rsidP="00E271D8">
      <w:pPr>
        <w:rPr>
          <w:rtl/>
        </w:rPr>
      </w:pPr>
    </w:p>
    <w:p w14:paraId="6DBBC54F" w14:textId="77777777" w:rsidR="00E271D8" w:rsidRDefault="00E271D8" w:rsidP="00E271D8">
      <w:pPr>
        <w:jc w:val="center"/>
        <w:rPr>
          <w:color w:val="0000FF"/>
          <w:u w:val="single"/>
        </w:rPr>
      </w:pPr>
      <w:hyperlink r:id="rId29"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sectPr w:rsidR="00E271D8" w:rsidSect="00E271D8">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F591" w14:textId="77777777" w:rsidR="00F90687" w:rsidRPr="00D50AE7" w:rsidRDefault="00F90687">
      <w:pPr>
        <w:rPr>
          <w:rFonts w:cs="Arial"/>
          <w:szCs w:val="20"/>
        </w:rPr>
      </w:pPr>
      <w:r>
        <w:separator/>
      </w:r>
    </w:p>
  </w:endnote>
  <w:endnote w:type="continuationSeparator" w:id="0">
    <w:p w14:paraId="7E16985E" w14:textId="77777777" w:rsidR="00F90687" w:rsidRPr="00D50AE7" w:rsidRDefault="00F9068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A849" w14:textId="77777777" w:rsidR="00E271D8" w:rsidRDefault="00E271D8" w:rsidP="00E271D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E6F9D9" w14:textId="77777777" w:rsidR="00E271D8" w:rsidRPr="00E271D8" w:rsidRDefault="00E271D8" w:rsidP="00E271D8">
    <w:pPr>
      <w:pStyle w:val="Footer"/>
      <w:pBdr>
        <w:top w:val="single" w:sz="4" w:space="1" w:color="auto"/>
        <w:between w:val="single" w:sz="4" w:space="0" w:color="auto"/>
      </w:pBdr>
      <w:spacing w:after="60"/>
      <w:jc w:val="center"/>
      <w:rPr>
        <w:rFonts w:ascii="FrankRuehl" w:hAnsi="FrankRuehl" w:cs="FrankRuehl"/>
        <w:color w:val="000000"/>
      </w:rPr>
    </w:pPr>
    <w:r w:rsidRPr="00E271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5F3A" w14:textId="77777777" w:rsidR="00E271D8" w:rsidRDefault="00E271D8" w:rsidP="00E271D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35C2">
      <w:rPr>
        <w:rFonts w:ascii="FrankRuehl" w:hAnsi="FrankRuehl" w:cs="FrankRuehl"/>
        <w:noProof/>
        <w:rtl/>
      </w:rPr>
      <w:t>1</w:t>
    </w:r>
    <w:r>
      <w:rPr>
        <w:rFonts w:ascii="FrankRuehl" w:hAnsi="FrankRuehl" w:cs="FrankRuehl"/>
        <w:rtl/>
      </w:rPr>
      <w:fldChar w:fldCharType="end"/>
    </w:r>
  </w:p>
  <w:p w14:paraId="47812630" w14:textId="77777777" w:rsidR="002D3A1F" w:rsidRPr="00E271D8" w:rsidRDefault="00E271D8" w:rsidP="00E271D8">
    <w:pPr>
      <w:pStyle w:val="Footer"/>
      <w:pBdr>
        <w:top w:val="single" w:sz="4" w:space="1" w:color="auto"/>
        <w:between w:val="single" w:sz="4" w:space="0" w:color="auto"/>
      </w:pBdr>
      <w:spacing w:after="60"/>
      <w:jc w:val="center"/>
      <w:rPr>
        <w:rFonts w:ascii="FrankRuehl" w:hAnsi="FrankRuehl" w:cs="FrankRuehl"/>
        <w:color w:val="000000"/>
      </w:rPr>
    </w:pPr>
    <w:r w:rsidRPr="00E271D8">
      <w:rPr>
        <w:rFonts w:ascii="FrankRuehl" w:hAnsi="FrankRuehl" w:cs="FrankRuehl"/>
        <w:color w:val="000000"/>
      </w:rPr>
      <w:pict w14:anchorId="0C777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D63DB" w14:textId="77777777" w:rsidR="00F90687" w:rsidRPr="00D50AE7" w:rsidRDefault="00F90687">
      <w:pPr>
        <w:rPr>
          <w:rFonts w:cs="Arial"/>
          <w:szCs w:val="20"/>
        </w:rPr>
      </w:pPr>
      <w:r>
        <w:separator/>
      </w:r>
    </w:p>
  </w:footnote>
  <w:footnote w:type="continuationSeparator" w:id="0">
    <w:p w14:paraId="3F123605" w14:textId="77777777" w:rsidR="00F90687" w:rsidRPr="00D50AE7" w:rsidRDefault="00F9068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389F" w14:textId="77777777" w:rsidR="00E271D8" w:rsidRPr="00E271D8" w:rsidRDefault="00E271D8" w:rsidP="00E271D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23084-10-12</w:t>
    </w:r>
    <w:r>
      <w:rPr>
        <w:rFonts w:ascii="David" w:hAnsi="David"/>
        <w:color w:val="000000"/>
        <w:sz w:val="22"/>
        <w:szCs w:val="22"/>
        <w:rtl/>
      </w:rPr>
      <w:tab/>
      <w:t xml:space="preserve"> מדינת ישראל נ' חיים ארזוני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9D9F" w14:textId="77777777" w:rsidR="00E271D8" w:rsidRPr="00E271D8" w:rsidRDefault="00E271D8" w:rsidP="00E271D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23084-10-12</w:t>
    </w:r>
    <w:r>
      <w:rPr>
        <w:rFonts w:ascii="David" w:hAnsi="David"/>
        <w:color w:val="000000"/>
        <w:sz w:val="22"/>
        <w:szCs w:val="22"/>
        <w:rtl/>
      </w:rPr>
      <w:tab/>
      <w:t xml:space="preserve"> מדינת ישראל נ' חיים ארזוני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69D8"/>
    <w:multiLevelType w:val="hybridMultilevel"/>
    <w:tmpl w:val="E0C0D608"/>
    <w:lvl w:ilvl="0" w:tplc="81BA2FEA">
      <w:start w:val="1"/>
      <w:numFmt w:val="decimal"/>
      <w:lvlText w:val="%1."/>
      <w:lvlJc w:val="left"/>
      <w:pPr>
        <w:tabs>
          <w:tab w:val="num" w:pos="1080"/>
        </w:tabs>
        <w:ind w:left="108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42098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3A1F"/>
    <w:rsid w:val="002D3A1F"/>
    <w:rsid w:val="00333A47"/>
    <w:rsid w:val="00834ECB"/>
    <w:rsid w:val="00A227CC"/>
    <w:rsid w:val="00DB35C2"/>
    <w:rsid w:val="00E271D8"/>
    <w:rsid w:val="00F906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7876C5"/>
  <w15:chartTrackingRefBased/>
  <w15:docId w15:val="{ACD3766E-A992-4387-B5C2-42F1D1AB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3A1F"/>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D3A1F"/>
    <w:pPr>
      <w:tabs>
        <w:tab w:val="center" w:pos="4153"/>
        <w:tab w:val="right" w:pos="8306"/>
      </w:tabs>
    </w:pPr>
  </w:style>
  <w:style w:type="paragraph" w:styleId="Footer">
    <w:name w:val="footer"/>
    <w:basedOn w:val="Normal"/>
    <w:rsid w:val="002D3A1F"/>
    <w:pPr>
      <w:tabs>
        <w:tab w:val="center" w:pos="4153"/>
        <w:tab w:val="right" w:pos="8306"/>
      </w:tabs>
    </w:pPr>
  </w:style>
  <w:style w:type="character" w:styleId="PageNumber">
    <w:name w:val="page number"/>
    <w:basedOn w:val="DefaultParagraphFont"/>
    <w:rsid w:val="00E271D8"/>
  </w:style>
  <w:style w:type="character" w:styleId="Hyperlink">
    <w:name w:val="Hyperlink"/>
    <w:basedOn w:val="DefaultParagraphFont"/>
    <w:rsid w:val="00E27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72507" TargetMode="External"/><Relationship Id="rId26" Type="http://schemas.openxmlformats.org/officeDocument/2006/relationships/hyperlink" Target="http://www.nevo.co.il/law/72507/5.a" TargetMode="External"/><Relationship Id="rId3" Type="http://schemas.openxmlformats.org/officeDocument/2006/relationships/settings" Target="settings.xml"/><Relationship Id="rId21" Type="http://schemas.openxmlformats.org/officeDocument/2006/relationships/hyperlink" Target="http://www.nevo.co.il/law/74903"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2507/5.a" TargetMode="External"/><Relationship Id="rId17" Type="http://schemas.openxmlformats.org/officeDocument/2006/relationships/hyperlink" Target="http://www.nevo.co.il/law/72507/3"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4903"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507/3.a.5" TargetMode="External"/><Relationship Id="rId24" Type="http://schemas.openxmlformats.org/officeDocument/2006/relationships/hyperlink" Target="http://www.nevo.co.il/law/70301/348.c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48.c1" TargetMode="External"/><Relationship Id="rId23" Type="http://schemas.openxmlformats.org/officeDocument/2006/relationships/hyperlink" Target="http://www.nevo.co.il/law/74903/184" TargetMode="External"/><Relationship Id="rId28" Type="http://schemas.openxmlformats.org/officeDocument/2006/relationships/hyperlink" Target="http://www.nevo.co.il/law/72507" TargetMode="External"/><Relationship Id="rId10" Type="http://schemas.openxmlformats.org/officeDocument/2006/relationships/hyperlink" Target="http://www.nevo.co.il/law/72507/3" TargetMode="External"/><Relationship Id="rId19" Type="http://schemas.openxmlformats.org/officeDocument/2006/relationships/hyperlink" Target="http://www.nevo.co.il/law/74903/18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2507" TargetMode="External"/><Relationship Id="rId14" Type="http://schemas.openxmlformats.org/officeDocument/2006/relationships/hyperlink" Target="http://www.nevo.co.il/law/74903/184" TargetMode="External"/><Relationship Id="rId22" Type="http://schemas.openxmlformats.org/officeDocument/2006/relationships/hyperlink" Target="http://www.nevo.co.il/case/5882219" TargetMode="External"/><Relationship Id="rId27" Type="http://schemas.openxmlformats.org/officeDocument/2006/relationships/hyperlink" Target="http://www.nevo.co.il/law/72507/3.a.5"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48.c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12119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7864418</vt:i4>
      </vt:variant>
      <vt:variant>
        <vt:i4>63</vt:i4>
      </vt:variant>
      <vt:variant>
        <vt:i4>0</vt:i4>
      </vt:variant>
      <vt:variant>
        <vt:i4>5</vt:i4>
      </vt:variant>
      <vt:variant>
        <vt:lpwstr>http://www.nevo.co.il/law/72507</vt:lpwstr>
      </vt:variant>
      <vt:variant>
        <vt:lpwstr/>
      </vt:variant>
      <vt:variant>
        <vt:i4>5701639</vt:i4>
      </vt:variant>
      <vt:variant>
        <vt:i4>60</vt:i4>
      </vt:variant>
      <vt:variant>
        <vt:i4>0</vt:i4>
      </vt:variant>
      <vt:variant>
        <vt:i4>5</vt:i4>
      </vt:variant>
      <vt:variant>
        <vt:lpwstr>http://www.nevo.co.il/law/72507/3.a.5</vt:lpwstr>
      </vt:variant>
      <vt:variant>
        <vt:lpwstr/>
      </vt:variant>
      <vt:variant>
        <vt:i4>7929952</vt:i4>
      </vt:variant>
      <vt:variant>
        <vt:i4>57</vt:i4>
      </vt:variant>
      <vt:variant>
        <vt:i4>0</vt:i4>
      </vt:variant>
      <vt:variant>
        <vt:i4>5</vt:i4>
      </vt:variant>
      <vt:variant>
        <vt:lpwstr>http://www.nevo.co.il/law/72507/5.a</vt:lpwstr>
      </vt:variant>
      <vt:variant>
        <vt:lpwstr/>
      </vt:variant>
      <vt:variant>
        <vt:i4>7995492</vt:i4>
      </vt:variant>
      <vt:variant>
        <vt:i4>54</vt:i4>
      </vt:variant>
      <vt:variant>
        <vt:i4>0</vt:i4>
      </vt:variant>
      <vt:variant>
        <vt:i4>5</vt:i4>
      </vt:variant>
      <vt:variant>
        <vt:lpwstr>http://www.nevo.co.il/law/70301</vt:lpwstr>
      </vt:variant>
      <vt:variant>
        <vt:lpwstr/>
      </vt:variant>
      <vt:variant>
        <vt:i4>8257597</vt:i4>
      </vt:variant>
      <vt:variant>
        <vt:i4>51</vt:i4>
      </vt:variant>
      <vt:variant>
        <vt:i4>0</vt:i4>
      </vt:variant>
      <vt:variant>
        <vt:i4>5</vt:i4>
      </vt:variant>
      <vt:variant>
        <vt:lpwstr>http://www.nevo.co.il/law/70301/348.c1</vt:lpwstr>
      </vt:variant>
      <vt:variant>
        <vt:lpwstr/>
      </vt:variant>
      <vt:variant>
        <vt:i4>6881388</vt:i4>
      </vt:variant>
      <vt:variant>
        <vt:i4>48</vt:i4>
      </vt:variant>
      <vt:variant>
        <vt:i4>0</vt:i4>
      </vt:variant>
      <vt:variant>
        <vt:i4>5</vt:i4>
      </vt:variant>
      <vt:variant>
        <vt:lpwstr>http://www.nevo.co.il/law/74903/184</vt:lpwstr>
      </vt:variant>
      <vt:variant>
        <vt:lpwstr/>
      </vt:variant>
      <vt:variant>
        <vt:i4>3539071</vt:i4>
      </vt:variant>
      <vt:variant>
        <vt:i4>45</vt:i4>
      </vt:variant>
      <vt:variant>
        <vt:i4>0</vt:i4>
      </vt:variant>
      <vt:variant>
        <vt:i4>5</vt:i4>
      </vt:variant>
      <vt:variant>
        <vt:lpwstr>http://www.nevo.co.il/case/5882219</vt:lpwstr>
      </vt:variant>
      <vt:variant>
        <vt:lpwstr/>
      </vt:variant>
      <vt:variant>
        <vt:i4>8257646</vt:i4>
      </vt:variant>
      <vt:variant>
        <vt:i4>42</vt:i4>
      </vt:variant>
      <vt:variant>
        <vt:i4>0</vt:i4>
      </vt:variant>
      <vt:variant>
        <vt:i4>5</vt:i4>
      </vt:variant>
      <vt:variant>
        <vt:lpwstr>http://www.nevo.co.il/law/74903</vt:lpwstr>
      </vt:variant>
      <vt:variant>
        <vt:lpwstr/>
      </vt:variant>
      <vt:variant>
        <vt:i4>8257646</vt:i4>
      </vt:variant>
      <vt:variant>
        <vt:i4>39</vt:i4>
      </vt:variant>
      <vt:variant>
        <vt:i4>0</vt:i4>
      </vt:variant>
      <vt:variant>
        <vt:i4>5</vt:i4>
      </vt:variant>
      <vt:variant>
        <vt:lpwstr>http://www.nevo.co.il/law/74903</vt:lpwstr>
      </vt:variant>
      <vt:variant>
        <vt:lpwstr/>
      </vt:variant>
      <vt:variant>
        <vt:i4>6881388</vt:i4>
      </vt:variant>
      <vt:variant>
        <vt:i4>36</vt:i4>
      </vt:variant>
      <vt:variant>
        <vt:i4>0</vt:i4>
      </vt:variant>
      <vt:variant>
        <vt:i4>5</vt:i4>
      </vt:variant>
      <vt:variant>
        <vt:lpwstr>http://www.nevo.co.il/law/74903/184</vt:lpwstr>
      </vt:variant>
      <vt:variant>
        <vt:lpwstr/>
      </vt:variant>
      <vt:variant>
        <vt:i4>7864418</vt:i4>
      </vt:variant>
      <vt:variant>
        <vt:i4>33</vt:i4>
      </vt:variant>
      <vt:variant>
        <vt:i4>0</vt:i4>
      </vt:variant>
      <vt:variant>
        <vt:i4>5</vt:i4>
      </vt:variant>
      <vt:variant>
        <vt:lpwstr>http://www.nevo.co.il/law/72507</vt:lpwstr>
      </vt:variant>
      <vt:variant>
        <vt:lpwstr/>
      </vt:variant>
      <vt:variant>
        <vt:i4>5701717</vt:i4>
      </vt:variant>
      <vt:variant>
        <vt:i4>30</vt:i4>
      </vt:variant>
      <vt:variant>
        <vt:i4>0</vt:i4>
      </vt:variant>
      <vt:variant>
        <vt:i4>5</vt:i4>
      </vt:variant>
      <vt:variant>
        <vt:lpwstr>http://www.nevo.co.il/law/72507/3</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8257597</vt:i4>
      </vt:variant>
      <vt:variant>
        <vt:i4>24</vt:i4>
      </vt:variant>
      <vt:variant>
        <vt:i4>0</vt:i4>
      </vt:variant>
      <vt:variant>
        <vt:i4>5</vt:i4>
      </vt:variant>
      <vt:variant>
        <vt:lpwstr>http://www.nevo.co.il/law/70301/348.c1</vt:lpwstr>
      </vt:variant>
      <vt:variant>
        <vt:lpwstr/>
      </vt:variant>
      <vt:variant>
        <vt:i4>6881388</vt:i4>
      </vt:variant>
      <vt:variant>
        <vt:i4>21</vt:i4>
      </vt:variant>
      <vt:variant>
        <vt:i4>0</vt:i4>
      </vt:variant>
      <vt:variant>
        <vt:i4>5</vt:i4>
      </vt:variant>
      <vt:variant>
        <vt:lpwstr>http://www.nevo.co.il/law/74903/184</vt:lpwstr>
      </vt:variant>
      <vt:variant>
        <vt:lpwstr/>
      </vt:variant>
      <vt:variant>
        <vt:i4>8257646</vt:i4>
      </vt:variant>
      <vt:variant>
        <vt:i4>18</vt:i4>
      </vt:variant>
      <vt:variant>
        <vt:i4>0</vt:i4>
      </vt:variant>
      <vt:variant>
        <vt:i4>5</vt:i4>
      </vt:variant>
      <vt:variant>
        <vt:lpwstr>http://www.nevo.co.il/law/74903</vt:lpwstr>
      </vt:variant>
      <vt:variant>
        <vt:lpwstr/>
      </vt:variant>
      <vt:variant>
        <vt:i4>7929952</vt:i4>
      </vt:variant>
      <vt:variant>
        <vt:i4>15</vt:i4>
      </vt:variant>
      <vt:variant>
        <vt:i4>0</vt:i4>
      </vt:variant>
      <vt:variant>
        <vt:i4>5</vt:i4>
      </vt:variant>
      <vt:variant>
        <vt:lpwstr>http://www.nevo.co.il/law/72507/5.a</vt:lpwstr>
      </vt:variant>
      <vt:variant>
        <vt:lpwstr/>
      </vt:variant>
      <vt:variant>
        <vt:i4>5701639</vt:i4>
      </vt:variant>
      <vt:variant>
        <vt:i4>12</vt:i4>
      </vt:variant>
      <vt:variant>
        <vt:i4>0</vt:i4>
      </vt:variant>
      <vt:variant>
        <vt:i4>5</vt:i4>
      </vt:variant>
      <vt:variant>
        <vt:lpwstr>http://www.nevo.co.il/law/72507/3.a.5</vt:lpwstr>
      </vt:variant>
      <vt:variant>
        <vt:lpwstr/>
      </vt:variant>
      <vt:variant>
        <vt:i4>5701717</vt:i4>
      </vt:variant>
      <vt:variant>
        <vt:i4>9</vt:i4>
      </vt:variant>
      <vt:variant>
        <vt:i4>0</vt:i4>
      </vt:variant>
      <vt:variant>
        <vt:i4>5</vt:i4>
      </vt:variant>
      <vt:variant>
        <vt:lpwstr>http://www.nevo.co.il/law/72507/3</vt:lpwstr>
      </vt:variant>
      <vt:variant>
        <vt:lpwstr/>
      </vt:variant>
      <vt:variant>
        <vt:i4>7864418</vt:i4>
      </vt:variant>
      <vt:variant>
        <vt:i4>6</vt:i4>
      </vt:variant>
      <vt:variant>
        <vt:i4>0</vt:i4>
      </vt:variant>
      <vt:variant>
        <vt:i4>5</vt:i4>
      </vt:variant>
      <vt:variant>
        <vt:lpwstr>http://www.nevo.co.il/law/72507</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2022-05-24T10:43:00Z</dcterms:created>
  <dcterms:modified xsi:type="dcterms:W3CDTF">2022-05-24T10:43:00Z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23084</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חיים ארזוני</vt:lpwstr>
  </property>
  <property fmtid="{D5CDD505-2E9C-101B-9397-08002B2CF9AE}" pid="10" name="LAWYER">
    <vt:lpwstr>לילך שטיבל;שירן ברגמן</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20140424</vt:lpwstr>
  </property>
  <property fmtid="{D5CDD505-2E9C-101B-9397-08002B2CF9AE}" pid="14" name="TYPE_N_DATE">
    <vt:lpwstr>38020140424</vt:lpwstr>
  </property>
  <property fmtid="{D5CDD505-2E9C-101B-9397-08002B2CF9AE}" pid="15" name="CASESLISTTMP1">
    <vt:lpwstr>5882219</vt:lpwstr>
  </property>
  <property fmtid="{D5CDD505-2E9C-101B-9397-08002B2CF9AE}" pid="16" name="WORDNUMPAGES">
    <vt:lpwstr>8</vt:lpwstr>
  </property>
  <property fmtid="{D5CDD505-2E9C-101B-9397-08002B2CF9AE}" pid="17" name="TYPE_ABS_DATE">
    <vt:lpwstr>380020140424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70301/348.c1:2</vt:lpwstr>
  </property>
  <property fmtid="{D5CDD505-2E9C-101B-9397-08002B2CF9AE}" pid="37" name="LAWLISTTMP2">
    <vt:lpwstr>72507/003;005.a;003.a.5</vt:lpwstr>
  </property>
  <property fmtid="{D5CDD505-2E9C-101B-9397-08002B2CF9AE}" pid="38" name="LAWLISTTMP3">
    <vt:lpwstr>74903/184:2</vt:lpwstr>
  </property>
</Properties>
</file>