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BC7020" w:rsidRPr="00280646" w14:paraId="30DC29D6" w14:textId="77777777">
        <w:trPr>
          <w:trHeight w:hRule="exact" w:val="418"/>
          <w:jc w:val="center"/>
        </w:trPr>
        <w:tc>
          <w:tcPr>
            <w:tcW w:w="8721" w:type="dxa"/>
            <w:gridSpan w:val="2"/>
          </w:tcPr>
          <w:p w14:paraId="644E749A" w14:textId="77777777" w:rsidR="00BC7020" w:rsidRPr="00280646" w:rsidRDefault="00280646">
            <w:pPr>
              <w:pStyle w:val="Header"/>
              <w:jc w:val="center"/>
              <w:rPr>
                <w:rFonts w:ascii="Tahoma" w:hAnsi="Tahoma" w:cs="Tahoma"/>
                <w:color w:val="000080"/>
                <w:rtl/>
              </w:rPr>
            </w:pPr>
            <w:r w:rsidRPr="00280646">
              <w:rPr>
                <w:rFonts w:ascii="Tahoma" w:hAnsi="Tahoma" w:cs="Tahoma"/>
                <w:b/>
                <w:bCs/>
                <w:color w:val="000080"/>
                <w:rtl/>
              </w:rPr>
              <w:t>בית משפט השלום בתל אביב - יפו</w:t>
            </w:r>
          </w:p>
        </w:tc>
      </w:tr>
      <w:tr w:rsidR="00BC7020" w:rsidRPr="00280646" w14:paraId="6FBA2D9D" w14:textId="77777777">
        <w:trPr>
          <w:trHeight w:val="337"/>
          <w:jc w:val="center"/>
        </w:trPr>
        <w:tc>
          <w:tcPr>
            <w:tcW w:w="5047" w:type="dxa"/>
          </w:tcPr>
          <w:p w14:paraId="093DD42E" w14:textId="77777777" w:rsidR="00BC7020" w:rsidRPr="00280646" w:rsidRDefault="00BC7020">
            <w:pPr>
              <w:pStyle w:val="Header"/>
              <w:rPr>
                <w:rFonts w:cs="FrankRuehl"/>
                <w:sz w:val="28"/>
                <w:szCs w:val="28"/>
                <w:rtl/>
              </w:rPr>
            </w:pPr>
          </w:p>
        </w:tc>
        <w:tc>
          <w:tcPr>
            <w:tcW w:w="3674" w:type="dxa"/>
          </w:tcPr>
          <w:p w14:paraId="2401AF98" w14:textId="77777777" w:rsidR="00BC7020" w:rsidRPr="00280646" w:rsidRDefault="00BC7020">
            <w:pPr>
              <w:pStyle w:val="Header"/>
              <w:jc w:val="right"/>
              <w:rPr>
                <w:rFonts w:cs="FrankRuehl"/>
                <w:sz w:val="28"/>
                <w:szCs w:val="28"/>
                <w:rtl/>
              </w:rPr>
            </w:pPr>
          </w:p>
        </w:tc>
      </w:tr>
      <w:tr w:rsidR="00BC7020" w:rsidRPr="00280646" w14:paraId="7E360674" w14:textId="77777777">
        <w:trPr>
          <w:trHeight w:val="337"/>
          <w:jc w:val="center"/>
        </w:trPr>
        <w:tc>
          <w:tcPr>
            <w:tcW w:w="8721" w:type="dxa"/>
            <w:gridSpan w:val="2"/>
          </w:tcPr>
          <w:p w14:paraId="5474C03E" w14:textId="77777777" w:rsidR="00BC7020" w:rsidRPr="00280646" w:rsidRDefault="00280646">
            <w:pPr>
              <w:rPr>
                <w:b/>
                <w:bCs/>
                <w:rtl/>
              </w:rPr>
            </w:pPr>
            <w:r w:rsidRPr="00280646">
              <w:rPr>
                <w:b/>
                <w:bCs/>
                <w:rtl/>
              </w:rPr>
              <w:t>ת"פ</w:t>
            </w:r>
            <w:r w:rsidRPr="00280646">
              <w:rPr>
                <w:rFonts w:hint="cs"/>
                <w:b/>
                <w:bCs/>
                <w:rtl/>
              </w:rPr>
              <w:t xml:space="preserve"> </w:t>
            </w:r>
            <w:r w:rsidRPr="00280646">
              <w:rPr>
                <w:b/>
                <w:bCs/>
                <w:rtl/>
              </w:rPr>
              <w:t>3890-11-12</w:t>
            </w:r>
            <w:r w:rsidRPr="00280646">
              <w:rPr>
                <w:rFonts w:hint="cs"/>
                <w:b/>
                <w:bCs/>
                <w:rtl/>
              </w:rPr>
              <w:t xml:space="preserve"> </w:t>
            </w:r>
            <w:r w:rsidRPr="00280646">
              <w:rPr>
                <w:rFonts w:ascii="Arial" w:hAnsi="Arial"/>
                <w:b/>
                <w:bCs/>
                <w:rtl/>
              </w:rPr>
              <w:t xml:space="preserve">מדינת ישראל נ' </w:t>
            </w:r>
            <w:r w:rsidRPr="00280646">
              <w:rPr>
                <w:rFonts w:ascii="Arial" w:hAnsi="Arial" w:hint="eastAsia"/>
                <w:b/>
                <w:bCs/>
                <w:rtl/>
              </w:rPr>
              <w:t>ברקהאט</w:t>
            </w:r>
            <w:r w:rsidRPr="00280646">
              <w:rPr>
                <w:rFonts w:ascii="Arial" w:hAnsi="Arial"/>
                <w:b/>
                <w:bCs/>
                <w:rtl/>
              </w:rPr>
              <w:t xml:space="preserve"> </w:t>
            </w:r>
            <w:r w:rsidRPr="00280646">
              <w:rPr>
                <w:rFonts w:ascii="Arial" w:hAnsi="Arial" w:hint="eastAsia"/>
                <w:b/>
                <w:bCs/>
                <w:rtl/>
              </w:rPr>
              <w:t>טספמארים</w:t>
            </w:r>
            <w:r w:rsidRPr="00280646">
              <w:rPr>
                <w:rFonts w:ascii="Arial" w:hAnsi="Arial"/>
                <w:b/>
                <w:bCs/>
                <w:rtl/>
              </w:rPr>
              <w:t xml:space="preserve"> </w:t>
            </w:r>
          </w:p>
          <w:p w14:paraId="1DFFED0E" w14:textId="77777777" w:rsidR="00BC7020" w:rsidRPr="00280646" w:rsidRDefault="00280646">
            <w:pPr>
              <w:pStyle w:val="Header"/>
              <w:tabs>
                <w:tab w:val="clear" w:pos="4153"/>
                <w:tab w:val="clear" w:pos="8306"/>
                <w:tab w:val="left" w:pos="2445"/>
              </w:tabs>
              <w:rPr>
                <w:b/>
                <w:bCs/>
                <w:rtl/>
              </w:rPr>
            </w:pPr>
            <w:r w:rsidRPr="00280646">
              <w:rPr>
                <w:b/>
                <w:bCs/>
                <w:rtl/>
              </w:rPr>
              <w:tab/>
            </w:r>
          </w:p>
        </w:tc>
      </w:tr>
    </w:tbl>
    <w:p w14:paraId="79A27E35" w14:textId="77777777" w:rsidR="00BC7020" w:rsidRPr="00280646" w:rsidRDefault="00280646" w:rsidP="00AB4597">
      <w:pPr>
        <w:pStyle w:val="Header"/>
        <w:rPr>
          <w:rtl/>
        </w:rPr>
      </w:pPr>
      <w:r w:rsidRPr="00280646">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1"/>
        <w:gridCol w:w="8179"/>
      </w:tblGrid>
      <w:tr w:rsidR="00BC7020" w:rsidRPr="00280646" w14:paraId="1FCC4603" w14:textId="77777777">
        <w:trPr>
          <w:trHeight w:val="295"/>
          <w:jc w:val="center"/>
        </w:trPr>
        <w:tc>
          <w:tcPr>
            <w:tcW w:w="583" w:type="dxa"/>
            <w:tcBorders>
              <w:top w:val="nil"/>
              <w:left w:val="nil"/>
              <w:bottom w:val="nil"/>
              <w:right w:val="nil"/>
            </w:tcBorders>
          </w:tcPr>
          <w:p w14:paraId="69D0B103" w14:textId="77777777" w:rsidR="00BC7020" w:rsidRPr="00280646" w:rsidRDefault="00280646">
            <w:pPr>
              <w:jc w:val="both"/>
              <w:rPr>
                <w:rFonts w:ascii="Arial" w:hAnsi="Arial"/>
                <w:b/>
                <w:bCs/>
                <w:sz w:val="26"/>
                <w:szCs w:val="26"/>
              </w:rPr>
            </w:pPr>
            <w:bookmarkStart w:id="0" w:name="_GoBack"/>
            <w:bookmarkEnd w:id="0"/>
            <w:r w:rsidRPr="00280646">
              <w:rPr>
                <w:rFonts w:ascii="Arial" w:hAnsi="Arial" w:hint="cs"/>
                <w:b/>
                <w:bCs/>
                <w:sz w:val="26"/>
                <w:szCs w:val="26"/>
                <w:rtl/>
              </w:rPr>
              <w:t>ב</w:t>
            </w:r>
            <w:r w:rsidRPr="00280646">
              <w:rPr>
                <w:rFonts w:ascii="Arial" w:hAnsi="Arial"/>
                <w:b/>
                <w:bCs/>
                <w:sz w:val="26"/>
                <w:szCs w:val="26"/>
                <w:rtl/>
              </w:rPr>
              <w:t xml:space="preserve">פני </w:t>
            </w:r>
          </w:p>
        </w:tc>
        <w:tc>
          <w:tcPr>
            <w:tcW w:w="8237" w:type="dxa"/>
            <w:tcBorders>
              <w:top w:val="nil"/>
              <w:left w:val="nil"/>
              <w:bottom w:val="nil"/>
              <w:right w:val="nil"/>
            </w:tcBorders>
          </w:tcPr>
          <w:p w14:paraId="0623A060" w14:textId="77777777" w:rsidR="00BC7020" w:rsidRPr="00280646" w:rsidRDefault="00280646">
            <w:pPr>
              <w:rPr>
                <w:rFonts w:ascii="Arial" w:hAnsi="Arial"/>
                <w:b/>
                <w:bCs/>
                <w:sz w:val="26"/>
                <w:szCs w:val="26"/>
                <w:highlight w:val="yellow"/>
              </w:rPr>
            </w:pPr>
            <w:r w:rsidRPr="00280646">
              <w:rPr>
                <w:rFonts w:ascii="Arial" w:hAnsi="Arial" w:hint="cs"/>
                <w:b/>
                <w:bCs/>
                <w:sz w:val="26"/>
                <w:szCs w:val="26"/>
                <w:rtl/>
              </w:rPr>
              <w:t xml:space="preserve">כב' השופט </w:t>
            </w:r>
            <w:r w:rsidRPr="00280646">
              <w:rPr>
                <w:rFonts w:hint="cs"/>
                <w:b/>
                <w:bCs/>
                <w:sz w:val="26"/>
                <w:szCs w:val="26"/>
                <w:rtl/>
              </w:rPr>
              <w:t>בני שגיא, סגן נשיאה</w:t>
            </w:r>
          </w:p>
        </w:tc>
      </w:tr>
    </w:tbl>
    <w:p w14:paraId="7AA6B156" w14:textId="77777777" w:rsidR="00BC7020" w:rsidRPr="00280646" w:rsidRDefault="00BC7020">
      <w:pPr>
        <w:rPr>
          <w:rtl/>
        </w:rPr>
      </w:pPr>
      <w:bookmarkStart w:id="1" w:name="LastJudge"/>
      <w:bookmarkEnd w:id="1"/>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5"/>
        <w:gridCol w:w="3546"/>
        <w:gridCol w:w="3699"/>
      </w:tblGrid>
      <w:tr w:rsidR="00BC7020" w:rsidRPr="00280646" w14:paraId="7B430495" w14:textId="77777777">
        <w:trPr>
          <w:trHeight w:val="355"/>
          <w:jc w:val="center"/>
        </w:trPr>
        <w:tc>
          <w:tcPr>
            <w:tcW w:w="1575" w:type="dxa"/>
            <w:tcBorders>
              <w:top w:val="nil"/>
              <w:left w:val="nil"/>
              <w:bottom w:val="nil"/>
              <w:right w:val="nil"/>
            </w:tcBorders>
          </w:tcPr>
          <w:p w14:paraId="67EE1EAF" w14:textId="77777777" w:rsidR="00BC7020" w:rsidRPr="00280646" w:rsidRDefault="00BC7020">
            <w:pPr>
              <w:jc w:val="both"/>
              <w:rPr>
                <w:rFonts w:ascii="Arial" w:hAnsi="Arial" w:cs="FrankRuehl"/>
                <w:b/>
                <w:bCs/>
                <w:sz w:val="28"/>
                <w:szCs w:val="28"/>
                <w:rtl/>
              </w:rPr>
            </w:pPr>
            <w:bookmarkStart w:id="2" w:name="FirstAppellant"/>
          </w:p>
          <w:p w14:paraId="351C15E3" w14:textId="77777777" w:rsidR="00BC7020" w:rsidRPr="00280646" w:rsidRDefault="00280646">
            <w:pPr>
              <w:jc w:val="both"/>
              <w:rPr>
                <w:rFonts w:ascii="Arial" w:hAnsi="Arial"/>
                <w:b/>
                <w:bCs/>
              </w:rPr>
            </w:pPr>
            <w:r w:rsidRPr="00280646">
              <w:rPr>
                <w:rFonts w:ascii="Arial" w:hAnsi="Arial" w:hint="cs"/>
                <w:b/>
                <w:bCs/>
                <w:rtl/>
              </w:rPr>
              <w:t>ה</w:t>
            </w:r>
            <w:r w:rsidRPr="00280646">
              <w:rPr>
                <w:rFonts w:hint="cs"/>
                <w:rtl/>
              </w:rPr>
              <w:t>מאשימה</w:t>
            </w:r>
            <w:r w:rsidRPr="00280646">
              <w:rPr>
                <w:rFonts w:ascii="Arial" w:hAnsi="Arial" w:hint="cs"/>
                <w:b/>
                <w:bCs/>
                <w:rtl/>
              </w:rPr>
              <w:t>:</w:t>
            </w:r>
          </w:p>
        </w:tc>
        <w:tc>
          <w:tcPr>
            <w:tcW w:w="3546" w:type="dxa"/>
            <w:tcBorders>
              <w:top w:val="nil"/>
              <w:left w:val="nil"/>
              <w:bottom w:val="nil"/>
              <w:right w:val="nil"/>
            </w:tcBorders>
          </w:tcPr>
          <w:p w14:paraId="1180780A" w14:textId="77777777" w:rsidR="00BC7020" w:rsidRPr="00280646" w:rsidRDefault="00BC7020">
            <w:pPr>
              <w:jc w:val="both"/>
              <w:rPr>
                <w:rFonts w:ascii="Arial" w:hAnsi="Arial"/>
                <w:b/>
                <w:bCs/>
                <w:sz w:val="26"/>
                <w:szCs w:val="26"/>
                <w:rtl/>
              </w:rPr>
            </w:pPr>
          </w:p>
          <w:p w14:paraId="0889D18E" w14:textId="77777777" w:rsidR="00BC7020" w:rsidRPr="00280646" w:rsidRDefault="00280646">
            <w:pPr>
              <w:ind w:left="720"/>
              <w:jc w:val="both"/>
              <w:rPr>
                <w:rFonts w:ascii="Arial" w:hAnsi="Arial"/>
                <w:b/>
                <w:bCs/>
                <w:rtl/>
              </w:rPr>
            </w:pPr>
            <w:r w:rsidRPr="00280646">
              <w:rPr>
                <w:rFonts w:hint="cs"/>
                <w:b/>
                <w:bCs/>
                <w:rtl/>
              </w:rPr>
              <w:t>מדינת ישראל – פרקליטות מחוז תל אביב</w:t>
            </w:r>
          </w:p>
          <w:p w14:paraId="2A38F7B9" w14:textId="77777777" w:rsidR="00BC7020" w:rsidRPr="00280646" w:rsidRDefault="00BC7020">
            <w:pPr>
              <w:ind w:left="720"/>
              <w:jc w:val="both"/>
              <w:rPr>
                <w:rFonts w:ascii="Arial" w:hAnsi="Arial"/>
                <w:b/>
                <w:bCs/>
              </w:rPr>
            </w:pPr>
          </w:p>
        </w:tc>
        <w:tc>
          <w:tcPr>
            <w:tcW w:w="3699" w:type="dxa"/>
            <w:tcBorders>
              <w:top w:val="nil"/>
              <w:left w:val="nil"/>
              <w:bottom w:val="nil"/>
              <w:right w:val="nil"/>
            </w:tcBorders>
          </w:tcPr>
          <w:p w14:paraId="66844474" w14:textId="77777777" w:rsidR="00BC7020" w:rsidRPr="00280646" w:rsidRDefault="00BC7020">
            <w:pPr>
              <w:jc w:val="both"/>
              <w:rPr>
                <w:rFonts w:ascii="Arial" w:hAnsi="Arial"/>
                <w:b/>
                <w:bCs/>
                <w:sz w:val="26"/>
                <w:szCs w:val="26"/>
              </w:rPr>
            </w:pPr>
          </w:p>
        </w:tc>
      </w:tr>
      <w:tr w:rsidR="00BC7020" w:rsidRPr="00280646" w14:paraId="24D60B23" w14:textId="77777777">
        <w:trPr>
          <w:trHeight w:val="355"/>
          <w:jc w:val="center"/>
        </w:trPr>
        <w:tc>
          <w:tcPr>
            <w:tcW w:w="1575" w:type="dxa"/>
            <w:tcBorders>
              <w:top w:val="nil"/>
              <w:left w:val="nil"/>
              <w:bottom w:val="nil"/>
              <w:right w:val="nil"/>
            </w:tcBorders>
          </w:tcPr>
          <w:p w14:paraId="5513BE4A" w14:textId="77777777" w:rsidR="00BC7020" w:rsidRPr="00280646" w:rsidRDefault="00BC7020">
            <w:pPr>
              <w:jc w:val="both"/>
              <w:rPr>
                <w:rFonts w:ascii="Arial" w:hAnsi="Arial" w:cs="FrankRuehl"/>
                <w:b/>
                <w:bCs/>
                <w:sz w:val="28"/>
                <w:szCs w:val="28"/>
                <w:rtl/>
              </w:rPr>
            </w:pPr>
            <w:bookmarkStart w:id="3" w:name="FirstLawyer"/>
            <w:bookmarkEnd w:id="2"/>
          </w:p>
        </w:tc>
        <w:tc>
          <w:tcPr>
            <w:tcW w:w="7245" w:type="dxa"/>
            <w:gridSpan w:val="2"/>
            <w:tcBorders>
              <w:top w:val="nil"/>
              <w:left w:val="nil"/>
              <w:bottom w:val="nil"/>
              <w:right w:val="nil"/>
            </w:tcBorders>
            <w:vAlign w:val="center"/>
          </w:tcPr>
          <w:p w14:paraId="717807F4" w14:textId="77777777" w:rsidR="00BC7020" w:rsidRPr="00280646" w:rsidRDefault="00280646">
            <w:pPr>
              <w:rPr>
                <w:rFonts w:ascii="Arial" w:hAnsi="Arial"/>
                <w:b/>
                <w:bCs/>
                <w:sz w:val="26"/>
                <w:szCs w:val="26"/>
                <w:rtl/>
              </w:rPr>
            </w:pPr>
            <w:r w:rsidRPr="00280646">
              <w:rPr>
                <w:rFonts w:hint="cs"/>
                <w:rtl/>
              </w:rPr>
              <w:t xml:space="preserve">              ע"י ב"כ עו"ד גל יורמן ניר</w:t>
            </w:r>
          </w:p>
        </w:tc>
      </w:tr>
      <w:bookmarkEnd w:id="3"/>
      <w:tr w:rsidR="00BC7020" w:rsidRPr="00280646" w14:paraId="393956C2" w14:textId="77777777">
        <w:trPr>
          <w:trHeight w:val="355"/>
          <w:jc w:val="center"/>
        </w:trPr>
        <w:tc>
          <w:tcPr>
            <w:tcW w:w="1575" w:type="dxa"/>
            <w:tcBorders>
              <w:top w:val="nil"/>
              <w:left w:val="nil"/>
              <w:bottom w:val="nil"/>
              <w:right w:val="nil"/>
            </w:tcBorders>
          </w:tcPr>
          <w:p w14:paraId="4275FBFB" w14:textId="77777777" w:rsidR="00BC7020" w:rsidRPr="00280646" w:rsidRDefault="00BC7020">
            <w:pPr>
              <w:jc w:val="both"/>
              <w:rPr>
                <w:rFonts w:ascii="Arial" w:hAnsi="Arial" w:cs="FrankRuehl"/>
                <w:b/>
                <w:bCs/>
                <w:sz w:val="28"/>
                <w:szCs w:val="28"/>
                <w:rtl/>
              </w:rPr>
            </w:pPr>
          </w:p>
        </w:tc>
        <w:tc>
          <w:tcPr>
            <w:tcW w:w="7245" w:type="dxa"/>
            <w:gridSpan w:val="2"/>
            <w:tcBorders>
              <w:top w:val="nil"/>
              <w:left w:val="nil"/>
              <w:bottom w:val="nil"/>
              <w:right w:val="nil"/>
            </w:tcBorders>
          </w:tcPr>
          <w:p w14:paraId="4350A3DA" w14:textId="77777777" w:rsidR="00BC7020" w:rsidRPr="00280646" w:rsidRDefault="00BC7020">
            <w:pPr>
              <w:jc w:val="center"/>
              <w:rPr>
                <w:rFonts w:ascii="Arial" w:hAnsi="Arial"/>
                <w:b/>
                <w:bCs/>
                <w:sz w:val="26"/>
                <w:szCs w:val="26"/>
                <w:rtl/>
              </w:rPr>
            </w:pPr>
          </w:p>
          <w:p w14:paraId="07AAA99B" w14:textId="77777777" w:rsidR="00BC7020" w:rsidRPr="00280646" w:rsidRDefault="00280646">
            <w:pPr>
              <w:jc w:val="center"/>
              <w:rPr>
                <w:rFonts w:ascii="Arial" w:hAnsi="Arial"/>
                <w:b/>
                <w:bCs/>
                <w:sz w:val="26"/>
                <w:szCs w:val="26"/>
              </w:rPr>
            </w:pPr>
            <w:r w:rsidRPr="00280646">
              <w:rPr>
                <w:rFonts w:ascii="Arial" w:hAnsi="Arial"/>
                <w:b/>
                <w:bCs/>
                <w:sz w:val="26"/>
                <w:szCs w:val="26"/>
                <w:rtl/>
              </w:rPr>
              <w:t>נגד</w:t>
            </w:r>
          </w:p>
        </w:tc>
      </w:tr>
      <w:tr w:rsidR="00BC7020" w:rsidRPr="00280646" w14:paraId="3B030F21" w14:textId="77777777">
        <w:trPr>
          <w:trHeight w:val="355"/>
          <w:jc w:val="center"/>
        </w:trPr>
        <w:tc>
          <w:tcPr>
            <w:tcW w:w="1575" w:type="dxa"/>
            <w:tcBorders>
              <w:top w:val="nil"/>
              <w:left w:val="nil"/>
              <w:bottom w:val="nil"/>
              <w:right w:val="nil"/>
            </w:tcBorders>
          </w:tcPr>
          <w:p w14:paraId="67C213D6" w14:textId="77777777" w:rsidR="00BC7020" w:rsidRPr="00280646" w:rsidRDefault="00280646">
            <w:pPr>
              <w:jc w:val="both"/>
              <w:rPr>
                <w:rFonts w:ascii="Arial" w:hAnsi="Arial"/>
                <w:b/>
                <w:bCs/>
                <w:rtl/>
              </w:rPr>
            </w:pPr>
            <w:r w:rsidRPr="00280646">
              <w:rPr>
                <w:rFonts w:ascii="Arial" w:hAnsi="Arial" w:hint="cs"/>
                <w:b/>
                <w:bCs/>
                <w:rtl/>
              </w:rPr>
              <w:t>ה</w:t>
            </w:r>
            <w:r w:rsidRPr="00280646">
              <w:rPr>
                <w:rFonts w:hint="cs"/>
                <w:rtl/>
              </w:rPr>
              <w:t>נאשם</w:t>
            </w:r>
            <w:r w:rsidRPr="00280646">
              <w:rPr>
                <w:rFonts w:ascii="Arial" w:hAnsi="Arial" w:hint="cs"/>
                <w:b/>
                <w:bCs/>
                <w:rtl/>
              </w:rPr>
              <w:t>:</w:t>
            </w:r>
          </w:p>
        </w:tc>
        <w:tc>
          <w:tcPr>
            <w:tcW w:w="3546" w:type="dxa"/>
            <w:tcBorders>
              <w:top w:val="nil"/>
              <w:left w:val="nil"/>
              <w:bottom w:val="nil"/>
              <w:right w:val="nil"/>
            </w:tcBorders>
          </w:tcPr>
          <w:p w14:paraId="1B7FDDE6" w14:textId="77777777" w:rsidR="00BC7020" w:rsidRPr="00280646" w:rsidRDefault="00280646">
            <w:pPr>
              <w:ind w:left="720"/>
              <w:jc w:val="both"/>
              <w:rPr>
                <w:rFonts w:ascii="Arial" w:hAnsi="Arial"/>
                <w:b/>
                <w:bCs/>
                <w:rtl/>
              </w:rPr>
            </w:pPr>
            <w:r w:rsidRPr="00280646">
              <w:rPr>
                <w:rFonts w:hint="cs"/>
                <w:rtl/>
              </w:rPr>
              <w:t>ברקהאט טספמארים</w:t>
            </w:r>
            <w:r w:rsidRPr="00280646">
              <w:rPr>
                <w:rFonts w:ascii="Arial" w:hAnsi="Arial"/>
                <w:b/>
                <w:bCs/>
                <w:rtl/>
              </w:rPr>
              <w:t xml:space="preserve"> </w:t>
            </w:r>
          </w:p>
          <w:p w14:paraId="13707C47" w14:textId="77777777" w:rsidR="00BC7020" w:rsidRPr="00280646" w:rsidRDefault="00BC7020">
            <w:pPr>
              <w:ind w:left="720"/>
              <w:jc w:val="both"/>
              <w:rPr>
                <w:b/>
                <w:bCs/>
                <w:rtl/>
              </w:rPr>
            </w:pPr>
          </w:p>
        </w:tc>
        <w:tc>
          <w:tcPr>
            <w:tcW w:w="3699" w:type="dxa"/>
            <w:tcBorders>
              <w:top w:val="nil"/>
              <w:left w:val="nil"/>
              <w:bottom w:val="nil"/>
              <w:right w:val="nil"/>
            </w:tcBorders>
          </w:tcPr>
          <w:p w14:paraId="5D5C5A5A" w14:textId="77777777" w:rsidR="00BC7020" w:rsidRPr="00280646" w:rsidRDefault="00BC7020">
            <w:pPr>
              <w:jc w:val="right"/>
              <w:rPr>
                <w:rFonts w:ascii="Arial" w:hAnsi="Arial"/>
                <w:b/>
                <w:bCs/>
                <w:sz w:val="26"/>
                <w:szCs w:val="26"/>
              </w:rPr>
            </w:pPr>
          </w:p>
        </w:tc>
      </w:tr>
      <w:tr w:rsidR="00BC7020" w:rsidRPr="00280646" w14:paraId="730E0031" w14:textId="77777777">
        <w:trPr>
          <w:trHeight w:val="355"/>
          <w:jc w:val="center"/>
        </w:trPr>
        <w:tc>
          <w:tcPr>
            <w:tcW w:w="1575" w:type="dxa"/>
            <w:tcBorders>
              <w:top w:val="nil"/>
              <w:left w:val="nil"/>
              <w:bottom w:val="nil"/>
              <w:right w:val="nil"/>
            </w:tcBorders>
          </w:tcPr>
          <w:p w14:paraId="7F68360F" w14:textId="77777777" w:rsidR="00BC7020" w:rsidRPr="00280646" w:rsidRDefault="00BC7020">
            <w:pPr>
              <w:jc w:val="both"/>
              <w:rPr>
                <w:rFonts w:ascii="Arial" w:hAnsi="Arial" w:cs="FrankRuehl"/>
                <w:b/>
                <w:bCs/>
                <w:sz w:val="28"/>
                <w:szCs w:val="28"/>
                <w:rtl/>
              </w:rPr>
            </w:pPr>
          </w:p>
        </w:tc>
        <w:tc>
          <w:tcPr>
            <w:tcW w:w="7245" w:type="dxa"/>
            <w:gridSpan w:val="2"/>
            <w:tcBorders>
              <w:top w:val="nil"/>
              <w:left w:val="nil"/>
              <w:bottom w:val="nil"/>
              <w:right w:val="nil"/>
            </w:tcBorders>
            <w:vAlign w:val="center"/>
          </w:tcPr>
          <w:p w14:paraId="5BEECBD1" w14:textId="77777777" w:rsidR="00BC7020" w:rsidRPr="00280646" w:rsidRDefault="00280646">
            <w:pPr>
              <w:rPr>
                <w:rFonts w:ascii="Arial" w:hAnsi="Arial"/>
                <w:b/>
                <w:bCs/>
                <w:sz w:val="26"/>
                <w:szCs w:val="26"/>
              </w:rPr>
            </w:pPr>
            <w:r w:rsidRPr="00280646">
              <w:rPr>
                <w:rFonts w:hint="cs"/>
                <w:rtl/>
              </w:rPr>
              <w:t xml:space="preserve">              ע"י ב"כ עו"ד גדי ציון</w:t>
            </w:r>
          </w:p>
        </w:tc>
      </w:tr>
    </w:tbl>
    <w:p w14:paraId="7B2A4DE2" w14:textId="77777777" w:rsidR="00AF6B39" w:rsidRDefault="00AF6B39">
      <w:pPr>
        <w:rPr>
          <w:rtl/>
        </w:rPr>
      </w:pPr>
      <w:bookmarkStart w:id="4" w:name="LawTable"/>
      <w:bookmarkEnd w:id="4"/>
    </w:p>
    <w:p w14:paraId="20FAE17F" w14:textId="77777777" w:rsidR="00AF6B39" w:rsidRPr="00AF6B39" w:rsidRDefault="00AF6B39" w:rsidP="00AF6B39">
      <w:pPr>
        <w:spacing w:after="120" w:line="240" w:lineRule="exact"/>
        <w:ind w:left="283" w:hanging="283"/>
        <w:jc w:val="both"/>
        <w:rPr>
          <w:rFonts w:ascii="FrankRuehl" w:hAnsi="FrankRuehl" w:cs="FrankRuehl"/>
          <w:rtl/>
        </w:rPr>
      </w:pPr>
    </w:p>
    <w:p w14:paraId="53A98B7E" w14:textId="77777777" w:rsidR="00AF6B39" w:rsidRPr="00AF6B39" w:rsidRDefault="00AF6B39" w:rsidP="00AF6B39">
      <w:pPr>
        <w:spacing w:after="120" w:line="240" w:lineRule="exact"/>
        <w:ind w:left="283" w:hanging="283"/>
        <w:jc w:val="both"/>
        <w:rPr>
          <w:rFonts w:ascii="FrankRuehl" w:hAnsi="FrankRuehl" w:cs="FrankRuehl"/>
          <w:rtl/>
        </w:rPr>
      </w:pPr>
      <w:r w:rsidRPr="00AF6B39">
        <w:rPr>
          <w:rFonts w:ascii="FrankRuehl" w:hAnsi="FrankRuehl" w:cs="FrankRuehl" w:hint="eastAsia"/>
          <w:rtl/>
        </w:rPr>
        <w:t>חקיקה</w:t>
      </w:r>
      <w:r w:rsidRPr="00AF6B39">
        <w:rPr>
          <w:rFonts w:ascii="FrankRuehl" w:hAnsi="FrankRuehl" w:cs="FrankRuehl"/>
          <w:rtl/>
        </w:rPr>
        <w:t xml:space="preserve"> </w:t>
      </w:r>
      <w:r w:rsidRPr="00AF6B39">
        <w:rPr>
          <w:rFonts w:ascii="FrankRuehl" w:hAnsi="FrankRuehl" w:cs="FrankRuehl" w:hint="eastAsia"/>
          <w:rtl/>
        </w:rPr>
        <w:t>שאוזכרה</w:t>
      </w:r>
      <w:r w:rsidRPr="00AF6B39">
        <w:rPr>
          <w:rFonts w:ascii="FrankRuehl" w:hAnsi="FrankRuehl" w:cs="FrankRuehl"/>
          <w:rtl/>
        </w:rPr>
        <w:t xml:space="preserve">: </w:t>
      </w:r>
    </w:p>
    <w:p w14:paraId="2A59501E" w14:textId="77777777" w:rsidR="00AF6B39" w:rsidRPr="00AF6B39" w:rsidRDefault="00AF6B39" w:rsidP="00AF6B39">
      <w:pPr>
        <w:spacing w:after="120" w:line="240" w:lineRule="exact"/>
        <w:ind w:left="283" w:hanging="283"/>
        <w:jc w:val="both"/>
        <w:rPr>
          <w:rFonts w:ascii="FrankRuehl" w:hAnsi="FrankRuehl" w:cs="FrankRuehl"/>
          <w:rtl/>
        </w:rPr>
      </w:pPr>
      <w:hyperlink r:id="rId6" w:history="1">
        <w:r w:rsidRPr="00AF6B39">
          <w:rPr>
            <w:rFonts w:ascii="FrankRuehl" w:hAnsi="FrankRuehl" w:cs="FrankRuehl" w:hint="eastAsia"/>
            <w:color w:val="0000FF"/>
            <w:u w:val="single"/>
            <w:rtl/>
          </w:rPr>
          <w:t>חוק</w:t>
        </w:r>
        <w:r w:rsidRPr="00AF6B39">
          <w:rPr>
            <w:rFonts w:ascii="FrankRuehl" w:hAnsi="FrankRuehl" w:cs="FrankRuehl"/>
            <w:color w:val="0000FF"/>
            <w:u w:val="single"/>
            <w:rtl/>
          </w:rPr>
          <w:t xml:space="preserve"> </w:t>
        </w:r>
        <w:r w:rsidRPr="00AF6B39">
          <w:rPr>
            <w:rFonts w:ascii="FrankRuehl" w:hAnsi="FrankRuehl" w:cs="FrankRuehl" w:hint="eastAsia"/>
            <w:color w:val="0000FF"/>
            <w:u w:val="single"/>
            <w:rtl/>
          </w:rPr>
          <w:t>העונשין</w:t>
        </w:r>
        <w:r w:rsidRPr="00AF6B39">
          <w:rPr>
            <w:rFonts w:ascii="FrankRuehl" w:hAnsi="FrankRuehl" w:cs="FrankRuehl"/>
            <w:color w:val="0000FF"/>
            <w:u w:val="single"/>
            <w:rtl/>
          </w:rPr>
          <w:t xml:space="preserve">, </w:t>
        </w:r>
        <w:r w:rsidRPr="00AF6B39">
          <w:rPr>
            <w:rFonts w:ascii="FrankRuehl" w:hAnsi="FrankRuehl" w:cs="FrankRuehl" w:hint="eastAsia"/>
            <w:color w:val="0000FF"/>
            <w:u w:val="single"/>
            <w:rtl/>
          </w:rPr>
          <w:t>תשל</w:t>
        </w:r>
        <w:r w:rsidRPr="00AF6B39">
          <w:rPr>
            <w:rFonts w:ascii="FrankRuehl" w:hAnsi="FrankRuehl" w:cs="FrankRuehl"/>
            <w:color w:val="0000FF"/>
            <w:u w:val="single"/>
            <w:rtl/>
          </w:rPr>
          <w:t>"</w:t>
        </w:r>
        <w:r w:rsidRPr="00AF6B39">
          <w:rPr>
            <w:rFonts w:ascii="FrankRuehl" w:hAnsi="FrankRuehl" w:cs="FrankRuehl" w:hint="eastAsia"/>
            <w:color w:val="0000FF"/>
            <w:u w:val="single"/>
            <w:rtl/>
          </w:rPr>
          <w:t>ז</w:t>
        </w:r>
        <w:r w:rsidRPr="00AF6B39">
          <w:rPr>
            <w:rFonts w:ascii="FrankRuehl" w:hAnsi="FrankRuehl" w:cs="FrankRuehl"/>
            <w:color w:val="0000FF"/>
            <w:u w:val="single"/>
            <w:rtl/>
          </w:rPr>
          <w:t>-1977</w:t>
        </w:r>
      </w:hyperlink>
      <w:r w:rsidRPr="00AF6B39">
        <w:rPr>
          <w:rFonts w:ascii="FrankRuehl" w:hAnsi="FrankRuehl" w:cs="FrankRuehl"/>
          <w:rtl/>
        </w:rPr>
        <w:t xml:space="preserve">: </w:t>
      </w:r>
      <w:r w:rsidRPr="00AF6B39">
        <w:rPr>
          <w:rFonts w:ascii="FrankRuehl" w:hAnsi="FrankRuehl" w:cs="FrankRuehl" w:hint="eastAsia"/>
          <w:rtl/>
        </w:rPr>
        <w:t>סע</w:t>
      </w:r>
      <w:r w:rsidRPr="00AF6B39">
        <w:rPr>
          <w:rFonts w:ascii="FrankRuehl" w:hAnsi="FrankRuehl" w:cs="FrankRuehl"/>
          <w:rtl/>
        </w:rPr>
        <w:t xml:space="preserve">'  </w:t>
      </w:r>
      <w:hyperlink r:id="rId7" w:history="1">
        <w:r w:rsidRPr="00AF6B39">
          <w:rPr>
            <w:rFonts w:ascii="FrankRuehl" w:hAnsi="FrankRuehl" w:cs="FrankRuehl"/>
            <w:color w:val="0000FF"/>
            <w:u w:val="single"/>
            <w:rtl/>
          </w:rPr>
          <w:t>348</w:t>
        </w:r>
      </w:hyperlink>
      <w:r w:rsidRPr="00AF6B39">
        <w:rPr>
          <w:rFonts w:ascii="FrankRuehl" w:hAnsi="FrankRuehl" w:cs="FrankRuehl"/>
          <w:rtl/>
        </w:rPr>
        <w:t xml:space="preserve">, </w:t>
      </w:r>
      <w:hyperlink r:id="rId8" w:history="1">
        <w:r w:rsidRPr="00AF6B39">
          <w:rPr>
            <w:rFonts w:ascii="FrankRuehl" w:hAnsi="FrankRuehl" w:cs="FrankRuehl"/>
            <w:color w:val="0000FF"/>
            <w:u w:val="single"/>
            <w:rtl/>
          </w:rPr>
          <w:t>348(</w:t>
        </w:r>
        <w:r w:rsidRPr="00AF6B39">
          <w:rPr>
            <w:rFonts w:ascii="FrankRuehl" w:hAnsi="FrankRuehl" w:cs="FrankRuehl" w:hint="eastAsia"/>
            <w:color w:val="0000FF"/>
            <w:u w:val="single"/>
            <w:rtl/>
          </w:rPr>
          <w:t>ג</w:t>
        </w:r>
        <w:r w:rsidRPr="00AF6B39">
          <w:rPr>
            <w:rFonts w:ascii="FrankRuehl" w:hAnsi="FrankRuehl" w:cs="FrankRuehl"/>
            <w:color w:val="0000FF"/>
            <w:u w:val="single"/>
            <w:rtl/>
          </w:rPr>
          <w:t>)</w:t>
        </w:r>
      </w:hyperlink>
    </w:p>
    <w:p w14:paraId="3F636597" w14:textId="77777777" w:rsidR="00AF6B39" w:rsidRPr="00AF6B39" w:rsidRDefault="00AF6B39" w:rsidP="00AF6B39">
      <w:pPr>
        <w:spacing w:after="120" w:line="240" w:lineRule="exact"/>
        <w:ind w:left="283" w:hanging="283"/>
        <w:jc w:val="both"/>
        <w:rPr>
          <w:rFonts w:ascii="FrankRuehl" w:hAnsi="FrankRuehl" w:cs="FrankRuehl"/>
          <w:rtl/>
        </w:rPr>
      </w:pPr>
    </w:p>
    <w:p w14:paraId="633D31C3" w14:textId="77777777" w:rsidR="00AF6B39" w:rsidRPr="00AF6B39" w:rsidRDefault="00AF6B39">
      <w:pPr>
        <w:rPr>
          <w:rtl/>
        </w:rPr>
      </w:pPr>
      <w:bookmarkStart w:id="5" w:name="LawTable_End"/>
      <w:bookmarkEnd w:id="5"/>
    </w:p>
    <w:p w14:paraId="3DAAF2DC" w14:textId="77777777" w:rsidR="00AF6B39" w:rsidRPr="00AF6B39" w:rsidRDefault="00AF6B39">
      <w:pPr>
        <w:rPr>
          <w:rtl/>
        </w:rPr>
      </w:pPr>
    </w:p>
    <w:p w14:paraId="6233C6C6" w14:textId="77777777" w:rsidR="003D4988" w:rsidRPr="003D4988" w:rsidRDefault="003D4988">
      <w:pPr>
        <w:rPr>
          <w:rtl/>
        </w:rPr>
      </w:pPr>
    </w:p>
    <w:p w14:paraId="775D867F" w14:textId="77777777" w:rsidR="003D4988" w:rsidRPr="003D4988" w:rsidRDefault="003D4988">
      <w:pPr>
        <w:rPr>
          <w:rtl/>
        </w:rPr>
      </w:pPr>
    </w:p>
    <w:p w14:paraId="59FDBDE8" w14:textId="77777777" w:rsidR="00BC7020" w:rsidRPr="003D4988" w:rsidRDefault="00BC702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C7020" w14:paraId="796667ED" w14:textId="77777777">
        <w:trPr>
          <w:trHeight w:val="355"/>
          <w:jc w:val="center"/>
        </w:trPr>
        <w:tc>
          <w:tcPr>
            <w:tcW w:w="8820" w:type="dxa"/>
            <w:tcBorders>
              <w:top w:val="nil"/>
              <w:left w:val="nil"/>
              <w:bottom w:val="nil"/>
              <w:right w:val="nil"/>
            </w:tcBorders>
          </w:tcPr>
          <w:p w14:paraId="766B4C36" w14:textId="77777777" w:rsidR="00280646" w:rsidRPr="00280646" w:rsidRDefault="00280646" w:rsidP="00280646">
            <w:pPr>
              <w:jc w:val="center"/>
              <w:rPr>
                <w:rFonts w:ascii="Arial" w:hAnsi="Arial"/>
                <w:b/>
                <w:bCs/>
                <w:sz w:val="26"/>
                <w:szCs w:val="26"/>
                <w:u w:val="single"/>
                <w:rtl/>
              </w:rPr>
            </w:pPr>
            <w:bookmarkStart w:id="6" w:name="PsakDin" w:colFirst="0" w:colLast="0"/>
            <w:r w:rsidRPr="00280646">
              <w:rPr>
                <w:rFonts w:ascii="Arial" w:hAnsi="Arial"/>
                <w:b/>
                <w:bCs/>
                <w:sz w:val="26"/>
                <w:szCs w:val="26"/>
                <w:u w:val="single"/>
                <w:rtl/>
              </w:rPr>
              <w:t>הכרעת דין</w:t>
            </w:r>
          </w:p>
          <w:p w14:paraId="0D57B925" w14:textId="77777777" w:rsidR="00BC7020" w:rsidRPr="00280646" w:rsidRDefault="00BC7020" w:rsidP="00280646">
            <w:pPr>
              <w:jc w:val="center"/>
              <w:rPr>
                <w:rFonts w:ascii="Arial" w:hAnsi="Arial"/>
                <w:bCs/>
                <w:sz w:val="26"/>
                <w:szCs w:val="26"/>
                <w:u w:val="single"/>
                <w:rtl/>
              </w:rPr>
            </w:pPr>
          </w:p>
        </w:tc>
      </w:tr>
      <w:bookmarkEnd w:id="6"/>
    </w:tbl>
    <w:p w14:paraId="68ADE4BC" w14:textId="77777777" w:rsidR="00BC7020" w:rsidRDefault="00BC7020">
      <w:pPr>
        <w:spacing w:line="360" w:lineRule="auto"/>
        <w:rPr>
          <w:rtl/>
        </w:rPr>
      </w:pPr>
    </w:p>
    <w:p w14:paraId="722CE107" w14:textId="77777777" w:rsidR="00BC7020" w:rsidRDefault="00280646">
      <w:pPr>
        <w:spacing w:line="360" w:lineRule="auto"/>
        <w:rPr>
          <w:u w:val="single"/>
          <w:rtl/>
        </w:rPr>
      </w:pPr>
      <w:r>
        <w:rPr>
          <w:rFonts w:hint="cs"/>
          <w:rtl/>
        </w:rPr>
        <w:tab/>
      </w:r>
      <w:r>
        <w:rPr>
          <w:rFonts w:hint="cs"/>
          <w:u w:val="single"/>
          <w:rtl/>
        </w:rPr>
        <w:t>כללי</w:t>
      </w:r>
    </w:p>
    <w:p w14:paraId="3EC1B67D" w14:textId="77777777" w:rsidR="00BC7020" w:rsidRDefault="00BC7020">
      <w:pPr>
        <w:spacing w:line="360" w:lineRule="auto"/>
        <w:rPr>
          <w:u w:val="single"/>
          <w:rtl/>
        </w:rPr>
      </w:pPr>
    </w:p>
    <w:p w14:paraId="2882B772" w14:textId="77777777" w:rsidR="00BC7020" w:rsidRDefault="00280646">
      <w:pPr>
        <w:spacing w:line="360" w:lineRule="auto"/>
        <w:ind w:left="720" w:hanging="720"/>
        <w:jc w:val="both"/>
        <w:rPr>
          <w:rtl/>
        </w:rPr>
      </w:pPr>
      <w:r>
        <w:rPr>
          <w:rFonts w:hint="cs"/>
          <w:rtl/>
        </w:rPr>
        <w:t>1.</w:t>
      </w:r>
      <w:r>
        <w:rPr>
          <w:rFonts w:hint="cs"/>
          <w:rtl/>
        </w:rPr>
        <w:tab/>
      </w:r>
      <w:bookmarkStart w:id="7" w:name="ABSTRACT_START"/>
      <w:bookmarkEnd w:id="7"/>
      <w:r>
        <w:rPr>
          <w:rFonts w:hint="cs"/>
          <w:rtl/>
        </w:rPr>
        <w:t xml:space="preserve">בכתב האישום נטען כי ביום 30.10.12, בשעה 15:30, ביצע הנאשם מעשה מגונה במתלוננת, צעירה ילידת 1986, בזמן שהלכה במעבר התת קרקעי המוביל אל תחנת רכבת "ההגנה" ברחוב ההגנה בתל אביב </w:t>
      </w:r>
      <w:bookmarkStart w:id="8" w:name="ABSTRACT_END"/>
      <w:bookmarkEnd w:id="8"/>
      <w:r>
        <w:rPr>
          <w:rFonts w:hint="cs"/>
          <w:rtl/>
        </w:rPr>
        <w:t xml:space="preserve">(להלן - </w:t>
      </w:r>
      <w:r>
        <w:rPr>
          <w:rFonts w:hint="cs"/>
          <w:b/>
          <w:bCs/>
          <w:rtl/>
        </w:rPr>
        <w:t>המתלוננת; המעבר התת קרקעי; תחנת הרכבת</w:t>
      </w:r>
      <w:r>
        <w:rPr>
          <w:rFonts w:hint="cs"/>
          <w:rtl/>
        </w:rPr>
        <w:t xml:space="preserve">). נטען כי בזמן שהמתלוננת הלכה במעבר התת קרקעי, הלך הנאשם מאחוריה, נצמד אליה, ואז לפתע אחז בכוח בחצאיתה במטרה להפשיטה מעל גופה, עד שהמתלוננת הצליחה להדוף אותו והוא נמלט מהמעבר התת קרקעי עד שנתפס על ידי מאבטחי תחנת הרכבת (להלן - </w:t>
      </w:r>
      <w:r>
        <w:rPr>
          <w:rFonts w:hint="cs"/>
          <w:b/>
          <w:bCs/>
          <w:rtl/>
        </w:rPr>
        <w:t>המאבטח או המאבטחים</w:t>
      </w:r>
      <w:r>
        <w:rPr>
          <w:rFonts w:hint="cs"/>
          <w:rtl/>
        </w:rPr>
        <w:t>).</w:t>
      </w:r>
    </w:p>
    <w:p w14:paraId="39C468AE" w14:textId="77777777" w:rsidR="00BC7020" w:rsidRDefault="00BC7020">
      <w:pPr>
        <w:spacing w:line="360" w:lineRule="auto"/>
        <w:ind w:left="720" w:hanging="720"/>
        <w:jc w:val="both"/>
        <w:rPr>
          <w:rtl/>
        </w:rPr>
      </w:pPr>
    </w:p>
    <w:p w14:paraId="3EF0B400" w14:textId="77777777" w:rsidR="00BC7020" w:rsidRDefault="00280646">
      <w:pPr>
        <w:spacing w:line="360" w:lineRule="auto"/>
        <w:ind w:left="720" w:hanging="720"/>
        <w:jc w:val="both"/>
        <w:rPr>
          <w:rtl/>
        </w:rPr>
      </w:pPr>
      <w:r>
        <w:rPr>
          <w:rFonts w:hint="cs"/>
          <w:rtl/>
        </w:rPr>
        <w:tab/>
      </w:r>
      <w:r>
        <w:rPr>
          <w:rFonts w:hint="cs"/>
          <w:u w:val="single"/>
          <w:rtl/>
        </w:rPr>
        <w:t>זירת המחלוקת</w:t>
      </w:r>
      <w:r>
        <w:rPr>
          <w:rFonts w:hint="cs"/>
          <w:rtl/>
        </w:rPr>
        <w:tab/>
      </w:r>
    </w:p>
    <w:p w14:paraId="33364735" w14:textId="77777777" w:rsidR="00BC7020" w:rsidRDefault="00BC7020">
      <w:pPr>
        <w:spacing w:line="360" w:lineRule="auto"/>
        <w:ind w:left="720" w:hanging="720"/>
        <w:jc w:val="both"/>
        <w:rPr>
          <w:rtl/>
        </w:rPr>
      </w:pPr>
    </w:p>
    <w:p w14:paraId="4456829D" w14:textId="77777777" w:rsidR="00BC7020" w:rsidRDefault="00280646">
      <w:pPr>
        <w:spacing w:line="360" w:lineRule="auto"/>
        <w:ind w:left="720" w:hanging="720"/>
        <w:jc w:val="both"/>
        <w:rPr>
          <w:rtl/>
        </w:rPr>
      </w:pPr>
      <w:r>
        <w:rPr>
          <w:rFonts w:hint="cs"/>
          <w:rtl/>
        </w:rPr>
        <w:t>2.</w:t>
      </w:r>
      <w:r>
        <w:rPr>
          <w:rFonts w:hint="cs"/>
          <w:rtl/>
        </w:rPr>
        <w:tab/>
        <w:t xml:space="preserve">ההגנה </w:t>
      </w:r>
      <w:r>
        <w:rPr>
          <w:rFonts w:hint="cs"/>
          <w:u w:val="single"/>
          <w:rtl/>
        </w:rPr>
        <w:t>לא חלקה</w:t>
      </w:r>
      <w:r>
        <w:rPr>
          <w:rFonts w:hint="cs"/>
          <w:rtl/>
        </w:rPr>
        <w:t xml:space="preserve"> על התיאור שסיפקה המתלוננת </w:t>
      </w:r>
      <w:r>
        <w:rPr>
          <w:rFonts w:hint="cs"/>
          <w:u w:val="single"/>
          <w:rtl/>
        </w:rPr>
        <w:t>ולא חלקה</w:t>
      </w:r>
      <w:r>
        <w:rPr>
          <w:rFonts w:hint="cs"/>
          <w:rtl/>
        </w:rPr>
        <w:t xml:space="preserve"> על העובדה כי נפלה קורבן למעשה מגונה כפי שהוגדר ב</w:t>
      </w:r>
      <w:hyperlink r:id="rId9" w:history="1">
        <w:r w:rsidR="00AF6B39" w:rsidRPr="00AF6B39">
          <w:rPr>
            <w:rFonts w:hint="eastAsia"/>
            <w:color w:val="0000FF"/>
            <w:u w:val="single"/>
            <w:rtl/>
          </w:rPr>
          <w:t>סעיף</w:t>
        </w:r>
        <w:r w:rsidR="00AF6B39" w:rsidRPr="00AF6B39">
          <w:rPr>
            <w:color w:val="0000FF"/>
            <w:u w:val="single"/>
            <w:rtl/>
          </w:rPr>
          <w:t xml:space="preserve"> 348</w:t>
        </w:r>
      </w:hyperlink>
      <w:r>
        <w:rPr>
          <w:rFonts w:hint="cs"/>
          <w:rtl/>
        </w:rPr>
        <w:t xml:space="preserve"> ל</w:t>
      </w:r>
      <w:hyperlink r:id="rId10" w:history="1">
        <w:r w:rsidR="003D4988" w:rsidRPr="003D4988">
          <w:rPr>
            <w:rStyle w:val="Hyperlink"/>
            <w:rFonts w:hint="eastAsia"/>
            <w:rtl/>
          </w:rPr>
          <w:t>חוק</w:t>
        </w:r>
        <w:r w:rsidR="003D4988" w:rsidRPr="003D4988">
          <w:rPr>
            <w:rStyle w:val="Hyperlink"/>
            <w:rtl/>
          </w:rPr>
          <w:t xml:space="preserve"> </w:t>
        </w:r>
        <w:r w:rsidR="003D4988" w:rsidRPr="003D4988">
          <w:rPr>
            <w:rStyle w:val="Hyperlink"/>
            <w:rFonts w:hint="eastAsia"/>
            <w:rtl/>
          </w:rPr>
          <w:t>העונשין</w:t>
        </w:r>
      </w:hyperlink>
      <w:r>
        <w:rPr>
          <w:rFonts w:hint="cs"/>
          <w:rtl/>
        </w:rPr>
        <w:t xml:space="preserve">, התשל"ז-1977. אין אף חולק כי הנאשם לא נתפס על ידי אחד המאבטחים בעודו במעבר התת קרקעי, אלא נתפס עשרות שניות או דקות ספורות לאחר שבוצע במתלוננת המעשה המגונה, ובעודו צועד ברחוב בסמוך למעבר התת קרקעי. </w:t>
      </w:r>
    </w:p>
    <w:p w14:paraId="45DD8A04" w14:textId="77777777" w:rsidR="00BC7020" w:rsidRDefault="00BC7020">
      <w:pPr>
        <w:spacing w:line="360" w:lineRule="auto"/>
        <w:ind w:left="720" w:hanging="720"/>
        <w:jc w:val="both"/>
        <w:rPr>
          <w:rtl/>
        </w:rPr>
      </w:pPr>
    </w:p>
    <w:p w14:paraId="5F049225" w14:textId="77777777" w:rsidR="00BC7020" w:rsidRDefault="00280646">
      <w:pPr>
        <w:spacing w:line="360" w:lineRule="auto"/>
        <w:ind w:left="720"/>
        <w:jc w:val="both"/>
        <w:rPr>
          <w:rtl/>
        </w:rPr>
      </w:pPr>
      <w:r>
        <w:rPr>
          <w:rFonts w:hint="cs"/>
          <w:rtl/>
        </w:rPr>
        <w:t xml:space="preserve">בהינתן האמור לעיל, התמקד קו ההגנה בשאלת זיהויו של הנאשם כמבצע העבירה, ואם למקד </w:t>
      </w:r>
      <w:r>
        <w:rPr>
          <w:rtl/>
        </w:rPr>
        <w:t>–</w:t>
      </w:r>
      <w:r>
        <w:rPr>
          <w:rFonts w:hint="cs"/>
          <w:rtl/>
        </w:rPr>
        <w:t xml:space="preserve"> בשאלה האם הצליחה התביעה להוכיח כי האדם שביצע במתלוננת מעשה מגונה במעבר התת קרקעי, הוא הנאשם אשר נתפס צועד ברחוב בסמוך לאותו מעבר.  </w:t>
      </w:r>
    </w:p>
    <w:p w14:paraId="4D677559" w14:textId="77777777" w:rsidR="00BC7020" w:rsidRDefault="00BC7020">
      <w:pPr>
        <w:spacing w:line="360" w:lineRule="auto"/>
        <w:ind w:left="720" w:hanging="720"/>
        <w:jc w:val="both"/>
        <w:rPr>
          <w:rtl/>
        </w:rPr>
      </w:pPr>
    </w:p>
    <w:p w14:paraId="150DC45B" w14:textId="77777777" w:rsidR="00BC7020" w:rsidRDefault="00BC7020">
      <w:pPr>
        <w:spacing w:line="360" w:lineRule="auto"/>
        <w:ind w:left="720"/>
        <w:jc w:val="both"/>
        <w:rPr>
          <w:rtl/>
        </w:rPr>
      </w:pPr>
    </w:p>
    <w:p w14:paraId="4C32958C" w14:textId="77777777" w:rsidR="00BC7020" w:rsidRDefault="00280646">
      <w:pPr>
        <w:spacing w:line="360" w:lineRule="auto"/>
        <w:ind w:left="720"/>
        <w:jc w:val="both"/>
        <w:rPr>
          <w:rtl/>
        </w:rPr>
      </w:pPr>
      <w:r>
        <w:rPr>
          <w:rFonts w:hint="cs"/>
          <w:rtl/>
        </w:rPr>
        <w:t>בשים לב לקו ההגנה הממוקד, תתמקד הכרעת הדין בסקירת העובדות הרלוונטיות לשאלת הזיהוי, ובהכרעה בעניין זה.</w:t>
      </w:r>
    </w:p>
    <w:p w14:paraId="4BA0086E" w14:textId="77777777" w:rsidR="00BC7020" w:rsidRDefault="00BC7020">
      <w:pPr>
        <w:spacing w:line="360" w:lineRule="auto"/>
        <w:ind w:left="720" w:hanging="720"/>
        <w:jc w:val="both"/>
        <w:rPr>
          <w:rtl/>
        </w:rPr>
      </w:pPr>
    </w:p>
    <w:p w14:paraId="5570455E" w14:textId="77777777" w:rsidR="00BC7020" w:rsidRDefault="00280646">
      <w:pPr>
        <w:spacing w:line="360" w:lineRule="auto"/>
        <w:ind w:left="720" w:hanging="720"/>
        <w:jc w:val="both"/>
        <w:rPr>
          <w:u w:val="single"/>
          <w:rtl/>
        </w:rPr>
      </w:pPr>
      <w:r>
        <w:rPr>
          <w:rFonts w:hint="cs"/>
          <w:rtl/>
        </w:rPr>
        <w:tab/>
      </w:r>
      <w:r>
        <w:rPr>
          <w:rFonts w:hint="cs"/>
          <w:u w:val="single"/>
          <w:rtl/>
        </w:rPr>
        <w:t>תמצית הראיות הרלוונטיות לשאלת הזיהוי וטענות הצדדים בהקשר זה</w:t>
      </w:r>
    </w:p>
    <w:p w14:paraId="4F220615" w14:textId="77777777" w:rsidR="00BC7020" w:rsidRDefault="00BC7020">
      <w:pPr>
        <w:spacing w:line="360" w:lineRule="auto"/>
        <w:ind w:left="720" w:hanging="720"/>
        <w:jc w:val="both"/>
        <w:rPr>
          <w:u w:val="single"/>
          <w:rtl/>
        </w:rPr>
      </w:pPr>
    </w:p>
    <w:p w14:paraId="675032C9" w14:textId="77777777" w:rsidR="00BC7020" w:rsidRDefault="00280646">
      <w:pPr>
        <w:spacing w:line="360" w:lineRule="auto"/>
        <w:ind w:left="720" w:hanging="720"/>
        <w:jc w:val="both"/>
        <w:rPr>
          <w:rtl/>
        </w:rPr>
      </w:pPr>
      <w:r>
        <w:rPr>
          <w:rFonts w:hint="cs"/>
          <w:rtl/>
        </w:rPr>
        <w:t>3.</w:t>
      </w:r>
      <w:r>
        <w:rPr>
          <w:rFonts w:hint="cs"/>
          <w:rtl/>
        </w:rPr>
        <w:tab/>
        <w:t xml:space="preserve"> התובעת, עו"ד גל יורמן ניר, הצביעה על הנתונים הבאים ככאלה אשר יש בהם, לשיטתה, כדי להוכיח כי האדם אשר ביצע את המעשה המגונה במתלוננת במעבר התת קרקעי, הוא האדם אשר נתפס מיד לאחר מכן ברחוב, ואלה הם: </w:t>
      </w:r>
    </w:p>
    <w:p w14:paraId="0AB93D16" w14:textId="77777777" w:rsidR="00BC7020" w:rsidRDefault="00BC7020">
      <w:pPr>
        <w:spacing w:line="360" w:lineRule="auto"/>
        <w:ind w:left="720" w:hanging="720"/>
        <w:jc w:val="both"/>
        <w:rPr>
          <w:rtl/>
        </w:rPr>
      </w:pPr>
    </w:p>
    <w:p w14:paraId="7F693653" w14:textId="77777777" w:rsidR="00BC7020" w:rsidRDefault="00280646">
      <w:pPr>
        <w:spacing w:line="360" w:lineRule="auto"/>
        <w:ind w:left="720" w:hanging="720"/>
        <w:jc w:val="both"/>
        <w:rPr>
          <w:rtl/>
        </w:rPr>
      </w:pPr>
      <w:r>
        <w:rPr>
          <w:rFonts w:hint="cs"/>
          <w:rtl/>
        </w:rPr>
        <w:tab/>
        <w:t xml:space="preserve">(א) זיהוי הנאשם על ידי המתלוננת לאחר שהובא בפניה על ידי מאבטחי הרכבת. בהקשר זה טענה התובעת כי מדובר בזיהוי המורכב מזיהוי אתני, זיהוי בגדים וזיהוי פנים. התובעת הפנתה בהקשר זה לאותו זיהוי אף לבטחון שהפגינה המתלוננת בנכונות הזיהוי במהלך העימות ובעדותה בבית המשפט; (ב) תפיסת הנאשם באיזור עליו הצביעה המתלוננת בעיתוי המתאים; (ג) עדותו של המאבטח חובב (להלן - </w:t>
      </w:r>
      <w:r>
        <w:rPr>
          <w:rFonts w:hint="cs"/>
          <w:b/>
          <w:bCs/>
          <w:rtl/>
        </w:rPr>
        <w:t>המאבטח חובב</w:t>
      </w:r>
      <w:r>
        <w:rPr>
          <w:rFonts w:hint="cs"/>
          <w:rtl/>
        </w:rPr>
        <w:t>) אשר תיאר כיצד תפס את הנאשם ברחוב על פי התיאור שסיפקה לו המתלוננת; (ד) גרסת הנאשם</w:t>
      </w:r>
      <w:r>
        <w:t xml:space="preserve"> </w:t>
      </w:r>
      <w:r>
        <w:rPr>
          <w:rFonts w:hint="cs"/>
          <w:rtl/>
        </w:rPr>
        <w:t xml:space="preserve">שנמסרה במענה לכתב האישום לפיה היה במעבר התת קרקעי, גרסה ממנה חזר בעדותו בבית המשפט; (ה) גרסת הנאשם במשטרה לפיה היה במעבר התת קרקעי. בהקשר זה, הפנתה התובעת לתקליטור החקירה ולתמליל ונטען כי צפיה בתקליטור מוכיחה כי הנאשם אכן אישר בחקירתו כי היה במעבר התת קרקעי. </w:t>
      </w:r>
    </w:p>
    <w:p w14:paraId="02561D58" w14:textId="77777777" w:rsidR="00BC7020" w:rsidRDefault="00BC7020">
      <w:pPr>
        <w:spacing w:line="360" w:lineRule="auto"/>
        <w:ind w:left="720" w:hanging="720"/>
        <w:jc w:val="both"/>
        <w:rPr>
          <w:rtl/>
        </w:rPr>
      </w:pPr>
    </w:p>
    <w:p w14:paraId="3CB070F1" w14:textId="77777777" w:rsidR="00BC7020" w:rsidRDefault="00280646">
      <w:pPr>
        <w:spacing w:line="360" w:lineRule="auto"/>
        <w:ind w:left="720" w:hanging="720"/>
        <w:jc w:val="both"/>
        <w:rPr>
          <w:rtl/>
        </w:rPr>
      </w:pPr>
      <w:r>
        <w:rPr>
          <w:rFonts w:hint="cs"/>
          <w:rtl/>
        </w:rPr>
        <w:t>4.</w:t>
      </w:r>
      <w:r>
        <w:rPr>
          <w:rFonts w:hint="cs"/>
          <w:rtl/>
        </w:rPr>
        <w:tab/>
        <w:t xml:space="preserve">הסניגור, עו"ד גדי ציון, טען כי התביעה כשלה בהנחת די ראיות אשר יסירו כל ספק סביר שמא המאבטחים תפסו את האדם הלא נכון, אשר זוהה על ידי המתלוננת בשטח רק בשל מוצאו האתני, פרק הזמן הקצרצר בו נחשפה למראה פניו, וסערת הרגשות בה הייתה נתונה באותן דקות. הסניגור ביקש שלא לראות בגרסה שמסר הנאשם לפיה כלל לא היה במעבר התת קרקעי ככזו שעברה שינוי כלשהו, והדגיש כי התגובה לכתב האישום נמסרה כפי שנמסרה רק עקב קשיים אובייקטיבים בהבנת הנאשם. באותו הקשר, ביקש הסניגור ללמוד מתקליטור חקירתו של הנאשם כי בשום שלב לא אישר הנאשם כי היה במעבר התת קרקעי. הסניגור התייחס לתיאור הביגוד שמסרה המתלוננת ונטען כי מדובר בתיאור לאקוני ובבגדים שאינם יחודיים. עוד נטען כי אין בעדות המאבטח חובב, על הקשיים שהיו שלובים בה, כדי ללמד על עוצמת הזיהוי, וזאת לאור העובדה כי הנאשם לא נראה בשום שלב במעבר התת קרקעי. הסניגור ציין כי אף לפי עדויות המאבטחים, הנאשם לא רץ או התנהג בצורה מחשידה.  </w:t>
      </w:r>
    </w:p>
    <w:p w14:paraId="57E99B54" w14:textId="77777777" w:rsidR="00BC7020" w:rsidRDefault="00BC7020">
      <w:pPr>
        <w:spacing w:line="360" w:lineRule="auto"/>
        <w:ind w:left="720" w:hanging="720"/>
        <w:jc w:val="both"/>
        <w:rPr>
          <w:rtl/>
        </w:rPr>
      </w:pPr>
    </w:p>
    <w:p w14:paraId="37F8C4D3" w14:textId="77777777" w:rsidR="00BC7020" w:rsidRDefault="00280646">
      <w:pPr>
        <w:spacing w:line="360" w:lineRule="auto"/>
        <w:ind w:left="720" w:hanging="720"/>
        <w:jc w:val="both"/>
        <w:rPr>
          <w:u w:val="single"/>
          <w:rtl/>
        </w:rPr>
      </w:pPr>
      <w:r>
        <w:rPr>
          <w:rFonts w:hint="cs"/>
          <w:rtl/>
        </w:rPr>
        <w:tab/>
      </w:r>
      <w:r>
        <w:rPr>
          <w:rFonts w:hint="cs"/>
          <w:u w:val="single"/>
          <w:rtl/>
        </w:rPr>
        <w:t>דיון והכרעה</w:t>
      </w:r>
    </w:p>
    <w:p w14:paraId="5DA3AE4A" w14:textId="77777777" w:rsidR="00BC7020" w:rsidRDefault="00BC7020">
      <w:pPr>
        <w:spacing w:line="360" w:lineRule="auto"/>
        <w:rPr>
          <w:rtl/>
        </w:rPr>
      </w:pPr>
    </w:p>
    <w:p w14:paraId="6B622C57" w14:textId="77777777" w:rsidR="00BC7020" w:rsidRDefault="00280646">
      <w:pPr>
        <w:spacing w:line="360" w:lineRule="auto"/>
        <w:ind w:left="720" w:hanging="720"/>
        <w:jc w:val="both"/>
        <w:rPr>
          <w:rtl/>
        </w:rPr>
      </w:pPr>
      <w:r>
        <w:rPr>
          <w:rFonts w:hint="cs"/>
          <w:rtl/>
        </w:rPr>
        <w:t>5.</w:t>
      </w:r>
      <w:r>
        <w:rPr>
          <w:rFonts w:hint="cs"/>
          <w:rtl/>
        </w:rPr>
        <w:tab/>
        <w:t xml:space="preserve">לאחר ששמעתי את העדויות השונות, ובחנתי את כלל הראיות וסיכומי הצדדים, מצאתי כי עלה בידי התביעה להוכיח כי הנאשם הוא האדם אשר ביצע במתלוננת מעשה מגונה. </w:t>
      </w:r>
    </w:p>
    <w:p w14:paraId="304BEF2E" w14:textId="77777777" w:rsidR="00BC7020" w:rsidRDefault="00BC7020">
      <w:pPr>
        <w:spacing w:line="360" w:lineRule="auto"/>
        <w:ind w:left="720" w:hanging="720"/>
        <w:jc w:val="both"/>
        <w:rPr>
          <w:rtl/>
        </w:rPr>
      </w:pPr>
    </w:p>
    <w:p w14:paraId="6C238F00" w14:textId="77777777" w:rsidR="00BC7020" w:rsidRDefault="00280646">
      <w:pPr>
        <w:spacing w:line="360" w:lineRule="auto"/>
        <w:ind w:left="720"/>
        <w:jc w:val="both"/>
        <w:rPr>
          <w:rtl/>
        </w:rPr>
      </w:pPr>
      <w:r>
        <w:rPr>
          <w:rFonts w:hint="cs"/>
          <w:rtl/>
        </w:rPr>
        <w:t>מסקנתי זאת נשענת על 4 נדבכים ראייתיים מצטברים.</w:t>
      </w:r>
    </w:p>
    <w:p w14:paraId="2B31E44B" w14:textId="77777777" w:rsidR="00BC7020" w:rsidRDefault="00BC7020">
      <w:pPr>
        <w:spacing w:line="360" w:lineRule="auto"/>
        <w:ind w:left="720" w:hanging="720"/>
        <w:jc w:val="both"/>
        <w:rPr>
          <w:rtl/>
        </w:rPr>
      </w:pPr>
    </w:p>
    <w:p w14:paraId="340FDD4D" w14:textId="77777777" w:rsidR="00BC7020" w:rsidRDefault="00280646">
      <w:pPr>
        <w:spacing w:line="360" w:lineRule="auto"/>
        <w:ind w:left="720" w:hanging="720"/>
        <w:jc w:val="both"/>
        <w:rPr>
          <w:u w:val="single"/>
          <w:rtl/>
        </w:rPr>
      </w:pPr>
      <w:r>
        <w:rPr>
          <w:rFonts w:hint="cs"/>
          <w:rtl/>
        </w:rPr>
        <w:tab/>
      </w:r>
      <w:r>
        <w:rPr>
          <w:rFonts w:hint="cs"/>
          <w:u w:val="single"/>
          <w:rtl/>
        </w:rPr>
        <w:t>נדבך ראשון - התיאור שמסרה המתלוננת עובר לתפיסת הנאשם על ידי המאבטח</w:t>
      </w:r>
    </w:p>
    <w:p w14:paraId="5FA99475" w14:textId="77777777" w:rsidR="00BC7020" w:rsidRDefault="00BC7020">
      <w:pPr>
        <w:spacing w:line="360" w:lineRule="auto"/>
        <w:ind w:left="720" w:hanging="720"/>
        <w:jc w:val="both"/>
        <w:rPr>
          <w:u w:val="single"/>
          <w:rtl/>
        </w:rPr>
      </w:pPr>
    </w:p>
    <w:p w14:paraId="07B14345" w14:textId="77777777" w:rsidR="00BC7020" w:rsidRDefault="00280646">
      <w:pPr>
        <w:spacing w:line="360" w:lineRule="auto"/>
        <w:ind w:left="720" w:hanging="720"/>
        <w:jc w:val="both"/>
        <w:rPr>
          <w:rtl/>
        </w:rPr>
      </w:pPr>
      <w:r>
        <w:rPr>
          <w:rFonts w:hint="cs"/>
          <w:rtl/>
        </w:rPr>
        <w:t>6.</w:t>
      </w:r>
      <w:r>
        <w:rPr>
          <w:rFonts w:hint="cs"/>
          <w:rtl/>
        </w:rPr>
        <w:tab/>
        <w:t>המתלוננת תיארה בעדותה את המעשה, את תלונתה המיידית למאבטחים, ואת האופן בו יצאו המאבטחים לאתרו.</w:t>
      </w:r>
    </w:p>
    <w:p w14:paraId="366E5DB9" w14:textId="77777777" w:rsidR="00BC7020" w:rsidRDefault="00BC7020">
      <w:pPr>
        <w:spacing w:line="360" w:lineRule="auto"/>
        <w:ind w:left="720" w:hanging="720"/>
        <w:jc w:val="both"/>
        <w:rPr>
          <w:rtl/>
        </w:rPr>
      </w:pPr>
    </w:p>
    <w:p w14:paraId="430E49C4" w14:textId="77777777" w:rsidR="00BC7020" w:rsidRDefault="00280646">
      <w:pPr>
        <w:spacing w:line="360" w:lineRule="auto"/>
        <w:ind w:left="720" w:hanging="720"/>
        <w:jc w:val="both"/>
        <w:rPr>
          <w:rtl/>
        </w:rPr>
      </w:pPr>
      <w:r>
        <w:rPr>
          <w:rFonts w:hint="cs"/>
          <w:rtl/>
        </w:rPr>
        <w:tab/>
        <w:t>וכך מעדותה:</w:t>
      </w:r>
    </w:p>
    <w:p w14:paraId="1630A997" w14:textId="77777777" w:rsidR="00BC7020" w:rsidRDefault="00BC7020">
      <w:pPr>
        <w:spacing w:line="360" w:lineRule="auto"/>
        <w:ind w:left="720" w:hanging="720"/>
        <w:jc w:val="both"/>
        <w:rPr>
          <w:rtl/>
        </w:rPr>
      </w:pPr>
    </w:p>
    <w:p w14:paraId="63E6C0F9" w14:textId="77777777" w:rsidR="00BC7020" w:rsidRDefault="00280646">
      <w:pPr>
        <w:spacing w:line="360" w:lineRule="auto"/>
        <w:ind w:left="720" w:hanging="720"/>
        <w:jc w:val="both"/>
        <w:rPr>
          <w:rtl/>
        </w:rPr>
      </w:pPr>
      <w:r>
        <w:rPr>
          <w:rFonts w:hint="cs"/>
          <w:rtl/>
        </w:rPr>
        <w:tab/>
        <w:t>"</w:t>
      </w:r>
      <w:r>
        <w:rPr>
          <w:rFonts w:hint="cs"/>
          <w:b/>
          <w:bCs/>
          <w:rtl/>
        </w:rPr>
        <w:t xml:space="preserve">חזרתי בסביבות 15:20 מעבודה, ירדתי מהאוטובוס. אני עובדת ברח' המערכה, קרוב לתחנת הרכבת. כמו כל יום, חזרתי באוטובוס מהעבודה, ירדתי ברח' ההגנה, תחנה ליד המעבר התת קרקעי, ממש ליד, שהמעבר מוביל לרכבת. כמה מטרים, 7 בערך. קצת יותר מהמרחק, מהקיר שלי לקיר שנמצא מולי. יש לה שני פתחים, יורדים מדרגות, עוברים לצד השני לרכבת. כשירדתי מהאוטובוס דיברתי בטלפון. בדרך כלל יורדים איתי עוד אנשים והמנהרה עם הרבה אנשים. יצא שירדתי הפעם לבד. נכנסתי למנהרה, דיברתי בטלפון עם בעלי. שיחה רגילה. חוצה את המנהרה, כמעט הגעתי לסוף המנהרה, למדרגות. שם זה קרה. פתאום אני מרגישה מישהו, הוא (מצביעה על הנאשם) מושך לי בחצאית, כמעט הוריד לי את החצאית ותופס אותי ביד חזק מאוד. התחלתי לצרוח. ממש. בעלי היה בטלפון ושאל מה קרה. צעקתי מישהו מושך לי בחצאית, מישהו מנסה לאנוס אותי. הסתובבתי, הסתכלתי על הפנים של הנאשם. הוא פשוט ברח מרוב בהלה. לכיוון הצד שהגעתי ממנו. תוך שניה, כי הייתי ממש קרובה למדרגות, הגעתי למעלה וראיתי את המאבטחים של הרכבת </w:t>
      </w:r>
      <w:r>
        <w:rPr>
          <w:rFonts w:hint="cs"/>
          <w:b/>
          <w:bCs/>
          <w:u w:val="single"/>
          <w:rtl/>
        </w:rPr>
        <w:t>ואמרתי להם שנתין זר</w:t>
      </w:r>
      <w:r>
        <w:rPr>
          <w:rFonts w:hint="cs"/>
          <w:b/>
          <w:bCs/>
          <w:rtl/>
        </w:rPr>
        <w:t xml:space="preserve"> ניסה לאנוס אותי ומיד רצו. הם שאלו אותי איפה הוא. אמרתי שהוא ברח לצד השני. מיד רצו ותפסו אותו" </w:t>
      </w:r>
      <w:r>
        <w:rPr>
          <w:rFonts w:hint="cs"/>
          <w:rtl/>
        </w:rPr>
        <w:t>(פרו' עמ' 4 ש' 20 עד עמ' 5 ש' 3).</w:t>
      </w:r>
    </w:p>
    <w:p w14:paraId="2685F65D" w14:textId="77777777" w:rsidR="00BC7020" w:rsidRDefault="00BC7020">
      <w:pPr>
        <w:spacing w:line="360" w:lineRule="auto"/>
        <w:ind w:left="720" w:hanging="720"/>
        <w:jc w:val="both"/>
        <w:rPr>
          <w:b/>
          <w:bCs/>
          <w:rtl/>
        </w:rPr>
      </w:pPr>
    </w:p>
    <w:p w14:paraId="7C490275" w14:textId="77777777" w:rsidR="00BC7020" w:rsidRDefault="00280646">
      <w:pPr>
        <w:spacing w:line="360" w:lineRule="auto"/>
        <w:ind w:left="720" w:hanging="720"/>
        <w:jc w:val="both"/>
        <w:rPr>
          <w:rtl/>
        </w:rPr>
      </w:pPr>
      <w:r>
        <w:rPr>
          <w:rFonts w:hint="cs"/>
          <w:b/>
          <w:bCs/>
          <w:rtl/>
        </w:rPr>
        <w:tab/>
      </w:r>
      <w:r>
        <w:rPr>
          <w:rFonts w:hint="cs"/>
          <w:rtl/>
        </w:rPr>
        <w:t>המאבטח חובב תיאר את המפגש המיידי של המתלוננת, ואת תיאור התוקף כפי שמסרה לו.</w:t>
      </w:r>
    </w:p>
    <w:p w14:paraId="17F036F2" w14:textId="77777777" w:rsidR="00BC7020" w:rsidRDefault="00BC7020">
      <w:pPr>
        <w:spacing w:line="360" w:lineRule="auto"/>
        <w:ind w:left="720" w:hanging="720"/>
        <w:jc w:val="both"/>
        <w:rPr>
          <w:rtl/>
        </w:rPr>
      </w:pPr>
    </w:p>
    <w:p w14:paraId="75789FE0" w14:textId="77777777" w:rsidR="00BC7020" w:rsidRDefault="00280646">
      <w:pPr>
        <w:spacing w:line="360" w:lineRule="auto"/>
        <w:ind w:left="720" w:hanging="720"/>
        <w:jc w:val="both"/>
        <w:rPr>
          <w:rtl/>
        </w:rPr>
      </w:pPr>
      <w:r>
        <w:rPr>
          <w:rFonts w:hint="cs"/>
          <w:rtl/>
        </w:rPr>
        <w:tab/>
        <w:t>וכך מפיו:</w:t>
      </w:r>
    </w:p>
    <w:p w14:paraId="2F9A5CE5" w14:textId="77777777" w:rsidR="00BC7020" w:rsidRDefault="00BC7020">
      <w:pPr>
        <w:spacing w:line="360" w:lineRule="auto"/>
        <w:ind w:left="720" w:hanging="720"/>
        <w:jc w:val="both"/>
        <w:rPr>
          <w:rtl/>
        </w:rPr>
      </w:pPr>
    </w:p>
    <w:p w14:paraId="4FEA953B" w14:textId="77777777" w:rsidR="00BC7020" w:rsidRDefault="00280646">
      <w:pPr>
        <w:spacing w:line="360" w:lineRule="auto"/>
        <w:ind w:left="720" w:hanging="720"/>
        <w:jc w:val="both"/>
      </w:pPr>
      <w:r>
        <w:rPr>
          <w:rFonts w:hint="cs"/>
          <w:rtl/>
        </w:rPr>
        <w:tab/>
        <w:t>"</w:t>
      </w:r>
      <w:r>
        <w:rPr>
          <w:rFonts w:hint="cs"/>
          <w:b/>
          <w:bCs/>
          <w:rtl/>
        </w:rPr>
        <w:t xml:space="preserve">הייתי במעגל החיצוני שמעתי צעקות וירדתי ישר. כשירדתי לשם ראיתי את הבחורה מגיעה לכיוון שלי, בסוף המדרגות. היא טענה שהבן אדם תקף אותה ושאלתי איך הוא נראה, היא אמרה שהוא לבש </w:t>
      </w:r>
      <w:r>
        <w:rPr>
          <w:rFonts w:hint="cs"/>
          <w:b/>
          <w:bCs/>
          <w:u w:val="single"/>
          <w:rtl/>
        </w:rPr>
        <w:t>חולצה כחולה ומכנסי ג'ינס עם שפשופים לבנים</w:t>
      </w:r>
      <w:r>
        <w:rPr>
          <w:rFonts w:hint="cs"/>
          <w:b/>
          <w:bCs/>
          <w:rtl/>
        </w:rPr>
        <w:t xml:space="preserve"> ורצתי אחריו ותפסתי אותו וגם דיווחתי לראש המשמרת</w:t>
      </w:r>
      <w:r>
        <w:rPr>
          <w:rFonts w:hint="cs"/>
          <w:rtl/>
        </w:rPr>
        <w:t>" (פרו' עמ' 8 ש' 8-11).</w:t>
      </w:r>
    </w:p>
    <w:p w14:paraId="756BE2AE" w14:textId="77777777" w:rsidR="00BC7020" w:rsidRDefault="00BC7020">
      <w:pPr>
        <w:spacing w:line="360" w:lineRule="auto"/>
        <w:ind w:left="720" w:hanging="720"/>
        <w:jc w:val="both"/>
        <w:rPr>
          <w:rtl/>
        </w:rPr>
      </w:pPr>
    </w:p>
    <w:p w14:paraId="46E41CC7" w14:textId="77777777" w:rsidR="00BC7020" w:rsidRDefault="00280646">
      <w:pPr>
        <w:spacing w:line="360" w:lineRule="auto"/>
        <w:ind w:left="720" w:hanging="720"/>
        <w:jc w:val="both"/>
        <w:rPr>
          <w:rtl/>
        </w:rPr>
      </w:pPr>
      <w:r>
        <w:rPr>
          <w:rFonts w:hint="cs"/>
          <w:rtl/>
        </w:rPr>
        <w:tab/>
        <w:t xml:space="preserve">מהשילוב בין העדויות, שלא מצאתי סיבה לפקפק במהימנות מי מהן, עולה כי מיד לאחר שהמתלוננת הצליחה להשתחרר מהאדם שתקף אותה, היא פגשה במאבטח חובב ומסרה לו כי מדובר </w:t>
      </w:r>
      <w:r>
        <w:rPr>
          <w:rFonts w:hint="cs"/>
          <w:b/>
          <w:bCs/>
          <w:rtl/>
        </w:rPr>
        <w:t>בנתין זר</w:t>
      </w:r>
      <w:r>
        <w:rPr>
          <w:rFonts w:hint="cs"/>
          <w:rtl/>
        </w:rPr>
        <w:t xml:space="preserve">, הלובש </w:t>
      </w:r>
      <w:r>
        <w:rPr>
          <w:rFonts w:hint="cs"/>
          <w:b/>
          <w:bCs/>
          <w:rtl/>
        </w:rPr>
        <w:t>חולצה כחולה</w:t>
      </w:r>
      <w:r>
        <w:rPr>
          <w:rFonts w:hint="cs"/>
          <w:rtl/>
        </w:rPr>
        <w:t xml:space="preserve"> (בהודעתה במשטרה עושה המתלוננת שימוש במילה "</w:t>
      </w:r>
      <w:r>
        <w:rPr>
          <w:rFonts w:hint="cs"/>
          <w:b/>
          <w:bCs/>
          <w:rtl/>
        </w:rPr>
        <w:t>טרנינג</w:t>
      </w:r>
      <w:r>
        <w:rPr>
          <w:rFonts w:hint="cs"/>
          <w:rtl/>
        </w:rPr>
        <w:t xml:space="preserve">" </w:t>
      </w:r>
      <w:r>
        <w:rPr>
          <w:rtl/>
        </w:rPr>
        <w:t>–</w:t>
      </w:r>
      <w:r>
        <w:rPr>
          <w:rFonts w:hint="cs"/>
          <w:rtl/>
        </w:rPr>
        <w:t xml:space="preserve"> נ/1 ש' 6), </w:t>
      </w:r>
      <w:r>
        <w:rPr>
          <w:rFonts w:hint="cs"/>
          <w:b/>
          <w:bCs/>
          <w:rtl/>
        </w:rPr>
        <w:t>ומכנסים עם כתמי שפשוף לבנים</w:t>
      </w:r>
      <w:r>
        <w:rPr>
          <w:rFonts w:hint="cs"/>
          <w:rtl/>
        </w:rPr>
        <w:t>.</w:t>
      </w:r>
    </w:p>
    <w:p w14:paraId="3830E9F7" w14:textId="77777777" w:rsidR="00BC7020" w:rsidRDefault="00BC7020">
      <w:pPr>
        <w:spacing w:line="360" w:lineRule="auto"/>
        <w:ind w:left="720" w:hanging="720"/>
        <w:jc w:val="both"/>
        <w:rPr>
          <w:rtl/>
        </w:rPr>
      </w:pPr>
    </w:p>
    <w:p w14:paraId="478C833E" w14:textId="77777777" w:rsidR="00BC7020" w:rsidRDefault="00280646">
      <w:pPr>
        <w:spacing w:line="360" w:lineRule="auto"/>
        <w:ind w:left="720" w:hanging="720"/>
        <w:jc w:val="both"/>
        <w:rPr>
          <w:rtl/>
        </w:rPr>
      </w:pPr>
      <w:r>
        <w:rPr>
          <w:rFonts w:hint="cs"/>
          <w:rtl/>
        </w:rPr>
        <w:tab/>
        <w:t xml:space="preserve">עיון בתמונות הבגדים שלבש הנאשם בעת מעצרו (תמונות 3-4 בגליון הצילומים ת/6) מלמד כי הנאשם לבש </w:t>
      </w:r>
      <w:r>
        <w:rPr>
          <w:rFonts w:hint="cs"/>
          <w:b/>
          <w:bCs/>
          <w:rtl/>
        </w:rPr>
        <w:t>חולצת טרנינג ומכנסי ג'ינס כחולים עם כתמי שפשוף לבנים.</w:t>
      </w:r>
      <w:r>
        <w:rPr>
          <w:rFonts w:hint="cs"/>
          <w:rtl/>
        </w:rPr>
        <w:t xml:space="preserve"> </w:t>
      </w:r>
    </w:p>
    <w:p w14:paraId="7493CB8B" w14:textId="77777777" w:rsidR="00BC7020" w:rsidRDefault="00BC7020">
      <w:pPr>
        <w:spacing w:line="360" w:lineRule="auto"/>
        <w:ind w:left="720" w:hanging="720"/>
        <w:jc w:val="both"/>
        <w:rPr>
          <w:rtl/>
        </w:rPr>
      </w:pPr>
    </w:p>
    <w:p w14:paraId="64F49485" w14:textId="77777777" w:rsidR="00BC7020" w:rsidRDefault="00280646">
      <w:pPr>
        <w:spacing w:line="360" w:lineRule="auto"/>
        <w:ind w:left="720" w:hanging="720"/>
        <w:jc w:val="both"/>
        <w:rPr>
          <w:rtl/>
        </w:rPr>
      </w:pPr>
      <w:r>
        <w:rPr>
          <w:rFonts w:hint="cs"/>
          <w:rtl/>
        </w:rPr>
        <w:tab/>
        <w:t xml:space="preserve">הסניגור טען כי מדובר בפריטי לבוש טריוויאלים, אולם יש ליתן את הדעת הן לשילוב שבין שני פריטי הלבוש, ובמיוחד </w:t>
      </w:r>
      <w:r>
        <w:rPr>
          <w:rtl/>
        </w:rPr>
        <w:t>–</w:t>
      </w:r>
      <w:r>
        <w:rPr>
          <w:rFonts w:hint="cs"/>
          <w:rtl/>
        </w:rPr>
        <w:t xml:space="preserve"> למראה הייחודי של מכנסי הג'ינס עם כתמי השפשוף הלבנים.</w:t>
      </w:r>
    </w:p>
    <w:p w14:paraId="15F2AA6E" w14:textId="77777777" w:rsidR="00BC7020" w:rsidRDefault="00BC7020">
      <w:pPr>
        <w:spacing w:line="360" w:lineRule="auto"/>
        <w:ind w:left="720" w:hanging="720"/>
        <w:jc w:val="both"/>
        <w:rPr>
          <w:rtl/>
        </w:rPr>
      </w:pPr>
    </w:p>
    <w:p w14:paraId="1980F7F5" w14:textId="77777777" w:rsidR="00BC7020" w:rsidRDefault="00280646">
      <w:pPr>
        <w:spacing w:line="360" w:lineRule="auto"/>
        <w:ind w:left="720" w:hanging="720"/>
        <w:jc w:val="both"/>
        <w:rPr>
          <w:b/>
          <w:bCs/>
          <w:rtl/>
        </w:rPr>
      </w:pPr>
      <w:r>
        <w:rPr>
          <w:rFonts w:hint="cs"/>
          <w:rtl/>
        </w:rPr>
        <w:tab/>
        <w:t>אסכם נקודה זאת ואומר כי התיאור שסיפקה המתלוננת עוד טרם נתפס הנאשם, תואם לנתוניו של הנאשם, הן בהיבט של מוצאו האתני, אך בעיקר בהיבט של הבגדים אותם לבש.</w:t>
      </w:r>
      <w:r>
        <w:rPr>
          <w:rFonts w:hint="cs"/>
          <w:b/>
          <w:bCs/>
          <w:rtl/>
        </w:rPr>
        <w:tab/>
      </w:r>
    </w:p>
    <w:p w14:paraId="03B53C1D" w14:textId="77777777" w:rsidR="00BC7020" w:rsidRDefault="00BC7020">
      <w:pPr>
        <w:spacing w:line="360" w:lineRule="auto"/>
        <w:ind w:left="720" w:hanging="720"/>
        <w:jc w:val="both"/>
        <w:rPr>
          <w:u w:val="single"/>
          <w:rtl/>
        </w:rPr>
      </w:pPr>
    </w:p>
    <w:p w14:paraId="5ACFCA4C" w14:textId="77777777" w:rsidR="00BC7020" w:rsidRDefault="00280646">
      <w:pPr>
        <w:pStyle w:val="a"/>
        <w:rPr>
          <w:u w:val="single"/>
          <w:rtl/>
        </w:rPr>
      </w:pPr>
      <w:r>
        <w:rPr>
          <w:rFonts w:hint="cs"/>
          <w:rtl/>
        </w:rPr>
        <w:tab/>
      </w:r>
      <w:r>
        <w:rPr>
          <w:rFonts w:hint="cs"/>
          <w:u w:val="single"/>
          <w:rtl/>
        </w:rPr>
        <w:t>נדבך שני - העובדה כי הצליח להבחין בנאשם עוד כשהיה 10 מטרים מהמעבר התת קרקעי</w:t>
      </w:r>
    </w:p>
    <w:p w14:paraId="7090B46D" w14:textId="77777777" w:rsidR="00BC7020" w:rsidRDefault="00BC7020">
      <w:pPr>
        <w:pStyle w:val="a"/>
        <w:rPr>
          <w:u w:val="single"/>
          <w:rtl/>
        </w:rPr>
      </w:pPr>
    </w:p>
    <w:p w14:paraId="7A66AC3C" w14:textId="77777777" w:rsidR="00BC7020" w:rsidRDefault="00280646">
      <w:pPr>
        <w:pStyle w:val="a"/>
        <w:ind w:left="720" w:hanging="720"/>
        <w:rPr>
          <w:rtl/>
        </w:rPr>
      </w:pPr>
      <w:r>
        <w:rPr>
          <w:rFonts w:hint="cs"/>
          <w:rtl/>
        </w:rPr>
        <w:t>7.</w:t>
      </w:r>
      <w:r>
        <w:rPr>
          <w:rFonts w:hint="cs"/>
          <w:rtl/>
        </w:rPr>
        <w:tab/>
        <w:t xml:space="preserve">מעדותו של המאבטח חובב עולה כי הצליח להבחין בנאשם עוד כשהנאשם היה במרחק של כ- 10 מטרים מהמעבר התת קרקעי, והצליח לעצור אותו לאחר שהדביק את הפער ביניהם. </w:t>
      </w:r>
    </w:p>
    <w:p w14:paraId="4FEA76B4" w14:textId="77777777" w:rsidR="00BC7020" w:rsidRDefault="00BC7020">
      <w:pPr>
        <w:pStyle w:val="a"/>
        <w:ind w:left="720" w:hanging="720"/>
        <w:rPr>
          <w:rtl/>
        </w:rPr>
      </w:pPr>
    </w:p>
    <w:p w14:paraId="70D8A96F" w14:textId="77777777" w:rsidR="00BC7020" w:rsidRDefault="00280646">
      <w:pPr>
        <w:pStyle w:val="a"/>
        <w:ind w:left="720" w:hanging="720"/>
        <w:rPr>
          <w:rtl/>
        </w:rPr>
      </w:pPr>
      <w:r>
        <w:rPr>
          <w:rFonts w:hint="cs"/>
          <w:rtl/>
        </w:rPr>
        <w:tab/>
        <w:t>וכך תיאר חובב את שאירע:</w:t>
      </w:r>
    </w:p>
    <w:p w14:paraId="42E9038E" w14:textId="77777777" w:rsidR="00BC7020" w:rsidRDefault="00BC7020">
      <w:pPr>
        <w:pStyle w:val="a"/>
        <w:ind w:left="720" w:hanging="720"/>
        <w:rPr>
          <w:rtl/>
        </w:rPr>
      </w:pPr>
    </w:p>
    <w:p w14:paraId="003A3EB9" w14:textId="77777777" w:rsidR="00BC7020" w:rsidRDefault="00280646">
      <w:pPr>
        <w:spacing w:line="360" w:lineRule="auto"/>
        <w:ind w:left="720" w:hanging="720"/>
        <w:jc w:val="both"/>
      </w:pPr>
      <w:r>
        <w:rPr>
          <w:rFonts w:hint="cs"/>
          <w:rtl/>
        </w:rPr>
        <w:tab/>
        <w:t>"</w:t>
      </w:r>
      <w:r>
        <w:rPr>
          <w:rFonts w:hint="cs"/>
          <w:b/>
          <w:bCs/>
          <w:rtl/>
        </w:rPr>
        <w:t>הבן אדם עוזב את המקום מהרגע שהיו צעקות הוא נמלט משם. ראיתי אותו מחוץ למנהרה. כשראיתי אותו בפעם הראשונה הוא היה במרחק של 10 מטר מהמנהרה. לקח לי שלוש דקות עד שהגעתי אליו. כשאני רצתי הוא היה לכיוון ההגנה</w:t>
      </w:r>
      <w:r>
        <w:rPr>
          <w:rFonts w:hint="cs"/>
          <w:rtl/>
        </w:rPr>
        <w:t>" (פרו' עמ' 8 ש' 25-27).</w:t>
      </w:r>
    </w:p>
    <w:p w14:paraId="5584F468" w14:textId="77777777" w:rsidR="00BC7020" w:rsidRDefault="00BC7020">
      <w:pPr>
        <w:pStyle w:val="a"/>
        <w:ind w:left="720" w:hanging="720"/>
        <w:rPr>
          <w:rtl/>
        </w:rPr>
      </w:pPr>
    </w:p>
    <w:p w14:paraId="68A11245" w14:textId="77777777" w:rsidR="00BC7020" w:rsidRDefault="00280646">
      <w:pPr>
        <w:pStyle w:val="a"/>
        <w:ind w:left="720" w:hanging="720"/>
        <w:jc w:val="both"/>
        <w:rPr>
          <w:rtl/>
        </w:rPr>
      </w:pPr>
      <w:r>
        <w:rPr>
          <w:rFonts w:hint="cs"/>
          <w:rtl/>
        </w:rPr>
        <w:tab/>
        <w:t xml:space="preserve">אני ער לעובדה כי מהודעתו של חובב במשטרה (ת/9) ניתן להבין כי הנאשם ברח בריצה בעוד שבבית המשפט תיאר חובב כי הנאשם הלך הליכה מהירה, אולם אינני סבור כי יש בכך כדי לפגום במהימנות התיאור שמסר, שכן בעדותו בבית המשפט התברר כי רכיב "הריצה" המצוין בהודעה מכוון לריצתו שלו ולא לריצתו של הנאשם. הסניגור התייחס בטיעוניו לעובדה כי לפי עדותו של חובב, היה בשטח נהג מונית שסייע לו לרדוף אחר הנאשם, בעוד שמהודעתו במשטרה עולה כי המאבטח רון לוי היה זה שסייע לו. גם סוגיה זאת נראית לי כזו שאינה משפיעה על ליבת העדות, שכן אין חולק כי המאבטח חובב הוא זה שלכד, בסופו של יום, את הנאשם, ואין חולק כי בעדותו בבית המשפט, ציין המאבטח רון לוי (ובניגוד לעולה מהודעתו) כי הוא עצמו לא השתתף במרדף. בהינתן העובדה כי מדובר בשני מאבטחים נעדרי אינטרס כלשהו, נראה כי האופן בו נרשמו הדברים בהודעותיהם הוא פועל יוצא של בלבול או חוסר הבנה באשר לתיאור שסיפקו, ולא כזה שהוא תוצר של רצון לצייר תמונה שונה מזו שאירעה בשטח. </w:t>
      </w:r>
    </w:p>
    <w:p w14:paraId="0646DD27" w14:textId="77777777" w:rsidR="00BC7020" w:rsidRDefault="00BC7020">
      <w:pPr>
        <w:pStyle w:val="a"/>
        <w:ind w:left="720" w:hanging="720"/>
        <w:jc w:val="both"/>
        <w:rPr>
          <w:rtl/>
        </w:rPr>
      </w:pPr>
    </w:p>
    <w:p w14:paraId="679ECCD9" w14:textId="77777777" w:rsidR="00BC7020" w:rsidRDefault="00280646">
      <w:pPr>
        <w:pStyle w:val="a"/>
        <w:ind w:left="720" w:hanging="720"/>
        <w:jc w:val="both"/>
        <w:rPr>
          <w:rtl/>
        </w:rPr>
      </w:pPr>
      <w:r>
        <w:rPr>
          <w:rFonts w:hint="cs"/>
          <w:rtl/>
        </w:rPr>
        <w:tab/>
        <w:t xml:space="preserve">על יסוד עדותו של חובב אני קובע אפוא כי הנאשם נראה על ידו לראשונה במרחק של כ- 10 מטרים מהמעבר התת קרקעי, שאז החל לרוץ אחריו עד שהצליח ללכוד אותו. </w:t>
      </w:r>
    </w:p>
    <w:p w14:paraId="52259D10" w14:textId="77777777" w:rsidR="00BC7020" w:rsidRDefault="00BC7020">
      <w:pPr>
        <w:pStyle w:val="a"/>
        <w:ind w:left="720" w:hanging="720"/>
        <w:jc w:val="both"/>
        <w:rPr>
          <w:rtl/>
        </w:rPr>
      </w:pPr>
    </w:p>
    <w:p w14:paraId="08074ECD" w14:textId="77777777" w:rsidR="00BC7020" w:rsidRDefault="00280646">
      <w:pPr>
        <w:pStyle w:val="a"/>
        <w:rPr>
          <w:u w:val="single"/>
          <w:rtl/>
        </w:rPr>
      </w:pPr>
      <w:r>
        <w:rPr>
          <w:rFonts w:hint="cs"/>
          <w:rtl/>
        </w:rPr>
        <w:tab/>
      </w:r>
      <w:r>
        <w:rPr>
          <w:rFonts w:hint="cs"/>
          <w:u w:val="single"/>
          <w:rtl/>
        </w:rPr>
        <w:t>נדבך שלישי - העובדה כי הנאשם נתפס פרק זמן קצרצר לאחר הזמן בו בוצע במתלוננת מעשה מגונה</w:t>
      </w:r>
    </w:p>
    <w:p w14:paraId="1B66B5BD" w14:textId="77777777" w:rsidR="00BC7020" w:rsidRDefault="00BC7020">
      <w:pPr>
        <w:pStyle w:val="a"/>
        <w:rPr>
          <w:u w:val="single"/>
          <w:rtl/>
        </w:rPr>
      </w:pPr>
    </w:p>
    <w:p w14:paraId="4E56CE07" w14:textId="77777777" w:rsidR="00BC7020" w:rsidRDefault="00280646">
      <w:pPr>
        <w:pStyle w:val="a"/>
        <w:ind w:left="720" w:hanging="720"/>
        <w:jc w:val="both"/>
        <w:rPr>
          <w:rtl/>
        </w:rPr>
      </w:pPr>
      <w:r>
        <w:rPr>
          <w:rFonts w:hint="cs"/>
          <w:rtl/>
        </w:rPr>
        <w:t>8.</w:t>
      </w:r>
      <w:r>
        <w:rPr>
          <w:rFonts w:hint="cs"/>
          <w:rtl/>
        </w:rPr>
        <w:tab/>
        <w:t xml:space="preserve">אין חולק כי המתלוננת פגשה את המאבטח חובב שניות ספורות לאחר שבוצע בה המעשה המגונה, ואין חולק כי המאבטח חובב פעל באופן מיידי ויצא מהמעבר על מנת ללכוד את מבצע המעשה. מהתיאור שסיפקו חובב והמתלוננת עולה כי פרק הזמן שעבר בין המעשה המגונה שבוצע במעבר התת קרקעי לבין הפעם הראשונה בה הבחין בנאשם ברחוב היה פרק זמן קצרצר בלבד הנאמד </w:t>
      </w:r>
      <w:r>
        <w:rPr>
          <w:rFonts w:hint="cs"/>
          <w:b/>
          <w:bCs/>
          <w:rtl/>
        </w:rPr>
        <w:t>בשניות</w:t>
      </w:r>
      <w:r>
        <w:rPr>
          <w:rFonts w:hint="cs"/>
          <w:rtl/>
        </w:rPr>
        <w:t xml:space="preserve"> (ראה עדות המתלוננת אשר ציינה כי "</w:t>
      </w:r>
      <w:r>
        <w:rPr>
          <w:rFonts w:hint="cs"/>
          <w:b/>
          <w:bCs/>
          <w:rtl/>
        </w:rPr>
        <w:t>גם העניין של התפיסה שלו היה שניות</w:t>
      </w:r>
      <w:r>
        <w:rPr>
          <w:rFonts w:hint="cs"/>
          <w:rtl/>
        </w:rPr>
        <w:t xml:space="preserve">" </w:t>
      </w:r>
      <w:r>
        <w:rPr>
          <w:rtl/>
        </w:rPr>
        <w:t>–</w:t>
      </w:r>
      <w:r>
        <w:rPr>
          <w:rFonts w:hint="cs"/>
          <w:rtl/>
        </w:rPr>
        <w:t xml:space="preserve"> פרו' עמ' 7 ש' 7, ועדותו של המאבטח חובב אשר תיאר אף הוא סיטואציה שנמשכה </w:t>
      </w:r>
      <w:r>
        <w:rPr>
          <w:rFonts w:hint="cs"/>
          <w:b/>
          <w:bCs/>
          <w:rtl/>
        </w:rPr>
        <w:t>שניות</w:t>
      </w:r>
      <w:r>
        <w:rPr>
          <w:rFonts w:hint="cs"/>
          <w:rtl/>
        </w:rPr>
        <w:t xml:space="preserve"> - פרו' עמ' 9 ש' 12-15). </w:t>
      </w:r>
    </w:p>
    <w:p w14:paraId="732ACF7C" w14:textId="77777777" w:rsidR="00BC7020" w:rsidRDefault="00BC7020">
      <w:pPr>
        <w:pStyle w:val="a"/>
        <w:ind w:left="720" w:hanging="720"/>
        <w:jc w:val="both"/>
        <w:rPr>
          <w:rtl/>
        </w:rPr>
      </w:pPr>
    </w:p>
    <w:p w14:paraId="4C66CC4B" w14:textId="77777777" w:rsidR="00BC7020" w:rsidRDefault="00280646">
      <w:pPr>
        <w:pStyle w:val="a"/>
        <w:ind w:left="720" w:hanging="720"/>
        <w:jc w:val="both"/>
        <w:rPr>
          <w:rtl/>
        </w:rPr>
      </w:pPr>
      <w:r>
        <w:rPr>
          <w:rFonts w:hint="cs"/>
          <w:rtl/>
        </w:rPr>
        <w:tab/>
        <w:t xml:space="preserve">על יסוד שתי העדויות האמורות, אני קובע כי הנאשם נראה על ידי המאבטח חובב לראשונה </w:t>
      </w:r>
      <w:r>
        <w:rPr>
          <w:rFonts w:hint="cs"/>
          <w:b/>
          <w:bCs/>
          <w:rtl/>
        </w:rPr>
        <w:t>שניות ספורות</w:t>
      </w:r>
      <w:r>
        <w:rPr>
          <w:rFonts w:hint="cs"/>
          <w:rtl/>
        </w:rPr>
        <w:t xml:space="preserve"> לאחר ביצוע המעשה המגונה במתלוננת, ונלכד פרק זמן קצרצר לאחר מכן בעוד שהמאבטח חובב שומר איתו על קשר עין. </w:t>
      </w:r>
    </w:p>
    <w:p w14:paraId="1EB84A04" w14:textId="77777777" w:rsidR="00BC7020" w:rsidRDefault="00BC7020">
      <w:pPr>
        <w:pStyle w:val="a"/>
        <w:rPr>
          <w:u w:val="single"/>
          <w:rtl/>
        </w:rPr>
      </w:pPr>
    </w:p>
    <w:p w14:paraId="1EFC3D18" w14:textId="77777777" w:rsidR="00BC7020" w:rsidRDefault="00280646">
      <w:pPr>
        <w:pStyle w:val="a"/>
        <w:rPr>
          <w:u w:val="single"/>
          <w:rtl/>
        </w:rPr>
      </w:pPr>
      <w:r>
        <w:rPr>
          <w:rFonts w:hint="cs"/>
          <w:rtl/>
        </w:rPr>
        <w:tab/>
      </w:r>
      <w:r>
        <w:rPr>
          <w:rFonts w:hint="cs"/>
          <w:u w:val="single"/>
          <w:rtl/>
        </w:rPr>
        <w:t>נדבך רביעי - זיהוי הנאשם על ידי המתלוננת בשטח</w:t>
      </w:r>
    </w:p>
    <w:p w14:paraId="4DC079B1" w14:textId="77777777" w:rsidR="00BC7020" w:rsidRDefault="00BC7020">
      <w:pPr>
        <w:pStyle w:val="a"/>
        <w:rPr>
          <w:u w:val="single"/>
          <w:rtl/>
        </w:rPr>
      </w:pPr>
    </w:p>
    <w:p w14:paraId="6C094913" w14:textId="77777777" w:rsidR="00BC7020" w:rsidRDefault="00280646">
      <w:pPr>
        <w:pStyle w:val="a"/>
        <w:ind w:left="720" w:hanging="720"/>
        <w:rPr>
          <w:rtl/>
        </w:rPr>
      </w:pPr>
      <w:r>
        <w:rPr>
          <w:rFonts w:hint="cs"/>
          <w:rtl/>
        </w:rPr>
        <w:t>9.</w:t>
      </w:r>
      <w:r>
        <w:rPr>
          <w:rFonts w:hint="cs"/>
          <w:rtl/>
        </w:rPr>
        <w:tab/>
        <w:t>אין חולק כי כאשר נלכד הנאשם על ידי חובב, והובא לתחנת הרכבת, זיהתה אותו המתלוננת כאדם שתקף אותה.</w:t>
      </w:r>
    </w:p>
    <w:p w14:paraId="3B454C92" w14:textId="77777777" w:rsidR="00BC7020" w:rsidRDefault="00BC7020">
      <w:pPr>
        <w:pStyle w:val="a"/>
        <w:ind w:left="720" w:hanging="720"/>
        <w:rPr>
          <w:rtl/>
        </w:rPr>
      </w:pPr>
    </w:p>
    <w:p w14:paraId="6C9761D1" w14:textId="77777777" w:rsidR="00BC7020" w:rsidRDefault="00280646">
      <w:pPr>
        <w:pStyle w:val="a"/>
        <w:ind w:left="720" w:hanging="720"/>
        <w:rPr>
          <w:rtl/>
        </w:rPr>
      </w:pPr>
      <w:r>
        <w:rPr>
          <w:rFonts w:hint="cs"/>
          <w:rtl/>
        </w:rPr>
        <w:tab/>
        <w:t xml:space="preserve">וכך תיארה זאת המתלוננת: </w:t>
      </w:r>
    </w:p>
    <w:p w14:paraId="06907488" w14:textId="77777777" w:rsidR="00BC7020" w:rsidRDefault="00BC7020">
      <w:pPr>
        <w:pStyle w:val="a"/>
        <w:ind w:left="720" w:hanging="720"/>
        <w:rPr>
          <w:rtl/>
        </w:rPr>
      </w:pPr>
    </w:p>
    <w:p w14:paraId="6ED34491" w14:textId="77777777" w:rsidR="00BC7020" w:rsidRDefault="00280646">
      <w:pPr>
        <w:pStyle w:val="a"/>
        <w:ind w:left="720" w:hanging="720"/>
        <w:rPr>
          <w:rtl/>
        </w:rPr>
      </w:pPr>
      <w:r>
        <w:rPr>
          <w:rFonts w:hint="cs"/>
          <w:rtl/>
        </w:rPr>
        <w:tab/>
        <w:t>"</w:t>
      </w:r>
      <w:r>
        <w:rPr>
          <w:rFonts w:hint="cs"/>
          <w:b/>
          <w:bCs/>
          <w:rtl/>
        </w:rPr>
        <w:t>מיד רצו ותפסו אותו. לי הביאו שתייה. הביאו אותו ושמרו אותו עד שהגיעה המשטרה. שאלו אותי אם זה הוא ומיד אמרתי שזה הוא</w:t>
      </w:r>
      <w:r>
        <w:rPr>
          <w:rFonts w:hint="cs"/>
          <w:rtl/>
        </w:rPr>
        <w:t xml:space="preserve">" (פרו' עמ' 5 ש' 3-4). </w:t>
      </w:r>
    </w:p>
    <w:p w14:paraId="39FA7399" w14:textId="77777777" w:rsidR="00BC7020" w:rsidRDefault="00BC7020">
      <w:pPr>
        <w:pStyle w:val="a"/>
        <w:ind w:left="720" w:hanging="720"/>
        <w:rPr>
          <w:rtl/>
        </w:rPr>
      </w:pPr>
    </w:p>
    <w:p w14:paraId="58319769" w14:textId="77777777" w:rsidR="00BC7020" w:rsidRDefault="00280646">
      <w:pPr>
        <w:pStyle w:val="a"/>
        <w:ind w:left="720" w:hanging="720"/>
        <w:rPr>
          <w:rtl/>
        </w:rPr>
      </w:pPr>
      <w:r>
        <w:rPr>
          <w:rFonts w:hint="cs"/>
          <w:rtl/>
        </w:rPr>
        <w:tab/>
        <w:t>זיהויו המיידי של הנאשם על ידי המתלוננת עלה גם בעדותו של חובב:</w:t>
      </w:r>
    </w:p>
    <w:p w14:paraId="018A8764" w14:textId="77777777" w:rsidR="00BC7020" w:rsidRDefault="00BC7020">
      <w:pPr>
        <w:pStyle w:val="a"/>
        <w:ind w:left="720" w:hanging="720"/>
        <w:rPr>
          <w:rtl/>
        </w:rPr>
      </w:pPr>
    </w:p>
    <w:p w14:paraId="3A78BE8D" w14:textId="77777777" w:rsidR="00BC7020" w:rsidRDefault="00280646">
      <w:pPr>
        <w:pStyle w:val="a"/>
        <w:ind w:left="720" w:hanging="720"/>
        <w:rPr>
          <w:rtl/>
        </w:rPr>
      </w:pPr>
      <w:r>
        <w:rPr>
          <w:rFonts w:hint="cs"/>
          <w:rtl/>
        </w:rPr>
        <w:tab/>
        <w:t>"...</w:t>
      </w:r>
      <w:r>
        <w:rPr>
          <w:rFonts w:hint="cs"/>
          <w:b/>
          <w:bCs/>
          <w:rtl/>
        </w:rPr>
        <w:t>ואני ירדתי למדרגות מייד ששמעתי את הצעקה, והיא אמרה שהבחור ירד לצד השני והתחלתי לרוץ אחריו ותפסתי אותו והבאתי אותו. שאלנו את הבחורה אם זה הבחור והיא אמרה שכן</w:t>
      </w:r>
      <w:r>
        <w:rPr>
          <w:rFonts w:hint="cs"/>
          <w:rtl/>
        </w:rPr>
        <w:t>" (פרו' עמ' 8 ש' 4-6).</w:t>
      </w:r>
    </w:p>
    <w:p w14:paraId="4532FC0B" w14:textId="77777777" w:rsidR="00BC7020" w:rsidRDefault="00BC7020">
      <w:pPr>
        <w:pStyle w:val="a"/>
        <w:ind w:left="720" w:hanging="720"/>
        <w:jc w:val="both"/>
        <w:rPr>
          <w:rtl/>
        </w:rPr>
      </w:pPr>
    </w:p>
    <w:p w14:paraId="4FFC089D" w14:textId="77777777" w:rsidR="00BC7020" w:rsidRDefault="00280646">
      <w:pPr>
        <w:pStyle w:val="a"/>
        <w:ind w:left="720"/>
        <w:jc w:val="both"/>
        <w:rPr>
          <w:rtl/>
        </w:rPr>
      </w:pPr>
      <w:r>
        <w:rPr>
          <w:rFonts w:hint="cs"/>
          <w:rtl/>
        </w:rPr>
        <w:t xml:space="preserve">אף שנכון אני לקבל את עמדת הסניגור באשר למשקלו המופחת של זיהוי מעין זה, אשר אינו שקול לזיהוי במסדר זיהוי תמונות, דומני כי גם הליך הזיהוי במקרה הנדון שהיה כה מיידי ואותנטי, כאשר קורבן העבירה נתונה עדיין תחת השפעותיו של האירוע הפוגע, הוא בעל משקל המאפשר לבסס עליו ממצאים מרשיעים. בנסיבות האמורות, ניתן היה לצפות כי המתלוננת, אשר מראהו של הפוגע נחשף אליה באופן שאפשר זיהויו, לרבות בנוגע לפרטי לבוש ייחודיים, הייתה מודיעה למאבטחים כי אין המדובר בנאשם ומפצירה בהם, בעודם במקום, להמשיך ולחפש את הפוגע. דברים אלה נכונים בעיני גם לאחר שנתתי דעתי לעובדה שמדובר בזיהוי של אדם ממוצא אתני אחר, על כל המשתמע מכך. </w:t>
      </w:r>
    </w:p>
    <w:p w14:paraId="12E347FA" w14:textId="77777777" w:rsidR="00BC7020" w:rsidRDefault="00BC7020">
      <w:pPr>
        <w:pStyle w:val="a"/>
        <w:ind w:left="720"/>
        <w:jc w:val="both"/>
        <w:rPr>
          <w:rtl/>
        </w:rPr>
      </w:pPr>
    </w:p>
    <w:p w14:paraId="344D0C9A" w14:textId="77777777" w:rsidR="00BC7020" w:rsidRDefault="00280646">
      <w:pPr>
        <w:pStyle w:val="a"/>
        <w:ind w:left="720"/>
        <w:jc w:val="both"/>
      </w:pPr>
      <w:r>
        <w:rPr>
          <w:rFonts w:hint="cs"/>
          <w:rtl/>
        </w:rPr>
        <w:t>אעיר כי אף שנכון אני להניח כי באותו איזור בו נתפס הנאשם שוהים נתינים זרים רבים, אינני סבור כי יש בכך כדי להפחית ממשקל מסקנתי, בוודאי כאשר האפשרות להימצאותם של נתינים זרים באותו מקום בדיוק ובאותן שניות בדיוק כלל לא לובנה בשלב ההוכחות.</w:t>
      </w:r>
    </w:p>
    <w:p w14:paraId="0AE92E10" w14:textId="77777777" w:rsidR="00BC7020" w:rsidRDefault="00BC7020">
      <w:pPr>
        <w:pStyle w:val="a"/>
        <w:ind w:left="720" w:hanging="720"/>
        <w:jc w:val="both"/>
        <w:rPr>
          <w:rtl/>
        </w:rPr>
      </w:pPr>
    </w:p>
    <w:p w14:paraId="2E98E58B" w14:textId="77777777" w:rsidR="00BC7020" w:rsidRDefault="00280646">
      <w:pPr>
        <w:pStyle w:val="a"/>
        <w:rPr>
          <w:u w:val="single"/>
          <w:rtl/>
        </w:rPr>
      </w:pPr>
      <w:r>
        <w:rPr>
          <w:rFonts w:hint="cs"/>
          <w:rtl/>
        </w:rPr>
        <w:tab/>
      </w:r>
      <w:r>
        <w:rPr>
          <w:rFonts w:hint="cs"/>
          <w:u w:val="single"/>
          <w:rtl/>
        </w:rPr>
        <w:t>השילוב בין ארבעת הנדבכים הראייתיים</w:t>
      </w:r>
    </w:p>
    <w:p w14:paraId="3AAAD525" w14:textId="77777777" w:rsidR="00BC7020" w:rsidRDefault="00BC7020">
      <w:pPr>
        <w:pStyle w:val="a"/>
        <w:rPr>
          <w:u w:val="single"/>
          <w:rtl/>
        </w:rPr>
      </w:pPr>
    </w:p>
    <w:p w14:paraId="46BFC981" w14:textId="77777777" w:rsidR="00BC7020" w:rsidRDefault="00280646">
      <w:pPr>
        <w:pStyle w:val="a"/>
        <w:ind w:left="720" w:hanging="720"/>
        <w:jc w:val="both"/>
        <w:rPr>
          <w:rtl/>
        </w:rPr>
      </w:pPr>
      <w:r>
        <w:rPr>
          <w:rFonts w:hint="cs"/>
          <w:rtl/>
        </w:rPr>
        <w:t>10.</w:t>
      </w:r>
      <w:r>
        <w:rPr>
          <w:rFonts w:hint="cs"/>
          <w:rtl/>
        </w:rPr>
        <w:tab/>
        <w:t xml:space="preserve">טול כל נדבך ראייתי מאלה שפורטו לעיל, ותגיע למסקנה כי אין די בו על מנת להוכיח כי תוקף המתלוננת הוא הנאשם. כך לדוגמא אין די בתיאור בגדיו של הנאשם כשהוא עומד בפני עצמו, וכך לדוגמא אין די בתפיסתו בצמוד למנהרה שניות ספורות לאחר ביצוע המעשה. גם זיהויו של הנאשם על ידי המתלוננת אינו ראוי לשמש בסיס יחידי למסקנה מרשיעה, שכן ברור שאין מדובר בזיהוי השקול לזיהוי במסדר תמונות או במסדר זיהוי "חי". </w:t>
      </w:r>
    </w:p>
    <w:p w14:paraId="46A22444" w14:textId="77777777" w:rsidR="00BC7020" w:rsidRDefault="00BC7020">
      <w:pPr>
        <w:pStyle w:val="a"/>
        <w:ind w:left="720" w:hanging="720"/>
        <w:jc w:val="both"/>
        <w:rPr>
          <w:rtl/>
        </w:rPr>
      </w:pPr>
    </w:p>
    <w:p w14:paraId="55562CB4" w14:textId="77777777" w:rsidR="00BC7020" w:rsidRDefault="00280646">
      <w:pPr>
        <w:pStyle w:val="a"/>
        <w:ind w:left="720"/>
        <w:jc w:val="both"/>
        <w:rPr>
          <w:rtl/>
        </w:rPr>
      </w:pPr>
      <w:r>
        <w:rPr>
          <w:rFonts w:hint="cs"/>
          <w:rtl/>
        </w:rPr>
        <w:t xml:space="preserve">אלא שאין עסקינן בנדבכים ראייתיים אשר יש לבחון בנפרד, אלא בנדבכים ראייתיים מצטברים, החוברים האחד לשני </w:t>
      </w:r>
      <w:r>
        <w:rPr>
          <w:rFonts w:hint="cs"/>
          <w:b/>
          <w:bCs/>
          <w:rtl/>
        </w:rPr>
        <w:t>וביחד</w:t>
      </w:r>
      <w:r>
        <w:rPr>
          <w:rFonts w:hint="cs"/>
          <w:rtl/>
        </w:rPr>
        <w:t xml:space="preserve"> מובילים למסקנה מרשיעה. כאשר בוחנים את הנדבכים השונים, ניתן לראות כי מדובר </w:t>
      </w:r>
      <w:r>
        <w:rPr>
          <w:rFonts w:hint="cs"/>
          <w:b/>
          <w:bCs/>
          <w:rtl/>
        </w:rPr>
        <w:t>באותו תיאור</w:t>
      </w:r>
      <w:r>
        <w:rPr>
          <w:rFonts w:hint="cs"/>
          <w:rtl/>
        </w:rPr>
        <w:t xml:space="preserve">, </w:t>
      </w:r>
      <w:r>
        <w:rPr>
          <w:rFonts w:hint="cs"/>
          <w:b/>
          <w:bCs/>
          <w:rtl/>
        </w:rPr>
        <w:t>אותו מיקום גיאוגרפי נקודתי,</w:t>
      </w:r>
      <w:r>
        <w:rPr>
          <w:rFonts w:hint="cs"/>
          <w:rtl/>
        </w:rPr>
        <w:t xml:space="preserve"> </w:t>
      </w:r>
      <w:r>
        <w:rPr>
          <w:rFonts w:hint="cs"/>
          <w:b/>
          <w:bCs/>
          <w:rtl/>
        </w:rPr>
        <w:t>ובאותן שניות ממש</w:t>
      </w:r>
      <w:r>
        <w:rPr>
          <w:rFonts w:hint="cs"/>
          <w:rtl/>
        </w:rPr>
        <w:t xml:space="preserve">, כאשר לשלושת רכיבים אלה </w:t>
      </w:r>
      <w:r>
        <w:rPr>
          <w:rFonts w:hint="cs"/>
          <w:b/>
          <w:bCs/>
          <w:rtl/>
        </w:rPr>
        <w:t>מצטרף זיהוי ספונטני בשטח</w:t>
      </w:r>
      <w:r>
        <w:rPr>
          <w:rFonts w:hint="cs"/>
          <w:rtl/>
        </w:rPr>
        <w:t xml:space="preserve"> על ידי המתלוננת שהצליחה להיחשף למראה פניו של הנאשם. </w:t>
      </w:r>
    </w:p>
    <w:p w14:paraId="65FDD3B9" w14:textId="77777777" w:rsidR="00BC7020" w:rsidRDefault="00BC7020">
      <w:pPr>
        <w:pStyle w:val="a"/>
        <w:ind w:left="720"/>
        <w:jc w:val="both"/>
        <w:rPr>
          <w:rtl/>
        </w:rPr>
      </w:pPr>
    </w:p>
    <w:p w14:paraId="55B05458" w14:textId="77777777" w:rsidR="00BC7020" w:rsidRDefault="00280646">
      <w:pPr>
        <w:pStyle w:val="a"/>
        <w:ind w:left="720"/>
        <w:jc w:val="both"/>
        <w:rPr>
          <w:rtl/>
        </w:rPr>
      </w:pPr>
      <w:r>
        <w:rPr>
          <w:rFonts w:hint="cs"/>
          <w:rtl/>
        </w:rPr>
        <w:t xml:space="preserve">לטעמי - יש בשילוב שבין ארבעת הנדבכים להסיר כל ספק שמא נתין זר אחר שאינו הנאשם עבר </w:t>
      </w:r>
      <w:r>
        <w:rPr>
          <w:rFonts w:hint="cs"/>
          <w:b/>
          <w:bCs/>
          <w:rtl/>
        </w:rPr>
        <w:t xml:space="preserve">במקרה </w:t>
      </w:r>
      <w:r>
        <w:rPr>
          <w:rFonts w:hint="cs"/>
          <w:rtl/>
        </w:rPr>
        <w:t xml:space="preserve">במקום </w:t>
      </w:r>
      <w:r>
        <w:rPr>
          <w:rFonts w:hint="cs"/>
          <w:u w:val="single"/>
          <w:rtl/>
        </w:rPr>
        <w:t>באותן שניות בהן בוצע במתלוננת מעשה מגונה</w:t>
      </w:r>
      <w:r>
        <w:rPr>
          <w:rFonts w:hint="cs"/>
          <w:rtl/>
        </w:rPr>
        <w:t xml:space="preserve">, נראה </w:t>
      </w:r>
      <w:r>
        <w:rPr>
          <w:rFonts w:hint="cs"/>
          <w:b/>
          <w:bCs/>
          <w:rtl/>
        </w:rPr>
        <w:t>במקרה</w:t>
      </w:r>
      <w:r>
        <w:rPr>
          <w:rFonts w:hint="cs"/>
          <w:rtl/>
        </w:rPr>
        <w:t xml:space="preserve"> בצמוד למעבר התת קרקעי, לבש </w:t>
      </w:r>
      <w:r>
        <w:rPr>
          <w:rFonts w:hint="cs"/>
          <w:b/>
          <w:bCs/>
          <w:rtl/>
        </w:rPr>
        <w:t>במקרה</w:t>
      </w:r>
      <w:r>
        <w:rPr>
          <w:rFonts w:hint="cs"/>
          <w:rtl/>
        </w:rPr>
        <w:t xml:space="preserve"> חולצת טרנינג כחולה, ומכנסי ג'ינס עם כתמי שפשוף לבנים, וזוהה </w:t>
      </w:r>
      <w:r>
        <w:rPr>
          <w:rFonts w:hint="cs"/>
          <w:b/>
          <w:bCs/>
          <w:rtl/>
        </w:rPr>
        <w:t>במקרה</w:t>
      </w:r>
      <w:r>
        <w:rPr>
          <w:rFonts w:hint="cs"/>
          <w:rtl/>
        </w:rPr>
        <w:t xml:space="preserve"> על ידי המתלוננת.</w:t>
      </w:r>
    </w:p>
    <w:p w14:paraId="68A0A2A3" w14:textId="77777777" w:rsidR="00BC7020" w:rsidRDefault="00BC7020">
      <w:pPr>
        <w:pStyle w:val="a"/>
        <w:rPr>
          <w:u w:val="single"/>
          <w:rtl/>
        </w:rPr>
      </w:pPr>
    </w:p>
    <w:p w14:paraId="758C2BEA" w14:textId="77777777" w:rsidR="00BC7020" w:rsidRDefault="00280646">
      <w:pPr>
        <w:pStyle w:val="a"/>
        <w:rPr>
          <w:u w:val="single"/>
          <w:rtl/>
        </w:rPr>
      </w:pPr>
      <w:r>
        <w:rPr>
          <w:rFonts w:hint="cs"/>
          <w:rtl/>
        </w:rPr>
        <w:tab/>
      </w:r>
      <w:r>
        <w:rPr>
          <w:rFonts w:hint="cs"/>
          <w:u w:val="single"/>
          <w:rtl/>
        </w:rPr>
        <w:t>גרסת הנאשם במשטרה ותגובתו לכתב האישום</w:t>
      </w:r>
    </w:p>
    <w:p w14:paraId="1D7DB502" w14:textId="77777777" w:rsidR="00BC7020" w:rsidRDefault="00BC7020">
      <w:pPr>
        <w:pStyle w:val="a"/>
        <w:rPr>
          <w:u w:val="single"/>
          <w:rtl/>
        </w:rPr>
      </w:pPr>
    </w:p>
    <w:p w14:paraId="7A95D115" w14:textId="77777777" w:rsidR="00BC7020" w:rsidRDefault="00280646">
      <w:pPr>
        <w:pStyle w:val="a"/>
        <w:ind w:left="720" w:hanging="720"/>
        <w:jc w:val="both"/>
        <w:rPr>
          <w:rtl/>
        </w:rPr>
      </w:pPr>
      <w:r>
        <w:rPr>
          <w:rFonts w:hint="cs"/>
          <w:rtl/>
        </w:rPr>
        <w:t>11.</w:t>
      </w:r>
      <w:r>
        <w:rPr>
          <w:rFonts w:hint="cs"/>
          <w:rtl/>
        </w:rPr>
        <w:tab/>
        <w:t>מסקנתי המרשיעה גובשה, מבלי שנתתי משקל כלשהו לטענת התביעה לפיה עדותו של הנאשם בבית המשפט (במסגרתה טען כי כלל לא היה במעבר התת קרקעי אלא נתפס ברחוב בטעות) הייתה שונה מתגובתו לכתב האישום ומהודעתו במשטרה.</w:t>
      </w:r>
    </w:p>
    <w:p w14:paraId="60831E25" w14:textId="77777777" w:rsidR="00BC7020" w:rsidRDefault="00BC7020">
      <w:pPr>
        <w:pStyle w:val="a"/>
        <w:ind w:left="720" w:hanging="720"/>
        <w:jc w:val="both"/>
        <w:rPr>
          <w:rtl/>
        </w:rPr>
      </w:pPr>
    </w:p>
    <w:p w14:paraId="212853AD" w14:textId="77777777" w:rsidR="00BC7020" w:rsidRDefault="00280646">
      <w:pPr>
        <w:pStyle w:val="a"/>
        <w:ind w:left="720" w:hanging="720"/>
        <w:jc w:val="both"/>
        <w:rPr>
          <w:rtl/>
        </w:rPr>
      </w:pPr>
      <w:r>
        <w:rPr>
          <w:rFonts w:hint="cs"/>
          <w:rtl/>
        </w:rPr>
        <w:tab/>
        <w:t xml:space="preserve">לעניין השוני ביחס לתגובה לכתב האישום - מקובל עלי הסברו של הסניגור באשר לאופן בו גובשה התגובה לכתב האישום, ובאשר לקושי לתקשר עם הנאשם ולהבין עד תום את גרסתו. </w:t>
      </w:r>
    </w:p>
    <w:p w14:paraId="231ECC58" w14:textId="77777777" w:rsidR="00BC7020" w:rsidRDefault="00BC7020">
      <w:pPr>
        <w:pStyle w:val="a"/>
        <w:ind w:left="720" w:hanging="720"/>
        <w:jc w:val="both"/>
        <w:rPr>
          <w:rtl/>
        </w:rPr>
      </w:pPr>
    </w:p>
    <w:p w14:paraId="6F922428" w14:textId="77777777" w:rsidR="00BC7020" w:rsidRDefault="00280646">
      <w:pPr>
        <w:pStyle w:val="a"/>
        <w:ind w:left="720" w:hanging="720"/>
        <w:jc w:val="both"/>
        <w:rPr>
          <w:rtl/>
        </w:rPr>
      </w:pPr>
      <w:r>
        <w:rPr>
          <w:rFonts w:hint="cs"/>
          <w:rtl/>
        </w:rPr>
        <w:tab/>
        <w:t xml:space="preserve">לעניין השוני הנטען בין העדות בבית המשפט לעדות במשטרה - סבורני כי אין מדובר בשוני, ואין בידי לקבל את טענת התובעת כי יש בצפייה בתקליטור או בעיון בתמליל החקירה והעימות כדי ללמד כי הנאשם אישר בחקירתו כי היה במעבר התת קרקעי. נהפוך הוא - התמליל רצוף אמירות או שברי אמירות מהן ניתן ללמוד כי הנאשם דבק בגרסתו לפיה כלל לא היה במעבר התת קרקעי, וממילא, נוכח קשיי השפה והתקשורת עם הנאשם, אינני סבור כי זהו המקרה בו ראוי להיאחז בשברי אמירות או משפטים לא ברורים עד תום שנאמרו בחקירה, ולעשות בהם שימוש לחובתו של הנאשם. </w:t>
      </w:r>
    </w:p>
    <w:p w14:paraId="54820AB7" w14:textId="77777777" w:rsidR="00BC7020" w:rsidRDefault="00BC7020">
      <w:pPr>
        <w:pStyle w:val="a"/>
        <w:ind w:left="720" w:hanging="720"/>
        <w:jc w:val="both"/>
        <w:rPr>
          <w:rtl/>
        </w:rPr>
      </w:pPr>
    </w:p>
    <w:p w14:paraId="1BE1F5CF" w14:textId="77777777" w:rsidR="00BC7020" w:rsidRDefault="00280646">
      <w:pPr>
        <w:pStyle w:val="a"/>
        <w:ind w:left="720" w:hanging="720"/>
        <w:jc w:val="both"/>
        <w:rPr>
          <w:rtl/>
        </w:rPr>
      </w:pPr>
      <w:r>
        <w:rPr>
          <w:rFonts w:hint="cs"/>
          <w:rtl/>
        </w:rPr>
        <w:tab/>
        <w:t xml:space="preserve">אין להבין מהאמור לעיל כי גרסתו של הנאשם הייתה אמינה בעיני, ונוכח מסקנתי המרשיעה ברור שלא כך הם פני הדברים, אלא שמסקנתי המרשיעה גובשה מבלי שראיתי בגרסה שמסר בבית המשפט כגרסה חדשה שזכרה לא בא לעולם עובר ליום העדות, וממילא </w:t>
      </w:r>
      <w:r>
        <w:rPr>
          <w:rtl/>
        </w:rPr>
        <w:t>–</w:t>
      </w:r>
      <w:r>
        <w:rPr>
          <w:rFonts w:hint="cs"/>
          <w:rtl/>
        </w:rPr>
        <w:t xml:space="preserve"> מבלי שעניין זה נזקף לחובתו. </w:t>
      </w:r>
    </w:p>
    <w:p w14:paraId="469FCC2F" w14:textId="77777777" w:rsidR="00BC7020" w:rsidRDefault="00BC7020">
      <w:pPr>
        <w:pStyle w:val="a"/>
        <w:ind w:left="720" w:hanging="720"/>
        <w:jc w:val="both"/>
        <w:rPr>
          <w:rtl/>
        </w:rPr>
      </w:pPr>
    </w:p>
    <w:p w14:paraId="7B68F393" w14:textId="77777777" w:rsidR="00BC7020" w:rsidRDefault="00280646">
      <w:pPr>
        <w:pStyle w:val="a"/>
        <w:ind w:left="720" w:hanging="720"/>
        <w:jc w:val="both"/>
        <w:rPr>
          <w:rtl/>
        </w:rPr>
      </w:pPr>
      <w:r>
        <w:rPr>
          <w:rFonts w:hint="cs"/>
          <w:rtl/>
        </w:rPr>
        <w:tab/>
        <w:t xml:space="preserve">אעיר בשולי הדברים כי חרף קשיי השפה והתקשורת, התרשמתי כי הנאשם אדם פיקח, עירני, שהיה מודע היטב למשמעות תשובותיו לשאלות התובעת, וניכר היה כי הקפיד שלא להיכשל בלשונו או בתיאוריו. לא התרשמתי כי מדובר באחד המקרים בהם נשמעת מפיו של הנאשם זעקת חפות אותנטית, ולפרקים נראה היה כי הנאשם מבצע הערכה מתמדת של דיות הראיות נגדו. </w:t>
      </w:r>
    </w:p>
    <w:p w14:paraId="045539B4" w14:textId="77777777" w:rsidR="00BC7020" w:rsidRDefault="00BC7020">
      <w:pPr>
        <w:pStyle w:val="a"/>
        <w:rPr>
          <w:u w:val="single"/>
          <w:rtl/>
        </w:rPr>
      </w:pPr>
    </w:p>
    <w:p w14:paraId="54936610" w14:textId="77777777" w:rsidR="00BC7020" w:rsidRDefault="00280646">
      <w:pPr>
        <w:pStyle w:val="a"/>
        <w:rPr>
          <w:u w:val="single"/>
          <w:rtl/>
        </w:rPr>
      </w:pPr>
      <w:r>
        <w:rPr>
          <w:rFonts w:hint="cs"/>
          <w:rtl/>
        </w:rPr>
        <w:tab/>
      </w:r>
      <w:r>
        <w:rPr>
          <w:rFonts w:hint="cs"/>
          <w:u w:val="single"/>
          <w:rtl/>
        </w:rPr>
        <w:t>סיכום</w:t>
      </w:r>
    </w:p>
    <w:p w14:paraId="35BF4C14" w14:textId="77777777" w:rsidR="00BC7020" w:rsidRDefault="00280646">
      <w:pPr>
        <w:pStyle w:val="a"/>
        <w:rPr>
          <w:u w:val="single"/>
          <w:rtl/>
        </w:rPr>
      </w:pPr>
      <w:r>
        <w:rPr>
          <w:rFonts w:hint="cs"/>
          <w:u w:val="single"/>
          <w:rtl/>
        </w:rPr>
        <w:t xml:space="preserve"> </w:t>
      </w:r>
    </w:p>
    <w:p w14:paraId="06D6740F" w14:textId="77777777" w:rsidR="00BC7020" w:rsidRDefault="00280646">
      <w:pPr>
        <w:spacing w:line="360" w:lineRule="auto"/>
        <w:ind w:left="720" w:hanging="720"/>
        <w:jc w:val="both"/>
        <w:rPr>
          <w:rtl/>
        </w:rPr>
      </w:pPr>
      <w:r>
        <w:rPr>
          <w:rFonts w:hint="cs"/>
          <w:rtl/>
        </w:rPr>
        <w:tab/>
        <w:t xml:space="preserve">על יסוד האמור לעיל, אני קובע כי הנאשם ביצע את שייחסה לו התביעה בכתב האישום ועלה בתיאור המתלוננת כאמור בסעיף 6 לעיל, ומרשיעו בעבירה של מעשה מגונה לפי </w:t>
      </w:r>
      <w:hyperlink r:id="rId11" w:history="1">
        <w:r w:rsidR="00AF6B39" w:rsidRPr="00AF6B39">
          <w:rPr>
            <w:rFonts w:hint="eastAsia"/>
            <w:color w:val="0000FF"/>
            <w:u w:val="single"/>
            <w:rtl/>
          </w:rPr>
          <w:t>סעיף</w:t>
        </w:r>
        <w:r w:rsidR="00AF6B39" w:rsidRPr="00AF6B39">
          <w:rPr>
            <w:color w:val="0000FF"/>
            <w:u w:val="single"/>
            <w:rtl/>
          </w:rPr>
          <w:t xml:space="preserve"> 348(</w:t>
        </w:r>
        <w:r w:rsidR="00AF6B39" w:rsidRPr="00AF6B39">
          <w:rPr>
            <w:rFonts w:hint="eastAsia"/>
            <w:color w:val="0000FF"/>
            <w:u w:val="single"/>
            <w:rtl/>
          </w:rPr>
          <w:t>ג</w:t>
        </w:r>
        <w:r w:rsidR="00AF6B39" w:rsidRPr="00AF6B39">
          <w:rPr>
            <w:color w:val="0000FF"/>
            <w:u w:val="single"/>
            <w:rtl/>
          </w:rPr>
          <w:t>)</w:t>
        </w:r>
      </w:hyperlink>
      <w:r>
        <w:rPr>
          <w:rFonts w:hint="cs"/>
          <w:rtl/>
        </w:rPr>
        <w:t xml:space="preserve"> ל</w:t>
      </w:r>
      <w:hyperlink r:id="rId12" w:history="1">
        <w:r w:rsidR="003D4988" w:rsidRPr="003D4988">
          <w:rPr>
            <w:rStyle w:val="Hyperlink"/>
            <w:rFonts w:hint="eastAsia"/>
            <w:rtl/>
          </w:rPr>
          <w:t>חוק</w:t>
        </w:r>
        <w:r w:rsidR="003D4988" w:rsidRPr="003D4988">
          <w:rPr>
            <w:rStyle w:val="Hyperlink"/>
            <w:rtl/>
          </w:rPr>
          <w:t xml:space="preserve"> </w:t>
        </w:r>
        <w:r w:rsidR="003D4988" w:rsidRPr="003D4988">
          <w:rPr>
            <w:rStyle w:val="Hyperlink"/>
            <w:rFonts w:hint="eastAsia"/>
            <w:rtl/>
          </w:rPr>
          <w:t>העונשין</w:t>
        </w:r>
      </w:hyperlink>
      <w:r>
        <w:rPr>
          <w:rFonts w:hint="cs"/>
          <w:rtl/>
        </w:rPr>
        <w:t xml:space="preserve">, התשל"ז-1977. </w:t>
      </w:r>
    </w:p>
    <w:p w14:paraId="6C2F204A" w14:textId="77777777" w:rsidR="00BC7020" w:rsidRDefault="00BC7020">
      <w:pPr>
        <w:rPr>
          <w:rFonts w:ascii="Arial" w:hAnsi="Arial"/>
          <w:rtl/>
        </w:rPr>
      </w:pPr>
    </w:p>
    <w:p w14:paraId="66F6A39A" w14:textId="77777777" w:rsidR="00BC7020" w:rsidRDefault="00BC7020">
      <w:pPr>
        <w:rPr>
          <w:rFonts w:ascii="Arial" w:hAnsi="Arial"/>
          <w:rtl/>
        </w:rPr>
      </w:pPr>
    </w:p>
    <w:p w14:paraId="1EEF3A5E" w14:textId="77777777" w:rsidR="00BC7020" w:rsidRDefault="00280646">
      <w:pPr>
        <w:tabs>
          <w:tab w:val="left" w:pos="1625"/>
        </w:tabs>
        <w:rPr>
          <w:rtl/>
        </w:rPr>
      </w:pPr>
      <w:r>
        <w:rPr>
          <w:rFonts w:ascii="Arial" w:hAnsi="Arial"/>
          <w:rtl/>
        </w:rPr>
        <w:t xml:space="preserve">ניתנה היום, 16 יוני 2013, במעמד הצדדים. </w:t>
      </w:r>
    </w:p>
    <w:p w14:paraId="5A9EDF72" w14:textId="77777777" w:rsidR="00BC7020" w:rsidRDefault="00BC7020">
      <w:pPr>
        <w:tabs>
          <w:tab w:val="left" w:pos="1625"/>
        </w:tabs>
        <w:ind w:left="4135" w:firstLine="1625"/>
        <w:rPr>
          <w:rtl/>
        </w:rPr>
      </w:pPr>
    </w:p>
    <w:p w14:paraId="1BEEF434" w14:textId="77777777" w:rsidR="00BC7020" w:rsidRDefault="00BC7020">
      <w:pPr>
        <w:rPr>
          <w:rFonts w:ascii="Arial" w:hAnsi="Arial"/>
        </w:rPr>
      </w:pPr>
    </w:p>
    <w:p w14:paraId="391B35EC" w14:textId="77777777" w:rsidR="00BC7020" w:rsidRDefault="00BC7020">
      <w:pPr>
        <w:rPr>
          <w:rFonts w:ascii="Arial" w:hAnsi="Arial"/>
          <w:rtl/>
        </w:rPr>
      </w:pPr>
    </w:p>
    <w:p w14:paraId="63F08010" w14:textId="77777777" w:rsidR="00280646" w:rsidRPr="00280646" w:rsidRDefault="00280646" w:rsidP="00280646">
      <w:pPr>
        <w:keepNext/>
        <w:tabs>
          <w:tab w:val="left" w:pos="1625"/>
        </w:tabs>
        <w:rPr>
          <w:rFonts w:ascii="David" w:hAnsi="David"/>
          <w:color w:val="000000"/>
          <w:sz w:val="22"/>
          <w:szCs w:val="22"/>
          <w:rtl/>
        </w:rPr>
      </w:pPr>
    </w:p>
    <w:p w14:paraId="1C6DE425" w14:textId="77777777" w:rsidR="00D53AD9" w:rsidRPr="00D53AD9" w:rsidRDefault="00D53AD9" w:rsidP="00D53AD9">
      <w:pPr>
        <w:keepNext/>
        <w:tabs>
          <w:tab w:val="left" w:pos="1625"/>
        </w:tabs>
        <w:rPr>
          <w:rFonts w:ascii="David" w:hAnsi="David" w:hint="cs"/>
          <w:color w:val="000000"/>
          <w:sz w:val="22"/>
          <w:szCs w:val="22"/>
          <w:rtl/>
        </w:rPr>
      </w:pPr>
    </w:p>
    <w:p w14:paraId="3ED61C5C" w14:textId="77777777" w:rsidR="00D53AD9" w:rsidRPr="00D53AD9" w:rsidRDefault="00D53AD9" w:rsidP="00D53AD9">
      <w:pPr>
        <w:keepNext/>
        <w:tabs>
          <w:tab w:val="left" w:pos="1625"/>
        </w:tabs>
        <w:rPr>
          <w:rFonts w:ascii="David" w:hAnsi="David"/>
          <w:color w:val="000000"/>
          <w:sz w:val="22"/>
          <w:szCs w:val="22"/>
          <w:rtl/>
        </w:rPr>
      </w:pPr>
      <w:r w:rsidRPr="00D53AD9">
        <w:rPr>
          <w:rFonts w:ascii="David" w:hAnsi="David"/>
          <w:color w:val="000000"/>
          <w:sz w:val="22"/>
          <w:szCs w:val="22"/>
          <w:rtl/>
        </w:rPr>
        <w:t>בני שגיא 54678313-/</w:t>
      </w:r>
    </w:p>
    <w:p w14:paraId="370AC2C0" w14:textId="77777777" w:rsidR="00BC7020" w:rsidRPr="00280646" w:rsidRDefault="00D53AD9">
      <w:pPr>
        <w:tabs>
          <w:tab w:val="left" w:pos="1625"/>
        </w:tabs>
        <w:ind w:left="4135" w:firstLine="1625"/>
        <w:rPr>
          <w:rFonts w:ascii="Times New Roman" w:hAnsi="Times New Roman"/>
          <w:color w:val="FFFFFF"/>
          <w:sz w:val="2"/>
          <w:szCs w:val="2"/>
          <w:rtl/>
        </w:rPr>
      </w:pPr>
      <w:r w:rsidRPr="00D53AD9">
        <w:rPr>
          <w:rFonts w:ascii="Times New Roman" w:hAnsi="Times New Roman"/>
          <w:color w:val="FFFFFF"/>
          <w:sz w:val="2"/>
          <w:szCs w:val="2"/>
          <w:rtl/>
        </w:rPr>
        <w:t>5129371</w:t>
      </w:r>
      <w:r w:rsidR="00280646" w:rsidRPr="00280646">
        <w:rPr>
          <w:rFonts w:ascii="Times New Roman" w:hAnsi="Times New Roman"/>
          <w:color w:val="FFFFFF"/>
          <w:sz w:val="2"/>
          <w:szCs w:val="2"/>
          <w:rtl/>
        </w:rPr>
        <w:t>5129371</w:t>
      </w:r>
    </w:p>
    <w:tbl>
      <w:tblPr>
        <w:bidiVisual/>
        <w:tblW w:w="0" w:type="auto"/>
        <w:tblInd w:w="5733" w:type="dxa"/>
        <w:tblBorders>
          <w:top w:val="single" w:sz="4" w:space="0" w:color="auto"/>
        </w:tblBorders>
        <w:tblLook w:val="01E0" w:firstRow="1" w:lastRow="1" w:firstColumn="1" w:lastColumn="1" w:noHBand="0" w:noVBand="0"/>
      </w:tblPr>
      <w:tblGrid>
        <w:gridCol w:w="2700"/>
      </w:tblGrid>
      <w:tr w:rsidR="00BC7020" w14:paraId="2CC04E0C" w14:textId="77777777">
        <w:tc>
          <w:tcPr>
            <w:tcW w:w="2700" w:type="dxa"/>
            <w:tcBorders>
              <w:top w:val="single" w:sz="4" w:space="0" w:color="auto"/>
              <w:left w:val="nil"/>
              <w:bottom w:val="nil"/>
              <w:right w:val="nil"/>
            </w:tcBorders>
          </w:tcPr>
          <w:p w14:paraId="32DE049C" w14:textId="77777777" w:rsidR="00BC7020" w:rsidRDefault="00D53AD9">
            <w:pPr>
              <w:tabs>
                <w:tab w:val="left" w:pos="1625"/>
              </w:tabs>
              <w:jc w:val="center"/>
              <w:rPr>
                <w:b/>
                <w:bCs/>
                <w:sz w:val="26"/>
                <w:szCs w:val="26"/>
                <w:rtl/>
              </w:rPr>
            </w:pPr>
            <w:r w:rsidRPr="00D53AD9">
              <w:rPr>
                <w:b/>
                <w:bCs/>
                <w:color w:val="FFFFFF"/>
                <w:sz w:val="2"/>
                <w:szCs w:val="2"/>
                <w:rtl/>
              </w:rPr>
              <w:t>54678313</w:t>
            </w:r>
            <w:r w:rsidR="00280646" w:rsidRPr="00280646">
              <w:rPr>
                <w:b/>
                <w:bCs/>
                <w:color w:val="FFFFFF"/>
                <w:sz w:val="2"/>
                <w:szCs w:val="2"/>
                <w:rtl/>
              </w:rPr>
              <w:t>54678313</w:t>
            </w:r>
            <w:r w:rsidR="00280646">
              <w:rPr>
                <w:rFonts w:hint="cs"/>
                <w:b/>
                <w:bCs/>
                <w:sz w:val="26"/>
                <w:szCs w:val="26"/>
                <w:rtl/>
              </w:rPr>
              <w:t>בני שגיא, שופט</w:t>
            </w:r>
          </w:p>
          <w:p w14:paraId="0A63ABBE" w14:textId="77777777" w:rsidR="00BC7020" w:rsidRDefault="00280646">
            <w:pPr>
              <w:tabs>
                <w:tab w:val="left" w:pos="1625"/>
              </w:tabs>
              <w:jc w:val="center"/>
              <w:rPr>
                <w:b/>
                <w:bCs/>
                <w:sz w:val="26"/>
                <w:szCs w:val="26"/>
              </w:rPr>
            </w:pPr>
            <w:r>
              <w:rPr>
                <w:rFonts w:hint="cs"/>
                <w:b/>
                <w:bCs/>
                <w:sz w:val="26"/>
                <w:szCs w:val="26"/>
                <w:rtl/>
              </w:rPr>
              <w:t>סגן נשיאה</w:t>
            </w:r>
          </w:p>
        </w:tc>
      </w:tr>
    </w:tbl>
    <w:p w14:paraId="687EFAC6" w14:textId="77777777" w:rsidR="00280646" w:rsidRDefault="00280646" w:rsidP="00280646">
      <w:r w:rsidRPr="00280646">
        <w:rPr>
          <w:rFonts w:hint="eastAsia"/>
          <w:color w:val="000000"/>
          <w:rtl/>
        </w:rPr>
        <w:t>נוסח</w:t>
      </w:r>
      <w:r w:rsidRPr="00280646">
        <w:rPr>
          <w:color w:val="000000"/>
          <w:rtl/>
        </w:rPr>
        <w:t xml:space="preserve"> </w:t>
      </w:r>
      <w:r w:rsidRPr="00280646">
        <w:rPr>
          <w:rFonts w:hint="eastAsia"/>
          <w:color w:val="000000"/>
          <w:rtl/>
        </w:rPr>
        <w:t>מסמך</w:t>
      </w:r>
      <w:r w:rsidRPr="00280646">
        <w:rPr>
          <w:color w:val="000000"/>
          <w:rtl/>
        </w:rPr>
        <w:t xml:space="preserve"> </w:t>
      </w:r>
      <w:r w:rsidRPr="00280646">
        <w:rPr>
          <w:rFonts w:hint="eastAsia"/>
          <w:color w:val="000000"/>
          <w:rtl/>
        </w:rPr>
        <w:t>זה</w:t>
      </w:r>
      <w:r w:rsidRPr="00280646">
        <w:rPr>
          <w:color w:val="000000"/>
          <w:rtl/>
        </w:rPr>
        <w:t xml:space="preserve"> </w:t>
      </w:r>
      <w:r w:rsidRPr="00280646">
        <w:rPr>
          <w:rFonts w:hint="eastAsia"/>
          <w:color w:val="000000"/>
          <w:rtl/>
        </w:rPr>
        <w:t>כפוף</w:t>
      </w:r>
      <w:r w:rsidRPr="00280646">
        <w:rPr>
          <w:color w:val="000000"/>
          <w:rtl/>
        </w:rPr>
        <w:t xml:space="preserve"> </w:t>
      </w:r>
      <w:r w:rsidRPr="00280646">
        <w:rPr>
          <w:rFonts w:hint="eastAsia"/>
          <w:color w:val="000000"/>
          <w:rtl/>
        </w:rPr>
        <w:t>לשינויי</w:t>
      </w:r>
      <w:r w:rsidRPr="00280646">
        <w:rPr>
          <w:color w:val="000000"/>
          <w:rtl/>
        </w:rPr>
        <w:t xml:space="preserve"> </w:t>
      </w:r>
      <w:r w:rsidRPr="00280646">
        <w:rPr>
          <w:rFonts w:hint="eastAsia"/>
          <w:color w:val="000000"/>
          <w:rtl/>
        </w:rPr>
        <w:t>ניסוח</w:t>
      </w:r>
      <w:r w:rsidRPr="00280646">
        <w:rPr>
          <w:color w:val="000000"/>
          <w:rtl/>
        </w:rPr>
        <w:t xml:space="preserve"> </w:t>
      </w:r>
      <w:r w:rsidRPr="00280646">
        <w:rPr>
          <w:rFonts w:hint="eastAsia"/>
          <w:color w:val="000000"/>
          <w:rtl/>
        </w:rPr>
        <w:t>ועריכה</w:t>
      </w:r>
    </w:p>
    <w:p w14:paraId="6A6764A7" w14:textId="77777777" w:rsidR="00280646" w:rsidRDefault="00280646" w:rsidP="00280646">
      <w:pPr>
        <w:rPr>
          <w:rtl/>
        </w:rPr>
      </w:pPr>
    </w:p>
    <w:p w14:paraId="1B8D5BFF" w14:textId="77777777" w:rsidR="00280646" w:rsidRDefault="00280646" w:rsidP="00280646">
      <w:pPr>
        <w:jc w:val="center"/>
        <w:rPr>
          <w:color w:val="0000FF"/>
          <w:u w:val="single"/>
        </w:rPr>
      </w:pPr>
      <w:r w:rsidRPr="00A83359">
        <w:rPr>
          <w:rFonts w:hint="eastAsia"/>
          <w:color w:val="000000"/>
          <w:rtl/>
        </w:rPr>
        <w:t>בעניין</w:t>
      </w:r>
      <w:r w:rsidRPr="00A83359">
        <w:rPr>
          <w:color w:val="000000"/>
          <w:rtl/>
        </w:rPr>
        <w:t xml:space="preserve"> </w:t>
      </w:r>
      <w:r w:rsidRPr="00A83359">
        <w:rPr>
          <w:rFonts w:hint="eastAsia"/>
          <w:color w:val="000000"/>
          <w:rtl/>
        </w:rPr>
        <w:t>עריכה</w:t>
      </w:r>
      <w:r w:rsidRPr="00A83359">
        <w:rPr>
          <w:color w:val="000000"/>
          <w:rtl/>
        </w:rPr>
        <w:t xml:space="preserve"> </w:t>
      </w:r>
      <w:r w:rsidRPr="00A83359">
        <w:rPr>
          <w:rFonts w:hint="eastAsia"/>
          <w:color w:val="000000"/>
          <w:rtl/>
        </w:rPr>
        <w:t>ושינויים</w:t>
      </w:r>
      <w:r w:rsidRPr="00A83359">
        <w:rPr>
          <w:color w:val="000000"/>
          <w:rtl/>
        </w:rPr>
        <w:t xml:space="preserve"> </w:t>
      </w:r>
      <w:r w:rsidRPr="00A83359">
        <w:rPr>
          <w:rFonts w:hint="eastAsia"/>
          <w:color w:val="000000"/>
          <w:rtl/>
        </w:rPr>
        <w:t>במסמכי</w:t>
      </w:r>
      <w:r w:rsidRPr="00A83359">
        <w:rPr>
          <w:color w:val="000000"/>
          <w:rtl/>
        </w:rPr>
        <w:t xml:space="preserve"> </w:t>
      </w:r>
      <w:r w:rsidRPr="00A83359">
        <w:rPr>
          <w:rFonts w:hint="eastAsia"/>
          <w:color w:val="000000"/>
          <w:rtl/>
        </w:rPr>
        <w:t>פסיקה</w:t>
      </w:r>
      <w:r w:rsidRPr="00A83359">
        <w:rPr>
          <w:color w:val="000000"/>
          <w:rtl/>
        </w:rPr>
        <w:t xml:space="preserve">, </w:t>
      </w:r>
      <w:r w:rsidRPr="00A83359">
        <w:rPr>
          <w:rFonts w:hint="eastAsia"/>
          <w:color w:val="000000"/>
          <w:rtl/>
        </w:rPr>
        <w:t>חקיקה</w:t>
      </w:r>
      <w:r w:rsidRPr="00A83359">
        <w:rPr>
          <w:color w:val="000000"/>
          <w:rtl/>
        </w:rPr>
        <w:t xml:space="preserve"> </w:t>
      </w:r>
      <w:r w:rsidRPr="00A83359">
        <w:rPr>
          <w:rFonts w:hint="eastAsia"/>
          <w:color w:val="000000"/>
          <w:rtl/>
        </w:rPr>
        <w:t>ועוד</w:t>
      </w:r>
      <w:r w:rsidRPr="00A83359">
        <w:rPr>
          <w:color w:val="000000"/>
          <w:rtl/>
        </w:rPr>
        <w:t xml:space="preserve"> </w:t>
      </w:r>
      <w:r w:rsidRPr="00A83359">
        <w:rPr>
          <w:rFonts w:hint="eastAsia"/>
          <w:color w:val="000000"/>
          <w:rtl/>
        </w:rPr>
        <w:t>באתר</w:t>
      </w:r>
      <w:r w:rsidRPr="00A83359">
        <w:rPr>
          <w:color w:val="000000"/>
          <w:rtl/>
        </w:rPr>
        <w:t xml:space="preserve"> </w:t>
      </w:r>
      <w:r w:rsidRPr="00A83359">
        <w:rPr>
          <w:rFonts w:hint="eastAsia"/>
          <w:color w:val="000000"/>
          <w:rtl/>
        </w:rPr>
        <w:t>נבו</w:t>
      </w:r>
      <w:r w:rsidRPr="00A83359">
        <w:rPr>
          <w:color w:val="000000"/>
          <w:rtl/>
        </w:rPr>
        <w:t xml:space="preserve"> – </w:t>
      </w:r>
      <w:r w:rsidRPr="00A83359">
        <w:rPr>
          <w:rFonts w:hint="eastAsia"/>
          <w:color w:val="000000"/>
          <w:rtl/>
        </w:rPr>
        <w:t>הקש</w:t>
      </w:r>
      <w:r w:rsidRPr="00A83359">
        <w:rPr>
          <w:color w:val="000000"/>
          <w:rtl/>
        </w:rPr>
        <w:t xml:space="preserve"> </w:t>
      </w:r>
      <w:r w:rsidRPr="00A83359">
        <w:rPr>
          <w:rFonts w:hint="eastAsia"/>
          <w:color w:val="000000"/>
          <w:rtl/>
        </w:rPr>
        <w:t>כאן</w:t>
      </w:r>
    </w:p>
    <w:sectPr w:rsidR="00280646" w:rsidSect="00D53AD9">
      <w:headerReference w:type="even" r:id="rId13"/>
      <w:headerReference w:type="default" r:id="rId14"/>
      <w:footerReference w:type="even" r:id="rId15"/>
      <w:footerReference w:type="default" r:id="rId16"/>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7A4EC" w14:textId="77777777" w:rsidR="00E93762" w:rsidRPr="003B16FA" w:rsidRDefault="00E93762">
      <w:pPr>
        <w:rPr>
          <w:rFonts w:cs="Arial"/>
          <w:noProof w:val="0"/>
          <w:szCs w:val="20"/>
        </w:rPr>
      </w:pPr>
      <w:r>
        <w:separator/>
      </w:r>
    </w:p>
  </w:endnote>
  <w:endnote w:type="continuationSeparator" w:id="0">
    <w:p w14:paraId="4B4AE4BF" w14:textId="77777777" w:rsidR="00E93762" w:rsidRPr="003B16FA" w:rsidRDefault="00E93762">
      <w:pPr>
        <w:rPr>
          <w:rFonts w:cs="Arial"/>
          <w:noProof w:val="0"/>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0B00" w14:textId="77777777" w:rsidR="00C94904" w:rsidRDefault="00C94904" w:rsidP="00D53AD9">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6F67DBAF" w14:textId="77777777" w:rsidR="00C94904" w:rsidRPr="00D53AD9" w:rsidRDefault="00C94904" w:rsidP="00D53AD9">
    <w:pPr>
      <w:pStyle w:val="Footer"/>
      <w:pBdr>
        <w:top w:val="single" w:sz="4" w:space="1" w:color="auto"/>
        <w:between w:val="single" w:sz="4" w:space="0" w:color="auto"/>
      </w:pBdr>
      <w:spacing w:after="60"/>
      <w:jc w:val="center"/>
      <w:rPr>
        <w:rFonts w:ascii="FrankRuehl" w:hAnsi="FrankRuehl" w:cs="FrankRuehl"/>
        <w:color w:val="000000"/>
      </w:rPr>
    </w:pPr>
    <w:r w:rsidRPr="00D53AD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14087" w14:textId="77777777" w:rsidR="00C94904" w:rsidRDefault="00C94904" w:rsidP="00D53AD9">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368F0">
      <w:rPr>
        <w:rFonts w:ascii="FrankRuehl" w:hAnsi="FrankRuehl" w:cs="FrankRuehl"/>
        <w:rtl/>
      </w:rPr>
      <w:t>1</w:t>
    </w:r>
    <w:r>
      <w:rPr>
        <w:rFonts w:ascii="FrankRuehl" w:hAnsi="FrankRuehl" w:cs="FrankRuehl"/>
        <w:rtl/>
      </w:rPr>
      <w:fldChar w:fldCharType="end"/>
    </w:r>
  </w:p>
  <w:p w14:paraId="6F255794" w14:textId="77777777" w:rsidR="00C94904" w:rsidRPr="00D53AD9" w:rsidRDefault="00C94904" w:rsidP="00D53AD9">
    <w:pPr>
      <w:pStyle w:val="Footer"/>
      <w:pBdr>
        <w:top w:val="single" w:sz="4" w:space="1" w:color="auto"/>
        <w:between w:val="single" w:sz="4" w:space="0" w:color="auto"/>
      </w:pBdr>
      <w:spacing w:after="60"/>
      <w:jc w:val="center"/>
      <w:rPr>
        <w:rFonts w:ascii="FrankRuehl" w:hAnsi="FrankRuehl" w:cs="FrankRuehl"/>
        <w:color w:val="000000"/>
      </w:rPr>
    </w:pPr>
    <w:r w:rsidRPr="00D53AD9">
      <w:rPr>
        <w:rFonts w:ascii="FrankRuehl" w:hAnsi="FrankRuehl" w:cs="FrankRuehl"/>
        <w:color w:val="000000"/>
      </w:rPr>
      <w:pict w14:anchorId="313F7B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F0CBF" w14:textId="77777777" w:rsidR="00E93762" w:rsidRPr="003B16FA" w:rsidRDefault="00E93762">
      <w:pPr>
        <w:rPr>
          <w:rFonts w:cs="Arial"/>
          <w:noProof w:val="0"/>
          <w:szCs w:val="20"/>
        </w:rPr>
      </w:pPr>
      <w:r>
        <w:separator/>
      </w:r>
    </w:p>
  </w:footnote>
  <w:footnote w:type="continuationSeparator" w:id="0">
    <w:p w14:paraId="5A33ECFF" w14:textId="77777777" w:rsidR="00E93762" w:rsidRPr="003B16FA" w:rsidRDefault="00E93762">
      <w:pPr>
        <w:rPr>
          <w:rFonts w:cs="Arial"/>
          <w:noProof w:val="0"/>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4599A" w14:textId="77777777" w:rsidR="00C94904" w:rsidRPr="00D53AD9" w:rsidRDefault="00C94904" w:rsidP="00D53AD9">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3890-11-12</w:t>
    </w:r>
    <w:r>
      <w:rPr>
        <w:rFonts w:ascii="David" w:hAnsi="David"/>
        <w:color w:val="000000"/>
        <w:sz w:val="22"/>
        <w:szCs w:val="22"/>
        <w:rtl/>
      </w:rPr>
      <w:tab/>
      <w:t xml:space="preserve"> מדינת ישראל נ' ברקהאט טספמארים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2C343" w14:textId="77777777" w:rsidR="00C94904" w:rsidRPr="00D53AD9" w:rsidRDefault="00C94904" w:rsidP="00D53AD9">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3890-11-12</w:t>
    </w:r>
    <w:r>
      <w:rPr>
        <w:rFonts w:ascii="David" w:hAnsi="David"/>
        <w:color w:val="000000"/>
        <w:sz w:val="22"/>
        <w:szCs w:val="22"/>
        <w:rtl/>
      </w:rPr>
      <w:tab/>
      <w:t xml:space="preserve"> מדינת ישראל נ' ברקהאט טספמארים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C7020"/>
    <w:rsid w:val="00280646"/>
    <w:rsid w:val="003D4988"/>
    <w:rsid w:val="004368F0"/>
    <w:rsid w:val="00761083"/>
    <w:rsid w:val="007E26BB"/>
    <w:rsid w:val="008F160D"/>
    <w:rsid w:val="00A83359"/>
    <w:rsid w:val="00A86ACA"/>
    <w:rsid w:val="00AB4597"/>
    <w:rsid w:val="00AF6B39"/>
    <w:rsid w:val="00B5313C"/>
    <w:rsid w:val="00BC7020"/>
    <w:rsid w:val="00C94904"/>
    <w:rsid w:val="00D53AD9"/>
    <w:rsid w:val="00E93762"/>
    <w:rsid w:val="00F709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5D78B44"/>
  <w15:chartTrackingRefBased/>
  <w15:docId w15:val="{7CBDB884-3B10-46BF-9AD9-8F8B0445F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7020"/>
    <w:pPr>
      <w:bidi/>
    </w:pPr>
    <w:rPr>
      <w:rFonts w:ascii="Arial (W1)" w:hAnsi="Arial (W1)" w:cs="David"/>
      <w:noProof/>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C7020"/>
    <w:pPr>
      <w:tabs>
        <w:tab w:val="center" w:pos="4153"/>
        <w:tab w:val="right" w:pos="8306"/>
      </w:tabs>
    </w:pPr>
  </w:style>
  <w:style w:type="paragraph" w:styleId="Footer">
    <w:name w:val="footer"/>
    <w:basedOn w:val="Normal"/>
    <w:rsid w:val="00BC7020"/>
    <w:pPr>
      <w:tabs>
        <w:tab w:val="center" w:pos="4153"/>
        <w:tab w:val="right" w:pos="8306"/>
      </w:tabs>
    </w:pPr>
  </w:style>
  <w:style w:type="paragraph" w:customStyle="1" w:styleId="a">
    <w:name w:val="סגנון מרווח בין שורות:  שורה וחצי"/>
    <w:basedOn w:val="Normal"/>
    <w:rsid w:val="00BC7020"/>
    <w:pPr>
      <w:spacing w:line="360" w:lineRule="auto"/>
    </w:pPr>
    <w:rPr>
      <w:noProof w:val="0"/>
    </w:rPr>
  </w:style>
  <w:style w:type="character" w:styleId="PageNumber">
    <w:name w:val="page number"/>
    <w:basedOn w:val="DefaultParagraphFont"/>
    <w:rsid w:val="00280646"/>
  </w:style>
  <w:style w:type="character" w:styleId="Hyperlink">
    <w:name w:val="Hyperlink"/>
    <w:rsid w:val="002806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70301/348" TargetMode="External"/><Relationship Id="rId12" Type="http://schemas.openxmlformats.org/officeDocument/2006/relationships/hyperlink" Target="http://www.nevo.co.il/law/70301"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c"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348"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1927</Words>
  <Characters>10989</Characters>
  <Application>Microsoft Office Word</Application>
  <DocSecurity>0</DocSecurity>
  <Lines>91</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12891</CharactersWithSpaces>
  <SharedDoc>false</SharedDoc>
  <HLinks>
    <vt:vector size="42" baseType="variant">
      <vt:variant>
        <vt:i4>7995492</vt:i4>
      </vt:variant>
      <vt:variant>
        <vt:i4>18</vt:i4>
      </vt:variant>
      <vt:variant>
        <vt:i4>0</vt:i4>
      </vt:variant>
      <vt:variant>
        <vt:i4>5</vt:i4>
      </vt:variant>
      <vt:variant>
        <vt:lpwstr>http://www.nevo.co.il/law/70301</vt:lpwstr>
      </vt:variant>
      <vt:variant>
        <vt:lpwstr/>
      </vt:variant>
      <vt:variant>
        <vt:i4>5177438</vt:i4>
      </vt:variant>
      <vt:variant>
        <vt:i4>15</vt:i4>
      </vt:variant>
      <vt:variant>
        <vt:i4>0</vt:i4>
      </vt:variant>
      <vt:variant>
        <vt:i4>5</vt:i4>
      </vt:variant>
      <vt:variant>
        <vt:lpwstr>http://www.nevo.co.il/law/70301/348.c</vt:lpwstr>
      </vt:variant>
      <vt:variant>
        <vt:lpwstr/>
      </vt:variant>
      <vt:variant>
        <vt:i4>7995492</vt:i4>
      </vt:variant>
      <vt:variant>
        <vt:i4>12</vt:i4>
      </vt:variant>
      <vt:variant>
        <vt:i4>0</vt:i4>
      </vt:variant>
      <vt:variant>
        <vt:i4>5</vt:i4>
      </vt:variant>
      <vt:variant>
        <vt:lpwstr>http://www.nevo.co.il/law/70301</vt:lpwstr>
      </vt:variant>
      <vt:variant>
        <vt:lpwstr/>
      </vt:variant>
      <vt:variant>
        <vt:i4>6357094</vt:i4>
      </vt:variant>
      <vt:variant>
        <vt:i4>9</vt:i4>
      </vt:variant>
      <vt:variant>
        <vt:i4>0</vt:i4>
      </vt:variant>
      <vt:variant>
        <vt:i4>5</vt:i4>
      </vt:variant>
      <vt:variant>
        <vt:lpwstr>http://www.nevo.co.il/law/70301/348</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6357094</vt:i4>
      </vt:variant>
      <vt:variant>
        <vt:i4>3</vt:i4>
      </vt:variant>
      <vt:variant>
        <vt:i4>0</vt:i4>
      </vt:variant>
      <vt:variant>
        <vt:i4>5</vt:i4>
      </vt:variant>
      <vt:variant>
        <vt:lpwstr>http://www.nevo.co.il/law/70301/348</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2022-05-24T10:43:00Z</dcterms:created>
  <dcterms:modified xsi:type="dcterms:W3CDTF">2022-05-24T10:43:00Z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3890</vt:lpwstr>
  </property>
  <property fmtid="{D5CDD505-2E9C-101B-9397-08002B2CF9AE}" pid="6" name="NEWPARTB">
    <vt:lpwstr>11</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ברקהאט טספמארים</vt:lpwstr>
  </property>
  <property fmtid="{D5CDD505-2E9C-101B-9397-08002B2CF9AE}" pid="10" name="LAWYER">
    <vt:lpwstr>גל יורמן ניר;גדי ציון</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20130616</vt:lpwstr>
  </property>
  <property fmtid="{D5CDD505-2E9C-101B-9397-08002B2CF9AE}" pid="14" name="TYPE_N_DATE">
    <vt:lpwstr>38020130616</vt:lpwstr>
  </property>
  <property fmtid="{D5CDD505-2E9C-101B-9397-08002B2CF9AE}" pid="15" name="WORDNUMPAGES">
    <vt:lpwstr>7</vt:lpwstr>
  </property>
  <property fmtid="{D5CDD505-2E9C-101B-9397-08002B2CF9AE}" pid="16" name="TYPE_ABS_DATE">
    <vt:lpwstr>380020130616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70301/348;348.c</vt:lpwstr>
  </property>
</Properties>
</file>