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F5D16" w:rsidRPr="00667ADA" w14:paraId="6A9473C6" w14:textId="77777777">
        <w:trPr>
          <w:trHeight w:hRule="exact" w:val="418"/>
          <w:jc w:val="center"/>
        </w:trPr>
        <w:tc>
          <w:tcPr>
            <w:tcW w:w="8721" w:type="dxa"/>
            <w:gridSpan w:val="2"/>
          </w:tcPr>
          <w:p w14:paraId="6BDBCEAB" w14:textId="77777777" w:rsidR="004F5D16" w:rsidRPr="00667ADA" w:rsidRDefault="00667ADA">
            <w:pPr>
              <w:pStyle w:val="Header"/>
              <w:jc w:val="center"/>
              <w:rPr>
                <w:rFonts w:ascii="Tahoma" w:hAnsi="Tahoma" w:cs="Tahoma"/>
                <w:color w:val="000080"/>
                <w:rtl/>
              </w:rPr>
            </w:pPr>
            <w:bookmarkStart w:id="0" w:name="LastJudge"/>
            <w:r w:rsidRPr="00667ADA">
              <w:rPr>
                <w:rFonts w:ascii="Tahoma" w:hAnsi="Tahoma" w:cs="Tahoma"/>
                <w:b/>
                <w:bCs/>
                <w:color w:val="000080"/>
                <w:rtl/>
              </w:rPr>
              <w:t>בית משפט השלום בתל אביב - יפו</w:t>
            </w:r>
          </w:p>
        </w:tc>
      </w:tr>
      <w:tr w:rsidR="004F5D16" w:rsidRPr="00667ADA" w14:paraId="50112638" w14:textId="77777777">
        <w:trPr>
          <w:trHeight w:val="337"/>
          <w:jc w:val="center"/>
        </w:trPr>
        <w:tc>
          <w:tcPr>
            <w:tcW w:w="5047" w:type="dxa"/>
          </w:tcPr>
          <w:p w14:paraId="5C2A644B" w14:textId="77777777" w:rsidR="004F5D16" w:rsidRPr="00667ADA" w:rsidRDefault="004F5D16">
            <w:pPr>
              <w:pStyle w:val="Header"/>
              <w:rPr>
                <w:rFonts w:cs="FrankRuehl"/>
                <w:sz w:val="28"/>
                <w:szCs w:val="28"/>
                <w:rtl/>
              </w:rPr>
            </w:pPr>
          </w:p>
        </w:tc>
        <w:tc>
          <w:tcPr>
            <w:tcW w:w="3674" w:type="dxa"/>
          </w:tcPr>
          <w:p w14:paraId="61568AA1" w14:textId="77777777" w:rsidR="004F5D16" w:rsidRPr="00667ADA" w:rsidRDefault="004F5D16">
            <w:pPr>
              <w:pStyle w:val="Header"/>
              <w:jc w:val="right"/>
              <w:rPr>
                <w:rFonts w:cs="FrankRuehl"/>
                <w:sz w:val="28"/>
                <w:szCs w:val="28"/>
                <w:rtl/>
              </w:rPr>
            </w:pPr>
          </w:p>
        </w:tc>
      </w:tr>
      <w:tr w:rsidR="004F5D16" w:rsidRPr="00667ADA" w14:paraId="4139C402" w14:textId="77777777">
        <w:trPr>
          <w:trHeight w:val="337"/>
          <w:jc w:val="center"/>
        </w:trPr>
        <w:tc>
          <w:tcPr>
            <w:tcW w:w="8721" w:type="dxa"/>
            <w:gridSpan w:val="2"/>
          </w:tcPr>
          <w:p w14:paraId="3CF4031E" w14:textId="77777777" w:rsidR="004F5D16" w:rsidRPr="00667ADA" w:rsidRDefault="00667ADA">
            <w:pPr>
              <w:rPr>
                <w:rFonts w:cs="FrankRuehl"/>
                <w:sz w:val="28"/>
                <w:szCs w:val="28"/>
                <w:rtl/>
              </w:rPr>
            </w:pPr>
            <w:r w:rsidRPr="00667ADA">
              <w:rPr>
                <w:rFonts w:cs="FrankRuehl"/>
                <w:sz w:val="28"/>
                <w:szCs w:val="28"/>
                <w:rtl/>
              </w:rPr>
              <w:t>ת"פ</w:t>
            </w:r>
            <w:r w:rsidRPr="00667ADA">
              <w:rPr>
                <w:rFonts w:cs="FrankRuehl" w:hint="cs"/>
                <w:sz w:val="28"/>
                <w:szCs w:val="28"/>
                <w:rtl/>
              </w:rPr>
              <w:t xml:space="preserve"> </w:t>
            </w:r>
            <w:r w:rsidRPr="00667ADA">
              <w:rPr>
                <w:rFonts w:cs="FrankRuehl"/>
                <w:sz w:val="28"/>
                <w:szCs w:val="28"/>
                <w:rtl/>
              </w:rPr>
              <w:t>16029-01-13</w:t>
            </w:r>
            <w:r w:rsidRPr="00667ADA">
              <w:rPr>
                <w:rFonts w:cs="FrankRuehl" w:hint="cs"/>
                <w:sz w:val="28"/>
                <w:szCs w:val="28"/>
                <w:rtl/>
              </w:rPr>
              <w:t xml:space="preserve"> </w:t>
            </w:r>
            <w:r w:rsidRPr="00667ADA">
              <w:rPr>
                <w:rFonts w:cs="FrankRuehl"/>
                <w:sz w:val="28"/>
                <w:szCs w:val="28"/>
                <w:rtl/>
              </w:rPr>
              <w:t>מדינת ישראל נ' בכשי</w:t>
            </w:r>
          </w:p>
          <w:p w14:paraId="78286864" w14:textId="77777777" w:rsidR="004F5D16" w:rsidRPr="00667ADA" w:rsidRDefault="004F5D16">
            <w:pPr>
              <w:pStyle w:val="Header"/>
              <w:rPr>
                <w:rtl/>
              </w:rPr>
            </w:pPr>
          </w:p>
        </w:tc>
      </w:tr>
    </w:tbl>
    <w:p w14:paraId="602147FB" w14:textId="77777777" w:rsidR="004F5D16" w:rsidRPr="00667ADA" w:rsidRDefault="00667ADA">
      <w:pPr>
        <w:pStyle w:val="Header"/>
      </w:pPr>
      <w:r w:rsidRPr="00667ADA">
        <w:rPr>
          <w:rFonts w:hint="cs"/>
          <w:rtl/>
        </w:rPr>
        <w:t xml:space="preserve"> </w:t>
      </w:r>
    </w:p>
    <w:p w14:paraId="77D35E6B" w14:textId="77777777" w:rsidR="004F5D16" w:rsidRPr="00667ADA" w:rsidRDefault="004F5D1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4F5D16" w:rsidRPr="00667ADA" w14:paraId="4DD1D270" w14:textId="77777777">
        <w:trPr>
          <w:trHeight w:val="295"/>
          <w:jc w:val="center"/>
        </w:trPr>
        <w:tc>
          <w:tcPr>
            <w:tcW w:w="743" w:type="dxa"/>
            <w:tcBorders>
              <w:top w:val="nil"/>
              <w:left w:val="nil"/>
              <w:bottom w:val="nil"/>
              <w:right w:val="nil"/>
            </w:tcBorders>
          </w:tcPr>
          <w:p w14:paraId="02DA20D7" w14:textId="77777777" w:rsidR="004F5D16" w:rsidRPr="00667ADA" w:rsidRDefault="00667ADA">
            <w:pPr>
              <w:jc w:val="both"/>
              <w:rPr>
                <w:rFonts w:ascii="Arial" w:hAnsi="Arial"/>
                <w:b/>
                <w:bCs/>
              </w:rPr>
            </w:pPr>
            <w:r w:rsidRPr="00667ADA">
              <w:rPr>
                <w:rFonts w:ascii="Arial" w:hAnsi="Arial"/>
                <w:b/>
                <w:bCs/>
                <w:rtl/>
              </w:rPr>
              <w:t xml:space="preserve">בפני </w:t>
            </w:r>
          </w:p>
        </w:tc>
        <w:tc>
          <w:tcPr>
            <w:tcW w:w="8077" w:type="dxa"/>
            <w:tcBorders>
              <w:top w:val="nil"/>
              <w:left w:val="nil"/>
              <w:bottom w:val="nil"/>
              <w:right w:val="nil"/>
            </w:tcBorders>
          </w:tcPr>
          <w:p w14:paraId="052A963A" w14:textId="77777777" w:rsidR="004F5D16" w:rsidRPr="00667ADA" w:rsidRDefault="00667ADA">
            <w:pPr>
              <w:rPr>
                <w:rFonts w:ascii="Arial" w:hAnsi="Arial"/>
                <w:b/>
                <w:bCs/>
                <w:highlight w:val="yellow"/>
              </w:rPr>
            </w:pPr>
            <w:r w:rsidRPr="00667ADA">
              <w:rPr>
                <w:rFonts w:ascii="Arial" w:hAnsi="Arial" w:hint="cs"/>
                <w:b/>
                <w:bCs/>
                <w:rtl/>
              </w:rPr>
              <w:t>כב' ה</w:t>
            </w:r>
            <w:r w:rsidRPr="00667ADA">
              <w:rPr>
                <w:rFonts w:hint="cs"/>
                <w:rtl/>
              </w:rPr>
              <w:t>שופטת</w:t>
            </w:r>
            <w:r w:rsidRPr="00667ADA">
              <w:rPr>
                <w:rFonts w:ascii="Arial" w:hAnsi="Arial"/>
                <w:b/>
                <w:bCs/>
                <w:rtl/>
              </w:rPr>
              <w:t xml:space="preserve"> </w:t>
            </w:r>
            <w:r w:rsidRPr="00667ADA">
              <w:rPr>
                <w:rFonts w:hint="cs"/>
                <w:rtl/>
              </w:rPr>
              <w:t>הדסה נאור</w:t>
            </w:r>
          </w:p>
        </w:tc>
      </w:tr>
    </w:tbl>
    <w:p w14:paraId="0582F955" w14:textId="77777777" w:rsidR="004F5D16" w:rsidRPr="00667ADA" w:rsidRDefault="004F5D16">
      <w:pPr>
        <w:rPr>
          <w:rtl/>
        </w:rPr>
      </w:pPr>
    </w:p>
    <w:p w14:paraId="0CA3F697" w14:textId="77777777" w:rsidR="004F5D16" w:rsidRPr="00667ADA" w:rsidRDefault="004F5D1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4F5D16" w:rsidRPr="00667ADA" w14:paraId="531A01A8" w14:textId="77777777">
        <w:trPr>
          <w:trHeight w:val="355"/>
          <w:jc w:val="center"/>
        </w:trPr>
        <w:tc>
          <w:tcPr>
            <w:tcW w:w="852" w:type="dxa"/>
            <w:tcBorders>
              <w:top w:val="nil"/>
              <w:left w:val="nil"/>
              <w:bottom w:val="nil"/>
              <w:right w:val="nil"/>
            </w:tcBorders>
          </w:tcPr>
          <w:p w14:paraId="0937C7FD" w14:textId="77777777" w:rsidR="004F5D16" w:rsidRPr="00667ADA" w:rsidRDefault="004F5D16">
            <w:pPr>
              <w:jc w:val="both"/>
              <w:rPr>
                <w:rFonts w:ascii="Arial" w:hAnsi="Arial" w:cs="FrankRuehl"/>
                <w:b/>
                <w:bCs/>
                <w:sz w:val="28"/>
                <w:szCs w:val="28"/>
                <w:rtl/>
              </w:rPr>
            </w:pPr>
            <w:bookmarkStart w:id="1" w:name="FirstAppellant"/>
          </w:p>
          <w:p w14:paraId="3BFFF32D" w14:textId="77777777" w:rsidR="004F5D16" w:rsidRPr="00667ADA" w:rsidRDefault="00667ADA">
            <w:pPr>
              <w:jc w:val="both"/>
              <w:rPr>
                <w:rFonts w:ascii="Arial" w:hAnsi="Arial" w:cs="FrankRuehl"/>
                <w:b/>
                <w:bCs/>
                <w:sz w:val="28"/>
                <w:szCs w:val="28"/>
              </w:rPr>
            </w:pPr>
            <w:r w:rsidRPr="00667ADA">
              <w:rPr>
                <w:rFonts w:ascii="Arial" w:hAnsi="Arial" w:cs="FrankRuehl"/>
                <w:b/>
                <w:bCs/>
                <w:sz w:val="28"/>
                <w:szCs w:val="28"/>
                <w:rtl/>
              </w:rPr>
              <w:t>בעניין:</w:t>
            </w:r>
          </w:p>
        </w:tc>
        <w:tc>
          <w:tcPr>
            <w:tcW w:w="4241" w:type="dxa"/>
            <w:tcBorders>
              <w:top w:val="nil"/>
              <w:left w:val="nil"/>
              <w:bottom w:val="nil"/>
              <w:right w:val="nil"/>
            </w:tcBorders>
          </w:tcPr>
          <w:p w14:paraId="6520DD03" w14:textId="77777777" w:rsidR="004F5D16" w:rsidRPr="00667ADA" w:rsidRDefault="004F5D16">
            <w:pPr>
              <w:jc w:val="both"/>
              <w:rPr>
                <w:rFonts w:ascii="Arial" w:hAnsi="Arial"/>
                <w:b/>
                <w:bCs/>
                <w:sz w:val="26"/>
                <w:szCs w:val="26"/>
                <w:rtl/>
              </w:rPr>
            </w:pPr>
          </w:p>
          <w:p w14:paraId="38CBA9DC" w14:textId="77777777" w:rsidR="004F5D16" w:rsidRPr="00667ADA" w:rsidRDefault="00667ADA">
            <w:pPr>
              <w:jc w:val="both"/>
              <w:rPr>
                <w:rFonts w:ascii="Arial" w:hAnsi="Arial"/>
                <w:b/>
                <w:bCs/>
                <w:sz w:val="26"/>
                <w:szCs w:val="26"/>
              </w:rPr>
            </w:pPr>
            <w:r w:rsidRPr="00667ADA">
              <w:rPr>
                <w:rFonts w:hint="cs"/>
                <w:rtl/>
              </w:rPr>
              <w:t>מדינת ישראל</w:t>
            </w:r>
          </w:p>
        </w:tc>
        <w:tc>
          <w:tcPr>
            <w:tcW w:w="3727" w:type="dxa"/>
            <w:tcBorders>
              <w:top w:val="nil"/>
              <w:left w:val="nil"/>
              <w:bottom w:val="nil"/>
              <w:right w:val="nil"/>
            </w:tcBorders>
          </w:tcPr>
          <w:p w14:paraId="78403ABB" w14:textId="77777777" w:rsidR="004F5D16" w:rsidRPr="00667ADA" w:rsidRDefault="004F5D16">
            <w:pPr>
              <w:jc w:val="both"/>
              <w:rPr>
                <w:rFonts w:ascii="Arial" w:hAnsi="Arial"/>
                <w:b/>
                <w:bCs/>
                <w:sz w:val="26"/>
                <w:szCs w:val="26"/>
              </w:rPr>
            </w:pPr>
          </w:p>
        </w:tc>
      </w:tr>
      <w:tr w:rsidR="004F5D16" w:rsidRPr="00667ADA" w14:paraId="150805C7" w14:textId="77777777">
        <w:trPr>
          <w:trHeight w:val="355"/>
          <w:jc w:val="center"/>
        </w:trPr>
        <w:tc>
          <w:tcPr>
            <w:tcW w:w="852" w:type="dxa"/>
            <w:tcBorders>
              <w:top w:val="nil"/>
              <w:left w:val="nil"/>
              <w:bottom w:val="nil"/>
              <w:right w:val="nil"/>
            </w:tcBorders>
          </w:tcPr>
          <w:p w14:paraId="27BE6F43" w14:textId="77777777" w:rsidR="004F5D16" w:rsidRPr="00667ADA" w:rsidRDefault="004F5D16">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4FBF2007" w14:textId="77777777" w:rsidR="004F5D16" w:rsidRPr="00667ADA" w:rsidRDefault="00667ADA">
            <w:pPr>
              <w:jc w:val="both"/>
              <w:rPr>
                <w:b/>
                <w:bCs/>
                <w:sz w:val="26"/>
                <w:szCs w:val="26"/>
                <w:rtl/>
              </w:rPr>
            </w:pPr>
            <w:r w:rsidRPr="00667ADA">
              <w:rPr>
                <w:rFonts w:hint="cs"/>
                <w:b/>
                <w:bCs/>
                <w:sz w:val="26"/>
                <w:szCs w:val="26"/>
                <w:rtl/>
              </w:rPr>
              <w:t>ע"י ב"כ עו"ד זודזישסקיה סבטלנה</w:t>
            </w:r>
          </w:p>
        </w:tc>
        <w:tc>
          <w:tcPr>
            <w:tcW w:w="3727" w:type="dxa"/>
            <w:tcBorders>
              <w:top w:val="nil"/>
              <w:left w:val="nil"/>
              <w:bottom w:val="nil"/>
              <w:right w:val="nil"/>
            </w:tcBorders>
          </w:tcPr>
          <w:p w14:paraId="723C7957" w14:textId="77777777" w:rsidR="004F5D16" w:rsidRPr="00667ADA" w:rsidRDefault="00667ADA">
            <w:pPr>
              <w:jc w:val="right"/>
              <w:rPr>
                <w:rFonts w:ascii="Arial" w:hAnsi="Arial"/>
                <w:b/>
                <w:bCs/>
                <w:sz w:val="26"/>
                <w:szCs w:val="26"/>
                <w:rtl/>
              </w:rPr>
            </w:pPr>
            <w:r w:rsidRPr="00667ADA">
              <w:rPr>
                <w:rFonts w:ascii="Arial" w:hAnsi="Arial"/>
                <w:b/>
                <w:bCs/>
                <w:sz w:val="26"/>
                <w:szCs w:val="26"/>
                <w:rtl/>
              </w:rPr>
              <w:t>ה</w:t>
            </w:r>
            <w:r w:rsidRPr="00667ADA">
              <w:rPr>
                <w:rFonts w:hint="cs"/>
                <w:rtl/>
              </w:rPr>
              <w:t>מאשימה</w:t>
            </w:r>
          </w:p>
        </w:tc>
      </w:tr>
      <w:bookmarkEnd w:id="2"/>
      <w:tr w:rsidR="004F5D16" w:rsidRPr="00667ADA" w14:paraId="1E4AE098" w14:textId="77777777">
        <w:trPr>
          <w:trHeight w:val="355"/>
          <w:jc w:val="center"/>
        </w:trPr>
        <w:tc>
          <w:tcPr>
            <w:tcW w:w="852" w:type="dxa"/>
            <w:tcBorders>
              <w:top w:val="nil"/>
              <w:left w:val="nil"/>
              <w:bottom w:val="nil"/>
              <w:right w:val="nil"/>
            </w:tcBorders>
          </w:tcPr>
          <w:p w14:paraId="6FD270D7" w14:textId="77777777" w:rsidR="004F5D16" w:rsidRPr="00667ADA" w:rsidRDefault="004F5D16">
            <w:pPr>
              <w:jc w:val="both"/>
              <w:rPr>
                <w:rFonts w:ascii="Arial" w:hAnsi="Arial" w:cs="FrankRuehl"/>
                <w:b/>
                <w:bCs/>
                <w:sz w:val="28"/>
                <w:szCs w:val="28"/>
                <w:rtl/>
              </w:rPr>
            </w:pPr>
          </w:p>
        </w:tc>
        <w:tc>
          <w:tcPr>
            <w:tcW w:w="7968" w:type="dxa"/>
            <w:gridSpan w:val="2"/>
            <w:tcBorders>
              <w:top w:val="nil"/>
              <w:left w:val="nil"/>
              <w:bottom w:val="nil"/>
              <w:right w:val="nil"/>
            </w:tcBorders>
          </w:tcPr>
          <w:p w14:paraId="773FE83B" w14:textId="77777777" w:rsidR="004F5D16" w:rsidRPr="00667ADA" w:rsidRDefault="004F5D16">
            <w:pPr>
              <w:jc w:val="center"/>
              <w:rPr>
                <w:rFonts w:ascii="Arial" w:hAnsi="Arial"/>
                <w:b/>
                <w:bCs/>
                <w:sz w:val="26"/>
                <w:szCs w:val="26"/>
                <w:rtl/>
              </w:rPr>
            </w:pPr>
          </w:p>
          <w:p w14:paraId="69BD10A6" w14:textId="77777777" w:rsidR="004F5D16" w:rsidRPr="00667ADA" w:rsidRDefault="00667ADA">
            <w:pPr>
              <w:jc w:val="center"/>
              <w:rPr>
                <w:rFonts w:ascii="Arial" w:hAnsi="Arial"/>
                <w:b/>
                <w:bCs/>
                <w:sz w:val="26"/>
                <w:szCs w:val="26"/>
                <w:rtl/>
              </w:rPr>
            </w:pPr>
            <w:r w:rsidRPr="00667ADA">
              <w:rPr>
                <w:rFonts w:ascii="Arial" w:hAnsi="Arial"/>
                <w:b/>
                <w:bCs/>
                <w:sz w:val="26"/>
                <w:szCs w:val="26"/>
                <w:rtl/>
              </w:rPr>
              <w:t>נגד</w:t>
            </w:r>
          </w:p>
          <w:p w14:paraId="15349BD4" w14:textId="77777777" w:rsidR="004F5D16" w:rsidRPr="00667ADA" w:rsidRDefault="004F5D16">
            <w:pPr>
              <w:jc w:val="both"/>
              <w:rPr>
                <w:rFonts w:ascii="Arial" w:hAnsi="Arial"/>
                <w:b/>
                <w:bCs/>
                <w:sz w:val="26"/>
                <w:szCs w:val="26"/>
              </w:rPr>
            </w:pPr>
          </w:p>
        </w:tc>
      </w:tr>
      <w:tr w:rsidR="004F5D16" w:rsidRPr="00667ADA" w14:paraId="1CDEB342" w14:textId="77777777">
        <w:trPr>
          <w:trHeight w:val="355"/>
          <w:jc w:val="center"/>
        </w:trPr>
        <w:tc>
          <w:tcPr>
            <w:tcW w:w="852" w:type="dxa"/>
            <w:tcBorders>
              <w:top w:val="nil"/>
              <w:left w:val="nil"/>
              <w:bottom w:val="nil"/>
              <w:right w:val="nil"/>
            </w:tcBorders>
          </w:tcPr>
          <w:p w14:paraId="3996F31F" w14:textId="77777777" w:rsidR="004F5D16" w:rsidRPr="00667ADA" w:rsidRDefault="004F5D16">
            <w:pPr>
              <w:jc w:val="both"/>
              <w:rPr>
                <w:rFonts w:ascii="Arial" w:hAnsi="Arial" w:cs="FrankRuehl"/>
                <w:b/>
                <w:bCs/>
                <w:sz w:val="28"/>
                <w:szCs w:val="28"/>
                <w:rtl/>
              </w:rPr>
            </w:pPr>
          </w:p>
        </w:tc>
        <w:tc>
          <w:tcPr>
            <w:tcW w:w="4241" w:type="dxa"/>
            <w:tcBorders>
              <w:top w:val="nil"/>
              <w:left w:val="nil"/>
              <w:bottom w:val="nil"/>
              <w:right w:val="nil"/>
            </w:tcBorders>
          </w:tcPr>
          <w:p w14:paraId="6EF9C62C" w14:textId="77777777" w:rsidR="004F5D16" w:rsidRPr="00667ADA" w:rsidRDefault="00667ADA">
            <w:pPr>
              <w:jc w:val="both"/>
              <w:rPr>
                <w:b/>
                <w:bCs/>
                <w:sz w:val="26"/>
                <w:szCs w:val="26"/>
                <w:rtl/>
              </w:rPr>
            </w:pPr>
            <w:r w:rsidRPr="00667ADA">
              <w:rPr>
                <w:rFonts w:hint="cs"/>
                <w:rtl/>
              </w:rPr>
              <w:t>מנחם בכשי</w:t>
            </w:r>
          </w:p>
        </w:tc>
        <w:tc>
          <w:tcPr>
            <w:tcW w:w="3727" w:type="dxa"/>
            <w:tcBorders>
              <w:top w:val="nil"/>
              <w:left w:val="nil"/>
              <w:bottom w:val="nil"/>
              <w:right w:val="nil"/>
            </w:tcBorders>
          </w:tcPr>
          <w:p w14:paraId="7F3484FC" w14:textId="77777777" w:rsidR="004F5D16" w:rsidRPr="00667ADA" w:rsidRDefault="004F5D16">
            <w:pPr>
              <w:jc w:val="right"/>
              <w:rPr>
                <w:rFonts w:ascii="Arial" w:hAnsi="Arial"/>
                <w:b/>
                <w:bCs/>
                <w:sz w:val="26"/>
                <w:szCs w:val="26"/>
              </w:rPr>
            </w:pPr>
          </w:p>
        </w:tc>
      </w:tr>
      <w:tr w:rsidR="004F5D16" w:rsidRPr="00667ADA" w14:paraId="1BB06897" w14:textId="77777777">
        <w:trPr>
          <w:trHeight w:val="355"/>
          <w:jc w:val="center"/>
        </w:trPr>
        <w:tc>
          <w:tcPr>
            <w:tcW w:w="852" w:type="dxa"/>
            <w:tcBorders>
              <w:top w:val="nil"/>
              <w:left w:val="nil"/>
              <w:bottom w:val="nil"/>
              <w:right w:val="nil"/>
            </w:tcBorders>
          </w:tcPr>
          <w:p w14:paraId="268F9A42" w14:textId="77777777" w:rsidR="004F5D16" w:rsidRPr="00667ADA" w:rsidRDefault="004F5D16">
            <w:pPr>
              <w:jc w:val="both"/>
              <w:rPr>
                <w:rFonts w:ascii="Arial" w:hAnsi="Arial" w:cs="FrankRuehl"/>
                <w:b/>
                <w:bCs/>
                <w:sz w:val="28"/>
                <w:szCs w:val="28"/>
                <w:rtl/>
              </w:rPr>
            </w:pPr>
          </w:p>
        </w:tc>
        <w:tc>
          <w:tcPr>
            <w:tcW w:w="4241" w:type="dxa"/>
            <w:tcBorders>
              <w:top w:val="nil"/>
              <w:left w:val="nil"/>
              <w:bottom w:val="nil"/>
              <w:right w:val="nil"/>
            </w:tcBorders>
          </w:tcPr>
          <w:p w14:paraId="6E1DA10D" w14:textId="77777777" w:rsidR="004F5D16" w:rsidRPr="00667ADA" w:rsidRDefault="00667ADA">
            <w:pPr>
              <w:jc w:val="both"/>
              <w:rPr>
                <w:b/>
                <w:bCs/>
                <w:sz w:val="26"/>
                <w:szCs w:val="26"/>
                <w:rtl/>
              </w:rPr>
            </w:pPr>
            <w:r w:rsidRPr="00667ADA">
              <w:rPr>
                <w:rFonts w:hint="cs"/>
                <w:b/>
                <w:bCs/>
                <w:sz w:val="26"/>
                <w:szCs w:val="26"/>
                <w:rtl/>
              </w:rPr>
              <w:t>ע"י ב"כ עו"ד אסף שלם</w:t>
            </w:r>
          </w:p>
        </w:tc>
        <w:tc>
          <w:tcPr>
            <w:tcW w:w="3727" w:type="dxa"/>
            <w:tcBorders>
              <w:top w:val="nil"/>
              <w:left w:val="nil"/>
              <w:bottom w:val="nil"/>
              <w:right w:val="nil"/>
            </w:tcBorders>
          </w:tcPr>
          <w:p w14:paraId="01B87014" w14:textId="77777777" w:rsidR="004F5D16" w:rsidRPr="00667ADA" w:rsidRDefault="00667ADA">
            <w:pPr>
              <w:jc w:val="right"/>
              <w:rPr>
                <w:rFonts w:ascii="Arial" w:hAnsi="Arial"/>
                <w:b/>
                <w:bCs/>
                <w:sz w:val="26"/>
                <w:szCs w:val="26"/>
              </w:rPr>
            </w:pPr>
            <w:r w:rsidRPr="00667ADA">
              <w:rPr>
                <w:rFonts w:ascii="Arial" w:hAnsi="Arial"/>
                <w:b/>
                <w:bCs/>
                <w:sz w:val="26"/>
                <w:szCs w:val="26"/>
                <w:rtl/>
              </w:rPr>
              <w:t>ה</w:t>
            </w:r>
            <w:r w:rsidRPr="00667ADA">
              <w:rPr>
                <w:rFonts w:hint="cs"/>
                <w:rtl/>
              </w:rPr>
              <w:t>נאשם</w:t>
            </w:r>
          </w:p>
        </w:tc>
      </w:tr>
    </w:tbl>
    <w:p w14:paraId="59A91A9C" w14:textId="77777777" w:rsidR="00156716" w:rsidRDefault="00156716">
      <w:pPr>
        <w:rPr>
          <w:rtl/>
        </w:rPr>
      </w:pPr>
      <w:bookmarkStart w:id="3" w:name="LawTable"/>
      <w:bookmarkEnd w:id="3"/>
    </w:p>
    <w:p w14:paraId="476EB487" w14:textId="77777777" w:rsidR="00156716" w:rsidRPr="00156716" w:rsidRDefault="00156716" w:rsidP="00156716">
      <w:pPr>
        <w:spacing w:after="120" w:line="240" w:lineRule="exact"/>
        <w:ind w:left="283" w:hanging="283"/>
        <w:jc w:val="both"/>
        <w:rPr>
          <w:rFonts w:ascii="FrankRuehl" w:hAnsi="FrankRuehl" w:cs="FrankRuehl"/>
          <w:rtl/>
        </w:rPr>
      </w:pPr>
    </w:p>
    <w:p w14:paraId="7D10816C" w14:textId="77777777" w:rsidR="00156716" w:rsidRPr="00156716" w:rsidRDefault="00156716" w:rsidP="00156716">
      <w:pPr>
        <w:spacing w:after="120" w:line="240" w:lineRule="exact"/>
        <w:ind w:left="283" w:hanging="283"/>
        <w:jc w:val="both"/>
        <w:rPr>
          <w:rFonts w:ascii="FrankRuehl" w:hAnsi="FrankRuehl" w:cs="FrankRuehl"/>
          <w:rtl/>
        </w:rPr>
      </w:pPr>
      <w:r w:rsidRPr="00156716">
        <w:rPr>
          <w:rFonts w:ascii="FrankRuehl" w:hAnsi="FrankRuehl" w:cs="FrankRuehl" w:hint="eastAsia"/>
          <w:rtl/>
        </w:rPr>
        <w:t>חקיקה</w:t>
      </w:r>
      <w:r w:rsidRPr="00156716">
        <w:rPr>
          <w:rFonts w:ascii="FrankRuehl" w:hAnsi="FrankRuehl" w:cs="FrankRuehl"/>
          <w:rtl/>
        </w:rPr>
        <w:t xml:space="preserve"> </w:t>
      </w:r>
      <w:r w:rsidRPr="00156716">
        <w:rPr>
          <w:rFonts w:ascii="FrankRuehl" w:hAnsi="FrankRuehl" w:cs="FrankRuehl" w:hint="eastAsia"/>
          <w:rtl/>
        </w:rPr>
        <w:t>שאוזכרה</w:t>
      </w:r>
      <w:r w:rsidRPr="00156716">
        <w:rPr>
          <w:rFonts w:ascii="FrankRuehl" w:hAnsi="FrankRuehl" w:cs="FrankRuehl"/>
          <w:rtl/>
        </w:rPr>
        <w:t xml:space="preserve">: </w:t>
      </w:r>
    </w:p>
    <w:p w14:paraId="7D41F907" w14:textId="77777777" w:rsidR="00156716" w:rsidRPr="00156716" w:rsidRDefault="00156716" w:rsidP="00156716">
      <w:pPr>
        <w:spacing w:after="120" w:line="240" w:lineRule="exact"/>
        <w:ind w:left="283" w:hanging="283"/>
        <w:jc w:val="both"/>
        <w:rPr>
          <w:rFonts w:ascii="FrankRuehl" w:hAnsi="FrankRuehl" w:cs="FrankRuehl"/>
          <w:rtl/>
        </w:rPr>
      </w:pPr>
      <w:hyperlink r:id="rId7" w:history="1">
        <w:r w:rsidRPr="00156716">
          <w:rPr>
            <w:rFonts w:ascii="FrankRuehl" w:hAnsi="FrankRuehl" w:cs="FrankRuehl" w:hint="eastAsia"/>
            <w:color w:val="0000FF"/>
            <w:u w:val="single"/>
            <w:rtl/>
          </w:rPr>
          <w:t>חוק</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סדר</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הדין</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הפלילי</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נוסח</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משולב</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תשמ</w:t>
        </w:r>
        <w:r w:rsidRPr="00156716">
          <w:rPr>
            <w:rFonts w:ascii="FrankRuehl" w:hAnsi="FrankRuehl" w:cs="FrankRuehl"/>
            <w:color w:val="0000FF"/>
            <w:u w:val="single"/>
            <w:rtl/>
          </w:rPr>
          <w:t>"</w:t>
        </w:r>
        <w:r w:rsidRPr="00156716">
          <w:rPr>
            <w:rFonts w:ascii="FrankRuehl" w:hAnsi="FrankRuehl" w:cs="FrankRuehl" w:hint="eastAsia"/>
            <w:color w:val="0000FF"/>
            <w:u w:val="single"/>
            <w:rtl/>
          </w:rPr>
          <w:t>ב</w:t>
        </w:r>
        <w:r w:rsidRPr="00156716">
          <w:rPr>
            <w:rFonts w:ascii="FrankRuehl" w:hAnsi="FrankRuehl" w:cs="FrankRuehl"/>
            <w:color w:val="0000FF"/>
            <w:u w:val="single"/>
            <w:rtl/>
          </w:rPr>
          <w:t>-1982</w:t>
        </w:r>
      </w:hyperlink>
      <w:r w:rsidRPr="00156716">
        <w:rPr>
          <w:rFonts w:ascii="FrankRuehl" w:hAnsi="FrankRuehl" w:cs="FrankRuehl"/>
          <w:rtl/>
        </w:rPr>
        <w:t xml:space="preserve">: </w:t>
      </w:r>
      <w:r w:rsidRPr="00156716">
        <w:rPr>
          <w:rFonts w:ascii="FrankRuehl" w:hAnsi="FrankRuehl" w:cs="FrankRuehl" w:hint="eastAsia"/>
          <w:rtl/>
        </w:rPr>
        <w:t>סע</w:t>
      </w:r>
      <w:r w:rsidRPr="00156716">
        <w:rPr>
          <w:rFonts w:ascii="FrankRuehl" w:hAnsi="FrankRuehl" w:cs="FrankRuehl"/>
          <w:rtl/>
        </w:rPr>
        <w:t xml:space="preserve">'  </w:t>
      </w:r>
      <w:hyperlink r:id="rId8" w:history="1">
        <w:r w:rsidRPr="00156716">
          <w:rPr>
            <w:rFonts w:ascii="FrankRuehl" w:hAnsi="FrankRuehl" w:cs="FrankRuehl"/>
            <w:color w:val="0000FF"/>
            <w:u w:val="single"/>
            <w:rtl/>
          </w:rPr>
          <w:t>182</w:t>
        </w:r>
      </w:hyperlink>
    </w:p>
    <w:p w14:paraId="66FB77DA" w14:textId="77777777" w:rsidR="00156716" w:rsidRPr="00156716" w:rsidRDefault="00156716" w:rsidP="00156716">
      <w:pPr>
        <w:spacing w:after="120" w:line="240" w:lineRule="exact"/>
        <w:ind w:left="283" w:hanging="283"/>
        <w:jc w:val="both"/>
        <w:rPr>
          <w:rFonts w:ascii="FrankRuehl" w:hAnsi="FrankRuehl" w:cs="FrankRuehl"/>
          <w:rtl/>
        </w:rPr>
      </w:pPr>
      <w:hyperlink r:id="rId9" w:history="1">
        <w:r w:rsidRPr="00156716">
          <w:rPr>
            <w:rFonts w:ascii="FrankRuehl" w:hAnsi="FrankRuehl" w:cs="FrankRuehl" w:hint="eastAsia"/>
            <w:color w:val="0000FF"/>
            <w:u w:val="single"/>
            <w:rtl/>
          </w:rPr>
          <w:t>חוק</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העונשין</w:t>
        </w:r>
        <w:r w:rsidRPr="00156716">
          <w:rPr>
            <w:rFonts w:ascii="FrankRuehl" w:hAnsi="FrankRuehl" w:cs="FrankRuehl"/>
            <w:color w:val="0000FF"/>
            <w:u w:val="single"/>
            <w:rtl/>
          </w:rPr>
          <w:t xml:space="preserve">, </w:t>
        </w:r>
        <w:r w:rsidRPr="00156716">
          <w:rPr>
            <w:rFonts w:ascii="FrankRuehl" w:hAnsi="FrankRuehl" w:cs="FrankRuehl" w:hint="eastAsia"/>
            <w:color w:val="0000FF"/>
            <w:u w:val="single"/>
            <w:rtl/>
          </w:rPr>
          <w:t>תשל</w:t>
        </w:r>
        <w:r w:rsidRPr="00156716">
          <w:rPr>
            <w:rFonts w:ascii="FrankRuehl" w:hAnsi="FrankRuehl" w:cs="FrankRuehl"/>
            <w:color w:val="0000FF"/>
            <w:u w:val="single"/>
            <w:rtl/>
          </w:rPr>
          <w:t>"</w:t>
        </w:r>
        <w:r w:rsidRPr="00156716">
          <w:rPr>
            <w:rFonts w:ascii="FrankRuehl" w:hAnsi="FrankRuehl" w:cs="FrankRuehl" w:hint="eastAsia"/>
            <w:color w:val="0000FF"/>
            <w:u w:val="single"/>
            <w:rtl/>
          </w:rPr>
          <w:t>ז</w:t>
        </w:r>
        <w:r w:rsidRPr="00156716">
          <w:rPr>
            <w:rFonts w:ascii="FrankRuehl" w:hAnsi="FrankRuehl" w:cs="FrankRuehl"/>
            <w:color w:val="0000FF"/>
            <w:u w:val="single"/>
            <w:rtl/>
          </w:rPr>
          <w:t>-1977</w:t>
        </w:r>
      </w:hyperlink>
      <w:r w:rsidRPr="00156716">
        <w:rPr>
          <w:rFonts w:ascii="FrankRuehl" w:hAnsi="FrankRuehl" w:cs="FrankRuehl"/>
          <w:rtl/>
        </w:rPr>
        <w:t xml:space="preserve">: </w:t>
      </w:r>
      <w:r w:rsidRPr="00156716">
        <w:rPr>
          <w:rFonts w:ascii="FrankRuehl" w:hAnsi="FrankRuehl" w:cs="FrankRuehl" w:hint="eastAsia"/>
          <w:rtl/>
        </w:rPr>
        <w:t>סע</w:t>
      </w:r>
      <w:r w:rsidRPr="00156716">
        <w:rPr>
          <w:rFonts w:ascii="FrankRuehl" w:hAnsi="FrankRuehl" w:cs="FrankRuehl"/>
          <w:rtl/>
        </w:rPr>
        <w:t xml:space="preserve">'  </w:t>
      </w:r>
      <w:hyperlink r:id="rId10" w:history="1">
        <w:r w:rsidRPr="00156716">
          <w:rPr>
            <w:rFonts w:ascii="FrankRuehl" w:hAnsi="FrankRuehl" w:cs="FrankRuehl"/>
            <w:color w:val="0000FF"/>
            <w:u w:val="single"/>
            <w:rtl/>
          </w:rPr>
          <w:t>348(</w:t>
        </w:r>
        <w:r w:rsidRPr="00156716">
          <w:rPr>
            <w:rFonts w:ascii="FrankRuehl" w:hAnsi="FrankRuehl" w:cs="FrankRuehl" w:hint="eastAsia"/>
            <w:color w:val="0000FF"/>
            <w:u w:val="single"/>
            <w:rtl/>
          </w:rPr>
          <w:t>ג</w:t>
        </w:r>
        <w:r w:rsidRPr="00156716">
          <w:rPr>
            <w:rFonts w:ascii="FrankRuehl" w:hAnsi="FrankRuehl" w:cs="FrankRuehl"/>
            <w:color w:val="0000FF"/>
            <w:u w:val="single"/>
            <w:rtl/>
          </w:rPr>
          <w:t>)</w:t>
        </w:r>
      </w:hyperlink>
    </w:p>
    <w:p w14:paraId="5831DF34" w14:textId="77777777" w:rsidR="00156716" w:rsidRPr="00156716" w:rsidRDefault="00156716" w:rsidP="0015671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5D16" w14:paraId="7C9A5820" w14:textId="77777777">
        <w:trPr>
          <w:trHeight w:val="355"/>
          <w:jc w:val="center"/>
        </w:trPr>
        <w:tc>
          <w:tcPr>
            <w:tcW w:w="8820" w:type="dxa"/>
            <w:tcBorders>
              <w:top w:val="nil"/>
              <w:left w:val="nil"/>
              <w:bottom w:val="nil"/>
              <w:right w:val="nil"/>
            </w:tcBorders>
          </w:tcPr>
          <w:p w14:paraId="0C4CB525" w14:textId="77777777" w:rsidR="00667ADA" w:rsidRPr="00667ADA" w:rsidRDefault="00667ADA" w:rsidP="00667ADA">
            <w:pPr>
              <w:jc w:val="center"/>
              <w:rPr>
                <w:rFonts w:ascii="Arial" w:hAnsi="Arial"/>
                <w:b/>
                <w:bCs/>
                <w:sz w:val="36"/>
                <w:szCs w:val="36"/>
                <w:u w:val="single"/>
                <w:rtl/>
              </w:rPr>
            </w:pPr>
            <w:bookmarkStart w:id="4" w:name="LawTable_End"/>
            <w:bookmarkStart w:id="5" w:name="PsakDin" w:colFirst="0" w:colLast="0"/>
            <w:bookmarkEnd w:id="0"/>
            <w:bookmarkEnd w:id="4"/>
            <w:r w:rsidRPr="00667ADA">
              <w:rPr>
                <w:rFonts w:ascii="Arial" w:hAnsi="Arial"/>
                <w:b/>
                <w:bCs/>
                <w:sz w:val="36"/>
                <w:szCs w:val="36"/>
                <w:u w:val="single"/>
                <w:rtl/>
              </w:rPr>
              <w:t>הכרעת דין</w:t>
            </w:r>
          </w:p>
          <w:p w14:paraId="75CE0B74" w14:textId="77777777" w:rsidR="004F5D16" w:rsidRPr="00667ADA" w:rsidRDefault="004F5D16" w:rsidP="00667ADA">
            <w:pPr>
              <w:jc w:val="center"/>
              <w:rPr>
                <w:rFonts w:ascii="Arial" w:hAnsi="Arial"/>
                <w:bCs/>
                <w:sz w:val="36"/>
                <w:szCs w:val="36"/>
                <w:u w:val="single"/>
                <w:rtl/>
              </w:rPr>
            </w:pPr>
          </w:p>
        </w:tc>
      </w:tr>
      <w:bookmarkEnd w:id="5"/>
    </w:tbl>
    <w:p w14:paraId="4833AE8C" w14:textId="77777777" w:rsidR="004F5D16" w:rsidRDefault="004F5D16">
      <w:pPr>
        <w:rPr>
          <w:rFonts w:ascii="Arial" w:hAnsi="Arial" w:cs="FrankRuehl"/>
          <w:sz w:val="28"/>
          <w:szCs w:val="28"/>
          <w:rtl/>
        </w:rPr>
      </w:pPr>
    </w:p>
    <w:p w14:paraId="01BC127F" w14:textId="77777777" w:rsidR="004F5D16" w:rsidRDefault="004F5D16">
      <w:pPr>
        <w:rPr>
          <w:rFonts w:ascii="Arial" w:hAnsi="Arial" w:cs="FrankRuehl"/>
          <w:sz w:val="28"/>
          <w:szCs w:val="28"/>
          <w:rtl/>
        </w:rPr>
      </w:pPr>
    </w:p>
    <w:p w14:paraId="271E3940" w14:textId="77777777" w:rsidR="004F5D16" w:rsidRDefault="00667ADA">
      <w:pPr>
        <w:spacing w:line="360" w:lineRule="auto"/>
        <w:jc w:val="both"/>
        <w:rPr>
          <w:b/>
          <w:bCs/>
          <w:sz w:val="28"/>
          <w:szCs w:val="28"/>
          <w:rtl/>
        </w:rPr>
      </w:pPr>
      <w:r>
        <w:rPr>
          <w:b/>
          <w:bCs/>
          <w:sz w:val="28"/>
          <w:szCs w:val="28"/>
          <w:rtl/>
        </w:rPr>
        <w:t xml:space="preserve">בפתח הכרעת הדין אני מודיעה, כמצוות סיפת </w:t>
      </w:r>
      <w:hyperlink r:id="rId11" w:history="1">
        <w:r w:rsidR="00156716" w:rsidRPr="00156716">
          <w:rPr>
            <w:rFonts w:hint="eastAsia"/>
            <w:b/>
            <w:bCs/>
            <w:color w:val="0000FF"/>
            <w:sz w:val="28"/>
            <w:szCs w:val="28"/>
            <w:u w:val="single"/>
            <w:rtl/>
          </w:rPr>
          <w:t>סעיף</w:t>
        </w:r>
        <w:r w:rsidR="00156716" w:rsidRPr="00156716">
          <w:rPr>
            <w:b/>
            <w:bCs/>
            <w:color w:val="0000FF"/>
            <w:sz w:val="28"/>
            <w:szCs w:val="28"/>
            <w:u w:val="single"/>
            <w:rtl/>
          </w:rPr>
          <w:t xml:space="preserve"> 182</w:t>
        </w:r>
      </w:hyperlink>
      <w:r>
        <w:rPr>
          <w:b/>
          <w:bCs/>
          <w:sz w:val="28"/>
          <w:szCs w:val="28"/>
          <w:rtl/>
        </w:rPr>
        <w:t xml:space="preserve"> ל</w:t>
      </w:r>
      <w:hyperlink r:id="rId12" w:history="1">
        <w:r w:rsidRPr="00667ADA">
          <w:rPr>
            <w:rFonts w:hint="eastAsia"/>
            <w:b/>
            <w:bCs/>
            <w:color w:val="0000FF"/>
            <w:sz w:val="28"/>
            <w:szCs w:val="28"/>
            <w:u w:val="single"/>
            <w:rtl/>
          </w:rPr>
          <w:t>חוק</w:t>
        </w:r>
        <w:r w:rsidRPr="00667ADA">
          <w:rPr>
            <w:b/>
            <w:bCs/>
            <w:color w:val="0000FF"/>
            <w:sz w:val="28"/>
            <w:szCs w:val="28"/>
            <w:u w:val="single"/>
            <w:rtl/>
          </w:rPr>
          <w:t xml:space="preserve"> </w:t>
        </w:r>
        <w:r w:rsidRPr="00667ADA">
          <w:rPr>
            <w:rFonts w:hint="eastAsia"/>
            <w:b/>
            <w:bCs/>
            <w:color w:val="0000FF"/>
            <w:sz w:val="28"/>
            <w:szCs w:val="28"/>
            <w:u w:val="single"/>
            <w:rtl/>
          </w:rPr>
          <w:t>סדר</w:t>
        </w:r>
        <w:r w:rsidRPr="00667ADA">
          <w:rPr>
            <w:b/>
            <w:bCs/>
            <w:color w:val="0000FF"/>
            <w:sz w:val="28"/>
            <w:szCs w:val="28"/>
            <w:u w:val="single"/>
            <w:rtl/>
          </w:rPr>
          <w:t xml:space="preserve"> </w:t>
        </w:r>
        <w:r w:rsidRPr="00667ADA">
          <w:rPr>
            <w:rFonts w:hint="eastAsia"/>
            <w:b/>
            <w:bCs/>
            <w:color w:val="0000FF"/>
            <w:sz w:val="28"/>
            <w:szCs w:val="28"/>
            <w:u w:val="single"/>
            <w:rtl/>
          </w:rPr>
          <w:t>הדין</w:t>
        </w:r>
        <w:r w:rsidRPr="00667ADA">
          <w:rPr>
            <w:b/>
            <w:bCs/>
            <w:color w:val="0000FF"/>
            <w:sz w:val="28"/>
            <w:szCs w:val="28"/>
            <w:u w:val="single"/>
            <w:rtl/>
          </w:rPr>
          <w:t xml:space="preserve"> </w:t>
        </w:r>
        <w:r w:rsidRPr="00667ADA">
          <w:rPr>
            <w:rFonts w:hint="eastAsia"/>
            <w:b/>
            <w:bCs/>
            <w:color w:val="0000FF"/>
            <w:sz w:val="28"/>
            <w:szCs w:val="28"/>
            <w:u w:val="single"/>
            <w:rtl/>
          </w:rPr>
          <w:t>הפלילי</w:t>
        </w:r>
      </w:hyperlink>
      <w:r>
        <w:rPr>
          <w:b/>
          <w:bCs/>
          <w:sz w:val="28"/>
          <w:szCs w:val="28"/>
          <w:rtl/>
        </w:rPr>
        <w:t xml:space="preserve"> [נוסח משולב] התשמ"ב-1982, על זיכוי הנאשם מהעבירה של מעשה מגונה, על פי </w:t>
      </w:r>
      <w:hyperlink r:id="rId13" w:history="1">
        <w:r w:rsidR="00156716" w:rsidRPr="00156716">
          <w:rPr>
            <w:rFonts w:hint="eastAsia"/>
            <w:b/>
            <w:bCs/>
            <w:color w:val="0000FF"/>
            <w:sz w:val="28"/>
            <w:szCs w:val="28"/>
            <w:u w:val="single"/>
            <w:rtl/>
          </w:rPr>
          <w:t>סעיף</w:t>
        </w:r>
        <w:r w:rsidR="00156716" w:rsidRPr="00156716">
          <w:rPr>
            <w:b/>
            <w:bCs/>
            <w:color w:val="0000FF"/>
            <w:sz w:val="28"/>
            <w:szCs w:val="28"/>
            <w:u w:val="single"/>
            <w:rtl/>
          </w:rPr>
          <w:t xml:space="preserve"> 348(</w:t>
        </w:r>
        <w:r w:rsidR="00156716" w:rsidRPr="00156716">
          <w:rPr>
            <w:rFonts w:hint="eastAsia"/>
            <w:b/>
            <w:bCs/>
            <w:color w:val="0000FF"/>
            <w:sz w:val="28"/>
            <w:szCs w:val="28"/>
            <w:u w:val="single"/>
            <w:rtl/>
          </w:rPr>
          <w:t>ג</w:t>
        </w:r>
        <w:r w:rsidR="00156716" w:rsidRPr="00156716">
          <w:rPr>
            <w:b/>
            <w:bCs/>
            <w:color w:val="0000FF"/>
            <w:sz w:val="28"/>
            <w:szCs w:val="28"/>
            <w:u w:val="single"/>
            <w:rtl/>
          </w:rPr>
          <w:t>)</w:t>
        </w:r>
      </w:hyperlink>
      <w:r>
        <w:rPr>
          <w:b/>
          <w:bCs/>
          <w:sz w:val="28"/>
          <w:szCs w:val="28"/>
          <w:rtl/>
        </w:rPr>
        <w:t xml:space="preserve"> ל</w:t>
      </w:r>
      <w:hyperlink r:id="rId14" w:history="1">
        <w:r w:rsidRPr="00667ADA">
          <w:rPr>
            <w:rFonts w:hint="eastAsia"/>
            <w:b/>
            <w:bCs/>
            <w:color w:val="0000FF"/>
            <w:sz w:val="28"/>
            <w:szCs w:val="28"/>
            <w:u w:val="single"/>
            <w:rtl/>
          </w:rPr>
          <w:t>חוק</w:t>
        </w:r>
        <w:r w:rsidRPr="00667ADA">
          <w:rPr>
            <w:b/>
            <w:bCs/>
            <w:color w:val="0000FF"/>
            <w:sz w:val="28"/>
            <w:szCs w:val="28"/>
            <w:u w:val="single"/>
            <w:rtl/>
          </w:rPr>
          <w:t xml:space="preserve"> </w:t>
        </w:r>
        <w:r w:rsidRPr="00667ADA">
          <w:rPr>
            <w:rFonts w:hint="eastAsia"/>
            <w:b/>
            <w:bCs/>
            <w:color w:val="0000FF"/>
            <w:sz w:val="28"/>
            <w:szCs w:val="28"/>
            <w:u w:val="single"/>
            <w:rtl/>
          </w:rPr>
          <w:t>העונשין</w:t>
        </w:r>
      </w:hyperlink>
      <w:r>
        <w:rPr>
          <w:b/>
          <w:bCs/>
          <w:sz w:val="28"/>
          <w:szCs w:val="28"/>
          <w:rtl/>
        </w:rPr>
        <w:t>, התשל"ז-1977, (להלן: "חוק העונשין"), שיוחסה לו בכתב האישום, וזאת מחמת הספק.</w:t>
      </w:r>
    </w:p>
    <w:p w14:paraId="4D871F0C" w14:textId="77777777" w:rsidR="004F5D16" w:rsidRDefault="004F5D16">
      <w:pPr>
        <w:spacing w:line="360" w:lineRule="auto"/>
        <w:jc w:val="both"/>
        <w:rPr>
          <w:b/>
          <w:bCs/>
          <w:sz w:val="28"/>
          <w:szCs w:val="28"/>
          <w:rtl/>
        </w:rPr>
      </w:pPr>
    </w:p>
    <w:p w14:paraId="53BEF530" w14:textId="77777777" w:rsidR="004F5D16" w:rsidRDefault="00667ADA">
      <w:pPr>
        <w:spacing w:line="360" w:lineRule="auto"/>
        <w:jc w:val="both"/>
        <w:rPr>
          <w:sz w:val="28"/>
          <w:szCs w:val="28"/>
        </w:rPr>
      </w:pPr>
      <w:r>
        <w:rPr>
          <w:b/>
          <w:bCs/>
          <w:sz w:val="28"/>
          <w:szCs w:val="28"/>
          <w:rtl/>
        </w:rPr>
        <w:t>להלן נימוקיי:</w:t>
      </w:r>
    </w:p>
    <w:p w14:paraId="5FD10681" w14:textId="77777777" w:rsidR="004F5D16" w:rsidRDefault="004F5D16">
      <w:pPr>
        <w:spacing w:line="360" w:lineRule="auto"/>
        <w:ind w:left="560" w:hanging="567"/>
        <w:jc w:val="both"/>
        <w:rPr>
          <w:sz w:val="28"/>
          <w:szCs w:val="28"/>
        </w:rPr>
      </w:pPr>
    </w:p>
    <w:p w14:paraId="70F37B6C"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בתאריך 5.11.12 סמוך לשעה 16:00 נכנסה ד.א. (להלן: "</w:t>
      </w:r>
      <w:r>
        <w:rPr>
          <w:b/>
          <w:bCs/>
          <w:sz w:val="28"/>
          <w:szCs w:val="28"/>
          <w:rtl/>
        </w:rPr>
        <w:t>המתלוננת</w:t>
      </w:r>
      <w:r>
        <w:rPr>
          <w:sz w:val="28"/>
          <w:szCs w:val="28"/>
          <w:rtl/>
        </w:rPr>
        <w:t>") לחנות למוצרי חשמל וכלי בית בקומה השלישית בתחנה המרכזית החדשה בתל-אביב, (להלן: "</w:t>
      </w:r>
      <w:r>
        <w:rPr>
          <w:b/>
          <w:bCs/>
          <w:sz w:val="28"/>
          <w:szCs w:val="28"/>
          <w:rtl/>
        </w:rPr>
        <w:t>החנות</w:t>
      </w:r>
      <w:r>
        <w:rPr>
          <w:sz w:val="28"/>
          <w:szCs w:val="28"/>
          <w:rtl/>
        </w:rPr>
        <w:t>") שם פגשה בנאשם וביקשה לרכוש סיר/מערכת סירים.</w:t>
      </w:r>
    </w:p>
    <w:p w14:paraId="47D2C20A" w14:textId="77777777" w:rsidR="004F5D16" w:rsidRDefault="00667ADA">
      <w:pPr>
        <w:spacing w:line="360" w:lineRule="auto"/>
        <w:ind w:left="560"/>
        <w:jc w:val="both"/>
        <w:rPr>
          <w:sz w:val="28"/>
          <w:szCs w:val="28"/>
          <w:rtl/>
        </w:rPr>
      </w:pPr>
      <w:r>
        <w:rPr>
          <w:sz w:val="28"/>
          <w:szCs w:val="28"/>
          <w:rtl/>
        </w:rPr>
        <w:lastRenderedPageBreak/>
        <w:t xml:space="preserve">הואיל והנאשם, בשל נתוני גופו, לא יכול היה להגיע לסירים שהיו מונחים על מדף גבוה ומאחר שהמתלוננת בחורה גבוהה, ניגשה המתלוננת למדף על מנת להוריד את הסירים – על עובדות אלה אין מחלוקת ממשית בין המתלוננת לנאשם.  </w:t>
      </w:r>
    </w:p>
    <w:p w14:paraId="7B6AD15F" w14:textId="77777777" w:rsidR="004F5D16" w:rsidRDefault="004F5D16">
      <w:pPr>
        <w:spacing w:line="360" w:lineRule="auto"/>
        <w:ind w:left="560"/>
        <w:jc w:val="both"/>
        <w:rPr>
          <w:sz w:val="28"/>
          <w:szCs w:val="28"/>
        </w:rPr>
      </w:pPr>
    </w:p>
    <w:p w14:paraId="4BEF1E40" w14:textId="77777777" w:rsidR="004F5D16" w:rsidRDefault="00667ADA">
      <w:pPr>
        <w:numPr>
          <w:ilvl w:val="0"/>
          <w:numId w:val="1"/>
        </w:numPr>
        <w:tabs>
          <w:tab w:val="clear" w:pos="1080"/>
        </w:tabs>
        <w:spacing w:line="360" w:lineRule="auto"/>
        <w:ind w:left="560" w:hanging="567"/>
        <w:jc w:val="both"/>
        <w:rPr>
          <w:sz w:val="28"/>
          <w:szCs w:val="28"/>
        </w:rPr>
      </w:pPr>
      <w:bookmarkStart w:id="6" w:name="ABSTRACT_START"/>
      <w:bookmarkEnd w:id="6"/>
      <w:r>
        <w:rPr>
          <w:sz w:val="28"/>
          <w:szCs w:val="28"/>
          <w:rtl/>
        </w:rPr>
        <w:t>המחלוקת נוגעת לשאלה האם מעשיה של המתלוננת נעשו בהסכמת הנאשם והאם הנאשם ניצל את הסיטואציה ועוד לפני שהמתלוננת הגיעה למדף הושיט את ידו הימנית ותפס את שדה הימני, כטענת המתלוננת.</w:t>
      </w:r>
    </w:p>
    <w:p w14:paraId="2F685717" w14:textId="77777777" w:rsidR="004F5D16" w:rsidRDefault="004F5D16">
      <w:pPr>
        <w:spacing w:line="360" w:lineRule="auto"/>
        <w:ind w:left="560"/>
        <w:jc w:val="both"/>
        <w:rPr>
          <w:sz w:val="28"/>
          <w:szCs w:val="28"/>
        </w:rPr>
      </w:pPr>
      <w:bookmarkStart w:id="7" w:name="ABSTRACT_END"/>
      <w:bookmarkEnd w:id="7"/>
    </w:p>
    <w:p w14:paraId="50E1DF07"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 xml:space="preserve">בתשובתו לאישום ובהמשך בעדותו בבית המשפט טען הנאשם שהמתלוננת, מסיבותיה, ביקשה דווקא סיר שהיה ממוקם במדפים העליונים בחנות, אף שהציע לה סיר אחר שהיה בטווח ידו. </w:t>
      </w:r>
    </w:p>
    <w:p w14:paraId="0435E8F0" w14:textId="77777777" w:rsidR="004F5D16" w:rsidRDefault="00667ADA">
      <w:pPr>
        <w:spacing w:line="360" w:lineRule="auto"/>
        <w:ind w:left="560"/>
        <w:jc w:val="both"/>
        <w:rPr>
          <w:sz w:val="28"/>
          <w:szCs w:val="28"/>
        </w:rPr>
      </w:pPr>
      <w:r>
        <w:rPr>
          <w:sz w:val="28"/>
          <w:szCs w:val="28"/>
          <w:rtl/>
        </w:rPr>
        <w:t>כיוון שאינו איש גבוה ואין באפשרותו לטפס על סולם, ביקש ממנה להמתין לשובו של בנו, בעל החנות, אך היא סירבה וניסתה לטפס על מערכת סירים שהונחה על הרצפה כדי להגיע למדף הגבוה ואילו הוא ניסה למנוע זאת ממנה באמצעות ידו.</w:t>
      </w:r>
    </w:p>
    <w:p w14:paraId="2335E70D" w14:textId="77777777" w:rsidR="004F5D16" w:rsidRDefault="004F5D16">
      <w:pPr>
        <w:pStyle w:val="ListParagraph"/>
        <w:ind w:left="560" w:hanging="567"/>
        <w:rPr>
          <w:sz w:val="28"/>
          <w:szCs w:val="28"/>
          <w:rtl/>
        </w:rPr>
      </w:pPr>
    </w:p>
    <w:p w14:paraId="65EDA979"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המתלוננת הזעיקה את המשטרה, סמוך לאחר יציאתה מהחנות, והשוטרים פגשו בה בקומה הרביעית של התחנה המרכזית, לטענתה בחנות "פוטו שופ", שם נמצאו חבריה, להם סיפרה את שארע לה.</w:t>
      </w:r>
    </w:p>
    <w:p w14:paraId="698B794C" w14:textId="77777777" w:rsidR="004F5D16" w:rsidRDefault="004F5D16">
      <w:pPr>
        <w:spacing w:line="360" w:lineRule="auto"/>
        <w:ind w:left="560"/>
        <w:jc w:val="both"/>
        <w:rPr>
          <w:sz w:val="28"/>
          <w:szCs w:val="28"/>
          <w:rtl/>
        </w:rPr>
      </w:pPr>
    </w:p>
    <w:p w14:paraId="26B9397E" w14:textId="77777777" w:rsidR="004F5D16" w:rsidRDefault="00667ADA">
      <w:pPr>
        <w:spacing w:line="360" w:lineRule="auto"/>
        <w:ind w:left="560"/>
        <w:jc w:val="both"/>
        <w:rPr>
          <w:sz w:val="28"/>
          <w:szCs w:val="28"/>
          <w:rtl/>
        </w:rPr>
      </w:pPr>
      <w:r>
        <w:rPr>
          <w:sz w:val="28"/>
          <w:szCs w:val="28"/>
          <w:rtl/>
        </w:rPr>
        <w:t>אף שכבר במהלך גביית תלונתה במשטרה, שנמסרה שעה קלה לאחר האירוע, סיפרה המתלוננת על הלך נפשה וסערת הרגשות אליה נקלעה, בעקבות האירוע, ועל כך שמיד עם יציאתה מהחנות נכנסה לחנות סמוכה של חברתה, שאף נקבה בשמה, וסיפרה לה בבכי על מעשיו של הנאשם, לא גבתה המשטרה עדויות לא מהחברה מהחנות הסמוכה אף לא מהחברים מהקומה העליונה.</w:t>
      </w:r>
    </w:p>
    <w:p w14:paraId="2ADF6B4B" w14:textId="77777777" w:rsidR="004F5D16" w:rsidRDefault="00667ADA">
      <w:pPr>
        <w:spacing w:line="360" w:lineRule="auto"/>
        <w:ind w:left="560"/>
        <w:jc w:val="both"/>
        <w:rPr>
          <w:sz w:val="28"/>
          <w:szCs w:val="28"/>
          <w:rtl/>
        </w:rPr>
      </w:pPr>
      <w:r>
        <w:rPr>
          <w:sz w:val="28"/>
          <w:szCs w:val="28"/>
          <w:rtl/>
        </w:rPr>
        <w:t>לצד מחדל חקירתי זה אנו מוצאים שבדו"ח הפעולה, שערך רס"ל חמד גאנם (להלן: "</w:t>
      </w:r>
      <w:r>
        <w:rPr>
          <w:b/>
          <w:bCs/>
          <w:sz w:val="28"/>
          <w:szCs w:val="28"/>
          <w:rtl/>
        </w:rPr>
        <w:t>השוטר</w:t>
      </w:r>
      <w:r>
        <w:rPr>
          <w:sz w:val="28"/>
          <w:szCs w:val="28"/>
          <w:rtl/>
        </w:rPr>
        <w:t>") שהגיע לזירת האירוע, פגש במתלוננת ושמע מפיה את גרסתה לאירוע, לא תועד מצב נפשי חריג של המתלוננת.</w:t>
      </w:r>
    </w:p>
    <w:p w14:paraId="5823F1E3" w14:textId="77777777" w:rsidR="004F5D16" w:rsidRDefault="00667ADA">
      <w:pPr>
        <w:spacing w:line="360" w:lineRule="auto"/>
        <w:ind w:left="560"/>
        <w:jc w:val="both"/>
        <w:rPr>
          <w:sz w:val="28"/>
          <w:szCs w:val="28"/>
          <w:rtl/>
        </w:rPr>
      </w:pPr>
      <w:r>
        <w:rPr>
          <w:sz w:val="28"/>
          <w:szCs w:val="28"/>
          <w:rtl/>
        </w:rPr>
        <w:lastRenderedPageBreak/>
        <w:t>גם גובה תלונתה של המתלוננת, רס"מ דב משיח (להלן: "</w:t>
      </w:r>
      <w:r>
        <w:rPr>
          <w:b/>
          <w:bCs/>
          <w:sz w:val="28"/>
          <w:szCs w:val="28"/>
          <w:rtl/>
        </w:rPr>
        <w:t>החוקר</w:t>
      </w:r>
      <w:r>
        <w:rPr>
          <w:sz w:val="28"/>
          <w:szCs w:val="28"/>
          <w:rtl/>
        </w:rPr>
        <w:t xml:space="preserve">") לא מתאר שהתרשם מהלך נפש סוער או חריג של המתלוננת. </w:t>
      </w:r>
    </w:p>
    <w:p w14:paraId="760382E7" w14:textId="77777777" w:rsidR="004F5D16" w:rsidRDefault="004F5D16">
      <w:pPr>
        <w:spacing w:line="360" w:lineRule="auto"/>
        <w:ind w:left="560"/>
        <w:jc w:val="both"/>
        <w:rPr>
          <w:sz w:val="28"/>
          <w:szCs w:val="28"/>
          <w:rtl/>
        </w:rPr>
      </w:pPr>
    </w:p>
    <w:p w14:paraId="7FC1D844" w14:textId="77777777" w:rsidR="004F5D16" w:rsidRDefault="00667ADA">
      <w:pPr>
        <w:spacing w:line="360" w:lineRule="auto"/>
        <w:ind w:left="560"/>
        <w:jc w:val="both"/>
        <w:rPr>
          <w:sz w:val="28"/>
          <w:szCs w:val="28"/>
          <w:rtl/>
        </w:rPr>
      </w:pPr>
      <w:r>
        <w:rPr>
          <w:sz w:val="28"/>
          <w:szCs w:val="28"/>
          <w:rtl/>
        </w:rPr>
        <w:t>תיאורה של המתלוננת, אפוא, את מצבה הנפשי - כפי שביטאה זאת לראשונה בפני החוקר שרשם את דבריה בגוף תלונתה וכפי שתיארה בהמשך בבית המשפט  "</w:t>
      </w:r>
      <w:r>
        <w:rPr>
          <w:b/>
          <w:bCs/>
          <w:sz w:val="28"/>
          <w:szCs w:val="28"/>
          <w:rtl/>
        </w:rPr>
        <w:t>הייתי ממש בסערת רגשות ומבולבלת. התחלתי לבכות, הייתי בסערת רגשות, לא האמנתי שזה קורה לי</w:t>
      </w:r>
      <w:r>
        <w:rPr>
          <w:sz w:val="28"/>
          <w:szCs w:val="28"/>
          <w:rtl/>
        </w:rPr>
        <w:t>" - אינו נתמך בכל ראייה חיצונית.</w:t>
      </w:r>
    </w:p>
    <w:p w14:paraId="4A92AEC0" w14:textId="77777777" w:rsidR="004F5D16" w:rsidRDefault="004F5D16">
      <w:pPr>
        <w:spacing w:line="360" w:lineRule="auto"/>
        <w:ind w:left="560" w:hanging="567"/>
        <w:jc w:val="both"/>
        <w:rPr>
          <w:sz w:val="28"/>
          <w:szCs w:val="28"/>
        </w:rPr>
      </w:pPr>
    </w:p>
    <w:p w14:paraId="7846D3F0"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לאור מחדל חקירתי זה - שבא לידי ביטוי בהעדר חקירה של אותם גורמים, שלדברי המתלוננת היו הראשונים להיחשף לסיפורה ואשר בפניהם הביעה את רגשותיה, כשהיה בחקירתם כדי לתמוך בגרסת המתלוננת או להפריכה - נותרנו עם גרסה מול גרסה לעניין העובדות השנויות במחלוקת, כשהנאשם צמצם את חזית המריבה, כשהודה שנגע במתלוננת, אך הכחיש שהנגיעה הייתה בחזה או נשאה אופי מיני.</w:t>
      </w:r>
    </w:p>
    <w:p w14:paraId="503D965F" w14:textId="77777777" w:rsidR="004F5D16" w:rsidRDefault="004F5D16">
      <w:pPr>
        <w:spacing w:line="360" w:lineRule="auto"/>
        <w:ind w:left="560"/>
        <w:jc w:val="both"/>
        <w:rPr>
          <w:sz w:val="28"/>
          <w:szCs w:val="28"/>
        </w:rPr>
      </w:pPr>
    </w:p>
    <w:p w14:paraId="65BEA1D6"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המתלוננת מסרה את גרסתה בארבע הזדמנויות שונות, מתוכן שלוש פעמים ביום האירוע ופעם אחת בעדותה בבית המשפט.</w:t>
      </w:r>
    </w:p>
    <w:p w14:paraId="5D537B16" w14:textId="77777777" w:rsidR="004F5D16" w:rsidRDefault="004F5D16">
      <w:pPr>
        <w:spacing w:line="360" w:lineRule="auto"/>
        <w:ind w:left="560"/>
        <w:jc w:val="both"/>
        <w:rPr>
          <w:sz w:val="28"/>
          <w:szCs w:val="28"/>
          <w:rtl/>
        </w:rPr>
      </w:pPr>
    </w:p>
    <w:p w14:paraId="66A5EDDB" w14:textId="77777777" w:rsidR="004F5D16" w:rsidRDefault="00667ADA">
      <w:pPr>
        <w:spacing w:line="360" w:lineRule="auto"/>
        <w:ind w:left="560"/>
        <w:jc w:val="both"/>
        <w:rPr>
          <w:sz w:val="28"/>
          <w:szCs w:val="28"/>
          <w:rtl/>
        </w:rPr>
      </w:pPr>
      <w:r>
        <w:rPr>
          <w:b/>
          <w:bCs/>
          <w:sz w:val="28"/>
          <w:szCs w:val="28"/>
          <w:rtl/>
        </w:rPr>
        <w:t>לראשונה</w:t>
      </w:r>
      <w:r>
        <w:rPr>
          <w:sz w:val="28"/>
          <w:szCs w:val="28"/>
          <w:rtl/>
        </w:rPr>
        <w:t xml:space="preserve"> - דקות ספורות לאחר האירוע </w:t>
      </w:r>
      <w:r>
        <w:rPr>
          <w:b/>
          <w:bCs/>
          <w:sz w:val="28"/>
          <w:szCs w:val="28"/>
          <w:u w:val="single"/>
          <w:rtl/>
        </w:rPr>
        <w:t>לשוטר</w:t>
      </w:r>
      <w:r>
        <w:rPr>
          <w:b/>
          <w:bCs/>
          <w:sz w:val="28"/>
          <w:szCs w:val="28"/>
          <w:rtl/>
        </w:rPr>
        <w:t xml:space="preserve">, </w:t>
      </w:r>
      <w:r>
        <w:rPr>
          <w:sz w:val="28"/>
          <w:szCs w:val="28"/>
          <w:rtl/>
        </w:rPr>
        <w:t>שרשם בדו"ח הפעולה שלדברי המתלוננת בעת שעזרה לנאשם להוריד את הסיר מהמדף העליון "</w:t>
      </w:r>
      <w:r>
        <w:rPr>
          <w:b/>
          <w:bCs/>
          <w:sz w:val="28"/>
          <w:szCs w:val="28"/>
          <w:rtl/>
        </w:rPr>
        <w:t xml:space="preserve">הוא תפס אותה </w:t>
      </w:r>
      <w:r>
        <w:rPr>
          <w:b/>
          <w:bCs/>
          <w:sz w:val="28"/>
          <w:szCs w:val="28"/>
          <w:u w:val="single"/>
          <w:rtl/>
        </w:rPr>
        <w:t>בשתי ידיו</w:t>
      </w:r>
      <w:r>
        <w:rPr>
          <w:b/>
          <w:bCs/>
          <w:sz w:val="28"/>
          <w:szCs w:val="28"/>
          <w:rtl/>
        </w:rPr>
        <w:t xml:space="preserve"> בחזה שלה</w:t>
      </w:r>
      <w:r>
        <w:rPr>
          <w:sz w:val="28"/>
          <w:szCs w:val="28"/>
          <w:rtl/>
        </w:rPr>
        <w:t>"</w:t>
      </w:r>
    </w:p>
    <w:p w14:paraId="06A2D5DC" w14:textId="77777777" w:rsidR="004F5D16" w:rsidRDefault="00667ADA">
      <w:pPr>
        <w:spacing w:line="360" w:lineRule="auto"/>
        <w:ind w:left="560"/>
        <w:jc w:val="both"/>
        <w:rPr>
          <w:sz w:val="28"/>
          <w:szCs w:val="28"/>
          <w:rtl/>
        </w:rPr>
      </w:pPr>
      <w:r>
        <w:rPr>
          <w:sz w:val="28"/>
          <w:szCs w:val="28"/>
          <w:rtl/>
        </w:rPr>
        <w:t xml:space="preserve">כחצי שעה מאוחר יותר - סיפרה </w:t>
      </w:r>
      <w:r>
        <w:rPr>
          <w:b/>
          <w:bCs/>
          <w:sz w:val="28"/>
          <w:szCs w:val="28"/>
          <w:u w:val="single"/>
          <w:rtl/>
        </w:rPr>
        <w:t>לחוקר</w:t>
      </w:r>
      <w:r>
        <w:rPr>
          <w:sz w:val="28"/>
          <w:szCs w:val="28"/>
          <w:rtl/>
        </w:rPr>
        <w:t xml:space="preserve"> שהנאשם ניסה להביא לה את הסירים מהמדף העליון, משלא הצליח הציעה לו את עזרתה ואמרה שהיא תנסה. בעת שהתרוממה על קצות האצבעות כדי להביא את הסירים "</w:t>
      </w:r>
      <w:r>
        <w:rPr>
          <w:b/>
          <w:bCs/>
          <w:sz w:val="28"/>
          <w:szCs w:val="28"/>
          <w:rtl/>
        </w:rPr>
        <w:t xml:space="preserve">פתאום בעל החנות חיבק אותי מאחור ותפס בי בשדיים </w:t>
      </w:r>
      <w:r>
        <w:rPr>
          <w:b/>
          <w:bCs/>
          <w:sz w:val="28"/>
          <w:szCs w:val="28"/>
          <w:u w:val="single"/>
          <w:rtl/>
        </w:rPr>
        <w:t>עם הידיים שלו</w:t>
      </w:r>
      <w:r>
        <w:rPr>
          <w:sz w:val="28"/>
          <w:szCs w:val="28"/>
          <w:rtl/>
        </w:rPr>
        <w:t>". כשאמרה לנאשם "</w:t>
      </w:r>
      <w:r>
        <w:rPr>
          <w:b/>
          <w:bCs/>
          <w:sz w:val="28"/>
          <w:szCs w:val="28"/>
          <w:rtl/>
        </w:rPr>
        <w:t>מה אתה עושה אני מזמינה משטרה</w:t>
      </w:r>
      <w:r>
        <w:rPr>
          <w:sz w:val="28"/>
          <w:szCs w:val="28"/>
          <w:rtl/>
        </w:rPr>
        <w:t>" צעק לעברה הנאשם "</w:t>
      </w:r>
      <w:r>
        <w:rPr>
          <w:b/>
          <w:bCs/>
          <w:sz w:val="28"/>
          <w:szCs w:val="28"/>
          <w:rtl/>
        </w:rPr>
        <w:t>ניסיתי רק לעזור לך</w:t>
      </w:r>
      <w:r>
        <w:rPr>
          <w:sz w:val="28"/>
          <w:szCs w:val="28"/>
          <w:rtl/>
        </w:rPr>
        <w:t>".</w:t>
      </w:r>
    </w:p>
    <w:p w14:paraId="2FF31098" w14:textId="77777777" w:rsidR="004F5D16" w:rsidRDefault="00667ADA">
      <w:pPr>
        <w:spacing w:line="360" w:lineRule="auto"/>
        <w:ind w:left="560"/>
        <w:jc w:val="both"/>
        <w:rPr>
          <w:sz w:val="28"/>
          <w:szCs w:val="28"/>
          <w:rtl/>
        </w:rPr>
      </w:pPr>
      <w:r>
        <w:rPr>
          <w:sz w:val="28"/>
          <w:szCs w:val="28"/>
          <w:rtl/>
        </w:rPr>
        <w:t xml:space="preserve">בהמשך אותו יום נערך </w:t>
      </w:r>
      <w:r>
        <w:rPr>
          <w:b/>
          <w:bCs/>
          <w:sz w:val="28"/>
          <w:szCs w:val="28"/>
          <w:u w:val="single"/>
          <w:rtl/>
        </w:rPr>
        <w:t xml:space="preserve">עימות </w:t>
      </w:r>
      <w:r>
        <w:rPr>
          <w:sz w:val="28"/>
          <w:szCs w:val="28"/>
          <w:rtl/>
        </w:rPr>
        <w:t>בין המתלוננת לנאשם - במהלכו הטיחה המתלוננת בנאשם "</w:t>
      </w:r>
      <w:r>
        <w:rPr>
          <w:b/>
          <w:bCs/>
          <w:sz w:val="28"/>
          <w:szCs w:val="28"/>
          <w:rtl/>
        </w:rPr>
        <w:t>איך שניסיתי להגיע לסירים למעלה תפסת לי בחזה ואמרתי לך מה אתה עושה</w:t>
      </w:r>
      <w:r>
        <w:rPr>
          <w:sz w:val="28"/>
          <w:szCs w:val="28"/>
          <w:rtl/>
        </w:rPr>
        <w:t>".</w:t>
      </w:r>
    </w:p>
    <w:p w14:paraId="1AD06F7D" w14:textId="77777777" w:rsidR="004F5D16" w:rsidRDefault="004F5D16">
      <w:pPr>
        <w:spacing w:line="360" w:lineRule="auto"/>
        <w:ind w:left="560" w:hanging="567"/>
        <w:jc w:val="both"/>
        <w:rPr>
          <w:sz w:val="28"/>
          <w:szCs w:val="28"/>
          <w:rtl/>
        </w:rPr>
      </w:pPr>
    </w:p>
    <w:p w14:paraId="4951C0D6" w14:textId="77777777" w:rsidR="004F5D16" w:rsidRDefault="00667ADA">
      <w:pPr>
        <w:spacing w:line="360" w:lineRule="auto"/>
        <w:ind w:left="560"/>
        <w:jc w:val="both"/>
        <w:rPr>
          <w:sz w:val="28"/>
          <w:szCs w:val="28"/>
          <w:rtl/>
        </w:rPr>
      </w:pPr>
      <w:r>
        <w:rPr>
          <w:sz w:val="28"/>
          <w:szCs w:val="28"/>
          <w:rtl/>
        </w:rPr>
        <w:lastRenderedPageBreak/>
        <w:t xml:space="preserve">בעדותה </w:t>
      </w:r>
      <w:r>
        <w:rPr>
          <w:b/>
          <w:bCs/>
          <w:sz w:val="28"/>
          <w:szCs w:val="28"/>
          <w:u w:val="single"/>
          <w:rtl/>
        </w:rPr>
        <w:t>בבית המשפט</w:t>
      </w:r>
      <w:r>
        <w:rPr>
          <w:sz w:val="28"/>
          <w:szCs w:val="28"/>
          <w:rtl/>
        </w:rPr>
        <w:t xml:space="preserve"> סיפרה המתלוננת כי כשהנאשם אמר לה היכן מונחים הסירים ניגשה למדף שהיה בטווח ידה אך עוד בטרם הגיעה למדף, כשרק הושיטה את היד, הגיע הנאשם מאחור ותפס בחזה.</w:t>
      </w:r>
    </w:p>
    <w:p w14:paraId="605FB4F2" w14:textId="77777777" w:rsidR="004F5D16" w:rsidRDefault="00667ADA">
      <w:pPr>
        <w:spacing w:line="360" w:lineRule="auto"/>
        <w:ind w:left="560"/>
        <w:jc w:val="both"/>
        <w:rPr>
          <w:sz w:val="28"/>
          <w:szCs w:val="28"/>
          <w:rtl/>
        </w:rPr>
      </w:pPr>
      <w:r>
        <w:rPr>
          <w:sz w:val="28"/>
          <w:szCs w:val="28"/>
          <w:rtl/>
        </w:rPr>
        <w:t>לשאלת ב"כ המאשימה איך תפס את חזה השיבה "</w:t>
      </w:r>
      <w:r>
        <w:rPr>
          <w:b/>
          <w:bCs/>
          <w:sz w:val="28"/>
          <w:szCs w:val="28"/>
          <w:rtl/>
        </w:rPr>
        <w:t xml:space="preserve">ניגשתי למדף,  עוד לא הגעתי לסירים והוא תפס לי את החזה עם יד ימין שלו. עמדתי עם הגב אליו [...] הוא </w:t>
      </w:r>
      <w:r>
        <w:rPr>
          <w:b/>
          <w:bCs/>
          <w:sz w:val="28"/>
          <w:szCs w:val="28"/>
          <w:u w:val="single"/>
          <w:rtl/>
        </w:rPr>
        <w:t>לא תפס אותי בשתי הידיים, אלא רק ביד ימין</w:t>
      </w:r>
      <w:r>
        <w:rPr>
          <w:b/>
          <w:bCs/>
          <w:sz w:val="28"/>
          <w:szCs w:val="28"/>
          <w:rtl/>
        </w:rPr>
        <w:t>, בצד ימין בחזה. הוא ממש תפס את השד שלי ולא רק נגע</w:t>
      </w:r>
      <w:r>
        <w:rPr>
          <w:sz w:val="28"/>
          <w:szCs w:val="28"/>
          <w:rtl/>
        </w:rPr>
        <w:t>" והוסיפה "</w:t>
      </w:r>
      <w:r>
        <w:rPr>
          <w:b/>
          <w:bCs/>
          <w:sz w:val="28"/>
          <w:szCs w:val="28"/>
          <w:rtl/>
        </w:rPr>
        <w:t>כשהייתי בפגישת הריענון בפרקליטות ראיתי שנרשמו דברים שונים שהוא לפת את החזה שלי בשתי ידיו</w:t>
      </w:r>
      <w:r>
        <w:rPr>
          <w:sz w:val="28"/>
          <w:szCs w:val="28"/>
          <w:rtl/>
        </w:rPr>
        <w:t>".</w:t>
      </w:r>
    </w:p>
    <w:p w14:paraId="52AD94A2" w14:textId="77777777" w:rsidR="004F5D16" w:rsidRDefault="00667ADA">
      <w:pPr>
        <w:spacing w:line="360" w:lineRule="auto"/>
        <w:ind w:left="560"/>
        <w:jc w:val="both"/>
        <w:rPr>
          <w:sz w:val="28"/>
          <w:szCs w:val="28"/>
          <w:rtl/>
        </w:rPr>
      </w:pPr>
      <w:r>
        <w:rPr>
          <w:sz w:val="28"/>
          <w:szCs w:val="28"/>
          <w:rtl/>
        </w:rPr>
        <w:t>גרסה זו, לפיה תפס הנאשם רק ביד אחת את שדה הימני, הועלתה על ידי המתלוננת לראשונה במהלך פגישת הריענון בפרקליטות ועליה חזרה בעדותה בבית המשפט, זאת בניגוד ובסתירה לדברים המפורשים שנרשמו מפיה הן על ידי השוטר והן בהודעתה, על ידי החוקר.</w:t>
      </w:r>
    </w:p>
    <w:p w14:paraId="682BFA31" w14:textId="77777777" w:rsidR="004F5D16" w:rsidRDefault="00667ADA">
      <w:pPr>
        <w:spacing w:line="360" w:lineRule="auto"/>
        <w:ind w:left="560"/>
        <w:jc w:val="both"/>
        <w:rPr>
          <w:sz w:val="28"/>
          <w:szCs w:val="28"/>
        </w:rPr>
      </w:pPr>
      <w:r>
        <w:rPr>
          <w:sz w:val="28"/>
          <w:szCs w:val="28"/>
          <w:rtl/>
        </w:rPr>
        <w:t>בחקירתה הנגדית דבקה המתלוננת בגרסתה לפיה לפת הנאשם את שדה הימני ודחתה את הצעת ב"כ הנאשם לאפשרות שהנאשם הושיט את ידו כדי למנוע ממנה ליפול ותוך כדי כך נגע במותנה ועמדה על דעתה כי "</w:t>
      </w:r>
      <w:r>
        <w:rPr>
          <w:b/>
          <w:bCs/>
          <w:sz w:val="28"/>
          <w:szCs w:val="28"/>
          <w:rtl/>
        </w:rPr>
        <w:t>הוא נגע, אבל לא בטעות. במתכוון. אם זה היה בטעות הוא לא היה נוגע לי בחזה וממש תופס</w:t>
      </w:r>
      <w:r>
        <w:rPr>
          <w:sz w:val="28"/>
          <w:szCs w:val="28"/>
          <w:rtl/>
        </w:rPr>
        <w:t>".</w:t>
      </w:r>
    </w:p>
    <w:p w14:paraId="7A2A26DA" w14:textId="77777777" w:rsidR="004F5D16" w:rsidRDefault="004F5D16">
      <w:pPr>
        <w:pStyle w:val="ListParagraph"/>
        <w:ind w:left="560" w:hanging="567"/>
        <w:rPr>
          <w:sz w:val="28"/>
          <w:szCs w:val="28"/>
          <w:rtl/>
        </w:rPr>
      </w:pPr>
    </w:p>
    <w:p w14:paraId="3E217F78"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 xml:space="preserve">על פניו לא מצאתי להטיל ספק באמינות גרסתה של המתלוננת לא לגבי תיאורה את האירוע, </w:t>
      </w:r>
      <w:r>
        <w:rPr>
          <w:sz w:val="28"/>
          <w:szCs w:val="28"/>
          <w:u w:val="single"/>
          <w:rtl/>
        </w:rPr>
        <w:t>כפי שחוותה אותו בחוויה הפנימית שלה</w:t>
      </w:r>
      <w:r>
        <w:rPr>
          <w:sz w:val="28"/>
          <w:szCs w:val="28"/>
          <w:rtl/>
        </w:rPr>
        <w:t>, על אף השוני המהותי בין גרסתה במשטרה לגרסתה בבית המשפט לגבי האופן בו לטענתה נגע בה הנאשם, ואף לא בתיאור מצבה הנפשי, אף שכאמור לא נמצאו לכך תימוכין בחומר הראיות.</w:t>
      </w:r>
    </w:p>
    <w:p w14:paraId="2623E541" w14:textId="77777777" w:rsidR="004F5D16" w:rsidRDefault="004F5D16">
      <w:pPr>
        <w:spacing w:line="360" w:lineRule="auto"/>
        <w:ind w:left="560"/>
        <w:jc w:val="both"/>
        <w:rPr>
          <w:sz w:val="28"/>
          <w:szCs w:val="28"/>
          <w:rtl/>
        </w:rPr>
      </w:pPr>
    </w:p>
    <w:p w14:paraId="4A1EAD1A" w14:textId="77777777" w:rsidR="004F5D16" w:rsidRDefault="00667ADA">
      <w:pPr>
        <w:spacing w:line="360" w:lineRule="auto"/>
        <w:ind w:left="560"/>
        <w:jc w:val="both"/>
        <w:rPr>
          <w:sz w:val="28"/>
          <w:szCs w:val="28"/>
        </w:rPr>
      </w:pPr>
      <w:r>
        <w:rPr>
          <w:sz w:val="28"/>
          <w:szCs w:val="28"/>
          <w:rtl/>
        </w:rPr>
        <w:t>מידיות התלונה, העדר רקע קודם שיכול להוות מניע לתלונת שווא מצידה כלפי הנאשם, כשמדברי המתלוננת עלה אף שכבר ביקרה בחנות בהזדמנות קודמת ופגשה בנאשם שהיה אדיב ונחמד כלפיה ואף נתן לה שירות מצוין – מחזקים את מהימנות גרסתה.</w:t>
      </w:r>
    </w:p>
    <w:p w14:paraId="15E3AB05" w14:textId="77777777" w:rsidR="004F5D16" w:rsidRDefault="00667ADA">
      <w:pPr>
        <w:spacing w:line="360" w:lineRule="auto"/>
        <w:ind w:left="560"/>
        <w:jc w:val="both"/>
        <w:rPr>
          <w:sz w:val="28"/>
          <w:szCs w:val="28"/>
        </w:rPr>
      </w:pPr>
      <w:r>
        <w:rPr>
          <w:sz w:val="28"/>
          <w:szCs w:val="28"/>
          <w:rtl/>
        </w:rPr>
        <w:t>לא ניתן גם לפסול את טענת ב"כ המאשימה, לפיה דרישתה והתעקשותה של המתלוננת במהלך פגישת הריענון, לתקן את הגרסה שנרשמה מפיה במשטרה, מעידה על אמינות גרסתה שאין המדובר בתלונת שווא, אך יש לזכור כי התיקון נוגע לעובדה שהיא בלב המחלוקת.</w:t>
      </w:r>
    </w:p>
    <w:p w14:paraId="5A2499DC" w14:textId="77777777" w:rsidR="004F5D16" w:rsidRDefault="004F5D16">
      <w:pPr>
        <w:spacing w:line="360" w:lineRule="auto"/>
        <w:ind w:left="560" w:hanging="567"/>
        <w:jc w:val="both"/>
        <w:rPr>
          <w:sz w:val="28"/>
          <w:szCs w:val="28"/>
        </w:rPr>
      </w:pPr>
    </w:p>
    <w:p w14:paraId="492F6BDB" w14:textId="77777777" w:rsidR="004F5D16" w:rsidRDefault="00667ADA">
      <w:pPr>
        <w:spacing w:line="360" w:lineRule="auto"/>
        <w:ind w:left="560"/>
        <w:jc w:val="both"/>
        <w:rPr>
          <w:sz w:val="28"/>
          <w:szCs w:val="28"/>
          <w:rtl/>
        </w:rPr>
      </w:pPr>
      <w:r>
        <w:rPr>
          <w:sz w:val="28"/>
          <w:szCs w:val="28"/>
          <w:rtl/>
        </w:rPr>
        <w:t>עם זאת מדובר בעדות יחידה, לא עקבית, שלא נמצאה לה כל ראייה תומכת, כשלא ניתן לשלול את האפשרות שהמתלוננת טעתה בפירוש הסיטואציה.</w:t>
      </w:r>
    </w:p>
    <w:p w14:paraId="3B498FB8" w14:textId="77777777" w:rsidR="004F5D16" w:rsidRDefault="00667ADA">
      <w:pPr>
        <w:spacing w:line="360" w:lineRule="auto"/>
        <w:ind w:left="560"/>
        <w:jc w:val="both"/>
        <w:rPr>
          <w:sz w:val="28"/>
          <w:szCs w:val="28"/>
        </w:rPr>
      </w:pPr>
      <w:r>
        <w:rPr>
          <w:sz w:val="28"/>
          <w:szCs w:val="28"/>
          <w:rtl/>
        </w:rPr>
        <w:t>על מנת לבדוק היתכנותה של אפשרות זו נעבור לבדוק את גרסת הנאשם.</w:t>
      </w:r>
    </w:p>
    <w:p w14:paraId="101B538C" w14:textId="77777777" w:rsidR="004F5D16" w:rsidRDefault="004F5D16">
      <w:pPr>
        <w:pStyle w:val="ListParagraph"/>
        <w:ind w:left="560" w:hanging="567"/>
        <w:rPr>
          <w:sz w:val="28"/>
          <w:szCs w:val="28"/>
          <w:rtl/>
        </w:rPr>
      </w:pPr>
    </w:p>
    <w:p w14:paraId="0360E333" w14:textId="77777777" w:rsidR="004F5D16" w:rsidRDefault="00667ADA">
      <w:pPr>
        <w:numPr>
          <w:ilvl w:val="0"/>
          <w:numId w:val="1"/>
        </w:numPr>
        <w:tabs>
          <w:tab w:val="clear" w:pos="1080"/>
        </w:tabs>
        <w:spacing w:line="360" w:lineRule="auto"/>
        <w:ind w:left="560" w:hanging="567"/>
        <w:jc w:val="both"/>
        <w:rPr>
          <w:sz w:val="28"/>
          <w:szCs w:val="28"/>
        </w:rPr>
      </w:pPr>
      <w:r>
        <w:rPr>
          <w:b/>
          <w:bCs/>
          <w:sz w:val="28"/>
          <w:szCs w:val="28"/>
          <w:u w:val="single"/>
          <w:rtl/>
        </w:rPr>
        <w:t>לראשונה</w:t>
      </w:r>
      <w:r>
        <w:rPr>
          <w:sz w:val="28"/>
          <w:szCs w:val="28"/>
          <w:rtl/>
        </w:rPr>
        <w:t xml:space="preserve"> השמיע הנאשם את גרסתו באוזני המתלוננת, על פי עדותה, בעת שיצאה נסערת מהחנות והודיעה לו שבכוונתה להזמין משטרה, כשצעק אחריה "</w:t>
      </w:r>
      <w:r>
        <w:rPr>
          <w:b/>
          <w:bCs/>
          <w:sz w:val="28"/>
          <w:szCs w:val="28"/>
          <w:rtl/>
        </w:rPr>
        <w:t>מה את רוצה, בסך הכול רציתי לעזור לך שלא תיפלי</w:t>
      </w:r>
      <w:r>
        <w:rPr>
          <w:sz w:val="28"/>
          <w:szCs w:val="28"/>
          <w:rtl/>
        </w:rPr>
        <w:t>".</w:t>
      </w:r>
    </w:p>
    <w:p w14:paraId="36F8DDFD" w14:textId="77777777" w:rsidR="004F5D16" w:rsidRDefault="00667ADA">
      <w:pPr>
        <w:spacing w:line="360" w:lineRule="auto"/>
        <w:ind w:left="560"/>
        <w:jc w:val="both"/>
        <w:rPr>
          <w:sz w:val="28"/>
          <w:szCs w:val="28"/>
        </w:rPr>
      </w:pPr>
      <w:r>
        <w:rPr>
          <w:sz w:val="28"/>
          <w:szCs w:val="28"/>
          <w:rtl/>
        </w:rPr>
        <w:t>על גרסה זו בניואנסים והדגשים כאלה או אחרים התמיד הנאשם בכל ההזדמנויות שניתנו לו לספר את גרסתו.</w:t>
      </w:r>
    </w:p>
    <w:p w14:paraId="0469112D" w14:textId="77777777" w:rsidR="004F5D16" w:rsidRDefault="00667ADA">
      <w:pPr>
        <w:spacing w:line="360" w:lineRule="auto"/>
        <w:ind w:left="560"/>
        <w:jc w:val="both"/>
        <w:rPr>
          <w:sz w:val="28"/>
          <w:szCs w:val="28"/>
          <w:rtl/>
        </w:rPr>
      </w:pPr>
      <w:r>
        <w:rPr>
          <w:sz w:val="28"/>
          <w:szCs w:val="28"/>
          <w:rtl/>
        </w:rPr>
        <w:t xml:space="preserve">בפני </w:t>
      </w:r>
      <w:r>
        <w:rPr>
          <w:b/>
          <w:bCs/>
          <w:sz w:val="28"/>
          <w:szCs w:val="28"/>
          <w:u w:val="single"/>
          <w:rtl/>
        </w:rPr>
        <w:t>השוטר</w:t>
      </w:r>
      <w:r>
        <w:rPr>
          <w:sz w:val="28"/>
          <w:szCs w:val="28"/>
          <w:rtl/>
        </w:rPr>
        <w:t>, שהגיע לחנות, טען, לאחר תחקור שנערך לו במקום בעקבות קבלת תלונתה של המתלוננת, כפי שנרשם בדוח הפעולה שערך השוטר ובדו"ח העיכוב, "</w:t>
      </w:r>
      <w:r>
        <w:rPr>
          <w:b/>
          <w:bCs/>
          <w:sz w:val="28"/>
          <w:szCs w:val="28"/>
          <w:rtl/>
        </w:rPr>
        <w:t>אני רק עזרתי לה</w:t>
      </w:r>
      <w:r>
        <w:rPr>
          <w:sz w:val="28"/>
          <w:szCs w:val="28"/>
          <w:rtl/>
        </w:rPr>
        <w:t>" להוריד את הסיר, אך הכחיש שנגע במתלוננת.</w:t>
      </w:r>
    </w:p>
    <w:p w14:paraId="4DC48BCB" w14:textId="77777777" w:rsidR="004F5D16" w:rsidRDefault="00667ADA">
      <w:pPr>
        <w:spacing w:line="360" w:lineRule="auto"/>
        <w:ind w:left="560"/>
        <w:jc w:val="both"/>
        <w:rPr>
          <w:sz w:val="28"/>
          <w:szCs w:val="28"/>
          <w:rtl/>
        </w:rPr>
      </w:pPr>
      <w:r>
        <w:rPr>
          <w:sz w:val="28"/>
          <w:szCs w:val="28"/>
          <w:rtl/>
        </w:rPr>
        <w:t xml:space="preserve">שעה קלה לאחר מכן, בתחנת המשטרה, מסר הנאשם את גרסתו </w:t>
      </w:r>
      <w:r>
        <w:rPr>
          <w:b/>
          <w:bCs/>
          <w:sz w:val="28"/>
          <w:szCs w:val="28"/>
          <w:u w:val="single"/>
          <w:rtl/>
        </w:rPr>
        <w:t>לחוקר</w:t>
      </w:r>
      <w:r>
        <w:rPr>
          <w:sz w:val="28"/>
          <w:szCs w:val="28"/>
          <w:rtl/>
        </w:rPr>
        <w:t>, שחקר אותו באזהרה בחשד לביצוע מעשה מגונה והטרדה מינית והטיח בו שנגע בחזה של המתלוננת.</w:t>
      </w:r>
    </w:p>
    <w:p w14:paraId="0833B72D" w14:textId="77777777" w:rsidR="004F5D16" w:rsidRDefault="00667ADA">
      <w:pPr>
        <w:spacing w:line="360" w:lineRule="auto"/>
        <w:ind w:left="560"/>
        <w:jc w:val="both"/>
        <w:rPr>
          <w:sz w:val="28"/>
          <w:szCs w:val="28"/>
          <w:rtl/>
        </w:rPr>
      </w:pPr>
      <w:r>
        <w:rPr>
          <w:sz w:val="28"/>
          <w:szCs w:val="28"/>
          <w:rtl/>
        </w:rPr>
        <w:t>התגובה הראשונה, המיידית והספונטנית שלו לחשדות הייתה "</w:t>
      </w:r>
      <w:r>
        <w:rPr>
          <w:b/>
          <w:bCs/>
          <w:sz w:val="28"/>
          <w:szCs w:val="28"/>
          <w:rtl/>
        </w:rPr>
        <w:t>לא נגעתי בה</w:t>
      </w:r>
      <w:r>
        <w:rPr>
          <w:sz w:val="28"/>
          <w:szCs w:val="28"/>
          <w:rtl/>
        </w:rPr>
        <w:t>", כשמיד בהמשך סיפר שמאחר וסט הסירים שהמתלוננת ביקשה לקנות היה במקום גבוה התקשר לבנו שיגיע להוריד את הסירים, אך המתלוננת התעקשה לעלות להוריד אותם ולכן על פי גרסתו "</w:t>
      </w:r>
      <w:r>
        <w:rPr>
          <w:b/>
          <w:bCs/>
          <w:sz w:val="28"/>
          <w:szCs w:val="28"/>
          <w:rtl/>
        </w:rPr>
        <w:t>תפסתי אותה לא נתתי לה לעלות כי אין לי ביטוח. תפסתי אותה במותן ולא בחזה שלה [...] אני לא נגעתי בה. היא רוצה לסחוט [...] רק מהמותן נגעתי בה שלא תיפול</w:t>
      </w:r>
      <w:r>
        <w:rPr>
          <w:sz w:val="28"/>
          <w:szCs w:val="28"/>
          <w:rtl/>
        </w:rPr>
        <w:t>".</w:t>
      </w:r>
    </w:p>
    <w:p w14:paraId="4306F750" w14:textId="77777777" w:rsidR="004F5D16" w:rsidRDefault="00667ADA">
      <w:pPr>
        <w:spacing w:line="360" w:lineRule="auto"/>
        <w:ind w:left="560"/>
        <w:jc w:val="both"/>
        <w:rPr>
          <w:sz w:val="28"/>
          <w:szCs w:val="28"/>
          <w:rtl/>
        </w:rPr>
      </w:pPr>
      <w:r>
        <w:rPr>
          <w:sz w:val="28"/>
          <w:szCs w:val="28"/>
          <w:rtl/>
        </w:rPr>
        <w:t xml:space="preserve">לכאורה יש סתירה פנימית בדברי הנאשם - מחד טוען שלא נגע בה ומאידך מספר שנגע במותנה. </w:t>
      </w:r>
    </w:p>
    <w:p w14:paraId="7D4A9A37" w14:textId="77777777" w:rsidR="004F5D16" w:rsidRDefault="00667ADA">
      <w:pPr>
        <w:spacing w:line="360" w:lineRule="auto"/>
        <w:ind w:left="560"/>
        <w:jc w:val="both"/>
        <w:rPr>
          <w:sz w:val="28"/>
          <w:szCs w:val="28"/>
          <w:rtl/>
        </w:rPr>
      </w:pPr>
      <w:r>
        <w:rPr>
          <w:sz w:val="28"/>
          <w:szCs w:val="28"/>
          <w:rtl/>
        </w:rPr>
        <w:t>הנאשם לא התבקש בחקירתו הראשית אף לא בנגדית להתייחס לסתירה האמורה, אך דומני שניתן ליישב בין הדברים. בהתחשב באישיותו של הנאשם, כפי שהצטיירה בעיניי, במהלך עדותו, ומהתרשמותי ממנו, ניתן להבין שכאשר אמר שלא נגע בה, כיוון דבריו לנגיעה המיוחסת לו, בחזה של המתלוננת, וכשסיפר את גרסתו תיאר את מקום הנגיעה, במותנה, תיאור המצוי בקונטקסט הגיוני של התרחשות האירוע, כפי שהדברים משתקפים מגרסתו ומתיישבים עמה.</w:t>
      </w:r>
    </w:p>
    <w:p w14:paraId="320B2E3C" w14:textId="77777777" w:rsidR="004F5D16" w:rsidRDefault="004F5D16">
      <w:pPr>
        <w:spacing w:line="360" w:lineRule="auto"/>
        <w:ind w:left="560"/>
        <w:jc w:val="both"/>
        <w:rPr>
          <w:sz w:val="28"/>
          <w:szCs w:val="28"/>
          <w:rtl/>
        </w:rPr>
      </w:pPr>
    </w:p>
    <w:p w14:paraId="71F9902E" w14:textId="77777777" w:rsidR="004F5D16" w:rsidRDefault="00667ADA">
      <w:pPr>
        <w:spacing w:line="360" w:lineRule="auto"/>
        <w:ind w:left="560"/>
        <w:jc w:val="both"/>
        <w:rPr>
          <w:sz w:val="28"/>
          <w:szCs w:val="28"/>
          <w:rtl/>
        </w:rPr>
      </w:pPr>
      <w:r>
        <w:rPr>
          <w:sz w:val="28"/>
          <w:szCs w:val="28"/>
          <w:rtl/>
        </w:rPr>
        <w:t xml:space="preserve">באותו יום נערך גם </w:t>
      </w:r>
      <w:r>
        <w:rPr>
          <w:b/>
          <w:bCs/>
          <w:sz w:val="28"/>
          <w:szCs w:val="28"/>
          <w:u w:val="single"/>
          <w:rtl/>
        </w:rPr>
        <w:t>עימות</w:t>
      </w:r>
      <w:r>
        <w:rPr>
          <w:sz w:val="28"/>
          <w:szCs w:val="28"/>
          <w:rtl/>
        </w:rPr>
        <w:t xml:space="preserve"> בין הנאשם למתלוננת וגם בו חזר הנאשם על גרסתו ולפיה תפס במותנה, והוסיף כשפנה למתלוננת "</w:t>
      </w:r>
      <w:r>
        <w:rPr>
          <w:b/>
          <w:bCs/>
          <w:sz w:val="28"/>
          <w:szCs w:val="28"/>
          <w:rtl/>
        </w:rPr>
        <w:t>אני רציתי לעזור לך שלא יפול עלייך כל המדף</w:t>
      </w:r>
      <w:r>
        <w:rPr>
          <w:sz w:val="28"/>
          <w:szCs w:val="28"/>
          <w:rtl/>
        </w:rPr>
        <w:t>".</w:t>
      </w:r>
    </w:p>
    <w:p w14:paraId="0E1D337E" w14:textId="77777777" w:rsidR="004F5D16" w:rsidRDefault="004F5D16">
      <w:pPr>
        <w:spacing w:line="360" w:lineRule="auto"/>
        <w:ind w:left="560"/>
        <w:jc w:val="both"/>
        <w:rPr>
          <w:sz w:val="28"/>
          <w:szCs w:val="28"/>
          <w:rtl/>
        </w:rPr>
      </w:pPr>
    </w:p>
    <w:p w14:paraId="114D2924" w14:textId="77777777" w:rsidR="004F5D16" w:rsidRDefault="00667ADA">
      <w:pPr>
        <w:spacing w:line="360" w:lineRule="auto"/>
        <w:ind w:left="560"/>
        <w:jc w:val="both"/>
        <w:rPr>
          <w:sz w:val="28"/>
          <w:szCs w:val="28"/>
          <w:rtl/>
        </w:rPr>
      </w:pPr>
      <w:r>
        <w:rPr>
          <w:sz w:val="28"/>
          <w:szCs w:val="28"/>
          <w:rtl/>
        </w:rPr>
        <w:t>בעדותו בבית המשפט תיאר את הסיטואציה בה התרחש האירוע, תיאר את מבנה החנות והדגיש שמדובר "</w:t>
      </w:r>
      <w:r>
        <w:rPr>
          <w:b/>
          <w:bCs/>
          <w:sz w:val="28"/>
          <w:szCs w:val="28"/>
          <w:rtl/>
        </w:rPr>
        <w:t>בחנות קטנה</w:t>
      </w:r>
      <w:r>
        <w:rPr>
          <w:sz w:val="28"/>
          <w:szCs w:val="28"/>
          <w:rtl/>
        </w:rPr>
        <w:t>", בה חלק מהמוצרים מונחים על הרצפה, כשלדבריו המתלוננת טיפסה על המוצרים, כדי להגיע לראש הערימה שם היו מונחים הסירים בהם חפצה.</w:t>
      </w:r>
    </w:p>
    <w:p w14:paraId="582FFEAD" w14:textId="77777777" w:rsidR="004F5D16" w:rsidRDefault="00667ADA">
      <w:pPr>
        <w:spacing w:line="360" w:lineRule="auto"/>
        <w:ind w:left="560"/>
        <w:jc w:val="both"/>
        <w:rPr>
          <w:sz w:val="28"/>
          <w:szCs w:val="28"/>
          <w:rtl/>
        </w:rPr>
      </w:pPr>
      <w:r>
        <w:rPr>
          <w:sz w:val="28"/>
          <w:szCs w:val="28"/>
          <w:rtl/>
        </w:rPr>
        <w:t>לדבריו, למרות שהביע את התנגדותו שתיגש להוריד את הסירים ואמר למתלוננת שניגשה להורידם "</w:t>
      </w:r>
      <w:r>
        <w:rPr>
          <w:b/>
          <w:bCs/>
          <w:sz w:val="28"/>
          <w:szCs w:val="28"/>
          <w:rtl/>
        </w:rPr>
        <w:t>לא, את תפילי את הכול יקרה משהו ויקרה אסון ואין לי ביטוח בחנות ואת תיפגעי</w:t>
      </w:r>
      <w:r>
        <w:rPr>
          <w:sz w:val="28"/>
          <w:szCs w:val="28"/>
          <w:rtl/>
        </w:rPr>
        <w:t>" ואף התקשר לבנו שיגיע לעשות זאת, התעקשה המתלוננת להוריד את הסירים בעצמה וניגשה לעשות זאת על דעת עצמה וללא רשותו. לכן, לטענתו, כשהניחה המתלוננת את רגלה על השורה השנייה של המוצרים, שהיו מונחים על הרצפה, כדי להגיע לסט הסירים - הושיט את יד ימינו, כדי למנוע ממנה לטפס ולהוריד את הסירים, וכדבריו "</w:t>
      </w:r>
      <w:r>
        <w:rPr>
          <w:b/>
          <w:bCs/>
          <w:sz w:val="28"/>
          <w:szCs w:val="28"/>
          <w:rtl/>
        </w:rPr>
        <w:t>אני שמתי עצור עם היד והיא דחפה אותי. אמרתי את לא יכולה לעלות</w:t>
      </w:r>
      <w:r>
        <w:rPr>
          <w:sz w:val="28"/>
          <w:szCs w:val="28"/>
          <w:rtl/>
        </w:rPr>
        <w:t>".</w:t>
      </w:r>
    </w:p>
    <w:p w14:paraId="444A2051" w14:textId="77777777" w:rsidR="004F5D16" w:rsidRDefault="004F5D16">
      <w:pPr>
        <w:spacing w:line="360" w:lineRule="auto"/>
        <w:ind w:left="560" w:hanging="567"/>
        <w:jc w:val="both"/>
        <w:rPr>
          <w:sz w:val="28"/>
          <w:szCs w:val="28"/>
          <w:rtl/>
        </w:rPr>
      </w:pPr>
    </w:p>
    <w:p w14:paraId="6AC6ABB9" w14:textId="77777777" w:rsidR="004F5D16" w:rsidRDefault="00667ADA">
      <w:pPr>
        <w:spacing w:line="360" w:lineRule="auto"/>
        <w:ind w:left="560"/>
        <w:jc w:val="both"/>
        <w:rPr>
          <w:b/>
          <w:bCs/>
          <w:sz w:val="28"/>
          <w:szCs w:val="28"/>
          <w:rtl/>
        </w:rPr>
      </w:pPr>
      <w:r>
        <w:rPr>
          <w:sz w:val="28"/>
          <w:szCs w:val="28"/>
          <w:rtl/>
        </w:rPr>
        <w:t>בעדותו בבית המשפט נזהר הנאשם שלא לספר שנגע במתלוננת בעת שניסה למנוע ממנה להגיע אל הסירים ובחקירתו הראשית סיים את תיאור המעשה במשפט "</w:t>
      </w:r>
      <w:r>
        <w:rPr>
          <w:b/>
          <w:bCs/>
          <w:sz w:val="28"/>
          <w:szCs w:val="28"/>
          <w:rtl/>
        </w:rPr>
        <w:t>היא ראתה שאני לא נותן לה, היא הלכה ולא נגעתי בה".</w:t>
      </w:r>
    </w:p>
    <w:p w14:paraId="62B6D26A" w14:textId="77777777" w:rsidR="004F5D16" w:rsidRDefault="00667ADA">
      <w:pPr>
        <w:spacing w:line="360" w:lineRule="auto"/>
        <w:ind w:left="560"/>
        <w:jc w:val="both"/>
        <w:rPr>
          <w:b/>
          <w:bCs/>
          <w:sz w:val="28"/>
          <w:szCs w:val="28"/>
          <w:rtl/>
        </w:rPr>
      </w:pPr>
      <w:r>
        <w:rPr>
          <w:sz w:val="28"/>
          <w:szCs w:val="28"/>
          <w:rtl/>
        </w:rPr>
        <w:t>רק כשעומת בחקירתו הנגדית עם גרסתו במשטרה ולפיה תפס את המתלוננת במותן השיב "</w:t>
      </w:r>
      <w:r>
        <w:rPr>
          <w:b/>
          <w:bCs/>
          <w:sz w:val="28"/>
          <w:szCs w:val="28"/>
          <w:rtl/>
        </w:rPr>
        <w:t>אני אמרתי שהושטתי את היד. אם נגעתי לה במותן בלי כוונה ולא תפסתי. לא רציתי שהיא תיפגע [...] לא הייתה לי שום כוונה לגעת בה".</w:t>
      </w:r>
    </w:p>
    <w:p w14:paraId="1AB3103D" w14:textId="77777777" w:rsidR="004F5D16" w:rsidRDefault="004F5D16">
      <w:pPr>
        <w:spacing w:line="360" w:lineRule="auto"/>
        <w:ind w:left="560" w:hanging="567"/>
        <w:jc w:val="both"/>
        <w:rPr>
          <w:b/>
          <w:bCs/>
          <w:sz w:val="28"/>
          <w:szCs w:val="28"/>
          <w:rtl/>
        </w:rPr>
      </w:pPr>
    </w:p>
    <w:p w14:paraId="6282C4EE" w14:textId="77777777" w:rsidR="004F5D16" w:rsidRDefault="00667ADA">
      <w:pPr>
        <w:spacing w:line="360" w:lineRule="auto"/>
        <w:ind w:left="560"/>
        <w:jc w:val="both"/>
        <w:rPr>
          <w:sz w:val="28"/>
          <w:szCs w:val="28"/>
          <w:rtl/>
        </w:rPr>
      </w:pPr>
      <w:r>
        <w:rPr>
          <w:sz w:val="28"/>
          <w:szCs w:val="28"/>
          <w:rtl/>
        </w:rPr>
        <w:t>ב"כ המאשימה ביקשה ללמוד מכך שהנאשם הוסיף בעדותו בבית המשפט עובדות אותן לא הזכיר בחקירתו במשטרה, כמו למשל, הטענה שהמתלוננת עלתה על המוצרים שהיו מונחים על הרצפה, או הטענה שהעלה בעדותו לפיה המתלוננת העלילה עליו את סיפור המעשה המגונה כדי לסחוט אותו, ובעיקר העובדה שבמשטרה טען בכל הזדמנות שתפס במותנה של המתלוננת ואילו בבית המשפט התעקש שלא נגע בה אלא רק חסם את דרכה, שכל אלה מצביעים על חוסר מהימנותו.</w:t>
      </w:r>
    </w:p>
    <w:p w14:paraId="4DC9D752" w14:textId="77777777" w:rsidR="004F5D16" w:rsidRDefault="004F5D16">
      <w:pPr>
        <w:pStyle w:val="ListParagraph"/>
        <w:ind w:left="560" w:hanging="567"/>
        <w:rPr>
          <w:sz w:val="28"/>
          <w:szCs w:val="28"/>
          <w:rtl/>
        </w:rPr>
      </w:pPr>
    </w:p>
    <w:p w14:paraId="53563E1A"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בחינת הסבריו של הנאשם להבדלים הקלים בין הגרסאות שמסר, מובילים למסקנה שהם אינם שונים מהותית מהסבריה של המתלוננת לשינויים בגרסתה, כפי שהובאו לעיל, וטובים לא פחות מהם.</w:t>
      </w:r>
    </w:p>
    <w:p w14:paraId="2E995911" w14:textId="77777777" w:rsidR="004F5D16" w:rsidRDefault="004F5D16">
      <w:pPr>
        <w:spacing w:line="360" w:lineRule="auto"/>
        <w:ind w:left="560"/>
        <w:jc w:val="both"/>
        <w:rPr>
          <w:sz w:val="28"/>
          <w:szCs w:val="28"/>
          <w:rtl/>
        </w:rPr>
      </w:pPr>
    </w:p>
    <w:p w14:paraId="4BFAB10D" w14:textId="77777777" w:rsidR="004F5D16" w:rsidRDefault="00667ADA">
      <w:pPr>
        <w:spacing w:line="360" w:lineRule="auto"/>
        <w:ind w:left="560"/>
        <w:jc w:val="both"/>
        <w:rPr>
          <w:sz w:val="28"/>
          <w:szCs w:val="28"/>
          <w:rtl/>
        </w:rPr>
      </w:pPr>
      <w:r>
        <w:rPr>
          <w:sz w:val="28"/>
          <w:szCs w:val="28"/>
          <w:rtl/>
        </w:rPr>
        <w:t>כאן המקום לציין שהנאשם העלה את הטענה, שהתלונה הוגשה לשם סחיטה, כבר בחקירתו במשטרה ובבית המשפט רק הרחיב לגביה.</w:t>
      </w:r>
    </w:p>
    <w:p w14:paraId="6B670B53" w14:textId="77777777" w:rsidR="004F5D16" w:rsidRDefault="004F5D16">
      <w:pPr>
        <w:spacing w:line="360" w:lineRule="auto"/>
        <w:ind w:left="560"/>
        <w:jc w:val="both"/>
        <w:rPr>
          <w:sz w:val="28"/>
          <w:szCs w:val="28"/>
        </w:rPr>
      </w:pPr>
    </w:p>
    <w:p w14:paraId="6B2A538E" w14:textId="77777777" w:rsidR="004F5D16" w:rsidRDefault="00667ADA">
      <w:pPr>
        <w:numPr>
          <w:ilvl w:val="0"/>
          <w:numId w:val="1"/>
        </w:numPr>
        <w:tabs>
          <w:tab w:val="clear" w:pos="1080"/>
        </w:tabs>
        <w:spacing w:line="360" w:lineRule="auto"/>
        <w:ind w:left="560" w:hanging="567"/>
        <w:jc w:val="both"/>
        <w:rPr>
          <w:sz w:val="28"/>
          <w:szCs w:val="28"/>
          <w:rtl/>
        </w:rPr>
      </w:pPr>
      <w:r>
        <w:rPr>
          <w:sz w:val="28"/>
          <w:szCs w:val="28"/>
          <w:rtl/>
        </w:rPr>
        <w:t>הנאשם כמו המתלוננת מתארים מצב נפשי של הלם - המתלוננת מהמעשה שנעשה בה, לטענתה, והנאשם – מייחוס כוונה מינית למעשיו, כשלדברי הנאשם היה "</w:t>
      </w:r>
      <w:r>
        <w:rPr>
          <w:b/>
          <w:bCs/>
          <w:sz w:val="28"/>
          <w:szCs w:val="28"/>
          <w:rtl/>
        </w:rPr>
        <w:t>באותו יום הייתי המום [...] לא ידיעתי מאיפה המכה הזאת [...] נפל עליי מכה כזו שלא ידעתי מה לעשות. בכיתי כל הזמן [...] לא הבנתי הייתי המום [...] הייתי כמו שיכור"</w:t>
      </w:r>
      <w:r>
        <w:rPr>
          <w:sz w:val="28"/>
          <w:szCs w:val="28"/>
          <w:rtl/>
        </w:rPr>
        <w:t>.</w:t>
      </w:r>
    </w:p>
    <w:p w14:paraId="51D457B6" w14:textId="77777777" w:rsidR="004F5D16" w:rsidRDefault="00667ADA">
      <w:pPr>
        <w:spacing w:line="360" w:lineRule="auto"/>
        <w:ind w:left="560"/>
        <w:jc w:val="both"/>
        <w:rPr>
          <w:sz w:val="28"/>
          <w:szCs w:val="28"/>
          <w:rtl/>
        </w:rPr>
      </w:pPr>
      <w:r>
        <w:rPr>
          <w:sz w:val="28"/>
          <w:szCs w:val="28"/>
          <w:rtl/>
        </w:rPr>
        <w:t>מצב זה, לטענת כל אחד מהם, יכול והביא למסירת עובדות לא מדויקות בשלב החקירה המשטרתית ואין סיבה לקבל את טענת המתלוננת דווקא על  הסתירות בגרסתה, ולדחות, את טענת הנאשם.</w:t>
      </w:r>
    </w:p>
    <w:p w14:paraId="5A35B4F6" w14:textId="77777777" w:rsidR="004F5D16" w:rsidRDefault="004F5D16">
      <w:pPr>
        <w:spacing w:line="360" w:lineRule="auto"/>
        <w:ind w:left="560"/>
        <w:jc w:val="both"/>
        <w:rPr>
          <w:sz w:val="28"/>
          <w:szCs w:val="28"/>
          <w:rtl/>
        </w:rPr>
      </w:pPr>
    </w:p>
    <w:p w14:paraId="596C2505" w14:textId="77777777" w:rsidR="004F5D16" w:rsidRDefault="00667ADA">
      <w:pPr>
        <w:spacing w:line="360" w:lineRule="auto"/>
        <w:ind w:left="560"/>
        <w:jc w:val="both"/>
        <w:rPr>
          <w:sz w:val="28"/>
          <w:szCs w:val="28"/>
          <w:rtl/>
        </w:rPr>
      </w:pPr>
      <w:r>
        <w:rPr>
          <w:sz w:val="28"/>
          <w:szCs w:val="28"/>
          <w:rtl/>
        </w:rPr>
        <w:t>אינני מתעלמת מניסיונו של הנאשם, בעדותו בבית המשפט, להפחית ולהמעיט ממעשיו, כשכאמור לא חזר במלל חופשי על גרסתו בפני השוטר, בפני החוקר ובעימות, לפיה תפס במותניה של המתלוננת וטען, שאם נגע בה הנגיעה הייתה מקרית, לא מכוונת ונבעה מניסיונו לחסום את דרכה.</w:t>
      </w:r>
    </w:p>
    <w:p w14:paraId="24D520FC" w14:textId="77777777" w:rsidR="004F5D16" w:rsidRDefault="004F5D16">
      <w:pPr>
        <w:spacing w:line="360" w:lineRule="auto"/>
        <w:ind w:left="560"/>
        <w:jc w:val="both"/>
        <w:rPr>
          <w:sz w:val="28"/>
          <w:szCs w:val="28"/>
          <w:rtl/>
        </w:rPr>
      </w:pPr>
    </w:p>
    <w:p w14:paraId="1F5F3A2B" w14:textId="77777777" w:rsidR="004F5D16" w:rsidRDefault="00667ADA">
      <w:pPr>
        <w:spacing w:line="360" w:lineRule="auto"/>
        <w:ind w:left="560"/>
        <w:jc w:val="both"/>
        <w:rPr>
          <w:sz w:val="28"/>
          <w:szCs w:val="28"/>
          <w:rtl/>
        </w:rPr>
      </w:pPr>
      <w:r>
        <w:rPr>
          <w:sz w:val="28"/>
          <w:szCs w:val="28"/>
          <w:rtl/>
        </w:rPr>
        <w:t>עם זאת מדובר, כאמור, בעדות יחידה של המתלוננת, שאף שניתן היה בשקידה סבירה של גורמי החקירה לעבותה, או להפריכה, לא נעשו פעולות החקירה המתבקשות וחבריה של המתלוננת, שלטענתה היו הראשונים לשמוע מפיה את גרסתה לאירוע והיו עדים למצבה הנפשי, לא נחקרו. אפשר שלו הייתה מתבצעת פעולת חקירה זו ניתן היה גם ללמוד על גרסתה הראשונית של המתלוננת, שכאמור לעיל, ידעה שינויים מאז רישומם מפיה על ידי גורמי החקירה ועד הבאתם לבית המשפט, לאחר פגישת הריענון בפרקליטות.</w:t>
      </w:r>
    </w:p>
    <w:p w14:paraId="23473633" w14:textId="77777777" w:rsidR="004F5D16" w:rsidRDefault="004F5D16">
      <w:pPr>
        <w:spacing w:line="360" w:lineRule="auto"/>
        <w:ind w:left="560"/>
        <w:jc w:val="both"/>
        <w:rPr>
          <w:sz w:val="28"/>
          <w:szCs w:val="28"/>
          <w:rtl/>
        </w:rPr>
      </w:pPr>
    </w:p>
    <w:p w14:paraId="7DF70D4D" w14:textId="77777777" w:rsidR="004F5D16" w:rsidRDefault="00667ADA">
      <w:pPr>
        <w:spacing w:line="360" w:lineRule="auto"/>
        <w:ind w:left="560"/>
        <w:jc w:val="both"/>
        <w:rPr>
          <w:sz w:val="28"/>
          <w:szCs w:val="28"/>
          <w:rtl/>
        </w:rPr>
      </w:pPr>
      <w:r>
        <w:rPr>
          <w:sz w:val="28"/>
          <w:szCs w:val="28"/>
          <w:rtl/>
        </w:rPr>
        <w:t>מחדל חקירתי זה, בנסיבות התיק, הוא מהותי ופוגע במרקם הראיות ויש בו אף פגיעה אפשרית בהגנת הנאשם, שכאמור נתן הסבר הגיוני וסביר לתפיסת המתלוננת, הסבר שאין בו קונוטציה מינית ושעל פיו לא התלווה למעשה יסוד נפשי, כדרישת החוק של כוונה "לגירוי, סיפוק, או ביזוי מיני".</w:t>
      </w:r>
    </w:p>
    <w:p w14:paraId="09C64DD2" w14:textId="77777777" w:rsidR="004F5D16" w:rsidRDefault="004F5D16">
      <w:pPr>
        <w:spacing w:line="360" w:lineRule="auto"/>
        <w:ind w:left="560"/>
        <w:jc w:val="both"/>
        <w:rPr>
          <w:sz w:val="28"/>
          <w:szCs w:val="28"/>
          <w:rtl/>
        </w:rPr>
      </w:pPr>
    </w:p>
    <w:p w14:paraId="17A414BC" w14:textId="77777777" w:rsidR="004F5D16" w:rsidRDefault="00667ADA">
      <w:pPr>
        <w:spacing w:line="360" w:lineRule="auto"/>
        <w:ind w:left="560"/>
        <w:jc w:val="both"/>
        <w:rPr>
          <w:sz w:val="28"/>
          <w:szCs w:val="28"/>
          <w:rtl/>
        </w:rPr>
      </w:pPr>
      <w:r>
        <w:rPr>
          <w:sz w:val="28"/>
          <w:szCs w:val="28"/>
          <w:rtl/>
        </w:rPr>
        <w:t>כאן המקום לציין שגם המתלוננת, בתלונתה במשטרה, סיפרה שהנאשם התקשר לבנו, במהלך שהותה במקום, וביקש ממנו להביא עבורה סיר בישול איטי, שביקשה לקנות ולא היה בנמצא בחנות.</w:t>
      </w:r>
    </w:p>
    <w:p w14:paraId="0CBC208E" w14:textId="77777777" w:rsidR="004F5D16" w:rsidRDefault="004F5D16">
      <w:pPr>
        <w:spacing w:line="360" w:lineRule="auto"/>
        <w:ind w:left="560"/>
        <w:jc w:val="both"/>
        <w:rPr>
          <w:sz w:val="28"/>
          <w:szCs w:val="28"/>
          <w:rtl/>
        </w:rPr>
      </w:pPr>
    </w:p>
    <w:p w14:paraId="28399A2A" w14:textId="77777777" w:rsidR="004F5D16" w:rsidRDefault="00667ADA">
      <w:pPr>
        <w:spacing w:line="360" w:lineRule="auto"/>
        <w:ind w:left="560"/>
        <w:jc w:val="both"/>
        <w:rPr>
          <w:sz w:val="28"/>
          <w:szCs w:val="28"/>
          <w:rtl/>
        </w:rPr>
      </w:pPr>
      <w:r>
        <w:rPr>
          <w:sz w:val="28"/>
          <w:szCs w:val="28"/>
          <w:rtl/>
        </w:rPr>
        <w:t>העובדה שהנאשם התקשר לבנו שיגיע לחנות, בין אם להביא את הסיר, כטענת המתלוננת ובין אם בכדי לסייע בהורדת הסיר מלמעלה, כטענת הנאשם, יכולה להוביל למסקנה הגיונית לפיה לא תכנן הנאשם ולא התכוון לגעת במתלוננת ולבצע בגופה מעשה מגונה.</w:t>
      </w:r>
    </w:p>
    <w:p w14:paraId="44DC0809" w14:textId="77777777" w:rsidR="004F5D16" w:rsidRDefault="004F5D16">
      <w:pPr>
        <w:spacing w:line="360" w:lineRule="auto"/>
        <w:ind w:left="560"/>
        <w:jc w:val="both"/>
        <w:rPr>
          <w:sz w:val="28"/>
          <w:szCs w:val="28"/>
        </w:rPr>
      </w:pPr>
    </w:p>
    <w:p w14:paraId="482D25C0" w14:textId="77777777" w:rsidR="004F5D16" w:rsidRDefault="00667ADA">
      <w:pPr>
        <w:numPr>
          <w:ilvl w:val="0"/>
          <w:numId w:val="1"/>
        </w:numPr>
        <w:tabs>
          <w:tab w:val="clear" w:pos="1080"/>
        </w:tabs>
        <w:spacing w:line="360" w:lineRule="auto"/>
        <w:ind w:left="560" w:hanging="567"/>
        <w:jc w:val="both"/>
        <w:rPr>
          <w:sz w:val="28"/>
          <w:szCs w:val="28"/>
        </w:rPr>
      </w:pPr>
      <w:r>
        <w:rPr>
          <w:sz w:val="28"/>
          <w:szCs w:val="28"/>
          <w:rtl/>
        </w:rPr>
        <w:t>לאור כל האמור לעיל, בהעדר ראייה תומכת לגרסת המתלוננת ונוכח גרסת הנאשם, הגעתי למסקנה שלא יהיה זה וודאי לקבוע ממצא מרשיע על יסוד עדותה היחידה של המתלוננת, כשלא ניתן לפסול את האפשרות שהמתלוננת פרשה פירוש שגוי את מעשיו של הנאשם, והחלטתי, כאמור ברישת הכרעת הדין, לזכות את הנאשם מהעבירה שיוחסה לו וזאת מחמת הספק.</w:t>
      </w:r>
    </w:p>
    <w:p w14:paraId="070E007C" w14:textId="77777777" w:rsidR="004F5D16" w:rsidRDefault="00667ADA">
      <w:pPr>
        <w:rPr>
          <w:rFonts w:ascii="Arial" w:hAnsi="Arial"/>
          <w:rtl/>
        </w:rPr>
      </w:pPr>
      <w:r>
        <w:rPr>
          <w:rFonts w:ascii="Arial" w:hAnsi="Arial"/>
          <w:rtl/>
        </w:rPr>
        <w:t xml:space="preserve">ניתנה היום,  ז' סיוון תשע"ד , 05 יוני 2014, במעמד הצדדים </w:t>
      </w:r>
    </w:p>
    <w:p w14:paraId="3F353E55" w14:textId="77777777" w:rsidR="004F5D16" w:rsidRPr="00667ADA" w:rsidRDefault="00667ADA">
      <w:pPr>
        <w:tabs>
          <w:tab w:val="left" w:pos="1625"/>
        </w:tabs>
        <w:jc w:val="center"/>
        <w:rPr>
          <w:color w:val="FFFFFF"/>
          <w:sz w:val="2"/>
          <w:szCs w:val="2"/>
          <w:rtl/>
        </w:rPr>
      </w:pPr>
      <w:r w:rsidRPr="00667ADA">
        <w:rPr>
          <w:color w:val="FFFFFF"/>
          <w:sz w:val="2"/>
          <w:szCs w:val="2"/>
          <w:rtl/>
        </w:rPr>
        <w:t>5129371</w:t>
      </w:r>
      <w:r w:rsidRPr="00667ADA">
        <w:rPr>
          <w:rFonts w:hint="cs"/>
          <w:color w:val="FFFFFF"/>
          <w:sz w:val="2"/>
          <w:szCs w:val="2"/>
          <w:rtl/>
        </w:rPr>
        <w:t xml:space="preserve">                                </w:t>
      </w:r>
    </w:p>
    <w:p w14:paraId="78A51FF0" w14:textId="77777777" w:rsidR="004F5D16" w:rsidRPr="00667ADA" w:rsidRDefault="00667ADA">
      <w:pPr>
        <w:tabs>
          <w:tab w:val="left" w:pos="1625"/>
        </w:tabs>
        <w:jc w:val="center"/>
        <w:rPr>
          <w:color w:val="FFFFFF"/>
          <w:sz w:val="2"/>
          <w:szCs w:val="2"/>
          <w:rtl/>
        </w:rPr>
      </w:pPr>
      <w:r w:rsidRPr="00667ADA">
        <w:rPr>
          <w:color w:val="FFFFFF"/>
          <w:sz w:val="2"/>
          <w:szCs w:val="2"/>
          <w:rtl/>
        </w:rPr>
        <w:t>54678313</w:t>
      </w:r>
    </w:p>
    <w:p w14:paraId="71C72AF4" w14:textId="77777777" w:rsidR="004F5D16" w:rsidRDefault="00667ADA">
      <w:pPr>
        <w:tabs>
          <w:tab w:val="left" w:pos="1625"/>
        </w:tabs>
        <w:jc w:val="center"/>
      </w:pPr>
      <w:r>
        <w:rPr>
          <w:rFonts w:hint="cs"/>
          <w:rtl/>
        </w:rPr>
        <w:t xml:space="preserve">    </w:t>
      </w:r>
    </w:p>
    <w:p w14:paraId="00C7BAB8" w14:textId="77777777" w:rsidR="004F5D16" w:rsidRDefault="00667ADA">
      <w:pPr>
        <w:tabs>
          <w:tab w:val="left" w:pos="2553"/>
        </w:tabs>
      </w:pPr>
      <w:r>
        <w:rPr>
          <w:rFonts w:hint="cs"/>
          <w:rtl/>
        </w:rPr>
        <w:t xml:space="preserve">                                                                </w:t>
      </w:r>
    </w:p>
    <w:p w14:paraId="0952E3DD" w14:textId="77777777" w:rsidR="004F5D16" w:rsidRDefault="004F5D16">
      <w:pPr>
        <w:tabs>
          <w:tab w:val="left" w:pos="2553"/>
        </w:tabs>
        <w:rPr>
          <w:rFonts w:ascii="Arial" w:hAnsi="Arial"/>
        </w:rPr>
      </w:pPr>
    </w:p>
    <w:p w14:paraId="4BFC3F8C" w14:textId="77777777" w:rsidR="004F5D16" w:rsidRDefault="004F5D16">
      <w:pPr>
        <w:tabs>
          <w:tab w:val="left" w:pos="1625"/>
        </w:tabs>
        <w:jc w:val="center"/>
        <w:rPr>
          <w:rtl/>
        </w:rPr>
      </w:pPr>
    </w:p>
    <w:p w14:paraId="271EADEC" w14:textId="77777777" w:rsidR="00667ADA" w:rsidRPr="00667ADA" w:rsidRDefault="00667ADA" w:rsidP="00667ADA">
      <w:pPr>
        <w:keepNext/>
        <w:rPr>
          <w:rFonts w:ascii="David" w:hAnsi="David"/>
          <w:color w:val="000000"/>
          <w:sz w:val="22"/>
          <w:szCs w:val="22"/>
          <w:rtl/>
        </w:rPr>
      </w:pPr>
    </w:p>
    <w:p w14:paraId="5F03009D" w14:textId="77777777" w:rsidR="00667ADA" w:rsidRPr="00667ADA" w:rsidRDefault="00667ADA" w:rsidP="00667ADA">
      <w:pPr>
        <w:keepNext/>
        <w:rPr>
          <w:rFonts w:ascii="David" w:hAnsi="David"/>
          <w:color w:val="000000"/>
          <w:sz w:val="22"/>
          <w:szCs w:val="22"/>
          <w:rtl/>
        </w:rPr>
      </w:pPr>
      <w:r w:rsidRPr="00667ADA">
        <w:rPr>
          <w:rFonts w:ascii="David" w:hAnsi="David" w:hint="eastAsia"/>
          <w:color w:val="000000"/>
          <w:sz w:val="22"/>
          <w:szCs w:val="22"/>
          <w:rtl/>
        </w:rPr>
        <w:t>הדסה</w:t>
      </w:r>
      <w:r w:rsidRPr="00667ADA">
        <w:rPr>
          <w:rFonts w:ascii="David" w:hAnsi="David"/>
          <w:color w:val="000000"/>
          <w:sz w:val="22"/>
          <w:szCs w:val="22"/>
          <w:rtl/>
        </w:rPr>
        <w:t xml:space="preserve"> </w:t>
      </w:r>
      <w:r w:rsidRPr="00667ADA">
        <w:rPr>
          <w:rFonts w:ascii="David" w:hAnsi="David" w:hint="eastAsia"/>
          <w:color w:val="000000"/>
          <w:sz w:val="22"/>
          <w:szCs w:val="22"/>
          <w:rtl/>
        </w:rPr>
        <w:t>נאור</w:t>
      </w:r>
      <w:r w:rsidRPr="00667ADA">
        <w:rPr>
          <w:rFonts w:ascii="David" w:hAnsi="David"/>
          <w:color w:val="000000"/>
          <w:sz w:val="22"/>
          <w:szCs w:val="22"/>
          <w:rtl/>
        </w:rPr>
        <w:t xml:space="preserve"> 54678313</w:t>
      </w:r>
    </w:p>
    <w:p w14:paraId="113B64A0" w14:textId="77777777" w:rsidR="00667ADA" w:rsidRDefault="00667ADA" w:rsidP="00667ADA">
      <w:r w:rsidRPr="00667ADA">
        <w:rPr>
          <w:rFonts w:hint="eastAsia"/>
          <w:color w:val="000000"/>
          <w:rtl/>
        </w:rPr>
        <w:t>נוסח</w:t>
      </w:r>
      <w:r w:rsidRPr="00667ADA">
        <w:rPr>
          <w:color w:val="000000"/>
          <w:rtl/>
        </w:rPr>
        <w:t xml:space="preserve"> </w:t>
      </w:r>
      <w:r w:rsidRPr="00667ADA">
        <w:rPr>
          <w:rFonts w:hint="eastAsia"/>
          <w:color w:val="000000"/>
          <w:rtl/>
        </w:rPr>
        <w:t>מסמך</w:t>
      </w:r>
      <w:r w:rsidRPr="00667ADA">
        <w:rPr>
          <w:color w:val="000000"/>
          <w:rtl/>
        </w:rPr>
        <w:t xml:space="preserve"> </w:t>
      </w:r>
      <w:r w:rsidRPr="00667ADA">
        <w:rPr>
          <w:rFonts w:hint="eastAsia"/>
          <w:color w:val="000000"/>
          <w:rtl/>
        </w:rPr>
        <w:t>זה</w:t>
      </w:r>
      <w:r w:rsidRPr="00667ADA">
        <w:rPr>
          <w:color w:val="000000"/>
          <w:rtl/>
        </w:rPr>
        <w:t xml:space="preserve"> </w:t>
      </w:r>
      <w:r w:rsidRPr="00667ADA">
        <w:rPr>
          <w:rFonts w:hint="eastAsia"/>
          <w:color w:val="000000"/>
          <w:rtl/>
        </w:rPr>
        <w:t>כפוף</w:t>
      </w:r>
      <w:r w:rsidRPr="00667ADA">
        <w:rPr>
          <w:color w:val="000000"/>
          <w:rtl/>
        </w:rPr>
        <w:t xml:space="preserve"> </w:t>
      </w:r>
      <w:r w:rsidRPr="00667ADA">
        <w:rPr>
          <w:rFonts w:hint="eastAsia"/>
          <w:color w:val="000000"/>
          <w:rtl/>
        </w:rPr>
        <w:t>לשינויי</w:t>
      </w:r>
      <w:r w:rsidRPr="00667ADA">
        <w:rPr>
          <w:color w:val="000000"/>
          <w:rtl/>
        </w:rPr>
        <w:t xml:space="preserve"> </w:t>
      </w:r>
      <w:r w:rsidRPr="00667ADA">
        <w:rPr>
          <w:rFonts w:hint="eastAsia"/>
          <w:color w:val="000000"/>
          <w:rtl/>
        </w:rPr>
        <w:t>ניסוח</w:t>
      </w:r>
      <w:r w:rsidRPr="00667ADA">
        <w:rPr>
          <w:color w:val="000000"/>
          <w:rtl/>
        </w:rPr>
        <w:t xml:space="preserve"> </w:t>
      </w:r>
      <w:r w:rsidRPr="00667ADA">
        <w:rPr>
          <w:rFonts w:hint="eastAsia"/>
          <w:color w:val="000000"/>
          <w:rtl/>
        </w:rPr>
        <w:t>ועריכה</w:t>
      </w:r>
    </w:p>
    <w:p w14:paraId="2E8FFC95" w14:textId="77777777" w:rsidR="00667ADA" w:rsidRDefault="00667ADA" w:rsidP="00667ADA">
      <w:pPr>
        <w:rPr>
          <w:rtl/>
        </w:rPr>
      </w:pPr>
    </w:p>
    <w:p w14:paraId="64D9AB48" w14:textId="77777777" w:rsidR="00667ADA" w:rsidRDefault="00667ADA" w:rsidP="00667ADA">
      <w:pPr>
        <w:jc w:val="center"/>
        <w:rPr>
          <w:color w:val="0000FF"/>
          <w:u w:val="single"/>
        </w:rPr>
      </w:pPr>
      <w:hyperlink r:id="rId15"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D8CCA1E" w14:textId="77777777" w:rsidR="004F5D16" w:rsidRPr="00667ADA" w:rsidRDefault="004F5D16" w:rsidP="00667ADA">
      <w:pPr>
        <w:jc w:val="center"/>
        <w:rPr>
          <w:color w:val="0000FF"/>
          <w:u w:val="single"/>
        </w:rPr>
      </w:pPr>
    </w:p>
    <w:sectPr w:rsidR="004F5D16" w:rsidRPr="00667ADA" w:rsidSect="00667ADA">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9357" w14:textId="77777777" w:rsidR="00CE59ED" w:rsidRPr="00782712" w:rsidRDefault="00CE59ED">
      <w:pPr>
        <w:rPr>
          <w:rFonts w:cs="Arial"/>
          <w:szCs w:val="20"/>
        </w:rPr>
      </w:pPr>
      <w:r>
        <w:separator/>
      </w:r>
    </w:p>
  </w:endnote>
  <w:endnote w:type="continuationSeparator" w:id="0">
    <w:p w14:paraId="7486DCF2" w14:textId="77777777" w:rsidR="00CE59ED" w:rsidRPr="00782712" w:rsidRDefault="00CE59E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8B98" w14:textId="77777777" w:rsidR="00667ADA" w:rsidRDefault="00667ADA" w:rsidP="00667AD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D531424" w14:textId="77777777" w:rsidR="00667ADA" w:rsidRPr="00667ADA" w:rsidRDefault="00667ADA" w:rsidP="00667ADA">
    <w:pPr>
      <w:pStyle w:val="Footer"/>
      <w:pBdr>
        <w:top w:val="single" w:sz="4" w:space="1" w:color="auto"/>
        <w:between w:val="single" w:sz="4" w:space="0" w:color="auto"/>
      </w:pBdr>
      <w:spacing w:after="60"/>
      <w:jc w:val="center"/>
      <w:rPr>
        <w:rFonts w:ascii="FrankRuehl" w:hAnsi="FrankRuehl" w:cs="FrankRuehl"/>
        <w:color w:val="000000"/>
      </w:rPr>
    </w:pPr>
    <w:r w:rsidRPr="00667A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071C" w14:textId="77777777" w:rsidR="00667ADA" w:rsidRDefault="00667ADA" w:rsidP="00667AD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7A75">
      <w:rPr>
        <w:rFonts w:ascii="FrankRuehl" w:hAnsi="FrankRuehl" w:cs="FrankRuehl"/>
        <w:noProof/>
        <w:rtl/>
      </w:rPr>
      <w:t>9</w:t>
    </w:r>
    <w:r>
      <w:rPr>
        <w:rFonts w:ascii="FrankRuehl" w:hAnsi="FrankRuehl" w:cs="FrankRuehl"/>
        <w:rtl/>
      </w:rPr>
      <w:fldChar w:fldCharType="end"/>
    </w:r>
  </w:p>
  <w:p w14:paraId="4DD2A399" w14:textId="77777777" w:rsidR="004F5D16" w:rsidRPr="00667ADA" w:rsidRDefault="00667ADA" w:rsidP="00667ADA">
    <w:pPr>
      <w:pStyle w:val="Footer"/>
      <w:pBdr>
        <w:top w:val="single" w:sz="4" w:space="1" w:color="auto"/>
        <w:between w:val="single" w:sz="4" w:space="0" w:color="auto"/>
      </w:pBdr>
      <w:spacing w:after="60"/>
      <w:jc w:val="center"/>
      <w:rPr>
        <w:rFonts w:ascii="FrankRuehl" w:hAnsi="FrankRuehl" w:cs="FrankRuehl"/>
        <w:color w:val="000000"/>
      </w:rPr>
    </w:pPr>
    <w:r w:rsidRPr="00667ADA">
      <w:rPr>
        <w:rFonts w:ascii="FrankRuehl" w:hAnsi="FrankRuehl" w:cs="FrankRuehl"/>
        <w:color w:val="000000"/>
      </w:rPr>
      <w:pict w14:anchorId="26D22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9605" w14:textId="77777777" w:rsidR="00CE59ED" w:rsidRPr="00782712" w:rsidRDefault="00CE59ED">
      <w:pPr>
        <w:rPr>
          <w:rFonts w:cs="Arial"/>
          <w:szCs w:val="20"/>
        </w:rPr>
      </w:pPr>
      <w:r>
        <w:separator/>
      </w:r>
    </w:p>
  </w:footnote>
  <w:footnote w:type="continuationSeparator" w:id="0">
    <w:p w14:paraId="77C305D7" w14:textId="77777777" w:rsidR="00CE59ED" w:rsidRPr="00782712" w:rsidRDefault="00CE59E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5704" w14:textId="77777777" w:rsidR="00667ADA" w:rsidRPr="00667ADA" w:rsidRDefault="00667ADA" w:rsidP="00667AD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16029-01-13</w:t>
    </w:r>
    <w:r>
      <w:rPr>
        <w:rFonts w:ascii="David" w:hAnsi="David"/>
        <w:color w:val="000000"/>
        <w:sz w:val="22"/>
        <w:szCs w:val="22"/>
        <w:rtl/>
      </w:rPr>
      <w:tab/>
      <w:t xml:space="preserve"> מדינת ישראל נ' מנחם בכשי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CF1F" w14:textId="77777777" w:rsidR="00667ADA" w:rsidRPr="00667ADA" w:rsidRDefault="00667ADA" w:rsidP="00667AD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16029-01-13</w:t>
    </w:r>
    <w:r>
      <w:rPr>
        <w:rFonts w:ascii="David" w:hAnsi="David"/>
        <w:color w:val="000000"/>
        <w:sz w:val="22"/>
        <w:szCs w:val="22"/>
        <w:rtl/>
      </w:rPr>
      <w:tab/>
      <w:t xml:space="preserve"> מדינת ישראל נ' מנחם בכשי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72EAC"/>
    <w:multiLevelType w:val="hybridMultilevel"/>
    <w:tmpl w:val="52BE92BC"/>
    <w:lvl w:ilvl="0" w:tplc="65C23584">
      <w:start w:val="1"/>
      <w:numFmt w:val="decimal"/>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16cid:durableId="64339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5D16"/>
    <w:rsid w:val="000C63DB"/>
    <w:rsid w:val="00156716"/>
    <w:rsid w:val="004F5D16"/>
    <w:rsid w:val="005C389A"/>
    <w:rsid w:val="00667ADA"/>
    <w:rsid w:val="00A07A75"/>
    <w:rsid w:val="00CE59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5DF610"/>
  <w15:chartTrackingRefBased/>
  <w15:docId w15:val="{F9B2F8EB-3C27-4F96-87E4-BAF63226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D16"/>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F5D16"/>
    <w:pPr>
      <w:tabs>
        <w:tab w:val="center" w:pos="4153"/>
        <w:tab w:val="right" w:pos="8306"/>
      </w:tabs>
    </w:pPr>
  </w:style>
  <w:style w:type="paragraph" w:styleId="Footer">
    <w:name w:val="footer"/>
    <w:basedOn w:val="Normal"/>
    <w:rsid w:val="004F5D16"/>
    <w:pPr>
      <w:tabs>
        <w:tab w:val="center" w:pos="4153"/>
        <w:tab w:val="right" w:pos="8306"/>
      </w:tabs>
    </w:pPr>
  </w:style>
  <w:style w:type="paragraph" w:styleId="ListParagraph">
    <w:name w:val="List Paragraph"/>
    <w:basedOn w:val="Normal"/>
    <w:qFormat/>
    <w:rsid w:val="004F5D16"/>
    <w:pPr>
      <w:ind w:left="720"/>
      <w:contextualSpacing/>
    </w:pPr>
    <w:rPr>
      <w:rFonts w:ascii="Times New Roman" w:hAnsi="Times New Roman"/>
      <w:sz w:val="20"/>
      <w:lang w:eastAsia="he-IL"/>
    </w:rPr>
  </w:style>
  <w:style w:type="character" w:styleId="PageNumber">
    <w:name w:val="page number"/>
    <w:basedOn w:val="DefaultParagraphFont"/>
    <w:rsid w:val="00667ADA"/>
  </w:style>
  <w:style w:type="character" w:styleId="Hyperlink">
    <w:name w:val="Hyperlink"/>
    <w:basedOn w:val="DefaultParagraphFont"/>
    <w:rsid w:val="00667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903/182" TargetMode="External"/><Relationship Id="rId13" Type="http://schemas.openxmlformats.org/officeDocument/2006/relationships/hyperlink" Target="http://www.nevo.co.il/law/70301/348.c"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4903" TargetMode="External"/><Relationship Id="rId12" Type="http://schemas.openxmlformats.org/officeDocument/2006/relationships/hyperlink" Target="http://www.nevo.co.il/law/7490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182"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348.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11801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8257646</vt:i4>
      </vt:variant>
      <vt:variant>
        <vt:i4>15</vt:i4>
      </vt:variant>
      <vt:variant>
        <vt:i4>0</vt:i4>
      </vt:variant>
      <vt:variant>
        <vt:i4>5</vt:i4>
      </vt:variant>
      <vt:variant>
        <vt:lpwstr>http://www.nevo.co.il/law/74903</vt:lpwstr>
      </vt:variant>
      <vt:variant>
        <vt:lpwstr/>
      </vt:variant>
      <vt:variant>
        <vt:i4>6881388</vt:i4>
      </vt:variant>
      <vt:variant>
        <vt:i4>12</vt:i4>
      </vt:variant>
      <vt:variant>
        <vt:i4>0</vt:i4>
      </vt:variant>
      <vt:variant>
        <vt:i4>5</vt:i4>
      </vt:variant>
      <vt:variant>
        <vt:lpwstr>http://www.nevo.co.il/law/74903/182</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16029</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מנחם בכשי</vt:lpwstr>
  </property>
  <property fmtid="{D5CDD505-2E9C-101B-9397-08002B2CF9AE}" pid="10" name="LAWYER">
    <vt:lpwstr>זודזישסקיה סבטלנה;אסף שלם</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20140605</vt:lpwstr>
  </property>
  <property fmtid="{D5CDD505-2E9C-101B-9397-08002B2CF9AE}" pid="14" name="TYPE_N_DATE">
    <vt:lpwstr>38020140605</vt:lpwstr>
  </property>
  <property fmtid="{D5CDD505-2E9C-101B-9397-08002B2CF9AE}" pid="15" name="WORDNUMPAGES">
    <vt:lpwstr>9</vt:lpwstr>
  </property>
  <property fmtid="{D5CDD505-2E9C-101B-9397-08002B2CF9AE}" pid="16" name="TYPE_ABS_DATE">
    <vt:lpwstr>380020140605</vt:lpwstr>
  </property>
  <property fmtid="{D5CDD505-2E9C-101B-9397-08002B2CF9AE}" pid="17" name="ISABSTRACT">
    <vt:lpwstr>Y</vt:lpwstr>
  </property>
  <property fmtid="{D5CDD505-2E9C-101B-9397-08002B2CF9AE}" pid="18" name="LAWLISTTMP1">
    <vt:lpwstr>74903/182</vt:lpwstr>
  </property>
  <property fmtid="{D5CDD505-2E9C-101B-9397-08002B2CF9AE}" pid="19" name="LAWLISTTMP2">
    <vt:lpwstr>70301/348.c</vt:lpwstr>
  </property>
</Properties>
</file>