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A706A" w:rsidRPr="00CA706A" w14:paraId="60DBE356" w14:textId="77777777" w:rsidTr="00CA706A">
        <w:trPr>
          <w:trHeight w:hRule="exact" w:val="418"/>
          <w:jc w:val="center"/>
        </w:trPr>
        <w:tc>
          <w:tcPr>
            <w:tcW w:w="8721" w:type="dxa"/>
            <w:gridSpan w:val="2"/>
          </w:tcPr>
          <w:p w14:paraId="5632405C" w14:textId="77777777" w:rsidR="00CA706A" w:rsidRPr="00CA706A" w:rsidRDefault="00CA706A" w:rsidP="00CA706A">
            <w:pPr>
              <w:pStyle w:val="Header"/>
              <w:jc w:val="center"/>
              <w:rPr>
                <w:rFonts w:ascii="Tahoma" w:hAnsi="Tahoma" w:cs="Tahoma"/>
                <w:color w:val="000080"/>
              </w:rPr>
            </w:pPr>
            <w:bookmarkStart w:id="0" w:name="FirstLawyer"/>
            <w:bookmarkStart w:id="1" w:name="LastJudge"/>
            <w:r w:rsidRPr="00CA706A">
              <w:rPr>
                <w:rFonts w:ascii="Tahoma" w:hAnsi="Tahoma" w:cs="Tahoma"/>
                <w:b/>
                <w:bCs/>
                <w:color w:val="000080"/>
                <w:rtl/>
              </w:rPr>
              <w:t>בית משפט השלום ברמלה</w:t>
            </w:r>
          </w:p>
        </w:tc>
      </w:tr>
      <w:tr w:rsidR="00CA706A" w:rsidRPr="00CA706A" w14:paraId="7B8A5442" w14:textId="77777777" w:rsidTr="00CA706A">
        <w:trPr>
          <w:trHeight w:val="337"/>
          <w:jc w:val="center"/>
        </w:trPr>
        <w:tc>
          <w:tcPr>
            <w:tcW w:w="5047" w:type="dxa"/>
          </w:tcPr>
          <w:p w14:paraId="6EAD32E1" w14:textId="77777777" w:rsidR="00CA706A" w:rsidRPr="00CA706A" w:rsidRDefault="00CA706A" w:rsidP="00CA706A">
            <w:pPr>
              <w:pStyle w:val="Header"/>
              <w:rPr>
                <w:rFonts w:cs="FrankRuehl"/>
                <w:sz w:val="28"/>
                <w:szCs w:val="28"/>
              </w:rPr>
            </w:pPr>
          </w:p>
        </w:tc>
        <w:tc>
          <w:tcPr>
            <w:tcW w:w="3674" w:type="dxa"/>
          </w:tcPr>
          <w:p w14:paraId="0585DD60" w14:textId="77777777" w:rsidR="00CA706A" w:rsidRPr="00CA706A" w:rsidRDefault="00CA706A" w:rsidP="00CA706A">
            <w:pPr>
              <w:pStyle w:val="Header"/>
              <w:jc w:val="right"/>
              <w:rPr>
                <w:rFonts w:cs="FrankRuehl"/>
                <w:sz w:val="28"/>
                <w:szCs w:val="28"/>
              </w:rPr>
            </w:pPr>
          </w:p>
        </w:tc>
      </w:tr>
      <w:tr w:rsidR="00CA706A" w:rsidRPr="00CA706A" w14:paraId="4174CA17" w14:textId="77777777" w:rsidTr="00CA706A">
        <w:trPr>
          <w:trHeight w:val="337"/>
          <w:jc w:val="center"/>
        </w:trPr>
        <w:tc>
          <w:tcPr>
            <w:tcW w:w="8721" w:type="dxa"/>
            <w:gridSpan w:val="2"/>
          </w:tcPr>
          <w:p w14:paraId="04CF6483" w14:textId="77777777" w:rsidR="00CA706A" w:rsidRPr="00327999" w:rsidRDefault="00CA706A" w:rsidP="00CA706A">
            <w:pPr>
              <w:rPr>
                <w:rFonts w:cs="FrankRuehl"/>
                <w:b/>
                <w:bCs/>
                <w:sz w:val="28"/>
                <w:szCs w:val="28"/>
                <w:rtl/>
              </w:rPr>
            </w:pPr>
            <w:r w:rsidRPr="00327999">
              <w:rPr>
                <w:rFonts w:cs="FrankRuehl" w:hint="eastAsia"/>
                <w:b/>
                <w:bCs/>
                <w:sz w:val="28"/>
                <w:szCs w:val="28"/>
                <w:rtl/>
              </w:rPr>
              <w:t>ת</w:t>
            </w:r>
            <w:r w:rsidRPr="00327999">
              <w:rPr>
                <w:rFonts w:cs="FrankRuehl"/>
                <w:b/>
                <w:bCs/>
                <w:sz w:val="28"/>
                <w:szCs w:val="28"/>
                <w:rtl/>
              </w:rPr>
              <w:t>"</w:t>
            </w:r>
            <w:r w:rsidRPr="00327999">
              <w:rPr>
                <w:rFonts w:cs="FrankRuehl" w:hint="eastAsia"/>
                <w:b/>
                <w:bCs/>
                <w:sz w:val="28"/>
                <w:szCs w:val="28"/>
                <w:rtl/>
              </w:rPr>
              <w:t>פ</w:t>
            </w:r>
            <w:r w:rsidRPr="00327999">
              <w:rPr>
                <w:rFonts w:cs="FrankRuehl"/>
                <w:b/>
                <w:bCs/>
                <w:sz w:val="28"/>
                <w:szCs w:val="28"/>
                <w:rtl/>
              </w:rPr>
              <w:t xml:space="preserve"> 49864-04-13 </w:t>
            </w:r>
            <w:r w:rsidRPr="00327999">
              <w:rPr>
                <w:rFonts w:cs="FrankRuehl" w:hint="eastAsia"/>
                <w:b/>
                <w:bCs/>
                <w:sz w:val="28"/>
                <w:szCs w:val="28"/>
                <w:rtl/>
              </w:rPr>
              <w:t>פרקליטות</w:t>
            </w:r>
            <w:r w:rsidRPr="00327999">
              <w:rPr>
                <w:rFonts w:cs="FrankRuehl"/>
                <w:b/>
                <w:bCs/>
                <w:sz w:val="28"/>
                <w:szCs w:val="28"/>
                <w:rtl/>
              </w:rPr>
              <w:t xml:space="preserve"> </w:t>
            </w:r>
            <w:r w:rsidRPr="00327999">
              <w:rPr>
                <w:rFonts w:cs="FrankRuehl" w:hint="eastAsia"/>
                <w:b/>
                <w:bCs/>
                <w:sz w:val="28"/>
                <w:szCs w:val="28"/>
                <w:rtl/>
              </w:rPr>
              <w:t>מחוז</w:t>
            </w:r>
            <w:r w:rsidRPr="00327999">
              <w:rPr>
                <w:rFonts w:cs="FrankRuehl"/>
                <w:b/>
                <w:bCs/>
                <w:sz w:val="28"/>
                <w:szCs w:val="28"/>
                <w:rtl/>
              </w:rPr>
              <w:t xml:space="preserve"> </w:t>
            </w:r>
            <w:r w:rsidRPr="00327999">
              <w:rPr>
                <w:rFonts w:cs="FrankRuehl" w:hint="eastAsia"/>
                <w:b/>
                <w:bCs/>
                <w:sz w:val="28"/>
                <w:szCs w:val="28"/>
                <w:rtl/>
              </w:rPr>
              <w:t>מרכז</w:t>
            </w:r>
            <w:r w:rsidRPr="00327999">
              <w:rPr>
                <w:rFonts w:cs="FrankRuehl"/>
                <w:b/>
                <w:bCs/>
                <w:sz w:val="28"/>
                <w:szCs w:val="28"/>
                <w:rtl/>
              </w:rPr>
              <w:t xml:space="preserve"> </w:t>
            </w:r>
            <w:r w:rsidRPr="00327999">
              <w:rPr>
                <w:rFonts w:cs="FrankRuehl" w:hint="eastAsia"/>
                <w:b/>
                <w:bCs/>
                <w:sz w:val="28"/>
                <w:szCs w:val="28"/>
                <w:rtl/>
              </w:rPr>
              <w:t>נ</w:t>
            </w:r>
            <w:r w:rsidRPr="00327999">
              <w:rPr>
                <w:rFonts w:cs="FrankRuehl"/>
                <w:b/>
                <w:bCs/>
                <w:sz w:val="28"/>
                <w:szCs w:val="28"/>
                <w:rtl/>
              </w:rPr>
              <w:t xml:space="preserve">' </w:t>
            </w:r>
            <w:r w:rsidRPr="00327999">
              <w:rPr>
                <w:rFonts w:cs="FrankRuehl" w:hint="eastAsia"/>
                <w:b/>
                <w:bCs/>
                <w:sz w:val="28"/>
                <w:szCs w:val="28"/>
                <w:rtl/>
              </w:rPr>
              <w:t>פלוני</w:t>
            </w:r>
          </w:p>
          <w:p w14:paraId="234FA4DF" w14:textId="77777777" w:rsidR="00CA706A" w:rsidRPr="00CA706A" w:rsidRDefault="00CA706A" w:rsidP="00CA706A">
            <w:pPr>
              <w:pStyle w:val="Header"/>
            </w:pPr>
          </w:p>
        </w:tc>
      </w:tr>
    </w:tbl>
    <w:p w14:paraId="3879AE58" w14:textId="77777777" w:rsidR="00CA706A" w:rsidRPr="00CA706A" w:rsidRDefault="00CA706A" w:rsidP="00CA706A">
      <w:pPr>
        <w:pStyle w:val="Header"/>
      </w:pPr>
    </w:p>
    <w:p w14:paraId="2F224594" w14:textId="77777777" w:rsidR="00CA706A" w:rsidRPr="00CA706A" w:rsidRDefault="00CA706A" w:rsidP="00E2379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CA706A" w:rsidRPr="00CA706A" w14:paraId="4D435241" w14:textId="77777777" w:rsidTr="00CA706A">
        <w:trPr>
          <w:trHeight w:val="295"/>
          <w:jc w:val="center"/>
        </w:trPr>
        <w:tc>
          <w:tcPr>
            <w:tcW w:w="743" w:type="dxa"/>
            <w:tcBorders>
              <w:top w:val="nil"/>
              <w:left w:val="nil"/>
              <w:bottom w:val="nil"/>
              <w:right w:val="nil"/>
            </w:tcBorders>
          </w:tcPr>
          <w:p w14:paraId="50D40FEA" w14:textId="77777777" w:rsidR="00CA706A" w:rsidRPr="00CA706A" w:rsidRDefault="00CA706A" w:rsidP="00CA706A">
            <w:pPr>
              <w:jc w:val="both"/>
              <w:rPr>
                <w:rFonts w:ascii="Arial" w:hAnsi="Arial"/>
                <w:b/>
                <w:bCs/>
              </w:rPr>
            </w:pPr>
            <w:bookmarkStart w:id="2" w:name="_GoBack"/>
            <w:bookmarkEnd w:id="2"/>
            <w:r w:rsidRPr="00CA706A">
              <w:rPr>
                <w:rFonts w:ascii="Arial" w:hAnsi="Arial"/>
                <w:b/>
                <w:bCs/>
                <w:rtl/>
              </w:rPr>
              <w:t xml:space="preserve">בפני </w:t>
            </w:r>
          </w:p>
        </w:tc>
        <w:tc>
          <w:tcPr>
            <w:tcW w:w="8077" w:type="dxa"/>
            <w:tcBorders>
              <w:top w:val="nil"/>
              <w:left w:val="nil"/>
              <w:bottom w:val="nil"/>
              <w:right w:val="nil"/>
            </w:tcBorders>
          </w:tcPr>
          <w:p w14:paraId="727352FB" w14:textId="77777777" w:rsidR="00CA706A" w:rsidRPr="00CA706A" w:rsidRDefault="00CA706A" w:rsidP="00CA706A">
            <w:pPr>
              <w:rPr>
                <w:rFonts w:ascii="Arial" w:hAnsi="Arial"/>
                <w:b/>
                <w:bCs/>
                <w:highlight w:val="yellow"/>
              </w:rPr>
            </w:pPr>
            <w:r w:rsidRPr="00CA706A">
              <w:rPr>
                <w:rFonts w:ascii="Arial" w:hAnsi="Arial"/>
                <w:b/>
                <w:bCs/>
                <w:rtl/>
              </w:rPr>
              <w:t>כבוד השופט הישאם  אבו שחאדה</w:t>
            </w:r>
          </w:p>
        </w:tc>
      </w:tr>
    </w:tbl>
    <w:p w14:paraId="2AB7772F" w14:textId="77777777" w:rsidR="00CA706A" w:rsidRPr="00CA706A" w:rsidRDefault="00CA706A" w:rsidP="00E2379A">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CA706A" w:rsidRPr="00CA706A" w14:paraId="55B2593C" w14:textId="77777777" w:rsidTr="00CA706A">
        <w:trPr>
          <w:trHeight w:val="355"/>
          <w:jc w:val="center"/>
        </w:trPr>
        <w:tc>
          <w:tcPr>
            <w:tcW w:w="853" w:type="dxa"/>
            <w:tcBorders>
              <w:top w:val="nil"/>
              <w:left w:val="nil"/>
              <w:bottom w:val="nil"/>
              <w:right w:val="nil"/>
            </w:tcBorders>
          </w:tcPr>
          <w:p w14:paraId="5B640B4E" w14:textId="77777777" w:rsidR="00CA706A" w:rsidRPr="00CA706A" w:rsidRDefault="00CA706A" w:rsidP="00CA706A">
            <w:pPr>
              <w:jc w:val="both"/>
              <w:rPr>
                <w:rFonts w:ascii="Arial" w:hAnsi="Arial" w:cs="FrankRuehl"/>
                <w:b/>
                <w:bCs/>
                <w:sz w:val="28"/>
                <w:szCs w:val="28"/>
                <w:rtl/>
              </w:rPr>
            </w:pPr>
            <w:bookmarkStart w:id="3" w:name="FirstAppellant"/>
          </w:p>
          <w:p w14:paraId="2812A93F" w14:textId="77777777" w:rsidR="00CA706A" w:rsidRPr="00CA706A" w:rsidRDefault="00CA706A" w:rsidP="00CA706A">
            <w:pPr>
              <w:jc w:val="both"/>
              <w:rPr>
                <w:rFonts w:ascii="Arial" w:hAnsi="Arial" w:cs="FrankRuehl"/>
                <w:b/>
                <w:bCs/>
                <w:sz w:val="28"/>
                <w:szCs w:val="28"/>
              </w:rPr>
            </w:pPr>
            <w:r w:rsidRPr="00CA706A">
              <w:rPr>
                <w:rFonts w:ascii="Arial" w:hAnsi="Arial" w:cs="FrankRuehl"/>
                <w:b/>
                <w:bCs/>
                <w:sz w:val="28"/>
                <w:szCs w:val="28"/>
                <w:rtl/>
              </w:rPr>
              <w:t>בעניין:</w:t>
            </w:r>
          </w:p>
        </w:tc>
        <w:tc>
          <w:tcPr>
            <w:tcW w:w="4240" w:type="dxa"/>
            <w:tcBorders>
              <w:top w:val="nil"/>
              <w:left w:val="nil"/>
              <w:bottom w:val="nil"/>
              <w:right w:val="nil"/>
            </w:tcBorders>
          </w:tcPr>
          <w:p w14:paraId="6EF39DAA" w14:textId="77777777" w:rsidR="00CA706A" w:rsidRPr="00CA706A" w:rsidRDefault="00CA706A" w:rsidP="00CA706A">
            <w:pPr>
              <w:rPr>
                <w:rFonts w:ascii="Arial" w:hAnsi="Arial"/>
                <w:b/>
                <w:bCs/>
                <w:sz w:val="26"/>
                <w:szCs w:val="26"/>
              </w:rPr>
            </w:pPr>
          </w:p>
          <w:p w14:paraId="12F4836A" w14:textId="77777777" w:rsidR="00CA706A" w:rsidRPr="00CA706A" w:rsidRDefault="00CA706A" w:rsidP="00CA706A">
            <w:pPr>
              <w:rPr>
                <w:rFonts w:ascii="Arial" w:hAnsi="Arial"/>
                <w:b/>
                <w:bCs/>
                <w:sz w:val="26"/>
                <w:szCs w:val="26"/>
              </w:rPr>
            </w:pPr>
            <w:r w:rsidRPr="00CA706A">
              <w:rPr>
                <w:rFonts w:ascii="Arial" w:hAnsi="Arial"/>
                <w:b/>
                <w:bCs/>
                <w:sz w:val="26"/>
                <w:szCs w:val="26"/>
                <w:rtl/>
              </w:rPr>
              <w:t xml:space="preserve">המאשימה מדינת ישראל </w:t>
            </w:r>
            <w:r w:rsidRPr="00CA706A">
              <w:rPr>
                <w:rFonts w:ascii="Arial" w:hAnsi="Arial"/>
                <w:b/>
                <w:bCs/>
                <w:sz w:val="26"/>
                <w:szCs w:val="26"/>
                <w:rtl/>
              </w:rPr>
              <w:br/>
              <w:t>באמצעות פרקליטות מחוז מרכז</w:t>
            </w:r>
            <w:r w:rsidRPr="00CA706A">
              <w:rPr>
                <w:rFonts w:ascii="Arial" w:hAnsi="Arial"/>
                <w:b/>
                <w:bCs/>
                <w:sz w:val="26"/>
                <w:szCs w:val="26"/>
                <w:rtl/>
              </w:rPr>
              <w:br/>
            </w:r>
            <w:r w:rsidRPr="00CA706A">
              <w:rPr>
                <w:rFonts w:hint="eastAsia"/>
                <w:b/>
                <w:bCs/>
                <w:rtl/>
              </w:rPr>
              <w:t>ע</w:t>
            </w:r>
            <w:r w:rsidRPr="00CA706A">
              <w:rPr>
                <w:b/>
                <w:bCs/>
                <w:rtl/>
              </w:rPr>
              <w:t>"</w:t>
            </w:r>
            <w:r w:rsidRPr="00CA706A">
              <w:rPr>
                <w:rFonts w:hint="eastAsia"/>
                <w:b/>
                <w:bCs/>
                <w:rtl/>
              </w:rPr>
              <w:t>י</w:t>
            </w:r>
            <w:r w:rsidRPr="00CA706A">
              <w:rPr>
                <w:b/>
                <w:bCs/>
                <w:rtl/>
              </w:rPr>
              <w:t xml:space="preserve"> </w:t>
            </w:r>
            <w:r w:rsidRPr="00CA706A">
              <w:rPr>
                <w:rFonts w:hint="eastAsia"/>
                <w:b/>
                <w:bCs/>
                <w:rtl/>
              </w:rPr>
              <w:t>המתמחה</w:t>
            </w:r>
            <w:r w:rsidRPr="00CA706A">
              <w:rPr>
                <w:b/>
                <w:bCs/>
                <w:rtl/>
              </w:rPr>
              <w:t xml:space="preserve"> </w:t>
            </w:r>
            <w:r w:rsidRPr="00CA706A">
              <w:rPr>
                <w:rFonts w:hint="eastAsia"/>
                <w:b/>
                <w:bCs/>
                <w:rtl/>
              </w:rPr>
              <w:t>הגב</w:t>
            </w:r>
            <w:r w:rsidRPr="00CA706A">
              <w:rPr>
                <w:b/>
                <w:bCs/>
                <w:rtl/>
              </w:rPr>
              <w:t xml:space="preserve">' </w:t>
            </w:r>
            <w:r w:rsidRPr="00CA706A">
              <w:rPr>
                <w:rFonts w:hint="eastAsia"/>
                <w:b/>
                <w:bCs/>
                <w:rtl/>
              </w:rPr>
              <w:t>חמוטל</w:t>
            </w:r>
            <w:r w:rsidRPr="00CA706A">
              <w:rPr>
                <w:b/>
                <w:bCs/>
                <w:rtl/>
              </w:rPr>
              <w:t xml:space="preserve"> </w:t>
            </w:r>
            <w:r w:rsidRPr="00CA706A">
              <w:rPr>
                <w:rFonts w:hint="eastAsia"/>
                <w:b/>
                <w:bCs/>
                <w:rtl/>
              </w:rPr>
              <w:t>פז</w:t>
            </w:r>
            <w:r w:rsidRPr="00CA706A">
              <w:rPr>
                <w:b/>
                <w:bCs/>
                <w:rtl/>
              </w:rPr>
              <w:t xml:space="preserve"> </w:t>
            </w:r>
          </w:p>
        </w:tc>
        <w:tc>
          <w:tcPr>
            <w:tcW w:w="3727" w:type="dxa"/>
            <w:tcBorders>
              <w:top w:val="nil"/>
              <w:left w:val="nil"/>
              <w:bottom w:val="nil"/>
              <w:right w:val="nil"/>
            </w:tcBorders>
          </w:tcPr>
          <w:p w14:paraId="49622856" w14:textId="77777777" w:rsidR="00CA706A" w:rsidRPr="00CA706A" w:rsidRDefault="00CA706A" w:rsidP="00CA706A">
            <w:pPr>
              <w:jc w:val="both"/>
              <w:rPr>
                <w:rFonts w:ascii="Arial" w:hAnsi="Arial"/>
                <w:b/>
                <w:bCs/>
                <w:sz w:val="26"/>
                <w:szCs w:val="26"/>
              </w:rPr>
            </w:pPr>
          </w:p>
        </w:tc>
      </w:tr>
      <w:bookmarkEnd w:id="3"/>
      <w:tr w:rsidR="00CA706A" w:rsidRPr="00CA706A" w14:paraId="0F758FF4" w14:textId="77777777" w:rsidTr="00CA706A">
        <w:trPr>
          <w:gridAfter w:val="2"/>
          <w:wAfter w:w="7967" w:type="dxa"/>
          <w:trHeight w:val="355"/>
          <w:jc w:val="center"/>
        </w:trPr>
        <w:tc>
          <w:tcPr>
            <w:tcW w:w="853" w:type="dxa"/>
            <w:tcBorders>
              <w:top w:val="nil"/>
              <w:left w:val="nil"/>
              <w:bottom w:val="nil"/>
              <w:right w:val="nil"/>
            </w:tcBorders>
          </w:tcPr>
          <w:p w14:paraId="36164583" w14:textId="77777777" w:rsidR="00CA706A" w:rsidRPr="00CA706A" w:rsidRDefault="00CA706A" w:rsidP="00CA706A">
            <w:pPr>
              <w:jc w:val="both"/>
              <w:rPr>
                <w:rFonts w:ascii="Arial" w:hAnsi="Arial" w:cs="FrankRuehl"/>
                <w:b/>
                <w:bCs/>
                <w:sz w:val="28"/>
                <w:szCs w:val="28"/>
              </w:rPr>
            </w:pPr>
          </w:p>
        </w:tc>
      </w:tr>
      <w:tr w:rsidR="00CA706A" w:rsidRPr="00CA706A" w14:paraId="2BDCE764" w14:textId="77777777" w:rsidTr="00CA706A">
        <w:trPr>
          <w:trHeight w:val="355"/>
          <w:jc w:val="center"/>
        </w:trPr>
        <w:tc>
          <w:tcPr>
            <w:tcW w:w="853" w:type="dxa"/>
            <w:tcBorders>
              <w:top w:val="nil"/>
              <w:left w:val="nil"/>
              <w:bottom w:val="nil"/>
              <w:right w:val="nil"/>
            </w:tcBorders>
          </w:tcPr>
          <w:p w14:paraId="2C20438E" w14:textId="77777777" w:rsidR="00CA706A" w:rsidRPr="00CA706A" w:rsidRDefault="00CA706A" w:rsidP="00CA706A">
            <w:pPr>
              <w:jc w:val="both"/>
              <w:rPr>
                <w:rFonts w:ascii="Arial" w:hAnsi="Arial" w:cs="FrankRuehl"/>
                <w:b/>
                <w:bCs/>
                <w:sz w:val="28"/>
                <w:szCs w:val="28"/>
              </w:rPr>
            </w:pPr>
          </w:p>
        </w:tc>
        <w:tc>
          <w:tcPr>
            <w:tcW w:w="7967" w:type="dxa"/>
            <w:gridSpan w:val="2"/>
            <w:tcBorders>
              <w:top w:val="nil"/>
              <w:left w:val="nil"/>
              <w:bottom w:val="nil"/>
              <w:right w:val="nil"/>
            </w:tcBorders>
          </w:tcPr>
          <w:p w14:paraId="6CCC761A" w14:textId="77777777" w:rsidR="00CA706A" w:rsidRPr="00CA706A" w:rsidRDefault="00CA706A" w:rsidP="00CA706A">
            <w:pPr>
              <w:jc w:val="center"/>
              <w:rPr>
                <w:rFonts w:ascii="Arial" w:hAnsi="Arial"/>
                <w:b/>
                <w:bCs/>
                <w:sz w:val="26"/>
                <w:szCs w:val="26"/>
                <w:rtl/>
              </w:rPr>
            </w:pPr>
          </w:p>
          <w:p w14:paraId="7ADBA346" w14:textId="77777777" w:rsidR="00CA706A" w:rsidRPr="00CA706A" w:rsidRDefault="00CA706A" w:rsidP="00CA706A">
            <w:pPr>
              <w:jc w:val="center"/>
              <w:rPr>
                <w:rFonts w:ascii="Arial" w:hAnsi="Arial"/>
                <w:b/>
                <w:bCs/>
                <w:sz w:val="26"/>
                <w:szCs w:val="26"/>
                <w:rtl/>
              </w:rPr>
            </w:pPr>
            <w:r w:rsidRPr="00CA706A">
              <w:rPr>
                <w:rFonts w:ascii="Arial" w:hAnsi="Arial"/>
                <w:b/>
                <w:bCs/>
                <w:sz w:val="26"/>
                <w:szCs w:val="26"/>
                <w:rtl/>
              </w:rPr>
              <w:t>נגד</w:t>
            </w:r>
          </w:p>
          <w:p w14:paraId="5713C0EB" w14:textId="77777777" w:rsidR="00CA706A" w:rsidRPr="00CA706A" w:rsidRDefault="00CA706A" w:rsidP="00CA706A">
            <w:pPr>
              <w:jc w:val="both"/>
              <w:rPr>
                <w:rFonts w:ascii="Arial" w:hAnsi="Arial"/>
                <w:b/>
                <w:bCs/>
                <w:sz w:val="26"/>
                <w:szCs w:val="26"/>
              </w:rPr>
            </w:pPr>
          </w:p>
        </w:tc>
      </w:tr>
      <w:tr w:rsidR="00CA706A" w:rsidRPr="00CA706A" w14:paraId="4380DB02" w14:textId="77777777" w:rsidTr="00CA706A">
        <w:trPr>
          <w:trHeight w:val="355"/>
          <w:jc w:val="center"/>
        </w:trPr>
        <w:tc>
          <w:tcPr>
            <w:tcW w:w="853" w:type="dxa"/>
            <w:tcBorders>
              <w:top w:val="nil"/>
              <w:left w:val="nil"/>
              <w:bottom w:val="nil"/>
              <w:right w:val="nil"/>
            </w:tcBorders>
          </w:tcPr>
          <w:p w14:paraId="54A5B002" w14:textId="77777777" w:rsidR="00CA706A" w:rsidRPr="00CA706A" w:rsidRDefault="00CA706A" w:rsidP="00CA706A">
            <w:pPr>
              <w:jc w:val="both"/>
              <w:rPr>
                <w:rFonts w:ascii="Arial" w:hAnsi="Arial" w:cs="FrankRuehl"/>
                <w:b/>
                <w:bCs/>
                <w:sz w:val="28"/>
                <w:szCs w:val="28"/>
              </w:rPr>
            </w:pPr>
          </w:p>
        </w:tc>
        <w:tc>
          <w:tcPr>
            <w:tcW w:w="4240" w:type="dxa"/>
            <w:tcBorders>
              <w:top w:val="nil"/>
              <w:left w:val="nil"/>
              <w:bottom w:val="nil"/>
              <w:right w:val="nil"/>
            </w:tcBorders>
          </w:tcPr>
          <w:p w14:paraId="735E1DE8" w14:textId="77777777" w:rsidR="00CA706A" w:rsidRPr="00CA706A" w:rsidRDefault="00CA706A" w:rsidP="00CA706A">
            <w:pPr>
              <w:rPr>
                <w:b/>
                <w:bCs/>
                <w:sz w:val="26"/>
                <w:szCs w:val="26"/>
              </w:rPr>
            </w:pPr>
            <w:r w:rsidRPr="00CA706A">
              <w:rPr>
                <w:rFonts w:hint="eastAsia"/>
                <w:b/>
                <w:bCs/>
                <w:rtl/>
              </w:rPr>
              <w:t>הנאשם</w:t>
            </w:r>
            <w:r w:rsidRPr="00CA706A">
              <w:rPr>
                <w:b/>
                <w:bCs/>
                <w:rtl/>
              </w:rPr>
              <w:t xml:space="preserve"> – </w:t>
            </w:r>
            <w:r w:rsidRPr="00CA706A">
              <w:rPr>
                <w:rFonts w:hint="eastAsia"/>
                <w:b/>
                <w:bCs/>
                <w:rtl/>
              </w:rPr>
              <w:t>פלוני</w:t>
            </w:r>
            <w:r w:rsidRPr="00CA706A">
              <w:rPr>
                <w:b/>
                <w:bCs/>
                <w:rtl/>
              </w:rPr>
              <w:t xml:space="preserve"> </w:t>
            </w:r>
            <w:r w:rsidRPr="00CA706A">
              <w:rPr>
                <w:b/>
                <w:bCs/>
                <w:rtl/>
              </w:rPr>
              <w:br/>
            </w:r>
            <w:r w:rsidRPr="00CA706A">
              <w:rPr>
                <w:rFonts w:hint="eastAsia"/>
                <w:b/>
                <w:bCs/>
                <w:rtl/>
              </w:rPr>
              <w:t>ע</w:t>
            </w:r>
            <w:r w:rsidRPr="00CA706A">
              <w:rPr>
                <w:b/>
                <w:bCs/>
                <w:rtl/>
              </w:rPr>
              <w:t>"</w:t>
            </w:r>
            <w:r w:rsidRPr="00CA706A">
              <w:rPr>
                <w:rFonts w:hint="eastAsia"/>
                <w:b/>
                <w:bCs/>
                <w:rtl/>
              </w:rPr>
              <w:t>י</w:t>
            </w:r>
            <w:r w:rsidRPr="00CA706A">
              <w:rPr>
                <w:b/>
                <w:bCs/>
                <w:rtl/>
              </w:rPr>
              <w:t xml:space="preserve"> </w:t>
            </w:r>
            <w:r w:rsidRPr="00CA706A">
              <w:rPr>
                <w:rFonts w:hint="eastAsia"/>
                <w:b/>
                <w:bCs/>
                <w:rtl/>
              </w:rPr>
              <w:t>עוה</w:t>
            </w:r>
            <w:r w:rsidRPr="00CA706A">
              <w:rPr>
                <w:b/>
                <w:bCs/>
                <w:rtl/>
              </w:rPr>
              <w:t>"</w:t>
            </w:r>
            <w:r w:rsidRPr="00CA706A">
              <w:rPr>
                <w:rFonts w:hint="eastAsia"/>
                <w:b/>
                <w:bCs/>
                <w:rtl/>
              </w:rPr>
              <w:t>ד</w:t>
            </w:r>
            <w:r w:rsidRPr="00CA706A">
              <w:rPr>
                <w:b/>
                <w:bCs/>
                <w:rtl/>
              </w:rPr>
              <w:t xml:space="preserve"> </w:t>
            </w:r>
            <w:r w:rsidRPr="00CA706A">
              <w:rPr>
                <w:rFonts w:hint="eastAsia"/>
                <w:b/>
                <w:bCs/>
                <w:rtl/>
              </w:rPr>
              <w:t>דן</w:t>
            </w:r>
            <w:r w:rsidRPr="00CA706A">
              <w:rPr>
                <w:b/>
                <w:bCs/>
                <w:rtl/>
              </w:rPr>
              <w:t xml:space="preserve"> </w:t>
            </w:r>
            <w:r w:rsidRPr="00CA706A">
              <w:rPr>
                <w:rFonts w:hint="eastAsia"/>
                <w:b/>
                <w:bCs/>
                <w:rtl/>
              </w:rPr>
              <w:t>באומן</w:t>
            </w:r>
            <w:r w:rsidRPr="00CA706A">
              <w:rPr>
                <w:b/>
                <w:bCs/>
                <w:rtl/>
              </w:rPr>
              <w:t xml:space="preserve"> </w:t>
            </w:r>
          </w:p>
        </w:tc>
        <w:tc>
          <w:tcPr>
            <w:tcW w:w="3727" w:type="dxa"/>
            <w:tcBorders>
              <w:top w:val="nil"/>
              <w:left w:val="nil"/>
              <w:bottom w:val="nil"/>
              <w:right w:val="nil"/>
            </w:tcBorders>
          </w:tcPr>
          <w:p w14:paraId="7CAE3DAC" w14:textId="77777777" w:rsidR="00CA706A" w:rsidRPr="00CA706A" w:rsidRDefault="00CA706A" w:rsidP="00CA706A">
            <w:pPr>
              <w:jc w:val="right"/>
              <w:rPr>
                <w:rFonts w:ascii="Arial" w:hAnsi="Arial"/>
                <w:b/>
                <w:bCs/>
                <w:sz w:val="26"/>
                <w:szCs w:val="26"/>
              </w:rPr>
            </w:pPr>
          </w:p>
        </w:tc>
      </w:tr>
    </w:tbl>
    <w:p w14:paraId="415EA861" w14:textId="77777777" w:rsidR="00327999" w:rsidRDefault="00327999" w:rsidP="008351E7">
      <w:pPr>
        <w:spacing w:after="120" w:line="240" w:lineRule="exact"/>
        <w:ind w:left="283" w:hanging="283"/>
        <w:jc w:val="both"/>
        <w:rPr>
          <w:rFonts w:ascii="FrankRuehl" w:hAnsi="FrankRuehl" w:cs="FrankRuehl"/>
          <w:rtl/>
        </w:rPr>
      </w:pPr>
      <w:bookmarkStart w:id="4" w:name="LawTable"/>
      <w:bookmarkEnd w:id="4"/>
    </w:p>
    <w:p w14:paraId="676E641B" w14:textId="77777777" w:rsidR="00327999" w:rsidRPr="00327999" w:rsidRDefault="00327999" w:rsidP="00327999">
      <w:pPr>
        <w:spacing w:after="120" w:line="240" w:lineRule="exact"/>
        <w:ind w:left="283" w:hanging="283"/>
        <w:jc w:val="both"/>
        <w:rPr>
          <w:rFonts w:ascii="FrankRuehl" w:hAnsi="FrankRuehl" w:cs="FrankRuehl"/>
          <w:rtl/>
        </w:rPr>
      </w:pPr>
      <w:r w:rsidRPr="00327999">
        <w:rPr>
          <w:rFonts w:ascii="FrankRuehl" w:hAnsi="FrankRuehl" w:cs="FrankRuehl"/>
          <w:rtl/>
        </w:rPr>
        <w:t xml:space="preserve">חקיקה שאוזכרה: </w:t>
      </w:r>
    </w:p>
    <w:p w14:paraId="11035BF8" w14:textId="77777777" w:rsidR="00327999" w:rsidRPr="00327999" w:rsidRDefault="00327999" w:rsidP="00327999">
      <w:pPr>
        <w:spacing w:after="120" w:line="240" w:lineRule="exact"/>
        <w:ind w:left="283" w:hanging="283"/>
        <w:jc w:val="both"/>
        <w:rPr>
          <w:rFonts w:ascii="FrankRuehl" w:hAnsi="FrankRuehl" w:cs="FrankRuehl"/>
          <w:rtl/>
        </w:rPr>
      </w:pPr>
      <w:hyperlink r:id="rId8" w:history="1">
        <w:r w:rsidRPr="00327999">
          <w:rPr>
            <w:rFonts w:ascii="FrankRuehl" w:hAnsi="FrankRuehl" w:cs="FrankRuehl"/>
            <w:color w:val="0000FF"/>
            <w:u w:val="single"/>
            <w:rtl/>
          </w:rPr>
          <w:t>חוק העונשין, תשל"ז-1977</w:t>
        </w:r>
      </w:hyperlink>
      <w:r w:rsidRPr="00327999">
        <w:rPr>
          <w:rFonts w:ascii="FrankRuehl" w:hAnsi="FrankRuehl" w:cs="FrankRuehl"/>
          <w:rtl/>
        </w:rPr>
        <w:t xml:space="preserve">: סע'  </w:t>
      </w:r>
      <w:hyperlink r:id="rId9" w:history="1">
        <w:r w:rsidRPr="00327999">
          <w:rPr>
            <w:rFonts w:ascii="FrankRuehl" w:hAnsi="FrankRuehl" w:cs="FrankRuehl"/>
            <w:color w:val="0000FF"/>
            <w:u w:val="single"/>
            <w:rtl/>
          </w:rPr>
          <w:t>348(ג)</w:t>
        </w:r>
      </w:hyperlink>
    </w:p>
    <w:p w14:paraId="48EBEBBF" w14:textId="77777777" w:rsidR="00327999" w:rsidRPr="00327999" w:rsidRDefault="00327999" w:rsidP="00327999">
      <w:pPr>
        <w:spacing w:after="120" w:line="240" w:lineRule="exact"/>
        <w:ind w:left="283" w:hanging="283"/>
        <w:jc w:val="both"/>
        <w:rPr>
          <w:rFonts w:ascii="FrankRuehl" w:hAnsi="FrankRuehl" w:cs="FrankRuehl"/>
          <w:rtl/>
        </w:rPr>
      </w:pPr>
    </w:p>
    <w:p w14:paraId="1DBFD023" w14:textId="77777777" w:rsidR="00327999" w:rsidRDefault="00327999" w:rsidP="00327999">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LawTable_End"/>
      <w:bookmarkStart w:id="6" w:name="ABSTRACT_START"/>
      <w:bookmarkEnd w:id="5"/>
      <w:bookmarkEnd w:id="6"/>
      <w:r>
        <w:rPr>
          <w:rFonts w:ascii="Times New Roman" w:hAnsi="Times New Roman" w:cs="FrankRuehl"/>
          <w:szCs w:val="26"/>
          <w:rtl/>
        </w:rPr>
        <w:t>מיני-רציו:</w:t>
      </w:r>
    </w:p>
    <w:p w14:paraId="62A088B5" w14:textId="77777777" w:rsidR="00327999" w:rsidRPr="00327999" w:rsidRDefault="00327999" w:rsidP="0032799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327999">
        <w:rPr>
          <w:rFonts w:ascii="Times New Roman" w:hAnsi="Times New Roman" w:cs="FrankRuehl"/>
          <w:szCs w:val="26"/>
          <w:rtl/>
        </w:rPr>
        <w:t xml:space="preserve">בית המשפט זיכה את הנאשם מביצוע עבירה של מעשה מגונה לפי </w:t>
      </w:r>
      <w:hyperlink r:id="rId10" w:history="1">
        <w:r w:rsidRPr="00327999">
          <w:rPr>
            <w:rFonts w:ascii="Times New Roman" w:hAnsi="Times New Roman" w:cs="FrankRuehl"/>
            <w:szCs w:val="26"/>
            <w:rtl/>
          </w:rPr>
          <w:t>סעיף 348(ג)</w:t>
        </w:r>
      </w:hyperlink>
      <w:r w:rsidRPr="00327999">
        <w:rPr>
          <w:rFonts w:ascii="Times New Roman" w:hAnsi="Times New Roman" w:cs="FrankRuehl"/>
          <w:szCs w:val="26"/>
          <w:rtl/>
        </w:rPr>
        <w:t xml:space="preserve"> ל</w:t>
      </w:r>
      <w:hyperlink r:id="rId11" w:history="1">
        <w:r w:rsidRPr="00327999">
          <w:rPr>
            <w:rFonts w:ascii="Times New Roman" w:hAnsi="Times New Roman" w:cs="FrankRuehl"/>
            <w:szCs w:val="26"/>
            <w:rtl/>
          </w:rPr>
          <w:t>חוק העונשין</w:t>
        </w:r>
      </w:hyperlink>
      <w:r w:rsidRPr="00327999">
        <w:rPr>
          <w:rFonts w:ascii="Times New Roman" w:hAnsi="Times New Roman" w:cs="FrankRuehl"/>
          <w:szCs w:val="26"/>
          <w:rtl/>
        </w:rPr>
        <w:t xml:space="preserve">. נפסק, כי בנסיבות העניין, יש לייחס משקל נמוך לאמינות הזיהוי של הנאשם על ידי המתלוננת, דבר שיוצר ספק סביר שמחייב לזכות את הנאשם. </w:t>
      </w:r>
    </w:p>
    <w:p w14:paraId="43A97839" w14:textId="77777777" w:rsidR="00AC40FC" w:rsidRDefault="00327999" w:rsidP="0032799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זיהוי – מהימנות</w:t>
      </w:r>
    </w:p>
    <w:p w14:paraId="5775EED5" w14:textId="77777777" w:rsidR="00327999" w:rsidRDefault="00327999" w:rsidP="0032799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2585032" w14:textId="77777777" w:rsidR="00AC40FC" w:rsidRPr="00327999" w:rsidRDefault="00AC40FC" w:rsidP="00327999">
      <w:pPr>
        <w:pBdr>
          <w:top w:val="single" w:sz="4" w:space="1" w:color="auto"/>
          <w:bottom w:val="single" w:sz="4" w:space="1" w:color="auto"/>
        </w:pBdr>
        <w:spacing w:after="120" w:line="320" w:lineRule="exact"/>
        <w:jc w:val="both"/>
        <w:rPr>
          <w:rFonts w:ascii="Times New Roman" w:hAnsi="Times New Roman" w:cs="FrankRuehl"/>
          <w:szCs w:val="26"/>
          <w:rtl/>
        </w:rPr>
      </w:pPr>
      <w:r w:rsidRPr="00327999">
        <w:rPr>
          <w:rFonts w:ascii="Times New Roman" w:hAnsi="Times New Roman" w:cs="FrankRuehl"/>
          <w:szCs w:val="26"/>
          <w:rtl/>
        </w:rPr>
        <w:t xml:space="preserve">כנגד הנאשם הוגש כתב אישום המייחס לו ביצוע עבירה של מעשה מגונה לפי </w:t>
      </w:r>
      <w:hyperlink r:id="rId12" w:history="1">
        <w:r w:rsidRPr="00327999">
          <w:rPr>
            <w:rFonts w:ascii="Times New Roman" w:hAnsi="Times New Roman" w:cs="FrankRuehl"/>
            <w:szCs w:val="26"/>
            <w:rtl/>
          </w:rPr>
          <w:t>סעיף 348(ג)</w:t>
        </w:r>
      </w:hyperlink>
      <w:r w:rsidRPr="00327999">
        <w:rPr>
          <w:rFonts w:ascii="Times New Roman" w:hAnsi="Times New Roman" w:cs="FrankRuehl"/>
          <w:szCs w:val="26"/>
          <w:rtl/>
        </w:rPr>
        <w:t xml:space="preserve"> ל</w:t>
      </w:r>
      <w:hyperlink r:id="rId13" w:history="1">
        <w:r w:rsidRPr="00327999">
          <w:rPr>
            <w:rFonts w:ascii="Times New Roman" w:hAnsi="Times New Roman" w:cs="FrankRuehl"/>
            <w:szCs w:val="26"/>
            <w:rtl/>
          </w:rPr>
          <w:t>חוק העונשין</w:t>
        </w:r>
      </w:hyperlink>
      <w:r w:rsidRPr="00327999">
        <w:rPr>
          <w:rFonts w:ascii="Times New Roman" w:hAnsi="Times New Roman" w:cs="FrankRuehl"/>
          <w:szCs w:val="26"/>
          <w:rtl/>
        </w:rPr>
        <w:t>. השאלה המרכזית שטעונה הכרעה היא האם הזיהוי של הנאשם כמי שנגע במתלוננת הוא זיהוי אמין או לא.</w:t>
      </w:r>
    </w:p>
    <w:p w14:paraId="710980CD" w14:textId="77777777" w:rsidR="00AC40FC" w:rsidRPr="00327999" w:rsidRDefault="00327999" w:rsidP="0032799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49F353B" w14:textId="77777777" w:rsidR="00AC40FC" w:rsidRPr="00327999" w:rsidRDefault="00AC40FC" w:rsidP="00327999">
      <w:pPr>
        <w:pBdr>
          <w:top w:val="single" w:sz="4" w:space="1" w:color="auto"/>
          <w:bottom w:val="single" w:sz="4" w:space="1" w:color="auto"/>
        </w:pBdr>
        <w:spacing w:after="120" w:line="320" w:lineRule="exact"/>
        <w:jc w:val="both"/>
        <w:rPr>
          <w:rFonts w:ascii="Times New Roman" w:hAnsi="Times New Roman" w:cs="FrankRuehl"/>
          <w:szCs w:val="26"/>
          <w:rtl/>
        </w:rPr>
      </w:pPr>
      <w:r w:rsidRPr="00327999">
        <w:rPr>
          <w:rFonts w:ascii="Times New Roman" w:hAnsi="Times New Roman" w:cs="FrankRuehl"/>
          <w:szCs w:val="26"/>
          <w:rtl/>
        </w:rPr>
        <w:t>בית המשפט זיכה את הנאשם ופסק כלהלן:</w:t>
      </w:r>
    </w:p>
    <w:p w14:paraId="3AC9DC8B" w14:textId="77777777" w:rsidR="00AC40FC" w:rsidRPr="00327999" w:rsidRDefault="00AC40FC" w:rsidP="00327999">
      <w:pPr>
        <w:pBdr>
          <w:top w:val="single" w:sz="4" w:space="1" w:color="auto"/>
          <w:bottom w:val="single" w:sz="4" w:space="1" w:color="auto"/>
        </w:pBdr>
        <w:spacing w:after="120" w:line="320" w:lineRule="exact"/>
        <w:jc w:val="both"/>
        <w:rPr>
          <w:rFonts w:ascii="Times New Roman" w:hAnsi="Times New Roman" w:cs="FrankRuehl"/>
          <w:szCs w:val="26"/>
          <w:rtl/>
        </w:rPr>
      </w:pPr>
      <w:r w:rsidRPr="00327999">
        <w:rPr>
          <w:rFonts w:ascii="Times New Roman" w:hAnsi="Times New Roman" w:cs="FrankRuehl"/>
          <w:szCs w:val="26"/>
          <w:rtl/>
        </w:rPr>
        <w:t>הזיהוי של נאשם צריך שיהיה מעל לכל ספק סביר ונטל ההוכחה מוטל על התביעה. יתר על כן, כאשר מדובר בזיהוי כראיה יחידה הלכה פסוקה היא שניתן להרשיע אדם על סמך ראיה זו מבלי שיהיה צורך בתוספת ראייתית בדמות "דבר מה נוסף" אך נקבע כי על בית המשפט לנהוג בזהירות מרבית כאשר קיימת עדות יחידה בדבר זהותו של נאשם כמי שביצע את העבירה שמיוחסת לו.</w:t>
      </w:r>
    </w:p>
    <w:p w14:paraId="6D1E9E9B" w14:textId="77777777" w:rsidR="00AC40FC" w:rsidRPr="00327999" w:rsidRDefault="00AC40FC" w:rsidP="00327999">
      <w:pPr>
        <w:pBdr>
          <w:top w:val="single" w:sz="4" w:space="1" w:color="auto"/>
          <w:bottom w:val="single" w:sz="4" w:space="1" w:color="auto"/>
        </w:pBdr>
        <w:spacing w:after="120" w:line="320" w:lineRule="exact"/>
        <w:jc w:val="both"/>
        <w:rPr>
          <w:rFonts w:ascii="Times New Roman" w:hAnsi="Times New Roman" w:cs="FrankRuehl"/>
          <w:szCs w:val="26"/>
          <w:rtl/>
        </w:rPr>
      </w:pPr>
      <w:r w:rsidRPr="00327999">
        <w:rPr>
          <w:rFonts w:ascii="Times New Roman" w:hAnsi="Times New Roman" w:cs="FrankRuehl"/>
          <w:szCs w:val="26"/>
          <w:rtl/>
        </w:rPr>
        <w:lastRenderedPageBreak/>
        <w:t xml:space="preserve">במקרה זה, לא הוכח שאמינות הזיהוי של הנאשם עומדת באמת המידה המחמירה של "מעל לכל ספק סביר", כנדרש במשפט פלילי. </w:t>
      </w:r>
    </w:p>
    <w:p w14:paraId="4AB77F8B" w14:textId="77777777" w:rsidR="008351E7" w:rsidRDefault="008351E7" w:rsidP="00E2379A">
      <w:pPr>
        <w:rPr>
          <w:rFonts w:ascii="Arial" w:hAnsi="Arial" w:cs="FrankRuehl" w:hint="cs"/>
          <w:sz w:val="28"/>
          <w:szCs w:val="28"/>
          <w:rtl/>
        </w:rPr>
      </w:pPr>
      <w:bookmarkStart w:id="7" w:name="ABSTRACT_END"/>
      <w:bookmarkEnd w:id="7"/>
    </w:p>
    <w:p w14:paraId="7CA4CC3D" w14:textId="77777777" w:rsidR="008351E7" w:rsidRDefault="008351E7" w:rsidP="00E2379A">
      <w:pPr>
        <w:rPr>
          <w:rFonts w:ascii="Arial" w:hAnsi="Arial" w:cs="FrankRuehl" w:hint="cs"/>
          <w:sz w:val="28"/>
          <w:szCs w:val="28"/>
          <w:rtl/>
        </w:rPr>
      </w:pPr>
    </w:p>
    <w:p w14:paraId="593C2AB5" w14:textId="77777777" w:rsidR="008351E7" w:rsidRPr="00CA706A" w:rsidRDefault="008351E7" w:rsidP="008351E7">
      <w:pPr>
        <w:jc w:val="center"/>
        <w:rPr>
          <w:rFonts w:ascii="Arial" w:hAnsi="Arial" w:cs="FrankRuehl" w:hint="cs"/>
          <w:sz w:val="28"/>
          <w:szCs w:val="28"/>
          <w:rtl/>
        </w:rPr>
      </w:pPr>
      <w:bookmarkStart w:id="8" w:name="PsakDin"/>
      <w:r w:rsidRPr="00CA706A">
        <w:rPr>
          <w:rFonts w:ascii="Arial" w:hAnsi="Arial"/>
          <w:b/>
          <w:bCs/>
          <w:sz w:val="28"/>
          <w:szCs w:val="28"/>
          <w:rtl/>
        </w:rPr>
        <w:t>ה כ ר ע ת – ד י ן</w:t>
      </w:r>
    </w:p>
    <w:bookmarkEnd w:id="8"/>
    <w:p w14:paraId="743F46FB" w14:textId="77777777" w:rsidR="00593E5B" w:rsidRPr="00CA706A" w:rsidRDefault="00593E5B" w:rsidP="00E2379A">
      <w:pPr>
        <w:spacing w:line="360" w:lineRule="auto"/>
        <w:jc w:val="both"/>
        <w:rPr>
          <w:rFonts w:ascii="Arial" w:hAnsi="Arial"/>
          <w:b/>
          <w:bCs/>
          <w:sz w:val="28"/>
          <w:szCs w:val="28"/>
          <w:rtl/>
        </w:rPr>
      </w:pPr>
      <w:r w:rsidRPr="00CA706A">
        <w:rPr>
          <w:rFonts w:ascii="Arial" w:hAnsi="Arial"/>
          <w:b/>
          <w:bCs/>
          <w:sz w:val="28"/>
          <w:szCs w:val="28"/>
          <w:rtl/>
        </w:rPr>
        <w:t>כתב האישום</w:t>
      </w:r>
    </w:p>
    <w:p w14:paraId="3A92F43C" w14:textId="77777777" w:rsidR="00593E5B" w:rsidRPr="00CA706A" w:rsidRDefault="00593E5B" w:rsidP="00E2379A">
      <w:pPr>
        <w:spacing w:line="360" w:lineRule="auto"/>
        <w:jc w:val="both"/>
        <w:rPr>
          <w:rFonts w:ascii="Arial" w:hAnsi="Arial"/>
          <w:rtl/>
        </w:rPr>
      </w:pPr>
    </w:p>
    <w:p w14:paraId="32B06EC0" w14:textId="77777777" w:rsidR="00593E5B" w:rsidRPr="00CA706A" w:rsidRDefault="00593E5B" w:rsidP="00E2379A">
      <w:pPr>
        <w:spacing w:line="360" w:lineRule="auto"/>
        <w:ind w:left="720" w:hanging="720"/>
        <w:jc w:val="both"/>
        <w:rPr>
          <w:rFonts w:ascii="Arial" w:hAnsi="Arial"/>
          <w:rtl/>
        </w:rPr>
      </w:pPr>
      <w:r w:rsidRPr="00CA706A">
        <w:rPr>
          <w:rFonts w:ascii="Arial" w:hAnsi="Arial"/>
          <w:rtl/>
        </w:rPr>
        <w:t>1.</w:t>
      </w:r>
      <w:r w:rsidRPr="00CA706A">
        <w:rPr>
          <w:rFonts w:ascii="Arial" w:hAnsi="Arial"/>
          <w:rtl/>
        </w:rPr>
        <w:tab/>
        <w:t xml:space="preserve">כנגד הנאשם הוגש כתב אישום המייחס לו ביצוע עבירה של מעשה מגונה לפי </w:t>
      </w:r>
      <w:hyperlink r:id="rId14" w:history="1">
        <w:r w:rsidR="008351E7" w:rsidRPr="008351E7">
          <w:rPr>
            <w:rFonts w:ascii="Arial" w:hAnsi="Arial"/>
            <w:color w:val="0000FF"/>
            <w:u w:val="single"/>
            <w:rtl/>
          </w:rPr>
          <w:t>סעיף 348(ג)</w:t>
        </w:r>
      </w:hyperlink>
      <w:r w:rsidRPr="00CA706A">
        <w:rPr>
          <w:rFonts w:ascii="Arial" w:hAnsi="Arial"/>
          <w:rtl/>
        </w:rPr>
        <w:t xml:space="preserve"> ל</w:t>
      </w:r>
      <w:hyperlink r:id="rId15" w:history="1">
        <w:r w:rsidR="00CA706A" w:rsidRPr="00CA706A">
          <w:rPr>
            <w:rFonts w:ascii="Arial" w:hAnsi="Arial"/>
            <w:color w:val="0000FF"/>
            <w:u w:val="single"/>
            <w:rtl/>
          </w:rPr>
          <w:t>חוק העונשין</w:t>
        </w:r>
      </w:hyperlink>
      <w:r w:rsidRPr="00CA706A">
        <w:rPr>
          <w:rFonts w:ascii="Arial" w:hAnsi="Arial"/>
          <w:rtl/>
        </w:rPr>
        <w:t xml:space="preserve"> התשל"ז – 1977 (להלן: </w:t>
      </w:r>
      <w:r w:rsidRPr="00CA706A">
        <w:rPr>
          <w:rFonts w:ascii="Arial" w:hAnsi="Arial"/>
          <w:b/>
          <w:bCs/>
          <w:rtl/>
        </w:rPr>
        <w:t>חוק העונשין</w:t>
      </w:r>
      <w:r w:rsidRPr="00CA706A">
        <w:rPr>
          <w:rFonts w:ascii="Arial" w:hAnsi="Arial"/>
          <w:rtl/>
        </w:rPr>
        <w:t xml:space="preserve">). על פי עובדות כתב האישום הנאשם עבד בתקופה הרלוונטית לכתב האישום כקצב במחלקת העופות והבשר (להלן: </w:t>
      </w:r>
      <w:r w:rsidRPr="00CA706A">
        <w:rPr>
          <w:rFonts w:ascii="Arial" w:hAnsi="Arial"/>
          <w:b/>
          <w:bCs/>
          <w:rtl/>
        </w:rPr>
        <w:t>מחלקת הבשר</w:t>
      </w:r>
      <w:r w:rsidRPr="00CA706A">
        <w:rPr>
          <w:rFonts w:ascii="Arial" w:hAnsi="Arial"/>
          <w:rtl/>
        </w:rPr>
        <w:t>) ב-"מגה בול" בסניף הממוקם ב- [-] (להלן:</w:t>
      </w:r>
      <w:r w:rsidRPr="00CA706A">
        <w:rPr>
          <w:rFonts w:ascii="Arial" w:hAnsi="Arial"/>
          <w:b/>
          <w:bCs/>
          <w:rtl/>
        </w:rPr>
        <w:t xml:space="preserve"> הסניף</w:t>
      </w:r>
      <w:r w:rsidRPr="00CA706A">
        <w:rPr>
          <w:rFonts w:ascii="Arial" w:hAnsi="Arial"/>
          <w:rtl/>
        </w:rPr>
        <w:t xml:space="preserve">). בתחילת חודש ינואר 2009, במועד שאינו ידוע למאשימה במדויק, הגיעה המתלוננת (להלן: </w:t>
      </w:r>
      <w:r w:rsidRPr="00CA706A">
        <w:rPr>
          <w:rFonts w:ascii="Arial" w:hAnsi="Arial"/>
          <w:b/>
          <w:bCs/>
          <w:rtl/>
        </w:rPr>
        <w:t>המתלוננת</w:t>
      </w:r>
      <w:r w:rsidRPr="00CA706A">
        <w:rPr>
          <w:rFonts w:ascii="Arial" w:hAnsi="Arial"/>
          <w:rtl/>
        </w:rPr>
        <w:t xml:space="preserve">) עם בעלה לסניף על מנת לערוך קניות. עת עמדה המתלוננת ליד המקרר החלבי בסניף, הגיע הנאשם מאחוריה, נגע באמצעות ידו בישבנה, תוך כדי שהוא צובט וממשש אותו בחוזקה. המתלוננת הסתובבה בתדהמה אל הנאשם אשר חייך אליה ועזב את המקום. הנאשם כפר בעובדות כתב האישום ונשמעו הראיות בתיק. </w:t>
      </w:r>
    </w:p>
    <w:p w14:paraId="35958422" w14:textId="77777777" w:rsidR="00593E5B" w:rsidRPr="00CA706A" w:rsidRDefault="00593E5B" w:rsidP="00E2379A">
      <w:pPr>
        <w:spacing w:line="360" w:lineRule="auto"/>
        <w:jc w:val="both"/>
        <w:rPr>
          <w:rFonts w:ascii="Arial" w:hAnsi="Arial"/>
          <w:rtl/>
        </w:rPr>
      </w:pPr>
    </w:p>
    <w:p w14:paraId="43FAD1A9" w14:textId="77777777" w:rsidR="00593E5B" w:rsidRPr="00CA706A" w:rsidRDefault="00593E5B" w:rsidP="00E2379A">
      <w:pPr>
        <w:spacing w:line="360" w:lineRule="auto"/>
        <w:jc w:val="both"/>
        <w:rPr>
          <w:rFonts w:ascii="Arial" w:hAnsi="Arial"/>
          <w:b/>
          <w:bCs/>
          <w:sz w:val="28"/>
          <w:szCs w:val="28"/>
          <w:rtl/>
        </w:rPr>
      </w:pPr>
      <w:r w:rsidRPr="00CA706A">
        <w:rPr>
          <w:rFonts w:ascii="Arial" w:hAnsi="Arial"/>
          <w:b/>
          <w:bCs/>
          <w:sz w:val="28"/>
          <w:szCs w:val="28"/>
          <w:rtl/>
        </w:rPr>
        <w:t>התשתית הראייתית</w:t>
      </w:r>
    </w:p>
    <w:p w14:paraId="084A1AE9" w14:textId="77777777" w:rsidR="00593E5B" w:rsidRPr="00CA706A" w:rsidRDefault="00593E5B" w:rsidP="00E2379A">
      <w:pPr>
        <w:spacing w:line="360" w:lineRule="auto"/>
        <w:jc w:val="both"/>
        <w:rPr>
          <w:rFonts w:ascii="Arial" w:hAnsi="Arial"/>
          <w:rtl/>
        </w:rPr>
      </w:pPr>
    </w:p>
    <w:p w14:paraId="1DF7204F" w14:textId="77777777" w:rsidR="00593E5B" w:rsidRPr="00CA706A" w:rsidRDefault="00593E5B" w:rsidP="00E2379A">
      <w:pPr>
        <w:spacing w:line="360" w:lineRule="auto"/>
        <w:ind w:left="720" w:hanging="720"/>
        <w:jc w:val="both"/>
        <w:rPr>
          <w:rFonts w:ascii="Arial" w:hAnsi="Arial"/>
          <w:rtl/>
        </w:rPr>
      </w:pPr>
      <w:r w:rsidRPr="00CA706A">
        <w:rPr>
          <w:rFonts w:ascii="Arial" w:hAnsi="Arial"/>
          <w:rtl/>
        </w:rPr>
        <w:t>2.</w:t>
      </w:r>
      <w:r w:rsidRPr="00CA706A">
        <w:rPr>
          <w:rFonts w:ascii="Arial" w:hAnsi="Arial"/>
          <w:rtl/>
        </w:rPr>
        <w:tab/>
        <w:t xml:space="preserve">מטעם המאשימה העידה המתלוננת ואשר מסרה בתמצית את הדברים הבאים (ראו פרוט' עמ' 5 ש' 21 – עמ' 9 ש' 20): </w:t>
      </w:r>
    </w:p>
    <w:p w14:paraId="2C9F2B00" w14:textId="77777777" w:rsidR="00593E5B" w:rsidRPr="00CA706A" w:rsidRDefault="00593E5B" w:rsidP="00E2379A">
      <w:pPr>
        <w:spacing w:line="360" w:lineRule="auto"/>
        <w:ind w:left="720" w:hanging="720"/>
        <w:jc w:val="both"/>
        <w:rPr>
          <w:rFonts w:ascii="Arial" w:hAnsi="Arial"/>
          <w:rtl/>
        </w:rPr>
      </w:pPr>
    </w:p>
    <w:p w14:paraId="71417098" w14:textId="77777777" w:rsidR="00593E5B" w:rsidRPr="00CA706A" w:rsidRDefault="00593E5B" w:rsidP="00E2379A">
      <w:pPr>
        <w:spacing w:line="360" w:lineRule="auto"/>
        <w:ind w:left="1440" w:hanging="720"/>
        <w:jc w:val="both"/>
        <w:rPr>
          <w:rFonts w:ascii="Arial" w:hAnsi="Arial"/>
          <w:rtl/>
        </w:rPr>
      </w:pPr>
      <w:r w:rsidRPr="00CA706A">
        <w:rPr>
          <w:rFonts w:ascii="Arial" w:hAnsi="Arial"/>
          <w:rtl/>
        </w:rPr>
        <w:t>א.</w:t>
      </w:r>
      <w:r w:rsidRPr="00CA706A">
        <w:rPr>
          <w:rFonts w:ascii="Arial" w:hAnsi="Arial"/>
          <w:rtl/>
        </w:rPr>
        <w:tab/>
        <w:t xml:space="preserve">במהלך חודש ינואר 2009, הגיעה עם בעלה דאז לסניף על מנת לבצע קניות. המתלוננת היתה באזור החלבי בסניף ורכנה לעבר המקרר במטרה לקחת ממנו מוצר מסוים ולפתע הרגישה מאחור יד שנכנסת בין רגליה לאזור איבר מינה. אותה יד מיששה את אזור הישבן, מעל המכנסיים, נכנסה לאזור איבר המין, מיששה וצבטה בחוזקה ולאחר מכן יצאה (להלן: </w:t>
      </w:r>
      <w:r w:rsidRPr="00CA706A">
        <w:rPr>
          <w:rFonts w:ascii="Arial" w:hAnsi="Arial"/>
          <w:b/>
          <w:bCs/>
          <w:rtl/>
        </w:rPr>
        <w:t>האירוע</w:t>
      </w:r>
      <w:r w:rsidRPr="00CA706A">
        <w:rPr>
          <w:rFonts w:ascii="Arial" w:hAnsi="Arial"/>
          <w:rtl/>
        </w:rPr>
        <w:t xml:space="preserve">). </w:t>
      </w:r>
    </w:p>
    <w:p w14:paraId="76897000" w14:textId="77777777" w:rsidR="00593E5B" w:rsidRPr="00CA706A" w:rsidRDefault="00593E5B" w:rsidP="00E2379A">
      <w:pPr>
        <w:spacing w:line="360" w:lineRule="auto"/>
        <w:ind w:left="1440" w:hanging="720"/>
        <w:jc w:val="both"/>
        <w:rPr>
          <w:rFonts w:ascii="Arial" w:hAnsi="Arial"/>
          <w:rtl/>
        </w:rPr>
      </w:pPr>
    </w:p>
    <w:p w14:paraId="119AA8B6" w14:textId="77777777" w:rsidR="00593E5B" w:rsidRPr="00CA706A" w:rsidRDefault="00593E5B" w:rsidP="00E2379A">
      <w:pPr>
        <w:spacing w:line="360" w:lineRule="auto"/>
        <w:ind w:left="1440" w:hanging="720"/>
        <w:jc w:val="both"/>
        <w:rPr>
          <w:rFonts w:ascii="Arial" w:hAnsi="Arial"/>
          <w:rtl/>
        </w:rPr>
      </w:pPr>
      <w:r w:rsidRPr="00CA706A">
        <w:rPr>
          <w:rFonts w:ascii="Arial" w:hAnsi="Arial"/>
          <w:rtl/>
        </w:rPr>
        <w:t>ב.</w:t>
      </w:r>
      <w:r w:rsidRPr="00CA706A">
        <w:rPr>
          <w:rFonts w:ascii="Arial" w:hAnsi="Arial"/>
          <w:rtl/>
        </w:rPr>
        <w:tab/>
        <w:t xml:space="preserve">המתלוננת הסתובבה לאחור וראתה שמאחוריה עמד אדם אחד בלבד שחייך לעברה. אותו אדם לבש מדי עבודה של מחלקת הבשר בסניף. לטענתה תווי פניו אף נחרטו היטב בזכרונה. המתלוננת טענה בבית משפט כי "מאוד קל לתאר אותו בצורה חיצונית" (פרוט' עמ' 7 ש' 1) ואף טענה שמדובר באותו אדם (הנאשם) שישב באולם (פרוט' עמ' 7 ש' 23 – 26), אך מבלי לפרט מה המאפיינים הבולטים אצל אותו אדם אשר עושים אותו קל לתיאור בצורה חיצונית. </w:t>
      </w:r>
    </w:p>
    <w:p w14:paraId="75471991" w14:textId="77777777" w:rsidR="00593E5B" w:rsidRPr="00CA706A" w:rsidRDefault="00593E5B" w:rsidP="00E2379A">
      <w:pPr>
        <w:spacing w:line="360" w:lineRule="auto"/>
        <w:ind w:left="1440" w:hanging="720"/>
        <w:jc w:val="both"/>
        <w:rPr>
          <w:rFonts w:ascii="Arial" w:hAnsi="Arial"/>
          <w:rtl/>
        </w:rPr>
      </w:pPr>
    </w:p>
    <w:bookmarkEnd w:id="0"/>
    <w:bookmarkEnd w:id="1"/>
    <w:p w14:paraId="43ACCC82" w14:textId="77777777" w:rsidR="00593E5B" w:rsidRDefault="00593E5B" w:rsidP="00E2379A">
      <w:pPr>
        <w:spacing w:line="360" w:lineRule="auto"/>
        <w:ind w:left="1440" w:hanging="720"/>
        <w:jc w:val="both"/>
        <w:rPr>
          <w:rFonts w:ascii="Arial" w:hAnsi="Arial"/>
          <w:rtl/>
        </w:rPr>
      </w:pPr>
      <w:r>
        <w:rPr>
          <w:rFonts w:ascii="Arial" w:hAnsi="Arial"/>
          <w:rtl/>
        </w:rPr>
        <w:lastRenderedPageBreak/>
        <w:t>ג.</w:t>
      </w:r>
      <w:r>
        <w:rPr>
          <w:rFonts w:ascii="Arial" w:hAnsi="Arial"/>
          <w:rtl/>
        </w:rPr>
        <w:tab/>
        <w:t xml:space="preserve">המתלוננת היתה מאוד נסערת ולא ידעה כיצד להגיב ויצאה מהסניף עם בעלה, מבלי שבעלה ידע מדוע ביקשה שיעזבו את הסניף. </w:t>
      </w:r>
    </w:p>
    <w:p w14:paraId="572E6261" w14:textId="77777777" w:rsidR="00593E5B" w:rsidRDefault="00593E5B" w:rsidP="00E2379A">
      <w:pPr>
        <w:spacing w:line="360" w:lineRule="auto"/>
        <w:ind w:left="1440" w:hanging="720"/>
        <w:jc w:val="both"/>
        <w:rPr>
          <w:rFonts w:ascii="Arial" w:hAnsi="Arial"/>
          <w:rtl/>
        </w:rPr>
      </w:pPr>
    </w:p>
    <w:p w14:paraId="29810432" w14:textId="77777777" w:rsidR="00593E5B" w:rsidRDefault="00593E5B" w:rsidP="00E2379A">
      <w:pPr>
        <w:spacing w:line="360" w:lineRule="auto"/>
        <w:ind w:left="1440" w:hanging="720"/>
        <w:jc w:val="both"/>
        <w:rPr>
          <w:rFonts w:ascii="Arial" w:hAnsi="Arial"/>
          <w:rtl/>
        </w:rPr>
      </w:pPr>
      <w:r>
        <w:rPr>
          <w:rFonts w:ascii="Arial" w:hAnsi="Arial"/>
          <w:rtl/>
        </w:rPr>
        <w:t>ד.</w:t>
      </w:r>
      <w:r>
        <w:rPr>
          <w:rFonts w:ascii="Arial" w:hAnsi="Arial"/>
          <w:rtl/>
        </w:rPr>
        <w:tab/>
        <w:t xml:space="preserve">המתלוננת סיפרה לאמה על האירוע, אך איננה זוכרת אם זה היה באותו היום או במועד מאוחר יותר. </w:t>
      </w:r>
    </w:p>
    <w:p w14:paraId="558ACDA7" w14:textId="77777777" w:rsidR="00593E5B" w:rsidRDefault="00593E5B" w:rsidP="00E2379A">
      <w:pPr>
        <w:spacing w:line="360" w:lineRule="auto"/>
        <w:ind w:left="1440" w:hanging="720"/>
        <w:jc w:val="both"/>
        <w:rPr>
          <w:rFonts w:ascii="Arial" w:hAnsi="Arial"/>
          <w:rtl/>
        </w:rPr>
      </w:pPr>
    </w:p>
    <w:p w14:paraId="49005131" w14:textId="77777777" w:rsidR="00593E5B" w:rsidRDefault="00593E5B" w:rsidP="00E2379A">
      <w:pPr>
        <w:spacing w:line="360" w:lineRule="auto"/>
        <w:ind w:left="1440" w:hanging="720"/>
        <w:jc w:val="both"/>
        <w:rPr>
          <w:rFonts w:ascii="Arial" w:hAnsi="Arial"/>
          <w:rtl/>
        </w:rPr>
      </w:pPr>
      <w:r>
        <w:rPr>
          <w:rFonts w:ascii="Arial" w:hAnsi="Arial"/>
          <w:rtl/>
        </w:rPr>
        <w:t>ה.</w:t>
      </w:r>
      <w:r>
        <w:rPr>
          <w:rFonts w:ascii="Arial" w:hAnsi="Arial"/>
          <w:rtl/>
        </w:rPr>
        <w:tab/>
        <w:t xml:space="preserve">שבוע לאחר קרות האירוע, המתלוננת חזרה לסניף יחד עם בעלה על מנת לבצע קניות. המתלוננת פנתה למנהל הסניף, [-] (להלן: </w:t>
      </w:r>
      <w:r>
        <w:rPr>
          <w:rFonts w:ascii="Arial" w:hAnsi="Arial"/>
          <w:b/>
          <w:bCs/>
          <w:rtl/>
        </w:rPr>
        <w:t>ע</w:t>
      </w:r>
      <w:r>
        <w:rPr>
          <w:rFonts w:ascii="Arial" w:hAnsi="Arial"/>
          <w:rtl/>
        </w:rPr>
        <w:t xml:space="preserve">'), ותיארה בפניו את האירוע, מבנה גופו של האדם שנגע בה בניגוד לרצונה ועובדת היותו לבוש בבגדים שמאפיינים את עובדי מחלקת הבשר במועד האירוע.  </w:t>
      </w:r>
    </w:p>
    <w:p w14:paraId="2C379041" w14:textId="77777777" w:rsidR="00593E5B" w:rsidRDefault="00593E5B" w:rsidP="00E2379A">
      <w:pPr>
        <w:spacing w:line="360" w:lineRule="auto"/>
        <w:ind w:left="1440" w:hanging="720"/>
        <w:jc w:val="both"/>
        <w:rPr>
          <w:rFonts w:ascii="Arial" w:hAnsi="Arial"/>
          <w:rtl/>
        </w:rPr>
      </w:pPr>
    </w:p>
    <w:p w14:paraId="6AA5E414" w14:textId="77777777" w:rsidR="00593E5B" w:rsidRDefault="00593E5B" w:rsidP="00E2379A">
      <w:pPr>
        <w:spacing w:line="360" w:lineRule="auto"/>
        <w:ind w:left="1440" w:hanging="720"/>
        <w:jc w:val="both"/>
        <w:rPr>
          <w:rFonts w:ascii="Arial" w:hAnsi="Arial"/>
          <w:rtl/>
        </w:rPr>
      </w:pPr>
      <w:r>
        <w:rPr>
          <w:rFonts w:ascii="Arial" w:hAnsi="Arial"/>
          <w:rtl/>
        </w:rPr>
        <w:t>ו.</w:t>
      </w:r>
      <w:r>
        <w:rPr>
          <w:rFonts w:ascii="Arial" w:hAnsi="Arial"/>
          <w:rtl/>
        </w:rPr>
        <w:tab/>
        <w:t xml:space="preserve">הסגן של ע' התלווה למתלוננת, בהוראת ע', וניגש עימה למחלקת הבשר בסניף והמתלוננת הצביעה בפניו על האדם שנגע בה בניגוד לרצונה, כשבוע לפני כן (להלן: </w:t>
      </w:r>
      <w:r>
        <w:rPr>
          <w:rFonts w:ascii="Arial" w:hAnsi="Arial"/>
          <w:b/>
          <w:bCs/>
          <w:rtl/>
        </w:rPr>
        <w:t>ההצבעה</w:t>
      </w:r>
      <w:r>
        <w:rPr>
          <w:rFonts w:ascii="Arial" w:hAnsi="Arial"/>
          <w:rtl/>
        </w:rPr>
        <w:t xml:space="preserve">). </w:t>
      </w:r>
    </w:p>
    <w:p w14:paraId="792BC4A1" w14:textId="77777777" w:rsidR="00593E5B" w:rsidRDefault="00593E5B" w:rsidP="00E2379A">
      <w:pPr>
        <w:spacing w:line="360" w:lineRule="auto"/>
        <w:ind w:left="1440" w:hanging="720"/>
        <w:jc w:val="both"/>
        <w:rPr>
          <w:rFonts w:ascii="Arial" w:hAnsi="Arial"/>
          <w:rtl/>
        </w:rPr>
      </w:pPr>
    </w:p>
    <w:p w14:paraId="1F234DE0" w14:textId="77777777" w:rsidR="00593E5B" w:rsidRDefault="00593E5B" w:rsidP="00E2379A">
      <w:pPr>
        <w:spacing w:line="360" w:lineRule="auto"/>
        <w:ind w:left="1440" w:hanging="720"/>
        <w:jc w:val="both"/>
        <w:rPr>
          <w:rFonts w:ascii="Arial" w:hAnsi="Arial"/>
          <w:rtl/>
        </w:rPr>
      </w:pPr>
      <w:r>
        <w:rPr>
          <w:rFonts w:ascii="Arial" w:hAnsi="Arial"/>
          <w:rtl/>
        </w:rPr>
        <w:t>ז.</w:t>
      </w:r>
      <w:r>
        <w:rPr>
          <w:rFonts w:ascii="Arial" w:hAnsi="Arial"/>
          <w:rtl/>
        </w:rPr>
        <w:tab/>
        <w:t xml:space="preserve">המתלוננת לא סיפרה לבעלה דאז על האירוע וזאת מתוך חשש מתגובתו. </w:t>
      </w:r>
    </w:p>
    <w:p w14:paraId="286F47BE" w14:textId="77777777" w:rsidR="00593E5B" w:rsidRDefault="00593E5B" w:rsidP="00E2379A">
      <w:pPr>
        <w:spacing w:line="360" w:lineRule="auto"/>
        <w:ind w:left="1440" w:hanging="720"/>
        <w:jc w:val="both"/>
        <w:rPr>
          <w:rFonts w:ascii="Arial" w:hAnsi="Arial"/>
          <w:rtl/>
        </w:rPr>
      </w:pPr>
    </w:p>
    <w:p w14:paraId="502014CC" w14:textId="77777777" w:rsidR="00593E5B" w:rsidRDefault="00593E5B" w:rsidP="00E2379A">
      <w:pPr>
        <w:spacing w:line="360" w:lineRule="auto"/>
        <w:ind w:left="1440" w:hanging="720"/>
        <w:jc w:val="both"/>
        <w:rPr>
          <w:rFonts w:ascii="Arial" w:hAnsi="Arial"/>
          <w:rtl/>
        </w:rPr>
      </w:pPr>
      <w:r>
        <w:rPr>
          <w:rFonts w:ascii="Arial" w:hAnsi="Arial"/>
          <w:rtl/>
        </w:rPr>
        <w:t>ח.</w:t>
      </w:r>
      <w:r>
        <w:rPr>
          <w:rFonts w:ascii="Arial" w:hAnsi="Arial"/>
          <w:rtl/>
        </w:rPr>
        <w:tab/>
        <w:t xml:space="preserve">במהלך חודש מאי 2009, אמה של המתלוננת, [-] (להלן: </w:t>
      </w:r>
      <w:r>
        <w:rPr>
          <w:rFonts w:ascii="Arial" w:hAnsi="Arial"/>
          <w:b/>
          <w:bCs/>
          <w:rtl/>
        </w:rPr>
        <w:t>ר'</w:t>
      </w:r>
      <w:r>
        <w:rPr>
          <w:rFonts w:ascii="Arial" w:hAnsi="Arial"/>
          <w:rtl/>
        </w:rPr>
        <w:t xml:space="preserve">) היתה בסניף, ללא המתלוננת, וזיהתה את האדם שנגע במתלוננת במועד האירוע.  </w:t>
      </w:r>
    </w:p>
    <w:p w14:paraId="79CAA89A" w14:textId="77777777" w:rsidR="00593E5B" w:rsidRDefault="00593E5B" w:rsidP="00E2379A">
      <w:pPr>
        <w:spacing w:line="360" w:lineRule="auto"/>
        <w:ind w:left="1440" w:hanging="720"/>
        <w:jc w:val="both"/>
        <w:rPr>
          <w:rFonts w:ascii="Arial" w:hAnsi="Arial"/>
          <w:rtl/>
        </w:rPr>
      </w:pPr>
    </w:p>
    <w:p w14:paraId="6EB31B9F" w14:textId="77777777" w:rsidR="00593E5B" w:rsidRDefault="00593E5B" w:rsidP="00E2379A">
      <w:pPr>
        <w:spacing w:line="360" w:lineRule="auto"/>
        <w:ind w:left="1440" w:hanging="720"/>
        <w:jc w:val="both"/>
        <w:rPr>
          <w:rFonts w:ascii="Arial" w:hAnsi="Arial"/>
          <w:rtl/>
        </w:rPr>
      </w:pPr>
      <w:r>
        <w:rPr>
          <w:rFonts w:ascii="Arial" w:hAnsi="Arial"/>
          <w:rtl/>
        </w:rPr>
        <w:t>ט.</w:t>
      </w:r>
      <w:r>
        <w:rPr>
          <w:rFonts w:ascii="Arial" w:hAnsi="Arial"/>
          <w:rtl/>
        </w:rPr>
        <w:tab/>
        <w:t xml:space="preserve">במהלך חודש מאי 2009 המתלוננת פנתה לעורך דין ששלח מכתב תלונה בשמה להנהלת הסניף על האירוע, תוך ציון שמו של הנאשם [פלוני] (ת/1) כמי שביצע את המעשה נשוא האירוע. במכתב היתה דרישה לתשלום פיצויים בסך כולל של 200,000 ₪. </w:t>
      </w:r>
    </w:p>
    <w:p w14:paraId="68379061" w14:textId="77777777" w:rsidR="00593E5B" w:rsidRDefault="00593E5B" w:rsidP="00E2379A">
      <w:pPr>
        <w:spacing w:line="360" w:lineRule="auto"/>
        <w:ind w:left="1440" w:hanging="720"/>
        <w:jc w:val="both"/>
        <w:rPr>
          <w:rFonts w:ascii="Arial" w:hAnsi="Arial"/>
          <w:rtl/>
        </w:rPr>
      </w:pPr>
    </w:p>
    <w:p w14:paraId="36AACF8D" w14:textId="77777777" w:rsidR="00593E5B" w:rsidRDefault="00593E5B" w:rsidP="00E2379A">
      <w:pPr>
        <w:spacing w:line="360" w:lineRule="auto"/>
        <w:ind w:left="1440" w:hanging="720"/>
        <w:jc w:val="both"/>
        <w:rPr>
          <w:rFonts w:ascii="Arial" w:hAnsi="Arial"/>
          <w:rtl/>
        </w:rPr>
      </w:pPr>
      <w:r>
        <w:rPr>
          <w:rFonts w:ascii="Arial" w:hAnsi="Arial"/>
          <w:rtl/>
        </w:rPr>
        <w:t>י.</w:t>
      </w:r>
      <w:r>
        <w:rPr>
          <w:rFonts w:ascii="Arial" w:hAnsi="Arial"/>
          <w:rtl/>
        </w:rPr>
        <w:tab/>
        <w:t>ביום 24.7.09 המתלוננת פנתה למשטרה והגישה תלונה לגבי האירוע תוך ציון שמו המלא של הנאשם.</w:t>
      </w:r>
    </w:p>
    <w:p w14:paraId="51E926CB" w14:textId="77777777" w:rsidR="00593E5B" w:rsidRDefault="00593E5B" w:rsidP="00E2379A">
      <w:pPr>
        <w:spacing w:line="360" w:lineRule="auto"/>
        <w:jc w:val="both"/>
        <w:rPr>
          <w:rFonts w:ascii="Arial" w:hAnsi="Arial"/>
          <w:rtl/>
        </w:rPr>
      </w:pPr>
    </w:p>
    <w:p w14:paraId="78821A07" w14:textId="77777777" w:rsidR="00593E5B" w:rsidRDefault="00593E5B" w:rsidP="00E2379A">
      <w:pPr>
        <w:spacing w:line="360" w:lineRule="auto"/>
        <w:ind w:left="720" w:hanging="720"/>
        <w:jc w:val="both"/>
        <w:rPr>
          <w:rFonts w:ascii="Arial" w:hAnsi="Arial"/>
          <w:rtl/>
        </w:rPr>
      </w:pPr>
      <w:r>
        <w:rPr>
          <w:rFonts w:ascii="Arial" w:hAnsi="Arial"/>
          <w:rtl/>
        </w:rPr>
        <w:t>3.</w:t>
      </w:r>
      <w:r>
        <w:rPr>
          <w:rFonts w:ascii="Arial" w:hAnsi="Arial"/>
          <w:rtl/>
        </w:rPr>
        <w:tab/>
        <w:t xml:space="preserve">מטעם המאשימה העיד </w:t>
      </w:r>
      <w:r>
        <w:rPr>
          <w:rFonts w:ascii="Arial" w:hAnsi="Arial"/>
          <w:u w:val="single"/>
          <w:rtl/>
        </w:rPr>
        <w:t>ע'</w:t>
      </w:r>
      <w:r>
        <w:rPr>
          <w:rFonts w:ascii="Arial" w:hAnsi="Arial"/>
          <w:rtl/>
        </w:rPr>
        <w:t xml:space="preserve"> ואשר מסר בתמצית את הדברים הבאים (פרוט' עמ' 20 ש' 29 – עמ' 23 ש' 22): </w:t>
      </w:r>
    </w:p>
    <w:p w14:paraId="322D680B" w14:textId="77777777" w:rsidR="00593E5B" w:rsidRDefault="00593E5B" w:rsidP="00E2379A">
      <w:pPr>
        <w:spacing w:line="360" w:lineRule="auto"/>
        <w:jc w:val="both"/>
        <w:rPr>
          <w:rFonts w:ascii="Arial" w:hAnsi="Arial"/>
          <w:rtl/>
        </w:rPr>
      </w:pPr>
    </w:p>
    <w:p w14:paraId="12FD3E3F" w14:textId="77777777" w:rsidR="00593E5B" w:rsidRDefault="00593E5B" w:rsidP="00E2379A">
      <w:pPr>
        <w:spacing w:line="360" w:lineRule="auto"/>
        <w:ind w:left="1440" w:hanging="720"/>
        <w:jc w:val="both"/>
        <w:rPr>
          <w:rFonts w:ascii="Arial" w:hAnsi="Arial"/>
          <w:rtl/>
        </w:rPr>
      </w:pPr>
      <w:r>
        <w:rPr>
          <w:rFonts w:ascii="Arial" w:hAnsi="Arial"/>
          <w:rtl/>
        </w:rPr>
        <w:t>א.</w:t>
      </w:r>
      <w:r>
        <w:rPr>
          <w:rFonts w:ascii="Arial" w:hAnsi="Arial"/>
          <w:rtl/>
        </w:rPr>
        <w:tab/>
        <w:t>ע' טען שזכור לו אירוע שבו ניגשה אליו גברת מסוימת (המתלוננת) וטענה בפניו שאחד העובדים בסניף נגע בישבנה בניגוד לרצונה. המתלוננת תיארה בפני ע' את אותו אדם כאדם "</w:t>
      </w:r>
      <w:r>
        <w:rPr>
          <w:rFonts w:ascii="Arial" w:hAnsi="Arial"/>
          <w:b/>
          <w:bCs/>
          <w:rtl/>
        </w:rPr>
        <w:t>שמן</w:t>
      </w:r>
      <w:r>
        <w:rPr>
          <w:rFonts w:ascii="Arial" w:hAnsi="Arial"/>
          <w:rtl/>
        </w:rPr>
        <w:t xml:space="preserve">" (פרוט' עמ' 22 ש' 10 , 16), לא ידעה לומר את שמו, אך </w:t>
      </w:r>
      <w:r>
        <w:rPr>
          <w:rFonts w:ascii="Arial" w:hAnsi="Arial"/>
          <w:rtl/>
        </w:rPr>
        <w:lastRenderedPageBreak/>
        <w:t xml:space="preserve">ציינה שמדובר במי שעובד במחלקת הבשר בסניף. על שני הנתונים האמורים "שמן" ו-"עובד במחלקת הבשר" עוד אתייחס בהרחבה בהמשך. </w:t>
      </w:r>
    </w:p>
    <w:p w14:paraId="1849BEF8" w14:textId="77777777" w:rsidR="00593E5B" w:rsidRDefault="00593E5B" w:rsidP="00E2379A">
      <w:pPr>
        <w:spacing w:line="360" w:lineRule="auto"/>
        <w:ind w:left="1440" w:hanging="720"/>
        <w:jc w:val="both"/>
        <w:rPr>
          <w:rFonts w:ascii="Arial" w:hAnsi="Arial"/>
          <w:rtl/>
        </w:rPr>
      </w:pPr>
    </w:p>
    <w:p w14:paraId="602FFFE4" w14:textId="77777777" w:rsidR="00593E5B" w:rsidRDefault="00593E5B" w:rsidP="00E2379A">
      <w:pPr>
        <w:spacing w:line="360" w:lineRule="auto"/>
        <w:ind w:left="1440" w:hanging="720"/>
        <w:jc w:val="both"/>
        <w:rPr>
          <w:rFonts w:ascii="Arial" w:hAnsi="Arial"/>
          <w:rtl/>
        </w:rPr>
      </w:pPr>
      <w:r>
        <w:rPr>
          <w:rFonts w:ascii="Arial" w:hAnsi="Arial"/>
          <w:rtl/>
        </w:rPr>
        <w:t>ב.</w:t>
      </w:r>
      <w:r>
        <w:rPr>
          <w:rFonts w:ascii="Arial" w:hAnsi="Arial"/>
          <w:rtl/>
        </w:rPr>
        <w:tab/>
        <w:t xml:space="preserve">הסגן של ע' התלווה אל המתלוננת והיא הצביעה בפני הסגן, ושלא בנוכחותו של ע', על הנאשם, שעבד באותו יום בסניף במחלקת הבשר. ע' לא ידע לומר את התאריכים המדויקים בהם הנאשם עבד בסניף, אך ציין כי עבודתו בסניף היתה באמצעות חברת כוח אדם. </w:t>
      </w:r>
    </w:p>
    <w:p w14:paraId="2C78B8D4" w14:textId="77777777" w:rsidR="00593E5B" w:rsidRDefault="00593E5B" w:rsidP="00E2379A">
      <w:pPr>
        <w:spacing w:line="360" w:lineRule="auto"/>
        <w:ind w:left="1440" w:hanging="720"/>
        <w:jc w:val="both"/>
        <w:rPr>
          <w:rFonts w:ascii="Arial" w:hAnsi="Arial"/>
          <w:rtl/>
        </w:rPr>
      </w:pPr>
    </w:p>
    <w:p w14:paraId="2E575F2E" w14:textId="77777777" w:rsidR="00593E5B" w:rsidRDefault="00593E5B" w:rsidP="00E2379A">
      <w:pPr>
        <w:spacing w:line="360" w:lineRule="auto"/>
        <w:ind w:left="1440" w:hanging="720"/>
        <w:jc w:val="both"/>
        <w:rPr>
          <w:rFonts w:ascii="Arial" w:hAnsi="Arial"/>
          <w:rtl/>
        </w:rPr>
      </w:pPr>
      <w:r>
        <w:rPr>
          <w:rFonts w:ascii="Arial" w:hAnsi="Arial"/>
          <w:rtl/>
        </w:rPr>
        <w:t>ג.</w:t>
      </w:r>
      <w:r>
        <w:rPr>
          <w:rFonts w:ascii="Arial" w:hAnsi="Arial"/>
          <w:rtl/>
        </w:rPr>
        <w:tab/>
        <w:t xml:space="preserve">כמו כן, לאחר חלוף מספר חודשים הגיעה אמה של המתלוננת והביעה פליאה על כך שהנאשם עדיין מועסק בסניף וזאת על אף התלונה שהוגשה כנגדו לע'. </w:t>
      </w:r>
    </w:p>
    <w:p w14:paraId="68EB2A18" w14:textId="77777777" w:rsidR="00593E5B" w:rsidRDefault="00593E5B" w:rsidP="00E2379A">
      <w:pPr>
        <w:spacing w:line="360" w:lineRule="auto"/>
        <w:ind w:left="1440" w:hanging="720"/>
        <w:jc w:val="both"/>
        <w:rPr>
          <w:rFonts w:ascii="Arial" w:hAnsi="Arial"/>
          <w:rtl/>
        </w:rPr>
      </w:pPr>
    </w:p>
    <w:p w14:paraId="20BAD860" w14:textId="77777777" w:rsidR="00593E5B" w:rsidRDefault="00593E5B" w:rsidP="00E2379A">
      <w:pPr>
        <w:spacing w:line="360" w:lineRule="auto"/>
        <w:jc w:val="both"/>
        <w:rPr>
          <w:rFonts w:ascii="Arial" w:hAnsi="Arial"/>
          <w:rtl/>
        </w:rPr>
      </w:pPr>
      <w:r>
        <w:rPr>
          <w:rFonts w:ascii="Arial" w:hAnsi="Arial"/>
          <w:rtl/>
        </w:rPr>
        <w:t>4.</w:t>
      </w:r>
      <w:r>
        <w:rPr>
          <w:rFonts w:ascii="Arial" w:hAnsi="Arial"/>
          <w:rtl/>
        </w:rPr>
        <w:tab/>
      </w:r>
      <w:r>
        <w:rPr>
          <w:rFonts w:ascii="Arial" w:hAnsi="Arial"/>
          <w:u w:val="single"/>
          <w:rtl/>
        </w:rPr>
        <w:t>ר'</w:t>
      </w:r>
      <w:r>
        <w:rPr>
          <w:rFonts w:ascii="Arial" w:hAnsi="Arial"/>
          <w:rtl/>
        </w:rPr>
        <w:t xml:space="preserve"> העידה בתמצית כדלקמן (פרוט' עמ' 14 ש' 22 – עמ' 16 ש' 32): </w:t>
      </w:r>
    </w:p>
    <w:p w14:paraId="3B0BA5CE" w14:textId="77777777" w:rsidR="00593E5B" w:rsidRDefault="00593E5B" w:rsidP="00E2379A">
      <w:pPr>
        <w:spacing w:line="360" w:lineRule="auto"/>
        <w:jc w:val="both"/>
        <w:rPr>
          <w:rFonts w:ascii="Arial" w:hAnsi="Arial"/>
          <w:rtl/>
        </w:rPr>
      </w:pPr>
    </w:p>
    <w:p w14:paraId="48E49BE3" w14:textId="77777777" w:rsidR="00593E5B" w:rsidRDefault="00593E5B" w:rsidP="00E2379A">
      <w:pPr>
        <w:spacing w:line="360" w:lineRule="auto"/>
        <w:ind w:left="1440" w:hanging="720"/>
        <w:jc w:val="both"/>
        <w:rPr>
          <w:rFonts w:ascii="Arial" w:hAnsi="Arial"/>
          <w:rtl/>
        </w:rPr>
      </w:pPr>
      <w:r>
        <w:rPr>
          <w:rFonts w:ascii="Arial" w:hAnsi="Arial"/>
          <w:rtl/>
        </w:rPr>
        <w:t>א.</w:t>
      </w:r>
      <w:r>
        <w:rPr>
          <w:rFonts w:ascii="Arial" w:hAnsi="Arial"/>
          <w:rtl/>
        </w:rPr>
        <w:tab/>
        <w:t xml:space="preserve">המתלוננת הודיעה לה שעובד מסוים במחלקת הבשר בסניף נגע בה בניגוד לרצונה בישבנה. כמו כן, ר' הוסיפה שהמתלוננת תיארה בפניה את "המראה החיצוני" של אותו עובד ובדרך זו ר' ידעה במי מדובר. דא עקא, ר' לא הרחיבה בעדותה מה הם מאפייניו של אותו "מראה חיצוני" (פרוט' עמ' 14 ש' 23 – 24, עמ' 15 ש' 1 – 4) שעזרו לה לזהות באיזה עובד מדובר. </w:t>
      </w:r>
    </w:p>
    <w:p w14:paraId="053D3B52" w14:textId="77777777" w:rsidR="00593E5B" w:rsidRDefault="00593E5B" w:rsidP="00E2379A">
      <w:pPr>
        <w:spacing w:line="360" w:lineRule="auto"/>
        <w:ind w:left="1440" w:hanging="720"/>
        <w:jc w:val="both"/>
        <w:rPr>
          <w:rFonts w:ascii="Arial" w:hAnsi="Arial"/>
          <w:rtl/>
        </w:rPr>
      </w:pPr>
      <w:r>
        <w:rPr>
          <w:rFonts w:ascii="Arial" w:hAnsi="Arial"/>
          <w:rtl/>
        </w:rPr>
        <w:t xml:space="preserve"> </w:t>
      </w:r>
    </w:p>
    <w:p w14:paraId="191962D4" w14:textId="77777777" w:rsidR="00593E5B" w:rsidRDefault="00593E5B" w:rsidP="00E2379A">
      <w:pPr>
        <w:spacing w:line="360" w:lineRule="auto"/>
        <w:ind w:left="1440" w:hanging="720"/>
        <w:jc w:val="both"/>
        <w:rPr>
          <w:rFonts w:ascii="Arial" w:hAnsi="Arial"/>
          <w:rtl/>
        </w:rPr>
      </w:pPr>
      <w:r>
        <w:rPr>
          <w:rFonts w:ascii="Arial" w:hAnsi="Arial"/>
          <w:rtl/>
        </w:rPr>
        <w:t>ב.</w:t>
      </w:r>
      <w:r>
        <w:rPr>
          <w:rFonts w:ascii="Arial" w:hAnsi="Arial"/>
          <w:rtl/>
        </w:rPr>
        <w:tab/>
        <w:t xml:space="preserve">כחודש לפני האירוע נשוא כתב האישום, העובד שלפי הערכתה נגע במתלוננת, אמר לה "אין כמו ר'" ואף הוסיף "אה, גם במיטה אין כמו ר'" והיא בתגובה אמרה לו "תשמור את הפה המלוכלך שלך" ובהמשך נמנעה מלקנות במחלקת הבשר על מנת שלא להיפגש איתו. </w:t>
      </w:r>
    </w:p>
    <w:p w14:paraId="7DF10EAB" w14:textId="77777777" w:rsidR="00593E5B" w:rsidRDefault="00593E5B" w:rsidP="00E2379A">
      <w:pPr>
        <w:spacing w:line="360" w:lineRule="auto"/>
        <w:ind w:left="1440" w:hanging="720"/>
        <w:jc w:val="both"/>
        <w:rPr>
          <w:rFonts w:ascii="Arial" w:hAnsi="Arial"/>
          <w:rtl/>
        </w:rPr>
      </w:pPr>
    </w:p>
    <w:p w14:paraId="23CCA40B" w14:textId="77777777" w:rsidR="00593E5B" w:rsidRDefault="00593E5B" w:rsidP="00E2379A">
      <w:pPr>
        <w:spacing w:line="360" w:lineRule="auto"/>
        <w:ind w:left="1440" w:hanging="720"/>
        <w:jc w:val="both"/>
        <w:rPr>
          <w:rFonts w:ascii="Arial" w:hAnsi="Arial"/>
          <w:rtl/>
        </w:rPr>
      </w:pPr>
      <w:r>
        <w:rPr>
          <w:rFonts w:ascii="Arial" w:hAnsi="Arial"/>
          <w:rtl/>
        </w:rPr>
        <w:t>ג.</w:t>
      </w:r>
      <w:r>
        <w:rPr>
          <w:rFonts w:ascii="Arial" w:hAnsi="Arial"/>
          <w:rtl/>
        </w:rPr>
        <w:tab/>
        <w:t xml:space="preserve">מספר שבועות לאחר שהמתלוננת סיפרה לר' אודות האירוע, היא פנתה לסגנית של ע' ושאלה אותה מדוע ממשיכים להעסיק את אותו אדם שפנה אליה ברמיזות מיניות כאמור לעיל, ובנוסף גם ביצע במועד אחר את האירוע שמתייחס למתלוננת. </w:t>
      </w:r>
    </w:p>
    <w:p w14:paraId="7CBDFF74" w14:textId="77777777" w:rsidR="00593E5B" w:rsidRDefault="00593E5B" w:rsidP="00E2379A">
      <w:pPr>
        <w:spacing w:line="360" w:lineRule="auto"/>
        <w:ind w:left="1440" w:hanging="720"/>
        <w:jc w:val="both"/>
        <w:rPr>
          <w:rFonts w:ascii="Arial" w:hAnsi="Arial"/>
          <w:rtl/>
        </w:rPr>
      </w:pPr>
    </w:p>
    <w:p w14:paraId="1FFDED98" w14:textId="77777777" w:rsidR="00593E5B" w:rsidRDefault="00593E5B" w:rsidP="00E2379A">
      <w:pPr>
        <w:spacing w:line="360" w:lineRule="auto"/>
        <w:ind w:left="720" w:hanging="720"/>
        <w:jc w:val="both"/>
        <w:rPr>
          <w:rFonts w:ascii="Arial" w:hAnsi="Arial"/>
          <w:rtl/>
        </w:rPr>
      </w:pPr>
      <w:r>
        <w:rPr>
          <w:rFonts w:ascii="Arial" w:hAnsi="Arial"/>
          <w:rtl/>
        </w:rPr>
        <w:t>5.</w:t>
      </w:r>
      <w:r>
        <w:rPr>
          <w:rFonts w:ascii="Arial" w:hAnsi="Arial"/>
          <w:rtl/>
        </w:rPr>
        <w:tab/>
      </w:r>
      <w:r>
        <w:rPr>
          <w:rFonts w:ascii="Arial" w:hAnsi="Arial"/>
          <w:u w:val="single"/>
          <w:rtl/>
        </w:rPr>
        <w:t>הנאשם</w:t>
      </w:r>
      <w:r>
        <w:rPr>
          <w:rFonts w:ascii="Arial" w:hAnsi="Arial"/>
          <w:rtl/>
        </w:rPr>
        <w:t xml:space="preserve"> טען שהאירוע נשוא כתב האישום מעולם לא קרה והוסיף את הדברים הבאים (פרוט' עמ' 26 ש' 27 – עמ' 28 ש' 32): </w:t>
      </w:r>
    </w:p>
    <w:p w14:paraId="6B909BC9" w14:textId="77777777" w:rsidR="00593E5B" w:rsidRDefault="00593E5B" w:rsidP="00E2379A">
      <w:pPr>
        <w:spacing w:line="360" w:lineRule="auto"/>
        <w:ind w:left="720" w:hanging="720"/>
        <w:jc w:val="both"/>
        <w:rPr>
          <w:rFonts w:ascii="Arial" w:hAnsi="Arial"/>
          <w:rtl/>
        </w:rPr>
      </w:pPr>
    </w:p>
    <w:p w14:paraId="25B5575F" w14:textId="77777777" w:rsidR="00593E5B" w:rsidRDefault="00593E5B" w:rsidP="00E2379A">
      <w:pPr>
        <w:spacing w:line="360" w:lineRule="auto"/>
        <w:ind w:left="1440" w:hanging="720"/>
        <w:jc w:val="both"/>
        <w:rPr>
          <w:rFonts w:ascii="Arial" w:hAnsi="Arial"/>
          <w:rtl/>
        </w:rPr>
      </w:pPr>
      <w:r>
        <w:rPr>
          <w:rFonts w:ascii="Arial" w:hAnsi="Arial"/>
          <w:rtl/>
        </w:rPr>
        <w:t>א.</w:t>
      </w:r>
      <w:r>
        <w:rPr>
          <w:rFonts w:ascii="Arial" w:hAnsi="Arial"/>
          <w:rtl/>
        </w:rPr>
        <w:tab/>
        <w:t xml:space="preserve">הנאשם עבד בסניף במחלקת הבשר מיום 22.9.08 ועד ליום 19.11.08 באמצעות חברת כוח אדם ואף והציג אישור שלטענתו נמסר לו מטעם אותה חברה לגבי תקופת ההעסקה האמורה (נ/1). </w:t>
      </w:r>
    </w:p>
    <w:p w14:paraId="38E599F9" w14:textId="77777777" w:rsidR="00593E5B" w:rsidRDefault="00593E5B" w:rsidP="00E2379A">
      <w:pPr>
        <w:spacing w:line="360" w:lineRule="auto"/>
        <w:ind w:left="720"/>
        <w:jc w:val="both"/>
        <w:rPr>
          <w:rFonts w:ascii="Arial" w:hAnsi="Arial"/>
          <w:rtl/>
        </w:rPr>
      </w:pPr>
    </w:p>
    <w:p w14:paraId="5B50C3B7" w14:textId="77777777" w:rsidR="00593E5B" w:rsidRDefault="00593E5B" w:rsidP="00E2379A">
      <w:pPr>
        <w:spacing w:line="360" w:lineRule="auto"/>
        <w:ind w:left="1440" w:hanging="720"/>
        <w:jc w:val="both"/>
        <w:rPr>
          <w:rFonts w:ascii="Arial" w:hAnsi="Arial"/>
          <w:rtl/>
        </w:rPr>
      </w:pPr>
      <w:r>
        <w:rPr>
          <w:rFonts w:ascii="Arial" w:hAnsi="Arial"/>
          <w:rtl/>
        </w:rPr>
        <w:t>ב.</w:t>
      </w:r>
      <w:r>
        <w:rPr>
          <w:rFonts w:ascii="Arial" w:hAnsi="Arial"/>
          <w:rtl/>
        </w:rPr>
        <w:tab/>
        <w:t xml:space="preserve">בין 19.11.08 ו- 19.3.09 ביצע 4 חודשי עבודות שירות שהושתו עליו במסגרת ת"פ 1525/07 של בית משפט השלום ברמלה (נ/2). ללמדך, שבחודש ינואר 2009 המועד שלטענת המתלוננת התרחש האירוע, הנאשם בכלל לא עבד בסניף, אלא ביצע עבודות שירות. </w:t>
      </w:r>
    </w:p>
    <w:p w14:paraId="447130A7" w14:textId="77777777" w:rsidR="00593E5B" w:rsidRDefault="00593E5B" w:rsidP="00E2379A">
      <w:pPr>
        <w:spacing w:line="360" w:lineRule="auto"/>
        <w:ind w:left="1440" w:hanging="720"/>
        <w:jc w:val="both"/>
        <w:rPr>
          <w:rFonts w:ascii="Arial" w:hAnsi="Arial"/>
          <w:rtl/>
        </w:rPr>
      </w:pPr>
    </w:p>
    <w:p w14:paraId="45644318" w14:textId="77777777" w:rsidR="00593E5B" w:rsidRDefault="00593E5B" w:rsidP="00E2379A">
      <w:pPr>
        <w:spacing w:line="360" w:lineRule="auto"/>
        <w:ind w:left="1440" w:hanging="720"/>
        <w:jc w:val="both"/>
        <w:rPr>
          <w:rFonts w:ascii="Arial" w:hAnsi="Arial"/>
          <w:rtl/>
        </w:rPr>
      </w:pPr>
      <w:r>
        <w:rPr>
          <w:rFonts w:ascii="Arial" w:hAnsi="Arial"/>
          <w:rtl/>
        </w:rPr>
        <w:t>ג.</w:t>
      </w:r>
      <w:r>
        <w:rPr>
          <w:rFonts w:ascii="Arial" w:hAnsi="Arial"/>
          <w:rtl/>
        </w:rPr>
        <w:tab/>
        <w:t xml:space="preserve">הנאשם נחקר לראשונה אודות האירוע רק ביום 6.7.10 (ת/3), היינו כשנה לאחר מועד הגשת התלונה כנגדו במשטרה על ידי המתלוננת ובחקירתו הכחיש את כל האירוע. הנאשם טען שראה את המתלוננת לראשונה בחייו רק במועד שהתייצבה בבית המשפט בתיק שבפני למסירת עדותה. </w:t>
      </w:r>
    </w:p>
    <w:p w14:paraId="326ED40D" w14:textId="77777777" w:rsidR="00593E5B" w:rsidRDefault="00593E5B" w:rsidP="00E2379A">
      <w:pPr>
        <w:spacing w:line="360" w:lineRule="auto"/>
        <w:ind w:left="1440" w:hanging="720"/>
        <w:jc w:val="both"/>
        <w:rPr>
          <w:rFonts w:ascii="Arial" w:hAnsi="Arial"/>
          <w:rtl/>
        </w:rPr>
      </w:pPr>
    </w:p>
    <w:p w14:paraId="60C9B284" w14:textId="77777777" w:rsidR="00593E5B" w:rsidRDefault="00593E5B" w:rsidP="00E2379A">
      <w:pPr>
        <w:spacing w:line="360" w:lineRule="auto"/>
        <w:ind w:left="1440" w:hanging="720"/>
        <w:jc w:val="both"/>
        <w:rPr>
          <w:rFonts w:ascii="Arial" w:hAnsi="Arial"/>
          <w:rtl/>
        </w:rPr>
      </w:pPr>
      <w:r>
        <w:rPr>
          <w:rFonts w:ascii="Arial" w:hAnsi="Arial"/>
          <w:rtl/>
        </w:rPr>
        <w:t>ד.</w:t>
      </w:r>
      <w:r>
        <w:rPr>
          <w:rFonts w:ascii="Arial" w:hAnsi="Arial"/>
          <w:rtl/>
        </w:rPr>
        <w:tab/>
        <w:t xml:space="preserve">הנאשם טוען שיש כאן טעות בזיהוי, וככל שאכן התרחש אירוע של נגיעה במתלוננת,  הדבר לא נעשה על ידו. </w:t>
      </w:r>
    </w:p>
    <w:p w14:paraId="34D249D8" w14:textId="77777777" w:rsidR="00593E5B" w:rsidRDefault="00593E5B" w:rsidP="00E2379A">
      <w:pPr>
        <w:spacing w:line="360" w:lineRule="auto"/>
        <w:ind w:left="1440" w:hanging="720"/>
        <w:jc w:val="both"/>
        <w:rPr>
          <w:rFonts w:ascii="Arial" w:hAnsi="Arial"/>
          <w:rtl/>
        </w:rPr>
      </w:pPr>
    </w:p>
    <w:p w14:paraId="0267BFC9" w14:textId="77777777" w:rsidR="00593E5B" w:rsidRDefault="00593E5B" w:rsidP="00E2379A">
      <w:pPr>
        <w:spacing w:line="360" w:lineRule="auto"/>
        <w:ind w:left="1440" w:hanging="720"/>
        <w:jc w:val="both"/>
        <w:rPr>
          <w:rFonts w:ascii="Arial" w:hAnsi="Arial"/>
          <w:rtl/>
        </w:rPr>
      </w:pPr>
      <w:r>
        <w:rPr>
          <w:rFonts w:ascii="Arial" w:hAnsi="Arial"/>
          <w:rtl/>
        </w:rPr>
        <w:t>ו.</w:t>
      </w:r>
      <w:r>
        <w:rPr>
          <w:rFonts w:ascii="Arial" w:hAnsi="Arial"/>
          <w:rtl/>
        </w:rPr>
        <w:tab/>
        <w:t xml:space="preserve">כתב האישום הוגש בחודש אפריל 2013, וזאת כמעט 4 שנים לאחר מועד הגשת התלונה ע"י המתלוננת. השיהוי בהגשת כתב האישום פגע בהגנתו של הנאשם ומצדיק את ביטול כתב האישום מחמת הגנה מן הצדק. </w:t>
      </w:r>
    </w:p>
    <w:p w14:paraId="61352D1A" w14:textId="77777777" w:rsidR="00593E5B" w:rsidRDefault="00593E5B" w:rsidP="00E2379A">
      <w:pPr>
        <w:spacing w:line="360" w:lineRule="auto"/>
        <w:jc w:val="both"/>
        <w:rPr>
          <w:rFonts w:ascii="Arial" w:hAnsi="Arial"/>
          <w:b/>
          <w:bCs/>
          <w:sz w:val="28"/>
          <w:szCs w:val="28"/>
          <w:u w:val="single"/>
          <w:rtl/>
        </w:rPr>
      </w:pPr>
    </w:p>
    <w:p w14:paraId="5010294B" w14:textId="77777777" w:rsidR="00593E5B" w:rsidRDefault="00593E5B" w:rsidP="00E2379A">
      <w:pPr>
        <w:spacing w:line="360" w:lineRule="auto"/>
        <w:jc w:val="both"/>
        <w:rPr>
          <w:rFonts w:ascii="Arial" w:hAnsi="Arial"/>
          <w:b/>
          <w:bCs/>
          <w:sz w:val="28"/>
          <w:szCs w:val="28"/>
          <w:u w:val="single"/>
          <w:rtl/>
        </w:rPr>
      </w:pPr>
    </w:p>
    <w:p w14:paraId="170D13D7" w14:textId="77777777" w:rsidR="00593E5B" w:rsidRDefault="00593E5B" w:rsidP="00E2379A">
      <w:pPr>
        <w:spacing w:line="360" w:lineRule="auto"/>
        <w:jc w:val="both"/>
        <w:rPr>
          <w:rFonts w:ascii="Arial" w:hAnsi="Arial"/>
          <w:b/>
          <w:bCs/>
          <w:sz w:val="28"/>
          <w:szCs w:val="28"/>
          <w:u w:val="single"/>
          <w:rtl/>
        </w:rPr>
      </w:pPr>
      <w:r>
        <w:rPr>
          <w:rFonts w:ascii="Arial" w:hAnsi="Arial"/>
          <w:b/>
          <w:bCs/>
          <w:sz w:val="28"/>
          <w:szCs w:val="28"/>
          <w:u w:val="single"/>
          <w:rtl/>
        </w:rPr>
        <w:t xml:space="preserve">דיון והכרעה </w:t>
      </w:r>
    </w:p>
    <w:p w14:paraId="6BBEE0AA" w14:textId="77777777" w:rsidR="00593E5B" w:rsidRDefault="00593E5B" w:rsidP="00E2379A">
      <w:pPr>
        <w:spacing w:line="360" w:lineRule="auto"/>
        <w:jc w:val="both"/>
        <w:rPr>
          <w:rFonts w:ascii="Arial" w:hAnsi="Arial"/>
          <w:rtl/>
        </w:rPr>
      </w:pPr>
    </w:p>
    <w:p w14:paraId="14BDD77E" w14:textId="77777777" w:rsidR="00593E5B" w:rsidRDefault="00593E5B" w:rsidP="00E2379A">
      <w:pPr>
        <w:spacing w:line="360" w:lineRule="auto"/>
        <w:ind w:left="720" w:hanging="720"/>
        <w:jc w:val="both"/>
        <w:rPr>
          <w:rFonts w:ascii="Arial" w:hAnsi="Arial"/>
          <w:rtl/>
        </w:rPr>
      </w:pPr>
      <w:r>
        <w:rPr>
          <w:rFonts w:ascii="Arial" w:hAnsi="Arial"/>
          <w:rtl/>
        </w:rPr>
        <w:t>6.</w:t>
      </w:r>
      <w:r>
        <w:rPr>
          <w:rFonts w:ascii="Arial" w:hAnsi="Arial"/>
          <w:rtl/>
        </w:rPr>
        <w:tab/>
        <w:t>השאלה המרכזית שטעונה הכרעה היא האם הזיהוי של הנאשם כמי שנגע במתלוננת הוא זיהוי אמין או לא. אפנה בעניין זה ל-</w:t>
      </w:r>
      <w:hyperlink r:id="rId16" w:history="1">
        <w:r w:rsidR="00CA706A" w:rsidRPr="00CA706A">
          <w:rPr>
            <w:rFonts w:ascii="Arial" w:hAnsi="Arial"/>
            <w:color w:val="0000FF"/>
            <w:u w:val="single"/>
            <w:rtl/>
          </w:rPr>
          <w:t>ע"פ 4524/11</w:t>
        </w:r>
      </w:hyperlink>
      <w:r>
        <w:rPr>
          <w:rFonts w:ascii="Arial" w:hAnsi="Arial"/>
          <w:rtl/>
        </w:rPr>
        <w:t xml:space="preserve"> </w:t>
      </w:r>
      <w:r>
        <w:rPr>
          <w:rFonts w:ascii="Arial" w:hAnsi="Arial"/>
          <w:b/>
          <w:bCs/>
          <w:rtl/>
        </w:rPr>
        <w:t>פלוני נ' מדינת ישראל</w:t>
      </w:r>
      <w:r>
        <w:rPr>
          <w:rFonts w:ascii="Arial" w:hAnsi="Arial"/>
          <w:rtl/>
        </w:rPr>
        <w:t xml:space="preserve"> [פורסם בנבו] (17.6.13). במקרה זה היה מדובר במערער שהורשע, בין השאר, בביצוע שתי עבירות של מעשה מגונה בקטינה מתחת לגיל 14 שנים, וזאת בשתי הזדמנויות שונות. הקטינה טענה בפני חוקרת הילדים כי בדרכה לבית הספר נתקלה במנקה רחובות שלא הכירה ואשר בכל אחת מההזדמנויות לקח אותה למחסן, הפשיטה מבגדיה וחיכך את איבר מינו באיבר מינה. לאחר חלוף מספר חודשים, בתיאום עם המשטרה וחוקרת הילדים, הקטינה נתבקשה ללכת באותו מסלול בו נהגה ללכת לבית הספר ואשר בו נפגשה בעבר עם מנקה הרחובות וזאת במטרה לנסות לאתרו. המערער אכן עבד כמנקה רחובות והקטינה ראתה אותו, סימנה לשוטר שעמד במרחק מסוים ממנה, הצביעה על המערער והנאשם נעצר מיד לאחר מכן. הערעור נסוב סביב שאלת הזיהוי של המערער כאותו מנקה רחובות שפגע מינית בקטינה. בסופו של דבר, הרשעתו של המערער נותרה בעינה. כבוד השופט זילברטל סיכם את הכללים המנחים בשאלת אמינות הזיהוי של אדם כמבצעה של עבירה מסוימת: </w:t>
      </w:r>
    </w:p>
    <w:p w14:paraId="5200A875" w14:textId="77777777" w:rsidR="00593E5B" w:rsidRDefault="00593E5B" w:rsidP="00E2379A">
      <w:pPr>
        <w:spacing w:line="360" w:lineRule="auto"/>
        <w:jc w:val="both"/>
        <w:rPr>
          <w:rFonts w:ascii="Arial" w:hAnsi="Arial"/>
        </w:rPr>
      </w:pPr>
    </w:p>
    <w:p w14:paraId="7E4B665E" w14:textId="77777777" w:rsidR="00593E5B" w:rsidRDefault="00593E5B" w:rsidP="00E2379A">
      <w:pPr>
        <w:spacing w:line="360" w:lineRule="auto"/>
        <w:ind w:left="1440" w:hanging="720"/>
        <w:jc w:val="both"/>
        <w:rPr>
          <w:rFonts w:ascii="Arial" w:hAnsi="Arial"/>
          <w:rtl/>
        </w:rPr>
      </w:pPr>
      <w:r>
        <w:rPr>
          <w:rFonts w:ascii="Arial" w:hAnsi="Arial"/>
          <w:rtl/>
        </w:rPr>
        <w:t>א.</w:t>
      </w:r>
      <w:r>
        <w:rPr>
          <w:rFonts w:ascii="Arial" w:hAnsi="Arial"/>
          <w:rtl/>
        </w:rPr>
        <w:tab/>
      </w:r>
      <w:r>
        <w:rPr>
          <w:rFonts w:ascii="Arial" w:hAnsi="Arial"/>
          <w:u w:val="single"/>
          <w:rtl/>
        </w:rPr>
        <w:t>קיימים שני כללים מנחים לבדיקת הזיהוי</w:t>
      </w:r>
      <w:r>
        <w:rPr>
          <w:rFonts w:ascii="Arial" w:hAnsi="Arial"/>
          <w:rtl/>
        </w:rPr>
        <w:t>: אמינות הזיהוי נבחנת על פי שתי אמות מידה: האחת, אמינותו של העד המזהה; השניה, אמינות הזיהוי, וזאת כנתון שעומד בפני עצמו (פסקה 9 לפסק הדין).</w:t>
      </w:r>
    </w:p>
    <w:p w14:paraId="2DA32A7F" w14:textId="77777777" w:rsidR="00593E5B" w:rsidRDefault="00593E5B" w:rsidP="00E2379A">
      <w:pPr>
        <w:spacing w:line="360" w:lineRule="auto"/>
        <w:ind w:left="1440" w:hanging="720"/>
        <w:jc w:val="both"/>
        <w:rPr>
          <w:rFonts w:ascii="Arial" w:hAnsi="Arial"/>
          <w:rtl/>
        </w:rPr>
      </w:pPr>
    </w:p>
    <w:p w14:paraId="67A217D6" w14:textId="77777777" w:rsidR="00593E5B" w:rsidRDefault="00593E5B" w:rsidP="00E2379A">
      <w:pPr>
        <w:spacing w:line="360" w:lineRule="auto"/>
        <w:ind w:left="1440" w:hanging="720"/>
        <w:jc w:val="both"/>
        <w:rPr>
          <w:rFonts w:ascii="Arial" w:hAnsi="Arial"/>
          <w:rtl/>
        </w:rPr>
      </w:pPr>
      <w:r>
        <w:rPr>
          <w:rFonts w:ascii="Arial" w:hAnsi="Arial"/>
          <w:rtl/>
        </w:rPr>
        <w:t>ב.</w:t>
      </w:r>
      <w:r>
        <w:rPr>
          <w:rFonts w:ascii="Arial" w:hAnsi="Arial"/>
          <w:rtl/>
        </w:rPr>
        <w:tab/>
      </w:r>
      <w:r>
        <w:rPr>
          <w:rFonts w:ascii="Arial" w:hAnsi="Arial"/>
          <w:u w:val="single"/>
          <w:rtl/>
        </w:rPr>
        <w:t>שאלת אמינות העד המזהה</w:t>
      </w:r>
      <w:r>
        <w:rPr>
          <w:rFonts w:ascii="Arial" w:hAnsi="Arial"/>
          <w:rtl/>
        </w:rPr>
        <w:t xml:space="preserve">: שאלה זו נוגעת לאמינות הכללית של העד המזהה ביחס לאירוע הפלילי כולו ולנסיבותיו. כאן בוחנים את נכונותו של העד לספר אמת ואת יכולתו לדייק בפרטים (פסקה 9 לפסק הדין). </w:t>
      </w:r>
    </w:p>
    <w:p w14:paraId="50795471" w14:textId="77777777" w:rsidR="00593E5B" w:rsidRDefault="00593E5B" w:rsidP="00E2379A">
      <w:pPr>
        <w:spacing w:line="360" w:lineRule="auto"/>
        <w:ind w:left="1440" w:hanging="720"/>
        <w:jc w:val="both"/>
        <w:rPr>
          <w:rFonts w:ascii="Arial" w:hAnsi="Arial"/>
          <w:rtl/>
        </w:rPr>
      </w:pPr>
    </w:p>
    <w:p w14:paraId="59A95BE0" w14:textId="77777777" w:rsidR="00593E5B" w:rsidRDefault="00593E5B" w:rsidP="00E2379A">
      <w:pPr>
        <w:spacing w:line="360" w:lineRule="auto"/>
        <w:ind w:left="1440" w:hanging="720"/>
        <w:jc w:val="both"/>
        <w:rPr>
          <w:rFonts w:ascii="Arial" w:hAnsi="Arial"/>
          <w:rtl/>
        </w:rPr>
      </w:pPr>
      <w:r>
        <w:rPr>
          <w:rFonts w:ascii="Arial" w:hAnsi="Arial"/>
          <w:rtl/>
        </w:rPr>
        <w:t>ג.</w:t>
      </w:r>
      <w:r>
        <w:rPr>
          <w:rFonts w:ascii="Arial" w:hAnsi="Arial"/>
          <w:rtl/>
        </w:rPr>
        <w:tab/>
      </w:r>
      <w:r>
        <w:rPr>
          <w:rFonts w:ascii="Arial" w:hAnsi="Arial"/>
          <w:u w:val="single"/>
          <w:rtl/>
        </w:rPr>
        <w:t>שאלת אמינות הזיהוי</w:t>
      </w:r>
      <w:r>
        <w:rPr>
          <w:rFonts w:ascii="Arial" w:hAnsi="Arial"/>
          <w:rtl/>
        </w:rPr>
        <w:t xml:space="preserve">: כאן יש לבחון האם ניתן לסמוך על זיהויו של החשוד על ידי העד. בחינה זו נעשית במנותק מהבחינה הראשונה בדבר אמינות העד והיא מתמקדת בבחינת מהימנותו של העד בשאלה הספציפית של זיהוי החשוד. במקרה זה יש לבחון את הנתונים הבאים: משך הזמן שהעד המזהה ראה את מבצע העבירה; המרחק ממנו; זווית הראיה; מצב התאורה במקום; משך החשיפה של העד המזהה לפניו של המזוהה. </w:t>
      </w:r>
    </w:p>
    <w:p w14:paraId="51367EA2" w14:textId="77777777" w:rsidR="00593E5B" w:rsidRDefault="00593E5B" w:rsidP="00E2379A">
      <w:pPr>
        <w:spacing w:line="360" w:lineRule="auto"/>
        <w:ind w:left="1440" w:hanging="720"/>
        <w:jc w:val="both"/>
        <w:rPr>
          <w:rFonts w:ascii="Arial" w:hAnsi="Arial"/>
          <w:rtl/>
        </w:rPr>
      </w:pPr>
    </w:p>
    <w:p w14:paraId="32A4FA06" w14:textId="77777777" w:rsidR="00593E5B" w:rsidRDefault="00593E5B" w:rsidP="00E2379A">
      <w:pPr>
        <w:spacing w:line="360" w:lineRule="auto"/>
        <w:ind w:left="720" w:hanging="720"/>
        <w:jc w:val="both"/>
        <w:rPr>
          <w:rFonts w:ascii="Arial" w:hAnsi="Arial"/>
          <w:rtl/>
        </w:rPr>
      </w:pPr>
      <w:r>
        <w:rPr>
          <w:rFonts w:ascii="Arial" w:hAnsi="Arial"/>
          <w:rtl/>
        </w:rPr>
        <w:t>7.</w:t>
      </w:r>
      <w:r>
        <w:rPr>
          <w:rFonts w:ascii="Arial" w:hAnsi="Arial"/>
          <w:rtl/>
        </w:rPr>
        <w:tab/>
        <w:t xml:space="preserve">במקרה שבפני, </w:t>
      </w:r>
      <w:r>
        <w:rPr>
          <w:rFonts w:ascii="Arial" w:hAnsi="Arial"/>
          <w:u w:val="single"/>
          <w:rtl/>
        </w:rPr>
        <w:t>לגבי שאלת אמינות המתלוננת</w:t>
      </w:r>
      <w:r>
        <w:rPr>
          <w:rFonts w:ascii="Arial" w:hAnsi="Arial"/>
          <w:rtl/>
        </w:rPr>
        <w:t xml:space="preserve"> לעניין עצם התרחשות האירוע, יודגש שעדותה מהימנה עלי לחלוטין. הנני קובע, כממצא עובדתי, שמדובר באירוע אמיתי שהתרחש בעולם המציאות ואופן התרחשותו היה כפי שתיארה אותו המתלוננת. כמו כן, בא כוח הנאשם אף הבהיר בסיכומיו שאיננו חולק על אמינותה של המתלוננת (פרוט' עמ' 36 ש' 22).  </w:t>
      </w:r>
    </w:p>
    <w:p w14:paraId="7E18849A" w14:textId="77777777" w:rsidR="00593E5B" w:rsidRDefault="00593E5B" w:rsidP="00E2379A">
      <w:pPr>
        <w:spacing w:line="360" w:lineRule="auto"/>
        <w:ind w:left="720" w:hanging="720"/>
        <w:jc w:val="both"/>
        <w:rPr>
          <w:rFonts w:ascii="Arial" w:hAnsi="Arial"/>
          <w:rtl/>
        </w:rPr>
      </w:pPr>
    </w:p>
    <w:p w14:paraId="0DA412A4" w14:textId="77777777" w:rsidR="00593E5B" w:rsidRDefault="00593E5B" w:rsidP="00E2379A">
      <w:pPr>
        <w:spacing w:line="360" w:lineRule="auto"/>
        <w:ind w:left="720" w:hanging="720"/>
        <w:jc w:val="both"/>
        <w:rPr>
          <w:rFonts w:ascii="Arial" w:hAnsi="Arial"/>
          <w:rtl/>
        </w:rPr>
      </w:pPr>
      <w:r>
        <w:rPr>
          <w:rFonts w:ascii="Arial" w:hAnsi="Arial"/>
          <w:rtl/>
        </w:rPr>
        <w:t>8.</w:t>
      </w:r>
      <w:r>
        <w:rPr>
          <w:rFonts w:ascii="Arial" w:hAnsi="Arial"/>
          <w:rtl/>
        </w:rPr>
        <w:tab/>
      </w:r>
      <w:r>
        <w:rPr>
          <w:rFonts w:ascii="Arial" w:hAnsi="Arial"/>
          <w:u w:val="single"/>
          <w:rtl/>
        </w:rPr>
        <w:t>לגבי שאלת אמינות הזיהוי</w:t>
      </w:r>
      <w:r>
        <w:rPr>
          <w:rFonts w:ascii="Arial" w:hAnsi="Arial"/>
          <w:rtl/>
        </w:rPr>
        <w:t>, בנושא זה קיימת מחלוקת בין הצדדים האם הזיהוי של הנאשם כמי שנגע במתלוננת הוא זיהוי מספיק לצורך הרשעתו בדין. יוזכר כי הלכה פסוקה היא כי העד המזהה יכול להימצא אמין ועדיין תוטל בספק אמינות הזיהוי שביצע. אמינות הזיהוי נמדדת מהאספקלריה הרחבה של רמת ההוגנות של ההליך הפלילי בדרך של תיעוד החקירה כדבעי, מידת השמירה על זכויות החשוד, אופיים ומהותם של מחדלי החקירה וכן באם הזיהוי הוא ראיה יחידה, או לא. בדיקת אמינות הזיהוי מאספקלריה הרחבה הנ"ל מטרתה לצמצם אפשרויות של טעויות בזיהוי, גם אם נעשו בתום לב (</w:t>
      </w:r>
      <w:hyperlink r:id="rId17" w:history="1">
        <w:r w:rsidR="00CA706A" w:rsidRPr="00CA706A">
          <w:rPr>
            <w:rFonts w:ascii="Arial" w:hAnsi="Arial"/>
            <w:color w:val="0000FF"/>
            <w:u w:val="single"/>
            <w:rtl/>
          </w:rPr>
          <w:t>ע"פ 492/02 עסל נ' מדינת ישראל פ"ד נו</w:t>
        </w:r>
      </w:hyperlink>
      <w:r>
        <w:rPr>
          <w:rFonts w:ascii="Arial" w:hAnsi="Arial"/>
          <w:rtl/>
        </w:rPr>
        <w:t xml:space="preserve"> (6) 935, 943; </w:t>
      </w:r>
      <w:hyperlink r:id="rId18" w:history="1">
        <w:r w:rsidR="00327999" w:rsidRPr="00327999">
          <w:rPr>
            <w:rFonts w:ascii="Arial" w:hAnsi="Arial"/>
            <w:color w:val="0000FF"/>
            <w:u w:val="single"/>
            <w:rtl/>
          </w:rPr>
          <w:t>ע"פ 2331/08</w:t>
        </w:r>
      </w:hyperlink>
      <w:r>
        <w:rPr>
          <w:rFonts w:ascii="Arial" w:hAnsi="Arial"/>
          <w:rtl/>
        </w:rPr>
        <w:t xml:space="preserve"> </w:t>
      </w:r>
      <w:r>
        <w:rPr>
          <w:rFonts w:ascii="Arial" w:hAnsi="Arial"/>
          <w:b/>
          <w:bCs/>
          <w:rtl/>
        </w:rPr>
        <w:t>קסטרו נ' מדינת ישראל</w:t>
      </w:r>
      <w:r>
        <w:rPr>
          <w:rFonts w:ascii="Arial" w:hAnsi="Arial"/>
          <w:rtl/>
        </w:rPr>
        <w:t xml:space="preserve"> [פורסם בנבו] (20.4.09) פסקה 29 לפסק דינה של כבוד השופטת ארבל) . </w:t>
      </w:r>
    </w:p>
    <w:p w14:paraId="6A6BD972" w14:textId="77777777" w:rsidR="00593E5B" w:rsidRDefault="00593E5B" w:rsidP="00E2379A">
      <w:pPr>
        <w:spacing w:line="360" w:lineRule="auto"/>
        <w:ind w:left="720" w:hanging="720"/>
        <w:jc w:val="both"/>
        <w:rPr>
          <w:rFonts w:ascii="Arial" w:hAnsi="Arial"/>
          <w:rtl/>
        </w:rPr>
      </w:pPr>
    </w:p>
    <w:p w14:paraId="4681C946" w14:textId="77777777" w:rsidR="00593E5B" w:rsidRDefault="00593E5B" w:rsidP="00E2379A">
      <w:pPr>
        <w:spacing w:line="360" w:lineRule="auto"/>
        <w:ind w:left="720" w:hanging="720"/>
        <w:jc w:val="both"/>
        <w:rPr>
          <w:rFonts w:ascii="Arial" w:hAnsi="Arial"/>
          <w:rtl/>
        </w:rPr>
      </w:pPr>
      <w:r>
        <w:rPr>
          <w:rFonts w:ascii="Arial" w:hAnsi="Arial"/>
          <w:rtl/>
        </w:rPr>
        <w:t>9.</w:t>
      </w:r>
      <w:r>
        <w:rPr>
          <w:rFonts w:ascii="Arial" w:hAnsi="Arial"/>
          <w:rtl/>
        </w:rPr>
        <w:tab/>
        <w:t xml:space="preserve">מצד אחד, בעת בדיקת אמינות הזיהוי, קיימים שני נתונים מרכזיים שפועלים לרעתו של הנאשם: </w:t>
      </w:r>
      <w:r>
        <w:rPr>
          <w:rFonts w:ascii="Arial" w:hAnsi="Arial"/>
          <w:b/>
          <w:bCs/>
          <w:rtl/>
        </w:rPr>
        <w:t>ראשית</w:t>
      </w:r>
      <w:r>
        <w:rPr>
          <w:rFonts w:ascii="Arial" w:hAnsi="Arial"/>
          <w:rtl/>
        </w:rPr>
        <w:t xml:space="preserve">, בנקודת זמן מסוימת הנאשם אכן עבד במחלקת הבשר של הסניף; </w:t>
      </w:r>
      <w:r>
        <w:rPr>
          <w:rFonts w:ascii="Arial" w:hAnsi="Arial"/>
          <w:b/>
          <w:bCs/>
          <w:rtl/>
        </w:rPr>
        <w:t>שנית</w:t>
      </w:r>
      <w:r>
        <w:rPr>
          <w:rFonts w:ascii="Arial" w:hAnsi="Arial"/>
          <w:rtl/>
        </w:rPr>
        <w:t xml:space="preserve">, ממדי גופו של הנאשם תואמים את תיאורה של המתלוננת בפני ע', היינו מי שמאופיין בעודף משקל.  </w:t>
      </w:r>
    </w:p>
    <w:p w14:paraId="7C135A9E" w14:textId="77777777" w:rsidR="00593E5B" w:rsidRDefault="00593E5B" w:rsidP="00E2379A">
      <w:pPr>
        <w:spacing w:line="360" w:lineRule="auto"/>
        <w:ind w:left="720" w:hanging="720"/>
        <w:jc w:val="both"/>
        <w:rPr>
          <w:rFonts w:ascii="Arial" w:hAnsi="Arial"/>
          <w:rtl/>
        </w:rPr>
      </w:pPr>
    </w:p>
    <w:p w14:paraId="0D885796" w14:textId="77777777" w:rsidR="00593E5B" w:rsidRDefault="00593E5B" w:rsidP="00E2379A">
      <w:pPr>
        <w:spacing w:line="360" w:lineRule="auto"/>
        <w:ind w:left="720" w:hanging="720"/>
        <w:jc w:val="both"/>
        <w:rPr>
          <w:rFonts w:ascii="Arial" w:hAnsi="Arial"/>
          <w:rtl/>
        </w:rPr>
      </w:pPr>
      <w:r>
        <w:rPr>
          <w:rFonts w:ascii="Arial" w:hAnsi="Arial"/>
          <w:rtl/>
        </w:rPr>
        <w:t>10.</w:t>
      </w:r>
      <w:r>
        <w:rPr>
          <w:rFonts w:ascii="Arial" w:hAnsi="Arial"/>
          <w:rtl/>
        </w:rPr>
        <w:tab/>
        <w:t>מצד שני, כידוע, הזיהוי של נאשם צריך שיהיה מעל לכל ספק סביר ונטל ההוכחה מוטל על התביעה (</w:t>
      </w:r>
      <w:hyperlink r:id="rId19" w:history="1">
        <w:r w:rsidR="00CA706A" w:rsidRPr="00CA706A">
          <w:rPr>
            <w:rFonts w:ascii="Arial" w:hAnsi="Arial"/>
            <w:color w:val="0000FF"/>
            <w:u w:val="single"/>
            <w:rtl/>
          </w:rPr>
          <w:t>ע"פ 6921/09</w:t>
        </w:r>
      </w:hyperlink>
      <w:r>
        <w:rPr>
          <w:rFonts w:ascii="Arial" w:hAnsi="Arial"/>
          <w:rtl/>
        </w:rPr>
        <w:t xml:space="preserve"> </w:t>
      </w:r>
      <w:r>
        <w:rPr>
          <w:rFonts w:ascii="Arial" w:hAnsi="Arial"/>
          <w:b/>
          <w:bCs/>
          <w:rtl/>
        </w:rPr>
        <w:t>פלוני נ' מדינת ישראל</w:t>
      </w:r>
      <w:r>
        <w:rPr>
          <w:rFonts w:ascii="Arial" w:hAnsi="Arial"/>
          <w:rtl/>
        </w:rPr>
        <w:t xml:space="preserve"> [פורסם בנבו] (13.9.10) פסקה 15 לפסק דינו של כבוד השופט דנציגר). יתר על כן, כאשר מדובר </w:t>
      </w:r>
      <w:r>
        <w:rPr>
          <w:rFonts w:ascii="Arial" w:hAnsi="Arial"/>
          <w:u w:val="single"/>
          <w:rtl/>
        </w:rPr>
        <w:t>בזיהוי כראיה יחידה</w:t>
      </w:r>
      <w:r>
        <w:rPr>
          <w:rFonts w:ascii="Arial" w:hAnsi="Arial"/>
          <w:rtl/>
        </w:rPr>
        <w:t xml:space="preserve"> הלכה פסוקה היא שניתן להרשיע אדם על סמך ראיה זו מבלי שיהיה צורך בתוספת ראייתית בדמות "דבר מה נוסף" אך נקבע כי על בית המשפט לנהוג בזהירות מירבית כאשר קיימת עדות יחידה בדבר זהותו של נאשם כמי שביצע את העבירה שמיוחסת לו (</w:t>
      </w:r>
      <w:hyperlink r:id="rId20" w:history="1">
        <w:r w:rsidR="00CA706A" w:rsidRPr="00CA706A">
          <w:rPr>
            <w:rFonts w:ascii="Arial" w:hAnsi="Arial"/>
            <w:color w:val="0000FF"/>
            <w:u w:val="single"/>
            <w:rtl/>
          </w:rPr>
          <w:t>ע"פ 10360/03</w:t>
        </w:r>
      </w:hyperlink>
      <w:r>
        <w:rPr>
          <w:rFonts w:ascii="Arial" w:hAnsi="Arial"/>
          <w:rtl/>
        </w:rPr>
        <w:t xml:space="preserve"> </w:t>
      </w:r>
      <w:r>
        <w:rPr>
          <w:rFonts w:ascii="Arial" w:hAnsi="Arial"/>
          <w:b/>
          <w:bCs/>
          <w:rtl/>
        </w:rPr>
        <w:t>שדיד נ' מדינת ישראל</w:t>
      </w:r>
      <w:r>
        <w:rPr>
          <w:rFonts w:ascii="Arial" w:hAnsi="Arial"/>
          <w:rtl/>
        </w:rPr>
        <w:t xml:space="preserve"> [פורסם בנבו] (2.3.06) פסקה 12 לפסק הדין של כבוד השופטת ארבל;  </w:t>
      </w:r>
      <w:hyperlink r:id="rId21" w:history="1">
        <w:r w:rsidR="00CA706A" w:rsidRPr="00CA706A">
          <w:rPr>
            <w:rFonts w:ascii="Arial" w:hAnsi="Arial"/>
            <w:color w:val="0000FF"/>
            <w:u w:val="single"/>
            <w:rtl/>
          </w:rPr>
          <w:t>ע"פ 2218/06</w:t>
        </w:r>
      </w:hyperlink>
      <w:r>
        <w:rPr>
          <w:rFonts w:ascii="Arial" w:hAnsi="Arial"/>
          <w:rtl/>
        </w:rPr>
        <w:t xml:space="preserve"> </w:t>
      </w:r>
      <w:r>
        <w:rPr>
          <w:rFonts w:ascii="Arial" w:hAnsi="Arial"/>
          <w:b/>
          <w:bCs/>
          <w:rtl/>
        </w:rPr>
        <w:t>הייב נ' מדינת ישראל</w:t>
      </w:r>
      <w:r>
        <w:rPr>
          <w:rFonts w:ascii="Arial" w:hAnsi="Arial"/>
          <w:rtl/>
        </w:rPr>
        <w:t xml:space="preserve"> [פורסם בנבו] (22.1.07), עמ' 9 לפסק דינו של כבוד השופט דוד חשין). </w:t>
      </w:r>
    </w:p>
    <w:p w14:paraId="4294D675" w14:textId="77777777" w:rsidR="00593E5B" w:rsidRDefault="00593E5B" w:rsidP="00E2379A">
      <w:pPr>
        <w:spacing w:line="360" w:lineRule="auto"/>
        <w:ind w:left="720" w:hanging="720"/>
        <w:jc w:val="both"/>
        <w:rPr>
          <w:rFonts w:ascii="Arial" w:hAnsi="Arial"/>
          <w:rtl/>
        </w:rPr>
      </w:pPr>
    </w:p>
    <w:p w14:paraId="62F40C7C" w14:textId="77777777" w:rsidR="00593E5B" w:rsidRDefault="00593E5B" w:rsidP="00E2379A">
      <w:pPr>
        <w:spacing w:line="360" w:lineRule="auto"/>
        <w:ind w:left="720" w:hanging="720"/>
        <w:jc w:val="both"/>
        <w:rPr>
          <w:rFonts w:ascii="Arial" w:hAnsi="Arial"/>
          <w:rtl/>
        </w:rPr>
      </w:pPr>
      <w:r>
        <w:rPr>
          <w:rFonts w:ascii="Arial" w:hAnsi="Arial"/>
          <w:rtl/>
        </w:rPr>
        <w:t>11.</w:t>
      </w:r>
      <w:r>
        <w:rPr>
          <w:rFonts w:ascii="Arial" w:hAnsi="Arial"/>
          <w:rtl/>
        </w:rPr>
        <w:tab/>
        <w:t xml:space="preserve">לא שוכנעתי </w:t>
      </w:r>
      <w:r>
        <w:rPr>
          <w:rFonts w:ascii="Arial" w:hAnsi="Arial"/>
          <w:u w:val="single"/>
          <w:rtl/>
        </w:rPr>
        <w:t>שאמינות הזיהוי</w:t>
      </w:r>
      <w:r>
        <w:rPr>
          <w:rFonts w:ascii="Arial" w:hAnsi="Arial"/>
          <w:rtl/>
        </w:rPr>
        <w:t xml:space="preserve"> של הנאשם עומדת באמת המידה המחמירה של "מעל לכל ספק סביר", כנדרש במשפט פלילי. להלן נימוקיי: </w:t>
      </w:r>
    </w:p>
    <w:p w14:paraId="478FE3E9" w14:textId="77777777" w:rsidR="00593E5B" w:rsidRDefault="00593E5B" w:rsidP="00E2379A">
      <w:pPr>
        <w:spacing w:line="360" w:lineRule="auto"/>
        <w:ind w:left="720" w:hanging="720"/>
        <w:jc w:val="both"/>
        <w:rPr>
          <w:rFonts w:ascii="Arial" w:hAnsi="Arial"/>
          <w:rtl/>
        </w:rPr>
      </w:pPr>
    </w:p>
    <w:p w14:paraId="76274CF0" w14:textId="77777777" w:rsidR="00593E5B" w:rsidRDefault="00593E5B" w:rsidP="00E2379A">
      <w:pPr>
        <w:spacing w:line="360" w:lineRule="auto"/>
        <w:ind w:left="1440" w:hanging="720"/>
        <w:jc w:val="both"/>
        <w:rPr>
          <w:rFonts w:ascii="Arial" w:hAnsi="Arial"/>
          <w:rtl/>
        </w:rPr>
      </w:pPr>
      <w:r>
        <w:rPr>
          <w:rFonts w:ascii="Arial" w:hAnsi="Arial"/>
          <w:rtl/>
        </w:rPr>
        <w:t>א.</w:t>
      </w:r>
      <w:r>
        <w:rPr>
          <w:rFonts w:ascii="Arial" w:hAnsi="Arial"/>
          <w:rtl/>
        </w:rPr>
        <w:tab/>
      </w:r>
      <w:r>
        <w:rPr>
          <w:rFonts w:ascii="Arial" w:hAnsi="Arial"/>
          <w:u w:val="single"/>
          <w:rtl/>
        </w:rPr>
        <w:t>נטל ההוכחה על המאשימה</w:t>
      </w:r>
      <w:r>
        <w:rPr>
          <w:rFonts w:ascii="Arial" w:hAnsi="Arial"/>
          <w:rtl/>
        </w:rPr>
        <w:t xml:space="preserve">: יוזכר כי הנטל הוא על המאשימה להוכיח שני נתונים קרדינאליים: </w:t>
      </w:r>
      <w:r>
        <w:rPr>
          <w:rFonts w:ascii="Arial" w:hAnsi="Arial"/>
          <w:b/>
          <w:bCs/>
          <w:rtl/>
        </w:rPr>
        <w:t>ראשית</w:t>
      </w:r>
      <w:r>
        <w:rPr>
          <w:rFonts w:ascii="Arial" w:hAnsi="Arial"/>
          <w:rtl/>
        </w:rPr>
        <w:t xml:space="preserve">, את המועד שבו התרחש האירוע נשוא כתב האישום; </w:t>
      </w:r>
      <w:r>
        <w:rPr>
          <w:rFonts w:ascii="Arial" w:hAnsi="Arial"/>
          <w:b/>
          <w:bCs/>
          <w:rtl/>
        </w:rPr>
        <w:t>שנית</w:t>
      </w:r>
      <w:r>
        <w:rPr>
          <w:rFonts w:ascii="Arial" w:hAnsi="Arial"/>
          <w:rtl/>
        </w:rPr>
        <w:t xml:space="preserve">, שהנאשם עבד בסניף באותו מועד. </w:t>
      </w:r>
    </w:p>
    <w:p w14:paraId="5CBF9796" w14:textId="77777777" w:rsidR="00593E5B" w:rsidRDefault="00593E5B" w:rsidP="00E2379A">
      <w:pPr>
        <w:spacing w:line="360" w:lineRule="auto"/>
        <w:ind w:left="1440" w:hanging="720"/>
        <w:jc w:val="both"/>
        <w:rPr>
          <w:rFonts w:ascii="Arial" w:hAnsi="Arial"/>
          <w:rtl/>
        </w:rPr>
      </w:pPr>
    </w:p>
    <w:p w14:paraId="3D272DD5" w14:textId="77777777" w:rsidR="00593E5B" w:rsidRDefault="00593E5B" w:rsidP="00E2379A">
      <w:pPr>
        <w:spacing w:line="360" w:lineRule="auto"/>
        <w:ind w:left="1440" w:hanging="720"/>
        <w:jc w:val="both"/>
        <w:rPr>
          <w:rFonts w:ascii="Arial" w:hAnsi="Arial"/>
          <w:rtl/>
        </w:rPr>
      </w:pPr>
      <w:r>
        <w:rPr>
          <w:rFonts w:ascii="Arial" w:hAnsi="Arial"/>
          <w:rtl/>
        </w:rPr>
        <w:t>ב.</w:t>
      </w:r>
      <w:r>
        <w:rPr>
          <w:rFonts w:ascii="Arial" w:hAnsi="Arial"/>
          <w:rtl/>
        </w:rPr>
        <w:tab/>
      </w:r>
      <w:r>
        <w:rPr>
          <w:rFonts w:ascii="Arial" w:hAnsi="Arial"/>
          <w:u w:val="single"/>
          <w:rtl/>
        </w:rPr>
        <w:t>אי הוכחת מועד קרות האירוע</w:t>
      </w:r>
      <w:r>
        <w:rPr>
          <w:rFonts w:ascii="Arial" w:hAnsi="Arial"/>
          <w:rtl/>
        </w:rPr>
        <w:t xml:space="preserve">: המתלוננת טענה שהאירוע התרחש בסניף בחודש ינואר 2009. הנאשם המציא אישור משירות בתי הסוהר ואשר לפיו במהלך חודש ינואר 2009 ביצע עבודות שירות ולכן בכלל לא עבד בסניף (נ/2). בא כוח המאשימה לא חלק על אמיתות תוכנו של האישור שהמציא הנאשם משרות בתי הסוהר (פרוט' עמ' 28 ש' 1 – 7). בעניין זה יש לומר ממה נפשך: אם טענתה של המתלוננת היא נכונה, קרי האירוע אכן התרחש בתוך הסניף בינואר 2009, על ידי אדם שהיה לבוש בבגדי עבודה שמאפיינים את מחלקת הבשר, הרי שהאישור שהנאשם המציא רק מחזק את טענתו שיש טעות בזיהוי מאחר ובמהלך חודש ינואר הוא לא עבד בסניף; לעומת זאת, אם טענתה של המתלוננת איננה נכונה, קרי האירוע לא התרחש בחודש ינואר 2009, עדיין נותר חלל ראייתי מתי אכן התרחש האירוע. חלל ראייתי זה פועל לטובת הנאשם.  </w:t>
      </w:r>
    </w:p>
    <w:p w14:paraId="23162424" w14:textId="77777777" w:rsidR="00593E5B" w:rsidRDefault="00593E5B" w:rsidP="00E2379A">
      <w:pPr>
        <w:spacing w:line="360" w:lineRule="auto"/>
        <w:ind w:left="1440" w:hanging="720"/>
        <w:jc w:val="both"/>
        <w:rPr>
          <w:rFonts w:ascii="Arial" w:hAnsi="Arial"/>
          <w:rtl/>
        </w:rPr>
      </w:pPr>
    </w:p>
    <w:p w14:paraId="237531CD" w14:textId="77777777" w:rsidR="00593E5B" w:rsidRDefault="00593E5B" w:rsidP="00E2379A">
      <w:pPr>
        <w:spacing w:line="360" w:lineRule="auto"/>
        <w:ind w:left="1440" w:hanging="720"/>
        <w:jc w:val="both"/>
        <w:rPr>
          <w:rFonts w:ascii="Arial" w:hAnsi="Arial"/>
          <w:rtl/>
        </w:rPr>
      </w:pPr>
      <w:r>
        <w:rPr>
          <w:rFonts w:ascii="Arial" w:hAnsi="Arial"/>
          <w:rtl/>
        </w:rPr>
        <w:t>ג.</w:t>
      </w:r>
      <w:r>
        <w:rPr>
          <w:rFonts w:ascii="Arial" w:hAnsi="Arial"/>
          <w:rtl/>
        </w:rPr>
        <w:tab/>
      </w:r>
      <w:r>
        <w:rPr>
          <w:rFonts w:ascii="Arial" w:hAnsi="Arial"/>
          <w:u w:val="single"/>
          <w:rtl/>
        </w:rPr>
        <w:t>אי הוכחת המועדים שבהם הנאשם עבד בסניף</w:t>
      </w:r>
      <w:r>
        <w:rPr>
          <w:rFonts w:ascii="Arial" w:hAnsi="Arial"/>
          <w:rtl/>
        </w:rPr>
        <w:t xml:space="preserve">: המאשימה גם לא הוכיחה את המועדים המדויקים שבהם הנאשם עבד בסניף. אמנם הנאשם המציא אישור בכתב מחברת כוח האדם שהעסיקה אותו לגבי המועדים שבהם לטענתו עבד בסניף, מיום 21.9.08 ועד יום 19.11.08 (נ/1), אך המאשימה טענה שאישור זה הוא ראייה בלתי קבילה מאחר והוגש שלא באמצעות עורכו (ראו דברי בא כוח המאשימה בפרוט' עמ' 27 ש' 3 – 7). בנסיבות אלה, שבהן מדובר בראייה בלתי קבילה, אזי, כפי שהנאשם לא יכול להסתמך עליה כך גם המאשימה לא יכולה להסתמך עליה. במילים אחרות, החלל הראייתי, הנוגע למועדים המדויקים שבהם הנאשם עבד בסניף, נותר בעינו. </w:t>
      </w:r>
    </w:p>
    <w:p w14:paraId="62044C34" w14:textId="77777777" w:rsidR="00593E5B" w:rsidRDefault="00593E5B" w:rsidP="00E2379A">
      <w:pPr>
        <w:spacing w:line="360" w:lineRule="auto"/>
        <w:ind w:left="1440" w:hanging="720"/>
        <w:jc w:val="both"/>
        <w:rPr>
          <w:rFonts w:ascii="Arial" w:hAnsi="Arial"/>
          <w:rtl/>
        </w:rPr>
      </w:pPr>
    </w:p>
    <w:p w14:paraId="59EC52B6" w14:textId="77777777" w:rsidR="00593E5B" w:rsidRDefault="00593E5B" w:rsidP="00E2379A">
      <w:pPr>
        <w:spacing w:line="360" w:lineRule="auto"/>
        <w:ind w:left="1440" w:hanging="720"/>
        <w:jc w:val="both"/>
        <w:rPr>
          <w:rFonts w:ascii="Arial" w:hAnsi="Arial"/>
          <w:rtl/>
        </w:rPr>
      </w:pPr>
      <w:r>
        <w:rPr>
          <w:rFonts w:ascii="Arial" w:hAnsi="Arial"/>
          <w:rtl/>
        </w:rPr>
        <w:t>ד.</w:t>
      </w:r>
      <w:r>
        <w:rPr>
          <w:rFonts w:ascii="Arial" w:hAnsi="Arial"/>
          <w:rtl/>
        </w:rPr>
        <w:tab/>
      </w:r>
      <w:r>
        <w:rPr>
          <w:rFonts w:ascii="Arial" w:hAnsi="Arial"/>
          <w:u w:val="single"/>
          <w:rtl/>
        </w:rPr>
        <w:t>עדותה של ר', לענין סוגיית הזיהוי, היא בלתי קבילה</w:t>
      </w:r>
      <w:r>
        <w:rPr>
          <w:rFonts w:ascii="Arial" w:hAnsi="Arial"/>
          <w:rtl/>
        </w:rPr>
        <w:t xml:space="preserve">:  ר' לא היתה עדה לאירוע הנגיעה במתלוננת וגם לא להצבעה המתלוננת שביצעה שבוע לאחר מכן, ולכן אין בעדותה בכדי לתרום במאומה לשאלת אמינות הזיהוי. יתר על כן, אין לייחס כל משקל לאסוציאציה שעשתה ר' בין אירוע הנגיעה בישבנה של המתלוננת, לבין הרמיזות המיניות שהופנו כלפיה על ידי אדם "שמן" במחלקת הבשר בסניף, כחודש לפני כן.  לא הובאה כל ראיה שיש בה בכדי לאשש את סברתה של ר' שהאדם שנגע במתלוננת הוא אותו אדם שהשמיע כלפי ר' רמיזות בעלות אופי מיני. </w:t>
      </w:r>
    </w:p>
    <w:p w14:paraId="5A2DF891" w14:textId="77777777" w:rsidR="00593E5B" w:rsidRDefault="00593E5B" w:rsidP="00E2379A">
      <w:pPr>
        <w:spacing w:line="360" w:lineRule="auto"/>
        <w:ind w:left="1440" w:hanging="720"/>
        <w:jc w:val="both"/>
        <w:rPr>
          <w:rFonts w:ascii="Arial" w:hAnsi="Arial"/>
          <w:rtl/>
        </w:rPr>
      </w:pPr>
    </w:p>
    <w:p w14:paraId="30A5B475" w14:textId="77777777" w:rsidR="00593E5B" w:rsidRDefault="00593E5B" w:rsidP="00E2379A">
      <w:pPr>
        <w:spacing w:line="360" w:lineRule="auto"/>
        <w:ind w:left="1440" w:hanging="720"/>
        <w:jc w:val="both"/>
        <w:rPr>
          <w:rFonts w:ascii="Arial" w:hAnsi="Arial"/>
          <w:rtl/>
        </w:rPr>
      </w:pPr>
      <w:r>
        <w:rPr>
          <w:rFonts w:ascii="Arial" w:hAnsi="Arial"/>
          <w:rtl/>
        </w:rPr>
        <w:t>ה.</w:t>
      </w:r>
      <w:r>
        <w:rPr>
          <w:rFonts w:ascii="Arial" w:hAnsi="Arial"/>
          <w:rtl/>
        </w:rPr>
        <w:tab/>
      </w:r>
      <w:r>
        <w:rPr>
          <w:rFonts w:ascii="Arial" w:hAnsi="Arial"/>
          <w:u w:val="single"/>
          <w:rtl/>
        </w:rPr>
        <w:t>אי הוכחת "בלעדיות" לנאשם על הראיות הנסיבתיות</w:t>
      </w:r>
      <w:r>
        <w:rPr>
          <w:rFonts w:ascii="Arial" w:hAnsi="Arial"/>
          <w:rtl/>
        </w:rPr>
        <w:t>: לא הובאו בפי ראיות שמהן ניתן ללמוד שהנאשם היה העובד היחידי במחלקת הבשר בסניף, מתוך מכלול העובדים שעבדו באותה מחלקה, ואשר התאפיין בעודף משקל (קרי, "שמן", שזה הביטוי שהמתלוננת השתמשה בו בפני ע' לתיאור מי שנגע בה). במילים אחרות, לא הוכח שלנאשם יש "בלעדיות" על הראיות הנסיבתיות: עובד ב-"מחלקת הבשר" של הסניף וגם "שמן". חלל ראייתי זה מקבל משנה תוקף לאור העובדה שלא הוכח מה התאריך המדויק שבו התרחש האירוע על מנת לבדוק מי הם העובדים שעבדו במחלקת הבשר באותו מועד והאם היו ביניהם "שמנים" אחרים, חוץ מהנאשם. במילים אחרות, ה-"תצרף" של ראיות נסיבתיות אינו מוביל למסקנה האחת והיחידה שהנאשם הוא המבצע.</w:t>
      </w:r>
    </w:p>
    <w:p w14:paraId="6008C7EA" w14:textId="77777777" w:rsidR="00593E5B" w:rsidRDefault="00593E5B" w:rsidP="00E2379A">
      <w:pPr>
        <w:spacing w:line="360" w:lineRule="auto"/>
        <w:ind w:left="1440" w:hanging="720"/>
        <w:jc w:val="both"/>
        <w:rPr>
          <w:rFonts w:ascii="Arial" w:hAnsi="Arial"/>
          <w:rtl/>
        </w:rPr>
      </w:pPr>
    </w:p>
    <w:p w14:paraId="4BEA4CED" w14:textId="77777777" w:rsidR="00593E5B" w:rsidRDefault="00593E5B" w:rsidP="00E2379A">
      <w:pPr>
        <w:spacing w:line="360" w:lineRule="auto"/>
        <w:ind w:left="1440" w:hanging="720"/>
        <w:jc w:val="both"/>
        <w:rPr>
          <w:rFonts w:ascii="Arial" w:hAnsi="Arial"/>
          <w:rtl/>
        </w:rPr>
      </w:pPr>
      <w:r>
        <w:rPr>
          <w:rFonts w:ascii="Arial" w:hAnsi="Arial"/>
          <w:rtl/>
        </w:rPr>
        <w:t>ו.</w:t>
      </w:r>
      <w:r>
        <w:rPr>
          <w:rFonts w:ascii="Arial" w:hAnsi="Arial"/>
          <w:rtl/>
        </w:rPr>
        <w:tab/>
      </w:r>
      <w:r>
        <w:rPr>
          <w:rFonts w:ascii="Arial" w:hAnsi="Arial"/>
          <w:u w:val="single"/>
          <w:rtl/>
        </w:rPr>
        <w:t>אי מתן הסבר כיצד נודע למתלוננת מה הוא שמו המלא של הנאשם</w:t>
      </w:r>
      <w:r>
        <w:rPr>
          <w:rFonts w:ascii="Arial" w:hAnsi="Arial"/>
          <w:rtl/>
        </w:rPr>
        <w:t xml:space="preserve">: המתלוננת לא הסבירה כיצד הובא לידיעתה שמו המלא של הנאשם, ואשר צוין במפורש במכתב התלונה של עורך הדין מטעמה להנהלת הסניף ובהמשך, לאחר חלוף למעלה מחודשיים ממשלוח המכתב, בתלונתה במשטרה. המתלוננת לא הסבירה אם שמו של הנאשם הגיע לידיעתה מגורם שיש לו זיקה לסניף, כגון ר' (בהיותה לקוחה בסניף) או ע' (בהיותו מנהל הסניף), או שמא ממקור חיצוני לסניף. בהערת אגב יצוין שבהנחה שהשם של הנאשם נמסר למתלוננת מ-ר' או מ-ע', וזאת בהסתמך על  הנתון שהוא היה עובד במחלקת הבשר בסניף והינו בעל עודף משקל,  הרי שיש לייחס משקל נמוך ביותר למידע זה לצורך שאלת אמינות הזיהוי. הטעם לכך הוא שגם ר' וגם ע' לא היו עדים לאירוע וגם לא היו עדים להצבעה ולכן עצם מסירת שמו של הנאשם למתלוננת על ידם (וזאת בהנחה שאכן כך קרה ואינני קובע מסמרות בעניין) איננה תורמת במאומה לשאלת אמינות הזיהוי.  לסיכום, אי הבאת ראיות לגבי הנסיבות שבהן שמו המלא של הנאשם הגיע לידיעתה של המתלוננת היא בגדר חלל ראייתי, הפועל לטובת הנאשם. </w:t>
      </w:r>
    </w:p>
    <w:p w14:paraId="7695EFAB" w14:textId="77777777" w:rsidR="00593E5B" w:rsidRDefault="00593E5B" w:rsidP="00E2379A">
      <w:pPr>
        <w:spacing w:line="360" w:lineRule="auto"/>
        <w:ind w:left="1440" w:hanging="720"/>
        <w:jc w:val="both"/>
        <w:rPr>
          <w:rFonts w:ascii="Arial" w:hAnsi="Arial"/>
          <w:rtl/>
        </w:rPr>
      </w:pPr>
    </w:p>
    <w:p w14:paraId="71186F93" w14:textId="77777777" w:rsidR="00593E5B" w:rsidRDefault="00593E5B" w:rsidP="00E2379A">
      <w:pPr>
        <w:spacing w:line="360" w:lineRule="auto"/>
        <w:ind w:left="1440" w:hanging="720"/>
        <w:jc w:val="both"/>
        <w:rPr>
          <w:rFonts w:ascii="Arial" w:hAnsi="Arial"/>
          <w:rtl/>
        </w:rPr>
      </w:pPr>
      <w:r>
        <w:rPr>
          <w:rFonts w:ascii="Arial" w:hAnsi="Arial"/>
          <w:rtl/>
        </w:rPr>
        <w:t>ז.</w:t>
      </w:r>
      <w:r>
        <w:rPr>
          <w:rFonts w:ascii="Arial" w:hAnsi="Arial"/>
          <w:rtl/>
        </w:rPr>
        <w:tab/>
      </w:r>
      <w:r>
        <w:rPr>
          <w:rFonts w:ascii="Arial" w:hAnsi="Arial"/>
          <w:u w:val="single"/>
          <w:rtl/>
        </w:rPr>
        <w:t>יש לייחס משקל נמוך ל-"הצבעה" שנעשתה בסניף.</w:t>
      </w:r>
      <w:r>
        <w:rPr>
          <w:rFonts w:ascii="Arial" w:hAnsi="Arial"/>
          <w:rtl/>
        </w:rPr>
        <w:t xml:space="preserve"> להלן נימוקי: </w:t>
      </w:r>
    </w:p>
    <w:p w14:paraId="517D4F5D" w14:textId="77777777" w:rsidR="00593E5B" w:rsidRDefault="00593E5B" w:rsidP="00E2379A">
      <w:pPr>
        <w:spacing w:line="360" w:lineRule="auto"/>
        <w:ind w:left="1440" w:hanging="720"/>
        <w:jc w:val="both"/>
        <w:rPr>
          <w:rFonts w:ascii="Arial" w:hAnsi="Arial"/>
          <w:rtl/>
        </w:rPr>
      </w:pPr>
    </w:p>
    <w:p w14:paraId="4F5A9174" w14:textId="77777777" w:rsidR="00593E5B" w:rsidRDefault="00593E5B" w:rsidP="00E2379A">
      <w:pPr>
        <w:spacing w:line="360" w:lineRule="auto"/>
        <w:ind w:left="1440" w:hanging="720"/>
        <w:jc w:val="both"/>
        <w:rPr>
          <w:rFonts w:ascii="Arial" w:hAnsi="Arial"/>
          <w:rtl/>
        </w:rPr>
      </w:pPr>
      <w:r>
        <w:rPr>
          <w:rFonts w:ascii="Arial" w:hAnsi="Arial"/>
          <w:rtl/>
        </w:rPr>
        <w:tab/>
        <w:t>ז.1</w:t>
      </w:r>
      <w:r>
        <w:rPr>
          <w:rFonts w:ascii="Arial" w:hAnsi="Arial"/>
          <w:rtl/>
        </w:rPr>
        <w:tab/>
        <w:t>הסגן של ע', שהיה עד לאירוע ההצבעה, לא היה עד במשפט;</w:t>
      </w:r>
    </w:p>
    <w:p w14:paraId="608AF3D8" w14:textId="77777777" w:rsidR="00593E5B" w:rsidRDefault="00593E5B" w:rsidP="00E2379A">
      <w:pPr>
        <w:spacing w:line="360" w:lineRule="auto"/>
        <w:ind w:left="1440" w:hanging="720"/>
        <w:jc w:val="both"/>
        <w:rPr>
          <w:rFonts w:ascii="Arial" w:hAnsi="Arial"/>
          <w:rtl/>
        </w:rPr>
      </w:pPr>
    </w:p>
    <w:p w14:paraId="4DB9841A" w14:textId="77777777" w:rsidR="00593E5B" w:rsidRDefault="00593E5B" w:rsidP="00E2379A">
      <w:pPr>
        <w:spacing w:line="360" w:lineRule="auto"/>
        <w:ind w:left="2160" w:hanging="720"/>
        <w:jc w:val="both"/>
        <w:rPr>
          <w:rFonts w:ascii="Arial" w:hAnsi="Arial"/>
          <w:rtl/>
        </w:rPr>
      </w:pPr>
      <w:r>
        <w:rPr>
          <w:rFonts w:ascii="Arial" w:hAnsi="Arial"/>
          <w:rtl/>
        </w:rPr>
        <w:t>ז.2</w:t>
      </w:r>
      <w:r>
        <w:rPr>
          <w:rFonts w:ascii="Arial" w:hAnsi="Arial"/>
          <w:rtl/>
        </w:rPr>
        <w:tab/>
        <w:t>ע' לא היה נוכח במהלך ההצבעה ולכן עדותו של ע' שהמתלוננת אכן הצביעה על הנאשם, היא בגדר עדות שמיעה, שאינה קבילה כראיה;</w:t>
      </w:r>
    </w:p>
    <w:p w14:paraId="610DC318" w14:textId="77777777" w:rsidR="00593E5B" w:rsidRDefault="00593E5B" w:rsidP="00E2379A">
      <w:pPr>
        <w:spacing w:line="360" w:lineRule="auto"/>
        <w:ind w:left="2160" w:hanging="720"/>
        <w:jc w:val="both"/>
        <w:rPr>
          <w:rFonts w:ascii="Arial" w:hAnsi="Arial"/>
          <w:rtl/>
        </w:rPr>
      </w:pPr>
    </w:p>
    <w:p w14:paraId="68024DE7" w14:textId="77777777" w:rsidR="00593E5B" w:rsidRDefault="00593E5B" w:rsidP="00E2379A">
      <w:pPr>
        <w:spacing w:line="360" w:lineRule="auto"/>
        <w:ind w:left="2160" w:hanging="720"/>
        <w:jc w:val="both"/>
        <w:rPr>
          <w:rFonts w:ascii="Arial" w:hAnsi="Arial"/>
          <w:rtl/>
        </w:rPr>
      </w:pPr>
      <w:r>
        <w:rPr>
          <w:rFonts w:ascii="Arial" w:hAnsi="Arial"/>
          <w:rtl/>
        </w:rPr>
        <w:t>ז.3</w:t>
      </w:r>
      <w:r>
        <w:rPr>
          <w:rFonts w:ascii="Arial" w:hAnsi="Arial"/>
          <w:rtl/>
        </w:rPr>
        <w:tab/>
        <w:t>גם ר' לא היתה עדה לאירוע ההצבעה</w:t>
      </w:r>
      <w:r>
        <w:rPr>
          <w:rFonts w:ascii="Arial" w:hAnsi="Arial"/>
        </w:rPr>
        <w:t xml:space="preserve"> </w:t>
      </w:r>
      <w:r>
        <w:rPr>
          <w:rFonts w:ascii="Arial" w:hAnsi="Arial"/>
          <w:rtl/>
        </w:rPr>
        <w:t>ולכן גם עדותה איננה רלבנטית לסוגיית המשקל שיש לייחס ל-"הצבעה";</w:t>
      </w:r>
    </w:p>
    <w:p w14:paraId="3B737D1F" w14:textId="77777777" w:rsidR="00593E5B" w:rsidRDefault="00593E5B" w:rsidP="00E2379A">
      <w:pPr>
        <w:spacing w:line="360" w:lineRule="auto"/>
        <w:ind w:left="1440" w:hanging="720"/>
        <w:jc w:val="both"/>
        <w:rPr>
          <w:rFonts w:ascii="Arial" w:hAnsi="Arial"/>
          <w:rtl/>
        </w:rPr>
      </w:pPr>
    </w:p>
    <w:p w14:paraId="5893DECF" w14:textId="77777777" w:rsidR="00593E5B" w:rsidRDefault="00593E5B" w:rsidP="00E2379A">
      <w:pPr>
        <w:spacing w:line="360" w:lineRule="auto"/>
        <w:ind w:left="2160" w:hanging="720"/>
        <w:jc w:val="both"/>
        <w:rPr>
          <w:rFonts w:ascii="Arial" w:hAnsi="Arial"/>
          <w:rtl/>
        </w:rPr>
      </w:pPr>
      <w:r>
        <w:rPr>
          <w:rFonts w:ascii="Arial" w:hAnsi="Arial"/>
          <w:rtl/>
        </w:rPr>
        <w:t>ז.4</w:t>
      </w:r>
      <w:r>
        <w:rPr>
          <w:rFonts w:ascii="Arial" w:hAnsi="Arial"/>
          <w:rtl/>
        </w:rPr>
        <w:tab/>
        <w:t>לא היתה "תפיסה" של האדם שעליו הצביעה המתלוננת, בזמן אמת, מיד לאחר ההצבעה. המטרה של "התפיסה" היא "להקפיא" את הזכרון של העד המזהה לגבי "זהותו" של האדם שעליו הצביע. במקרה שבפני, מיד לאחר ההצבעה, המזהה והמזוהה הלכו כל אחד לדרכו, כאילו לא נעשה דבר.</w:t>
      </w:r>
    </w:p>
    <w:p w14:paraId="3BD78F27" w14:textId="77777777" w:rsidR="00593E5B" w:rsidRDefault="00593E5B" w:rsidP="00E2379A">
      <w:pPr>
        <w:spacing w:line="360" w:lineRule="auto"/>
        <w:ind w:left="2160" w:hanging="720"/>
        <w:jc w:val="both"/>
        <w:rPr>
          <w:rFonts w:ascii="Arial" w:hAnsi="Arial"/>
          <w:rtl/>
        </w:rPr>
      </w:pPr>
    </w:p>
    <w:p w14:paraId="579BB0D8" w14:textId="77777777" w:rsidR="00593E5B" w:rsidRDefault="00593E5B" w:rsidP="00E2379A">
      <w:pPr>
        <w:spacing w:line="360" w:lineRule="auto"/>
        <w:ind w:left="2160" w:hanging="720"/>
        <w:jc w:val="both"/>
        <w:rPr>
          <w:rFonts w:ascii="Arial" w:hAnsi="Arial"/>
          <w:rtl/>
        </w:rPr>
      </w:pPr>
      <w:r>
        <w:rPr>
          <w:rFonts w:ascii="Arial" w:hAnsi="Arial"/>
          <w:rtl/>
        </w:rPr>
        <w:t>ז.5</w:t>
      </w:r>
      <w:r>
        <w:rPr>
          <w:rFonts w:ascii="Arial" w:hAnsi="Arial"/>
          <w:rtl/>
        </w:rPr>
        <w:tab/>
        <w:t xml:space="preserve">גם לאחר ה-"הצבעה" שביצעה המתלוננת לעבר האדם שעבד במחלקת הבשר בסניף ואשר על פי מראהו נראה "שמן", הדיווח למשטרה על עצם קרות האירוע ועל עצם ההצבעה נעשה פרק זמן ממושך לאחר מכן. יוזכר, שהתלונה במשטרה הוגשה על ידי המתלוננת רק ביום 24.7.09, כאשר ברור שהאירוע לא התרחש בחודש ינואר 2009. אלמנט השיהוי בתיעוד ה-"הצבעה", בדרך של הגשת תלונה למשטרה, יש בו בכדי להעיב על אמינות הזיהוי. </w:t>
      </w:r>
    </w:p>
    <w:p w14:paraId="0ADC3AF8" w14:textId="77777777" w:rsidR="00593E5B" w:rsidRDefault="00593E5B" w:rsidP="00E2379A">
      <w:pPr>
        <w:spacing w:line="360" w:lineRule="auto"/>
        <w:jc w:val="both"/>
        <w:rPr>
          <w:rFonts w:ascii="Arial" w:hAnsi="Arial"/>
          <w:rtl/>
        </w:rPr>
      </w:pPr>
    </w:p>
    <w:p w14:paraId="3DCEF02B" w14:textId="77777777" w:rsidR="00593E5B" w:rsidRDefault="00593E5B" w:rsidP="00E2379A">
      <w:pPr>
        <w:spacing w:line="360" w:lineRule="auto"/>
        <w:ind w:left="1440" w:hanging="720"/>
        <w:jc w:val="both"/>
        <w:rPr>
          <w:rFonts w:ascii="Arial" w:hAnsi="Arial"/>
          <w:rtl/>
        </w:rPr>
      </w:pPr>
      <w:r>
        <w:rPr>
          <w:rFonts w:ascii="Arial" w:hAnsi="Arial"/>
          <w:rtl/>
        </w:rPr>
        <w:t>ח.</w:t>
      </w:r>
      <w:r>
        <w:rPr>
          <w:rFonts w:ascii="Arial" w:hAnsi="Arial"/>
          <w:rtl/>
        </w:rPr>
        <w:tab/>
      </w:r>
      <w:r>
        <w:rPr>
          <w:rFonts w:ascii="Arial" w:hAnsi="Arial"/>
          <w:u w:val="single"/>
          <w:rtl/>
        </w:rPr>
        <w:t>טענתה של המתלוננת שפניו של הנאשם נחרטו היטב בזכרונה</w:t>
      </w:r>
      <w:r>
        <w:rPr>
          <w:rFonts w:ascii="Arial" w:hAnsi="Arial"/>
          <w:rtl/>
        </w:rPr>
        <w:t xml:space="preserve">: יש להשקיף על טענתה זו לאור הנסיבות הכלליות של האירוע. המתלוננת הבהירה שהיא לא הכירה את העובדים שעבדו במחלקת הבשר בסניף, לא את הנאשם ולא כל עובד אחר. המתלוננת אמרה את הדברים הבאים במהלך עדותה: "מי זוכר את הקופאית בסופר?" (פרוט' עמ' 8 ש' 2), וזאת כאינדיקציה לכך שהיא לא נוהגת לזכור את המראה של העובדים של הסופר שממנו היא קונה. הווה אומר, מיד לאחר קרות האירוע, בעת שהמתלוננת הסתובבה לאחור לראות מי נגע בה, היא ראתה אדם שאיננה מכירה ואשר לא ידעה לומר בוודאות אם קיבלה ממנו שירות במחלקת הבשר בעבר בהיותה לקוחה בסניף, או לא. כמו כן, האפשרות שראתה אותו לראשונה בחייה היא גם אפשרת סבירה. לאחר מכן, המתלוננת עזבה את המקום. ללמדך שמדובר בזיהוי רגעי וחולף. אמנם, שבוע לאחר מכן היא ביצעה הצבעה, לפי טענתה, כלפי אותו אדם, אך, כאמור, הצבעה זו היא בעלת משקל נמוך לעניין זיהויו של הנאשם המסוים שבפני. בנוסף, היא לא טענה שראתה את האדם שנגע בה במועד האירוע בהזדמנות נוספת במועד מאוחר יותר. </w:t>
      </w:r>
    </w:p>
    <w:p w14:paraId="46E084AD" w14:textId="77777777" w:rsidR="00593E5B" w:rsidRDefault="00593E5B" w:rsidP="00E2379A">
      <w:pPr>
        <w:spacing w:line="360" w:lineRule="auto"/>
        <w:ind w:left="1440" w:hanging="720"/>
        <w:jc w:val="both"/>
        <w:rPr>
          <w:rFonts w:ascii="Arial" w:hAnsi="Arial"/>
          <w:rtl/>
        </w:rPr>
      </w:pPr>
    </w:p>
    <w:p w14:paraId="2E4EBFA2" w14:textId="77777777" w:rsidR="00593E5B" w:rsidRDefault="00593E5B" w:rsidP="00E2379A">
      <w:pPr>
        <w:spacing w:line="360" w:lineRule="auto"/>
        <w:ind w:left="1440" w:hanging="720"/>
        <w:jc w:val="both"/>
        <w:rPr>
          <w:rFonts w:ascii="Arial" w:hAnsi="Arial"/>
          <w:rtl/>
        </w:rPr>
      </w:pPr>
      <w:r>
        <w:rPr>
          <w:rFonts w:ascii="Arial" w:hAnsi="Arial"/>
          <w:rtl/>
        </w:rPr>
        <w:t>ט.</w:t>
      </w:r>
      <w:r>
        <w:rPr>
          <w:rFonts w:ascii="Arial" w:hAnsi="Arial"/>
          <w:rtl/>
        </w:rPr>
        <w:tab/>
      </w:r>
      <w:r>
        <w:rPr>
          <w:rFonts w:ascii="Arial" w:hAnsi="Arial"/>
          <w:u w:val="single"/>
          <w:rtl/>
        </w:rPr>
        <w:t>אי עריכת מסדר זיהוי על ידי המשטרה</w:t>
      </w:r>
      <w:r>
        <w:rPr>
          <w:rFonts w:ascii="Arial" w:hAnsi="Arial"/>
          <w:rtl/>
        </w:rPr>
        <w:t>: הלכה פסוקה היא שכאשר קיימת היכרות מוקדמת בין העד המזהה לבין הנאשם אין צורך במסדר זיהוי וניתן להסתפק ב-"הצבעה" אשר נסמכת על מהימנותו של העד. "היכרות" שכזו יכולה לקום ממפגשים שקדמו לאירוע נשוא האישום או מקרבה שנוצרה במהלך האירוע עצמו (</w:t>
      </w:r>
      <w:hyperlink r:id="rId22" w:history="1">
        <w:r w:rsidR="00CA706A" w:rsidRPr="00CA706A">
          <w:rPr>
            <w:rFonts w:ascii="Arial" w:hAnsi="Arial"/>
            <w:color w:val="0000FF"/>
            <w:u w:val="single"/>
            <w:rtl/>
          </w:rPr>
          <w:t>ע"פ 7187/07</w:t>
        </w:r>
      </w:hyperlink>
      <w:r>
        <w:rPr>
          <w:rFonts w:ascii="Arial" w:hAnsi="Arial"/>
          <w:rtl/>
        </w:rPr>
        <w:t xml:space="preserve"> </w:t>
      </w:r>
      <w:r>
        <w:rPr>
          <w:rFonts w:ascii="Arial" w:hAnsi="Arial"/>
          <w:b/>
          <w:bCs/>
          <w:rtl/>
        </w:rPr>
        <w:t>והניך נ' מדינת ישראל</w:t>
      </w:r>
      <w:r>
        <w:rPr>
          <w:rFonts w:ascii="Arial" w:hAnsi="Arial"/>
          <w:rtl/>
        </w:rPr>
        <w:t xml:space="preserve"> [פורסם בנבו] (19.11.08) פסקה 7 לפסק דינה של כבוד השופטת נאור (כתוארה דאז). במקרה שבפני, אין "היכרות" קודמת בין הנאשם לבין המתלוננת: לא היה מפגש קודם ביניהם עובר לאירוע ולא ניתן לומר שנוצרה היכרות קרובה בעקבות האירוע. בנוסף, כאמור, המשקל של ה-"הצבעה" שעשתה המתלוננת בתוך הסניף הוא נמוך. בנסיבות אלה,  שומה היה על המשטרה לבצע מסדר זיהוי חי, או למצער, מסדר זיהוי תמונות בעת שהמתלוננת הגיעה לתחנה להגשת התלונה. הדבר גם מתחייב לאור פרק הזמן הרב שחלף ממועד קרות האירוע ועד מועד הגשת התלונה. לגבי תוצאותיו של מחדל חקירה בדבר אי עריכת מסדר זיהוי, עת שפעולה זו היתה פעולה מתבקשת לאור מצב הראיות בתיק, ראו דבריו של כבוד השופט דנציגר בפסקאות 18 – 21 לפסק דינו ב</w:t>
      </w:r>
      <w:hyperlink r:id="rId23" w:history="1">
        <w:r w:rsidR="00CA706A" w:rsidRPr="00CA706A">
          <w:rPr>
            <w:rFonts w:ascii="Arial" w:hAnsi="Arial"/>
            <w:color w:val="0000FF"/>
            <w:u w:val="single"/>
            <w:rtl/>
          </w:rPr>
          <w:t>ע"פ 6921/09</w:t>
        </w:r>
      </w:hyperlink>
      <w:r>
        <w:rPr>
          <w:rFonts w:ascii="Arial" w:hAnsi="Arial"/>
          <w:rtl/>
        </w:rPr>
        <w:t xml:space="preserve"> </w:t>
      </w:r>
      <w:r>
        <w:rPr>
          <w:rFonts w:ascii="Arial" w:hAnsi="Arial"/>
          <w:b/>
          <w:bCs/>
          <w:rtl/>
        </w:rPr>
        <w:t>פלוני נ' מדינת ישראל</w:t>
      </w:r>
      <w:r>
        <w:rPr>
          <w:rFonts w:ascii="Arial" w:hAnsi="Arial"/>
          <w:rtl/>
        </w:rPr>
        <w:t xml:space="preserve"> [פורסם בנבו] (13.09.10).  </w:t>
      </w:r>
    </w:p>
    <w:p w14:paraId="1E1A7B14" w14:textId="77777777" w:rsidR="00593E5B" w:rsidRDefault="00593E5B" w:rsidP="00E2379A">
      <w:pPr>
        <w:spacing w:line="360" w:lineRule="auto"/>
        <w:ind w:left="1440" w:hanging="720"/>
        <w:jc w:val="both"/>
        <w:rPr>
          <w:rFonts w:ascii="Arial" w:hAnsi="Arial"/>
          <w:rtl/>
        </w:rPr>
      </w:pPr>
    </w:p>
    <w:p w14:paraId="78F05DD8" w14:textId="77777777" w:rsidR="00593E5B" w:rsidRDefault="00593E5B" w:rsidP="00E2379A">
      <w:pPr>
        <w:spacing w:line="360" w:lineRule="auto"/>
        <w:ind w:left="1440" w:hanging="720"/>
        <w:jc w:val="both"/>
        <w:rPr>
          <w:rFonts w:ascii="Arial" w:hAnsi="Arial"/>
          <w:rtl/>
        </w:rPr>
      </w:pPr>
      <w:r>
        <w:rPr>
          <w:rFonts w:ascii="Arial" w:hAnsi="Arial"/>
          <w:rtl/>
        </w:rPr>
        <w:t>י.</w:t>
      </w:r>
      <w:r>
        <w:rPr>
          <w:rFonts w:ascii="Arial" w:hAnsi="Arial"/>
          <w:rtl/>
        </w:rPr>
        <w:tab/>
      </w:r>
      <w:r>
        <w:rPr>
          <w:rFonts w:ascii="Arial" w:hAnsi="Arial"/>
          <w:u w:val="single"/>
          <w:rtl/>
        </w:rPr>
        <w:t>הזיהוי כראיה יחידה</w:t>
      </w:r>
      <w:r>
        <w:rPr>
          <w:rFonts w:ascii="Arial" w:hAnsi="Arial"/>
          <w:rtl/>
        </w:rPr>
        <w:t xml:space="preserve">: במקרה שבפני, הזיהוי של הנאשם הפך ל-ראיה יחידה בתיק, שכאמור, יש לנהוג בה בזהירות מירבית, כבסיס להרשעה בהליך פלילי. </w:t>
      </w:r>
    </w:p>
    <w:p w14:paraId="384D0E6C" w14:textId="77777777" w:rsidR="00593E5B" w:rsidRDefault="00593E5B" w:rsidP="00E2379A">
      <w:pPr>
        <w:spacing w:line="360" w:lineRule="auto"/>
        <w:ind w:left="1440" w:hanging="720"/>
        <w:jc w:val="both"/>
        <w:rPr>
          <w:rFonts w:ascii="Arial" w:hAnsi="Arial"/>
          <w:rtl/>
        </w:rPr>
      </w:pPr>
    </w:p>
    <w:p w14:paraId="7F2F0EE3" w14:textId="77777777" w:rsidR="00593E5B" w:rsidRDefault="00593E5B" w:rsidP="00E2379A">
      <w:pPr>
        <w:spacing w:line="360" w:lineRule="auto"/>
        <w:ind w:left="1440" w:hanging="720"/>
        <w:jc w:val="both"/>
        <w:rPr>
          <w:rFonts w:ascii="Arial" w:hAnsi="Arial"/>
          <w:rtl/>
        </w:rPr>
      </w:pPr>
      <w:r>
        <w:rPr>
          <w:rFonts w:ascii="Arial" w:hAnsi="Arial"/>
          <w:rtl/>
        </w:rPr>
        <w:t>יא.</w:t>
      </w:r>
      <w:r>
        <w:rPr>
          <w:rFonts w:ascii="Arial" w:hAnsi="Arial"/>
          <w:rtl/>
        </w:rPr>
        <w:tab/>
        <w:t xml:space="preserve">המשקל </w:t>
      </w:r>
      <w:r>
        <w:rPr>
          <w:rFonts w:ascii="Arial" w:hAnsi="Arial"/>
          <w:b/>
          <w:bCs/>
          <w:rtl/>
        </w:rPr>
        <w:t>המצטבר</w:t>
      </w:r>
      <w:r>
        <w:rPr>
          <w:rFonts w:ascii="Arial" w:hAnsi="Arial"/>
          <w:rtl/>
        </w:rPr>
        <w:t xml:space="preserve"> של כל הנימוקים שהובאו לעיל, מובילני למסקנה שיש לייחס משקל נמוך לאמינות הזיהוי של הנאשם על ידי המתלוננת, דבר שיוצר ספק סביר שמחייב לזכות את הנאשם. </w:t>
      </w:r>
    </w:p>
    <w:p w14:paraId="4B5B0982" w14:textId="77777777" w:rsidR="00593E5B" w:rsidRDefault="00593E5B" w:rsidP="00E2379A">
      <w:pPr>
        <w:spacing w:line="360" w:lineRule="auto"/>
        <w:jc w:val="both"/>
        <w:rPr>
          <w:rFonts w:ascii="Arial" w:hAnsi="Arial"/>
          <w:rtl/>
        </w:rPr>
      </w:pPr>
    </w:p>
    <w:p w14:paraId="7E88A18E" w14:textId="77777777" w:rsidR="00593E5B" w:rsidRDefault="00593E5B" w:rsidP="00E2379A">
      <w:pPr>
        <w:spacing w:line="360" w:lineRule="auto"/>
        <w:ind w:left="720" w:hanging="720"/>
        <w:jc w:val="both"/>
        <w:rPr>
          <w:rFonts w:ascii="Arial" w:hAnsi="Arial"/>
          <w:rtl/>
        </w:rPr>
      </w:pPr>
      <w:r>
        <w:rPr>
          <w:rFonts w:ascii="Arial" w:hAnsi="Arial"/>
          <w:rtl/>
        </w:rPr>
        <w:t>12.</w:t>
      </w:r>
      <w:r>
        <w:rPr>
          <w:rFonts w:ascii="Arial" w:hAnsi="Arial"/>
          <w:rtl/>
        </w:rPr>
        <w:tab/>
        <w:t xml:space="preserve">מאחר והחלטתי לזכות את הנאשם מחמת הספק, לא מצאתי צורך לדון בטענה הנוספת שהעלה הנאשם שהשיהוי בהגשת כתב האישום מוביל למסקנה שיש לבטל את כתב האישום מחמת "הגנה מן הצדק". </w:t>
      </w:r>
    </w:p>
    <w:p w14:paraId="5AAAC2EA" w14:textId="77777777" w:rsidR="00593E5B" w:rsidRDefault="00593E5B" w:rsidP="00E2379A">
      <w:pPr>
        <w:spacing w:line="360" w:lineRule="auto"/>
        <w:jc w:val="both"/>
        <w:rPr>
          <w:rFonts w:ascii="Arial" w:hAnsi="Arial"/>
          <w:rtl/>
        </w:rPr>
      </w:pPr>
    </w:p>
    <w:p w14:paraId="64046E70" w14:textId="77777777" w:rsidR="00593E5B" w:rsidRDefault="00593E5B" w:rsidP="00E2379A">
      <w:pPr>
        <w:spacing w:line="360" w:lineRule="auto"/>
        <w:jc w:val="both"/>
        <w:rPr>
          <w:rFonts w:ascii="Arial" w:hAnsi="Arial"/>
          <w:b/>
          <w:bCs/>
          <w:sz w:val="28"/>
          <w:szCs w:val="28"/>
          <w:u w:val="single"/>
          <w:rtl/>
        </w:rPr>
      </w:pPr>
      <w:r>
        <w:rPr>
          <w:rFonts w:ascii="Arial" w:hAnsi="Arial"/>
          <w:b/>
          <w:bCs/>
          <w:sz w:val="28"/>
          <w:szCs w:val="28"/>
          <w:u w:val="single"/>
          <w:rtl/>
        </w:rPr>
        <w:t xml:space="preserve">סוף דבר </w:t>
      </w:r>
    </w:p>
    <w:p w14:paraId="190D99F4" w14:textId="77777777" w:rsidR="00593E5B" w:rsidRDefault="00593E5B" w:rsidP="00E2379A">
      <w:pPr>
        <w:spacing w:line="360" w:lineRule="auto"/>
        <w:jc w:val="both"/>
        <w:rPr>
          <w:rFonts w:ascii="Arial" w:hAnsi="Arial"/>
          <w:rtl/>
        </w:rPr>
      </w:pPr>
    </w:p>
    <w:p w14:paraId="39D7E242" w14:textId="77777777" w:rsidR="00593E5B" w:rsidRDefault="00593E5B" w:rsidP="00E2379A">
      <w:pPr>
        <w:spacing w:line="360" w:lineRule="auto"/>
        <w:ind w:left="720" w:hanging="720"/>
        <w:jc w:val="both"/>
        <w:rPr>
          <w:rFonts w:ascii="Arial" w:hAnsi="Arial"/>
          <w:rtl/>
        </w:rPr>
      </w:pPr>
      <w:r>
        <w:rPr>
          <w:rFonts w:ascii="Arial" w:hAnsi="Arial"/>
          <w:rtl/>
        </w:rPr>
        <w:t>13.</w:t>
      </w:r>
      <w:r>
        <w:rPr>
          <w:rFonts w:ascii="Arial" w:hAnsi="Arial"/>
          <w:rtl/>
        </w:rPr>
        <w:tab/>
        <w:t xml:space="preserve">לאור כל האמור לעיל, הנני מזכה את הנאשם מחמת הספק מביצוע העבירה של מעשה מגונה לפי </w:t>
      </w:r>
      <w:hyperlink r:id="rId24" w:history="1">
        <w:r w:rsidR="008351E7" w:rsidRPr="008351E7">
          <w:rPr>
            <w:rFonts w:ascii="Arial" w:hAnsi="Arial"/>
            <w:color w:val="0000FF"/>
            <w:u w:val="single"/>
            <w:rtl/>
          </w:rPr>
          <w:t>סעיף 348(ג)</w:t>
        </w:r>
      </w:hyperlink>
      <w:r>
        <w:rPr>
          <w:rFonts w:ascii="Arial" w:hAnsi="Arial"/>
          <w:rtl/>
        </w:rPr>
        <w:t xml:space="preserve"> ל</w:t>
      </w:r>
      <w:hyperlink r:id="rId25" w:history="1">
        <w:r w:rsidR="00CA706A" w:rsidRPr="00CA706A">
          <w:rPr>
            <w:rFonts w:ascii="Arial" w:hAnsi="Arial"/>
            <w:color w:val="0000FF"/>
            <w:u w:val="single"/>
            <w:rtl/>
          </w:rPr>
          <w:t>חוק העונשין</w:t>
        </w:r>
      </w:hyperlink>
      <w:r>
        <w:rPr>
          <w:rFonts w:ascii="Arial" w:hAnsi="Arial"/>
          <w:rtl/>
        </w:rPr>
        <w:t xml:space="preserve">. </w:t>
      </w:r>
    </w:p>
    <w:p w14:paraId="2A0FD5CB" w14:textId="77777777" w:rsidR="00593E5B" w:rsidRDefault="00593E5B" w:rsidP="00E2379A">
      <w:pPr>
        <w:spacing w:line="360" w:lineRule="auto"/>
        <w:ind w:left="720" w:hanging="720"/>
        <w:jc w:val="both"/>
        <w:rPr>
          <w:rFonts w:ascii="Arial" w:hAnsi="Arial" w:cs="FrankRuehl"/>
          <w:sz w:val="28"/>
          <w:szCs w:val="28"/>
          <w:rtl/>
        </w:rPr>
      </w:pPr>
    </w:p>
    <w:p w14:paraId="3C89A217" w14:textId="77777777" w:rsidR="00593E5B" w:rsidRDefault="00593E5B" w:rsidP="00E2379A">
      <w:pPr>
        <w:spacing w:line="360" w:lineRule="auto"/>
        <w:ind w:left="720" w:hanging="720"/>
        <w:jc w:val="both"/>
        <w:rPr>
          <w:rFonts w:ascii="Arial" w:hAnsi="Arial"/>
          <w:rtl/>
        </w:rPr>
      </w:pPr>
      <w:r>
        <w:rPr>
          <w:rFonts w:ascii="Arial" w:hAnsi="Arial"/>
          <w:rtl/>
        </w:rPr>
        <w:t xml:space="preserve">זכות ערעור תוך 45 ימים. </w:t>
      </w:r>
    </w:p>
    <w:p w14:paraId="071C21ED" w14:textId="77777777" w:rsidR="00593E5B" w:rsidRDefault="00593E5B" w:rsidP="00E2379A">
      <w:pPr>
        <w:rPr>
          <w:rFonts w:ascii="Arial" w:hAnsi="Arial" w:cs="FrankRuehl"/>
          <w:sz w:val="28"/>
          <w:szCs w:val="28"/>
          <w:rtl/>
        </w:rPr>
      </w:pPr>
    </w:p>
    <w:p w14:paraId="5D4E4535" w14:textId="77777777" w:rsidR="00593E5B" w:rsidRPr="00327999" w:rsidRDefault="00CA706A" w:rsidP="00E2379A">
      <w:pPr>
        <w:rPr>
          <w:rFonts w:ascii="Arial" w:hAnsi="Arial"/>
          <w:b/>
          <w:bCs/>
          <w:rtl/>
        </w:rPr>
      </w:pPr>
      <w:r w:rsidRPr="00327999">
        <w:rPr>
          <w:rFonts w:ascii="Arial" w:hAnsi="Arial"/>
          <w:b/>
          <w:bCs/>
          <w:rtl/>
        </w:rPr>
        <w:t xml:space="preserve">ניתנה היום,  כ"ח אב תשע"ה , 13 אוגוסט 2015, במעמד הצדדים </w:t>
      </w:r>
    </w:p>
    <w:p w14:paraId="1EC1E05E" w14:textId="77777777" w:rsidR="00593E5B" w:rsidRDefault="00593E5B" w:rsidP="00E2379A">
      <w:pPr>
        <w:tabs>
          <w:tab w:val="left" w:pos="1625"/>
        </w:tabs>
        <w:jc w:val="center"/>
        <w:rPr>
          <w:rtl/>
        </w:rPr>
      </w:pPr>
      <w:r>
        <w:rPr>
          <w:rtl/>
        </w:rPr>
        <w:t xml:space="preserve">                                </w:t>
      </w:r>
    </w:p>
    <w:p w14:paraId="0EC92F06" w14:textId="77777777" w:rsidR="00593E5B" w:rsidRPr="00CA706A" w:rsidRDefault="00CA706A" w:rsidP="00E2379A">
      <w:pPr>
        <w:tabs>
          <w:tab w:val="left" w:pos="1625"/>
        </w:tabs>
        <w:jc w:val="center"/>
        <w:rPr>
          <w:color w:val="FFFFFF"/>
          <w:sz w:val="2"/>
          <w:szCs w:val="2"/>
          <w:rtl/>
        </w:rPr>
      </w:pPr>
      <w:r w:rsidRPr="00CA706A">
        <w:rPr>
          <w:color w:val="FFFFFF"/>
          <w:sz w:val="2"/>
          <w:szCs w:val="2"/>
          <w:rtl/>
        </w:rPr>
        <w:t>5129371</w:t>
      </w:r>
    </w:p>
    <w:p w14:paraId="571DA77C" w14:textId="77777777" w:rsidR="00593E5B" w:rsidRPr="00CA706A" w:rsidRDefault="00CA706A" w:rsidP="00E2379A">
      <w:pPr>
        <w:tabs>
          <w:tab w:val="left" w:pos="1625"/>
        </w:tabs>
        <w:jc w:val="center"/>
        <w:rPr>
          <w:color w:val="FFFFFF"/>
          <w:sz w:val="2"/>
          <w:szCs w:val="2"/>
          <w:rtl/>
        </w:rPr>
      </w:pPr>
      <w:r w:rsidRPr="00CA706A">
        <w:rPr>
          <w:color w:val="FFFFFF"/>
          <w:sz w:val="2"/>
          <w:szCs w:val="2"/>
          <w:rtl/>
        </w:rPr>
        <w:t>54678313</w:t>
      </w:r>
      <w:r w:rsidR="00593E5B" w:rsidRPr="00CA706A">
        <w:rPr>
          <w:color w:val="FFFFFF"/>
          <w:sz w:val="2"/>
          <w:szCs w:val="2"/>
          <w:rtl/>
        </w:rPr>
        <w:t xml:space="preserve">    </w:t>
      </w:r>
    </w:p>
    <w:p w14:paraId="27AF23A1" w14:textId="77777777" w:rsidR="00593E5B" w:rsidRDefault="00593E5B" w:rsidP="0082611F">
      <w:pPr>
        <w:tabs>
          <w:tab w:val="left" w:pos="2553"/>
        </w:tabs>
      </w:pPr>
      <w:r>
        <w:rPr>
          <w:rtl/>
        </w:rPr>
        <w:t xml:space="preserve">                                                                </w:t>
      </w:r>
    </w:p>
    <w:p w14:paraId="04F69A54" w14:textId="77777777" w:rsidR="00593E5B" w:rsidRDefault="00593E5B" w:rsidP="00E2379A">
      <w:pPr>
        <w:tabs>
          <w:tab w:val="left" w:pos="2553"/>
        </w:tabs>
      </w:pPr>
    </w:p>
    <w:p w14:paraId="038B3CE5" w14:textId="77777777" w:rsidR="00593E5B" w:rsidRDefault="00593E5B" w:rsidP="00E2379A">
      <w:pPr>
        <w:tabs>
          <w:tab w:val="left" w:pos="2553"/>
        </w:tabs>
        <w:rPr>
          <w:rFonts w:ascii="Arial" w:hAnsi="Arial"/>
        </w:rPr>
      </w:pPr>
    </w:p>
    <w:p w14:paraId="0FABCF66" w14:textId="77777777" w:rsidR="00593E5B" w:rsidRDefault="00593E5B" w:rsidP="00E2379A">
      <w:pPr>
        <w:tabs>
          <w:tab w:val="left" w:pos="1625"/>
        </w:tabs>
        <w:jc w:val="center"/>
      </w:pPr>
    </w:p>
    <w:p w14:paraId="4D4023FE" w14:textId="77777777" w:rsidR="00CA706A" w:rsidRPr="00CA706A" w:rsidRDefault="00CA706A" w:rsidP="00CA706A">
      <w:pPr>
        <w:keepNext/>
        <w:rPr>
          <w:rFonts w:ascii="David" w:hAnsi="David"/>
          <w:color w:val="000000"/>
          <w:sz w:val="22"/>
          <w:szCs w:val="22"/>
          <w:rtl/>
        </w:rPr>
      </w:pPr>
    </w:p>
    <w:p w14:paraId="30B199FF" w14:textId="77777777" w:rsidR="00CA706A" w:rsidRPr="00CA706A" w:rsidRDefault="00CA706A" w:rsidP="00CA706A">
      <w:pPr>
        <w:keepNext/>
        <w:rPr>
          <w:rFonts w:ascii="David" w:hAnsi="David"/>
          <w:color w:val="000000"/>
          <w:sz w:val="22"/>
          <w:szCs w:val="22"/>
          <w:rtl/>
        </w:rPr>
      </w:pPr>
      <w:r w:rsidRPr="00CA706A">
        <w:rPr>
          <w:rFonts w:ascii="David" w:hAnsi="David" w:hint="eastAsia"/>
          <w:color w:val="000000"/>
          <w:sz w:val="22"/>
          <w:szCs w:val="22"/>
          <w:rtl/>
        </w:rPr>
        <w:t>הישאם</w:t>
      </w:r>
      <w:r w:rsidRPr="00CA706A">
        <w:rPr>
          <w:rFonts w:ascii="David" w:hAnsi="David"/>
          <w:color w:val="000000"/>
          <w:sz w:val="22"/>
          <w:szCs w:val="22"/>
          <w:rtl/>
        </w:rPr>
        <w:t xml:space="preserve"> </w:t>
      </w:r>
      <w:r w:rsidRPr="00CA706A">
        <w:rPr>
          <w:rFonts w:ascii="David" w:hAnsi="David" w:hint="eastAsia"/>
          <w:color w:val="000000"/>
          <w:sz w:val="22"/>
          <w:szCs w:val="22"/>
          <w:rtl/>
        </w:rPr>
        <w:t>אבו</w:t>
      </w:r>
      <w:r w:rsidRPr="00CA706A">
        <w:rPr>
          <w:rFonts w:ascii="David" w:hAnsi="David"/>
          <w:color w:val="000000"/>
          <w:sz w:val="22"/>
          <w:szCs w:val="22"/>
          <w:rtl/>
        </w:rPr>
        <w:t xml:space="preserve"> </w:t>
      </w:r>
      <w:r w:rsidRPr="00CA706A">
        <w:rPr>
          <w:rFonts w:ascii="David" w:hAnsi="David" w:hint="eastAsia"/>
          <w:color w:val="000000"/>
          <w:sz w:val="22"/>
          <w:szCs w:val="22"/>
          <w:rtl/>
        </w:rPr>
        <w:t>שחאדה</w:t>
      </w:r>
      <w:r w:rsidRPr="00CA706A">
        <w:rPr>
          <w:rFonts w:ascii="David" w:hAnsi="David"/>
          <w:color w:val="000000"/>
          <w:sz w:val="22"/>
          <w:szCs w:val="22"/>
          <w:rtl/>
        </w:rPr>
        <w:t xml:space="preserve"> 54678313</w:t>
      </w:r>
    </w:p>
    <w:p w14:paraId="286D937F" w14:textId="77777777" w:rsidR="00CA706A" w:rsidRDefault="00CA706A" w:rsidP="00CA706A">
      <w:pPr>
        <w:rPr>
          <w:rtl/>
        </w:rPr>
      </w:pPr>
      <w:r w:rsidRPr="00CA706A">
        <w:rPr>
          <w:rFonts w:hint="eastAsia"/>
          <w:color w:val="000000"/>
          <w:rtl/>
        </w:rPr>
        <w:t>נוסח</w:t>
      </w:r>
      <w:r w:rsidRPr="00CA706A">
        <w:rPr>
          <w:color w:val="000000"/>
          <w:rtl/>
        </w:rPr>
        <w:t xml:space="preserve"> </w:t>
      </w:r>
      <w:r w:rsidRPr="00CA706A">
        <w:rPr>
          <w:rFonts w:hint="eastAsia"/>
          <w:color w:val="000000"/>
          <w:rtl/>
        </w:rPr>
        <w:t>מסמך</w:t>
      </w:r>
      <w:r w:rsidRPr="00CA706A">
        <w:rPr>
          <w:color w:val="000000"/>
          <w:rtl/>
        </w:rPr>
        <w:t xml:space="preserve"> </w:t>
      </w:r>
      <w:r w:rsidRPr="00CA706A">
        <w:rPr>
          <w:rFonts w:hint="eastAsia"/>
          <w:color w:val="000000"/>
          <w:rtl/>
        </w:rPr>
        <w:t>זה</w:t>
      </w:r>
      <w:r w:rsidRPr="00CA706A">
        <w:rPr>
          <w:color w:val="000000"/>
          <w:rtl/>
        </w:rPr>
        <w:t xml:space="preserve"> </w:t>
      </w:r>
      <w:r w:rsidRPr="00CA706A">
        <w:rPr>
          <w:rFonts w:hint="eastAsia"/>
          <w:color w:val="000000"/>
          <w:rtl/>
        </w:rPr>
        <w:t>כפוף</w:t>
      </w:r>
      <w:r w:rsidRPr="00CA706A">
        <w:rPr>
          <w:color w:val="000000"/>
          <w:rtl/>
        </w:rPr>
        <w:t xml:space="preserve"> </w:t>
      </w:r>
      <w:r w:rsidRPr="00CA706A">
        <w:rPr>
          <w:rFonts w:hint="eastAsia"/>
          <w:color w:val="000000"/>
          <w:rtl/>
        </w:rPr>
        <w:t>לשינויי</w:t>
      </w:r>
      <w:r w:rsidRPr="00CA706A">
        <w:rPr>
          <w:color w:val="000000"/>
          <w:rtl/>
        </w:rPr>
        <w:t xml:space="preserve"> </w:t>
      </w:r>
      <w:r w:rsidRPr="00CA706A">
        <w:rPr>
          <w:rFonts w:hint="eastAsia"/>
          <w:color w:val="000000"/>
          <w:rtl/>
        </w:rPr>
        <w:t>ניסוח</w:t>
      </w:r>
      <w:r w:rsidRPr="00CA706A">
        <w:rPr>
          <w:color w:val="000000"/>
          <w:rtl/>
        </w:rPr>
        <w:t xml:space="preserve"> </w:t>
      </w:r>
      <w:r w:rsidRPr="00CA706A">
        <w:rPr>
          <w:rFonts w:hint="eastAsia"/>
          <w:color w:val="000000"/>
          <w:rtl/>
        </w:rPr>
        <w:t>ועריכה</w:t>
      </w:r>
    </w:p>
    <w:p w14:paraId="0EC02A09" w14:textId="77777777" w:rsidR="00CA706A" w:rsidRDefault="00CA706A" w:rsidP="00CA706A">
      <w:pPr>
        <w:rPr>
          <w:rtl/>
        </w:rPr>
      </w:pPr>
    </w:p>
    <w:p w14:paraId="7D1945E6" w14:textId="77777777" w:rsidR="00CA706A" w:rsidRDefault="00CA706A" w:rsidP="00CA706A">
      <w:pPr>
        <w:jc w:val="center"/>
        <w:rPr>
          <w:color w:val="0000FF"/>
          <w:u w:val="single"/>
          <w:rtl/>
        </w:rPr>
      </w:pPr>
      <w:hyperlink r:id="rId26"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4D9B9652" w14:textId="77777777" w:rsidR="00593E5B" w:rsidRPr="00CA706A" w:rsidRDefault="00593E5B" w:rsidP="00CA706A">
      <w:pPr>
        <w:jc w:val="center"/>
        <w:rPr>
          <w:color w:val="0000FF"/>
          <w:u w:val="single"/>
          <w:rtl/>
        </w:rPr>
      </w:pPr>
    </w:p>
    <w:sectPr w:rsidR="00593E5B" w:rsidRPr="00CA706A" w:rsidSect="00CA706A">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156AC" w14:textId="77777777" w:rsidR="00180C2B" w:rsidRDefault="00180C2B">
      <w:r>
        <w:separator/>
      </w:r>
    </w:p>
  </w:endnote>
  <w:endnote w:type="continuationSeparator" w:id="0">
    <w:p w14:paraId="3F6DFEB3" w14:textId="77777777" w:rsidR="00180C2B" w:rsidRDefault="0018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752B" w14:textId="77777777" w:rsidR="00CA706A" w:rsidRDefault="00CA706A" w:rsidP="00CA706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2A04C113" w14:textId="77777777" w:rsidR="00CA706A" w:rsidRPr="00CA706A" w:rsidRDefault="00CA706A" w:rsidP="00CA706A">
    <w:pPr>
      <w:pStyle w:val="Footer"/>
      <w:pBdr>
        <w:top w:val="single" w:sz="4" w:space="1" w:color="auto"/>
        <w:between w:val="single" w:sz="4" w:space="0" w:color="auto"/>
      </w:pBdr>
      <w:spacing w:after="60"/>
      <w:jc w:val="center"/>
      <w:rPr>
        <w:rFonts w:ascii="FrankRuehl" w:hAnsi="FrankRuehl" w:cs="FrankRuehl"/>
        <w:color w:val="000000"/>
      </w:rPr>
    </w:pPr>
    <w:r w:rsidRPr="00CA70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5424" w14:textId="77777777" w:rsidR="00CA706A" w:rsidRDefault="00CA706A" w:rsidP="00CA706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07CF7">
      <w:rPr>
        <w:rFonts w:ascii="FrankRuehl" w:hAnsi="FrankRuehl" w:cs="FrankRuehl"/>
        <w:noProof/>
        <w:rtl/>
      </w:rPr>
      <w:t>1</w:t>
    </w:r>
    <w:r>
      <w:rPr>
        <w:rFonts w:ascii="FrankRuehl" w:hAnsi="FrankRuehl" w:cs="FrankRuehl"/>
        <w:rtl/>
      </w:rPr>
      <w:fldChar w:fldCharType="end"/>
    </w:r>
  </w:p>
  <w:p w14:paraId="7FF3CB15" w14:textId="77777777" w:rsidR="00593E5B" w:rsidRPr="00CA706A" w:rsidRDefault="00CA706A" w:rsidP="00CA706A">
    <w:pPr>
      <w:pStyle w:val="Footer"/>
      <w:pBdr>
        <w:top w:val="single" w:sz="4" w:space="1" w:color="auto"/>
        <w:between w:val="single" w:sz="4" w:space="0" w:color="auto"/>
      </w:pBdr>
      <w:spacing w:after="60"/>
      <w:jc w:val="center"/>
      <w:rPr>
        <w:rFonts w:ascii="FrankRuehl" w:hAnsi="FrankRuehl" w:cs="FrankRuehl" w:hint="cs"/>
        <w:color w:val="000000"/>
        <w:rtl/>
      </w:rPr>
    </w:pPr>
    <w:r w:rsidRPr="00CA706A">
      <w:rPr>
        <w:rFonts w:ascii="FrankRuehl" w:hAnsi="FrankRuehl" w:cs="FrankRuehl" w:hint="cs"/>
        <w:color w:val="000000"/>
      </w:rPr>
      <w:pict w14:anchorId="5969A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294BD" w14:textId="77777777" w:rsidR="00180C2B" w:rsidRDefault="00180C2B">
      <w:r>
        <w:separator/>
      </w:r>
    </w:p>
  </w:footnote>
  <w:footnote w:type="continuationSeparator" w:id="0">
    <w:p w14:paraId="01E92C18" w14:textId="77777777" w:rsidR="00180C2B" w:rsidRDefault="00180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0BB3" w14:textId="77777777" w:rsidR="00CA706A" w:rsidRPr="00CA706A" w:rsidRDefault="00CA706A" w:rsidP="00CA706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49864-04-13</w:t>
    </w:r>
    <w:r>
      <w:rPr>
        <w:rFonts w:ascii="David" w:hAnsi="David"/>
        <w:color w:val="000000"/>
        <w:sz w:val="22"/>
        <w:szCs w:val="22"/>
        <w:rtl/>
      </w:rPr>
      <w:tab/>
      <w:t xml:space="preserve"> מדינת ישראל פרקליטות מחוז מרכז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97D5" w14:textId="77777777" w:rsidR="00593E5B" w:rsidRPr="00CA706A" w:rsidRDefault="00CA706A" w:rsidP="00CA706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49864-04-13</w:t>
    </w:r>
    <w:r>
      <w:rPr>
        <w:rFonts w:ascii="David" w:hAnsi="David"/>
        <w:color w:val="000000"/>
        <w:sz w:val="22"/>
        <w:szCs w:val="22"/>
        <w:rtl/>
      </w:rPr>
      <w:tab/>
      <w:t xml:space="preserve"> מדינת ישראל פרקליטות מחוז מרכז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400567362">
    <w:abstractNumId w:val="4"/>
  </w:num>
  <w:num w:numId="2" w16cid:durableId="337998357">
    <w:abstractNumId w:val="1"/>
  </w:num>
  <w:num w:numId="3" w16cid:durableId="1598562871">
    <w:abstractNumId w:val="2"/>
  </w:num>
  <w:num w:numId="4" w16cid:durableId="1339037650">
    <w:abstractNumId w:val="0"/>
  </w:num>
  <w:num w:numId="5" w16cid:durableId="2009016316">
    <w:abstractNumId w:val="3"/>
  </w:num>
  <w:num w:numId="6" w16cid:durableId="815486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028253"/>
    <w:docVar w:name="CasePresentationDS" w:val="&amp;lt;?xml version=&amp;quot;1.0&amp;quot;?&amp;gt;_x000d__x000d_&amp;lt;CasePresentationDS&amp;gt;_x000d__x000d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d_    &amp;lt;xs:element name=&amp;quot;CasePresentationDS&amp;quot; msdata:IsDataSet=&amp;quot;true&amp;quot; msdata:Locale=&amp;quot;&amp;quot;&amp;gt;_x000d__x000d_      &amp;lt;xs:complexType&amp;gt;_x000d__x000d_        &amp;lt;xs:choice minOccurs=&amp;quot;0&amp;quot; maxOccurs=&amp;quot;unbounded&amp;quot;&amp;gt;_x000d__x000d_          &amp;lt;xs:element name=&amp;quot;CasePresentationDataSet&amp;quot;&amp;gt;_x000d__x000d_            &amp;lt;xs:complexType&amp;gt;_x000d__x000d_              &amp;lt;xs:sequence&amp;gt;_x000d__x000d_                &amp;lt;xs:element name=&amp;quot;CaseID&amp;quot; type=&amp;quot;xs:int&amp;quot; /&amp;gt;_x000d__x000d_                &amp;lt;xs:element name=&amp;quot;CaseMonth&amp;quot; type=&amp;quot;xs:int&amp;quot; /&amp;gt;_x000d__x000d_                &amp;lt;xs:element name=&amp;quot;CaseYear&amp;quot; type=&amp;quot;xs:int&amp;quot; /&amp;gt;_x000d__x000d_                &amp;lt;xs:element name=&amp;quot;CaseNumber&amp;quot; type=&amp;quot;xs:int&amp;quot; /&amp;gt;_x000d__x000d_                &amp;lt;xs:element name=&amp;quot;NumeratorGroupID&amp;quot; type=&amp;quot;xs:int&amp;quot; /&amp;gt;_x000d__x000d_                &amp;lt;xs:element name=&amp;quot;CaseName&amp;quot; type=&amp;quot;xs:string&amp;quot; /&amp;gt;_x000d__x000d_                &amp;lt;xs:element name=&amp;quot;CourtID&amp;quot; type=&amp;quot;xs:int&amp;quot; /&amp;gt;_x000d__x000d_                &amp;lt;xs:element name=&amp;quot;CaseTypeID&amp;quot; type=&amp;quot;xs:int&amp;quot; /&amp;gt;_x000d__x000d_                &amp;lt;xs:element name=&amp;quot;CaseInterestID&amp;quot; type=&amp;quot;xs:int&amp;quot; minOccurs=&amp;quot;0&amp;quot; /&amp;gt;_x000d__x000d_                &amp;lt;xs:element name=&amp;quot;CaseJudgeName&amp;quot; type=&amp;quot;xs:string&amp;quot; minOccurs=&amp;quot;0&amp;quot; /&amp;gt;_x000d__x000d_                &amp;lt;xs:element name=&amp;quot;CaseLinkTypeID&amp;quot; type=&amp;quot;xs:int&amp;quot; minOccurs=&amp;quot;0&amp;quot; /&amp;gt;_x000d__x000d_                &amp;lt;xs:element name=&amp;quot;ProcedureID&amp;quot; type=&amp;quot;xs:int&amp;quot; minOccurs=&amp;quot;0&amp;quot; /&amp;gt;_x000d__x000d_                &amp;lt;xs:element name=&amp;quot;PreviousCaseYear&amp;quot; type=&amp;quot;xs:string&amp;quot; minOccurs=&amp;quot;0&amp;quot; /&amp;gt;_x000d__x000d_                &amp;lt;xs:element name=&amp;quot;PreviousCaseNumber&amp;quot; type=&amp;quot;xs:int&amp;quot; minOccurs=&amp;quot;0&amp;quot; /&amp;gt;_x000d__x000d_                &amp;lt;xs:element name=&amp;quot;CaseStatusID&amp;quot; type=&amp;quot;xs:int&amp;quot; /&amp;gt;_x000d__x000d_                &amp;lt;xs:element name=&amp;quot;ProceedingID&amp;quot; type=&amp;quot;xs:int&amp;quot; /&amp;gt;_x000d__x000d_                &amp;lt;xs:element name=&amp;quot;IsCaseLinked&amp;quot; type=&amp;quot;xs:boolean&amp;quot; /&amp;gt;_x000d__x000d_                &amp;lt;xs:element name=&amp;quot;IsCaseConverted&amp;quot; type=&amp;quot;xs:boolean&amp;quot; minOccurs=&amp;quot;0&amp;quot; /&amp;gt;_x000d__x000d_                &amp;lt;xs:element name=&amp;quot;PrivilegeID&amp;quot; type=&amp;quot;xs:int&amp;quot; /&amp;gt;_x000d__x000d_                &amp;lt;xs:element name=&amp;quot;IsAppealingCaseExist&amp;quot; type=&amp;quot;xs:boolean&amp;quot; minOccurs=&amp;quot;0&amp;quot; /&amp;gt;_x000d__x000d_                &amp;lt;xs:element name=&amp;quot;CaseDisplayIdentifier&amp;quot; type=&amp;quot;xs:string&amp;quot; minOccurs=&amp;quot;0&amp;quot; /&amp;gt;_x000d__x000d_                &amp;lt;xs:element name=&amp;quot;CaseTypeDesc&amp;quot; type=&amp;quot;xs:string&amp;quot; minOccurs=&amp;quot;0&amp;quot; /&amp;gt;_x000d__x000d_                &amp;lt;xs:element name=&amp;quot;CourtDesc&amp;quot; type=&amp;quot;xs:string&amp;quot; minOccurs=&amp;quot;0&amp;quot; /&amp;gt;_x000d__x000d_                &amp;lt;xs:element name=&amp;quot;CaseStageDesc&amp;quot; type=&amp;quot;xs:string&amp;quot; /&amp;gt;_x000d__x000d_                &amp;lt;xs:element name=&amp;quot;IsPendingExemptionDecision&amp;quot; type=&amp;quot;xs:boolean&amp;quot; minOccurs=&amp;quot;0&amp;quot; /&amp;gt;_x000d__x000d_                &amp;lt;xs:element name=&amp;quot;IsPendingEntitlementDecision&amp;quot; type=&amp;quot;xs:boolean&amp;quot; minOccurs=&amp;quot;0&amp;quot; /&amp;gt;_x000d__x000d_                &amp;lt;xs:element name=&amp;quot;IsPendingDifferentCaseVerdict&amp;quot; type=&amp;quot;xs:boolean&amp;quot; minOccurs=&amp;quot;0&amp;quot; /&amp;gt;_x000d__x000d_                &amp;lt;xs:element name=&amp;quot;IsUnpaidFeeExist&amp;quot; type=&amp;quot;xs:boolean&amp;quot; minOccurs=&amp;quot;0&amp;quot; /&amp;gt;_x000d__x000d_                &amp;lt;xs:element name=&amp;quot;IsExecutionDelayed&amp;quot; type=&amp;quot;xs:boolean&amp;quot; minOccurs=&amp;quot;0&amp;quot; /&amp;gt;_x000d__x000d_                &amp;lt;xs:element name=&amp;quot;CaseEntitiesArrestResult&amp;quot; type=&amp;quot;xs:string&amp;quot; minOccurs=&amp;quot;0&amp;quot; /&amp;gt;_x000d__x000d_                &amp;lt;xs:element name=&amp;quot;CasePreviousSessionDate&amp;quot; type=&amp;quot;xs:dateTime&amp;quot; minOccurs=&amp;quot;0&amp;quot; /&amp;gt;_x000d__x000d_                &amp;lt;xs:element name=&amp;quot;CaseNextSessionDate&amp;quot; type=&amp;quot;xs:dateTime&amp;quot; minOccurs=&amp;quot;0&amp;quot; /&amp;gt;_x000d__x000d_                &amp;lt;xs:element name=&amp;quot;PreviousCaseNumberDesc&amp;quot; type=&amp;quot;xs:string&amp;quot; minOccurs=&amp;quot;0&amp;quot; /&amp;gt;_x000d__x000d_                &amp;lt;xs:element name=&amp;quot;SubCaseNumber&amp;quot; type=&amp;quot;xs:int&amp;quot; minOccurs=&amp;quot;0&amp;quot; /&amp;gt;_x000d__x000d_                &amp;lt;xs:element name=&amp;quot;CaseNextDeterminingTask&amp;quot; type=&amp;quot;xs:int&amp;quot; minOccurs=&amp;quot;0&amp;quot; /&amp;gt;_x000d__x000d_                &amp;lt;xs:element name=&amp;quot;TemporaryAidStatus&amp;quot; type=&amp;quot;xs:string&amp;quot; minOccurs=&amp;quot;0&amp;quot; /&amp;gt;_x000d__x000d_                &amp;lt;xs:element name=&amp;quot;CaseOpenDate&amp;quot; type=&amp;quot;xs:dateTime&amp;quot; /&amp;gt;_x000d__x000d_                &amp;lt;xs:element name=&amp;quot;PleaTypeID&amp;quot; type=&amp;quot;xs:int&amp;quot; minOccurs=&amp;quot;0&amp;quot; /&amp;gt;_x000d__x000d_                &amp;lt;xs:element name=&amp;quot;CourtLevelID&amp;quot; type=&amp;quot;xs:int&amp;quot; minOccurs=&amp;quot;0&amp;quot; /&amp;gt;_x000d__x000d_                &amp;lt;xs:element name=&amp;quot;CourtLevelCaseTypeInterestID&amp;quot; type=&amp;quot;xs:int&amp;quot; minOccurs=&amp;quot;0&amp;quot; /&amp;gt;_x000d__x000d_                &amp;lt;xs:element name=&amp;quot;CaseJudgeFirstName&amp;quot; type=&amp;quot;xs:string&amp;quot; minOccurs=&amp;quot;0&amp;quot; /&amp;gt;_x000d__x000d_                &amp;lt;xs:element name=&amp;quot;CaseJudgeLastName&amp;quot; type=&amp;quot;xs:string&amp;quot; minOccurs=&amp;quot;0&amp;quot; /&amp;gt;_x000d__x000d_                &amp;lt;xs:element name=&amp;quot;JudicalPersonID&amp;quot; type=&amp;quot;xs:string&amp;quot; minOccurs=&amp;quot;0&amp;quot; /&amp;gt;_x000d__x000d_                &amp;lt;xs:element name=&amp;quot;IsJudicalPanel&amp;quot; type=&amp;quot;xs:boolean&amp;quot; minOccurs=&amp;quot;0&amp;quot; /&amp;gt;_x000d__x000d_                &amp;lt;xs:element name=&amp;quot;CourtDisplayName&amp;quot; type=&amp;quot;xs:string&amp;quot; minOccurs=&amp;quot;0&amp;quot; /&amp;gt;_x000d__x000d_                &amp;lt;xs:element name=&amp;quot;IsAllStartDataCollected&amp;quot; type=&amp;quot;xs:boolean&amp;quot; minOccurs=&amp;quot;0&amp;quot; /&amp;gt;_x000d__x000d_                &amp;lt;xs:element name=&amp;quot;IsMainCase&amp;quot; type=&amp;quot;xs:boolean&amp;quot; minOccurs=&amp;quot;0&amp;quot; /&amp;gt;_x000d__x000d_                &amp;lt;xs:element name=&amp;quot;PreviousCourtID&amp;quot; type=&amp;quot;xs:int&amp;quot; minOccurs=&amp;quot;0&amp;quot; /&amp;gt;_x000d__x000d_                &amp;lt;xs:element name=&amp;quot;PreviousCaseTypeID&amp;quot; type=&amp;quot;xs:int&amp;quot; minOccurs=&amp;quot;0&amp;quot; /&amp;gt;_x000d__x000d_                &amp;lt;xs:element name=&amp;quot;CaseDesc&amp;quot; type=&amp;quot;xs:string&amp;quot; minOccurs=&amp;quot;0&amp;quot; /&amp;gt;_x000d__x000d_                &amp;lt;xs:element name=&amp;quot;isExistMinorSide&amp;quot; type=&amp;quot;xs:boolean&amp;quot; minOccurs=&amp;quot;0&amp;quot; /&amp;gt;_x000d__x000d_                &amp;lt;xs:element name=&amp;quot;isExistMinorWitness&amp;quot; type=&amp;quot;xs:boolean&amp;quot; minOccurs=&amp;quot;0&amp;quot; /&amp;gt;_x000d__x000d_                &amp;lt;xs:element name=&amp;quot;CaseNextSessionTypeID&amp;quot; type=&amp;quot;xs:int&amp;quot; minOccurs=&amp;quot;0&amp;quot; /&amp;gt;_x000d__x000d_                &amp;lt;xs:element name=&amp;quot;CasePreviousSessionTypeID&amp;quot; type=&amp;quot;xs:int&amp;quot; minOccurs=&amp;quot;0&amp;quot; /&amp;gt;_x000d__x000d_                &amp;lt;xs:element name=&amp;quot;CasePermitStatus&amp;quot; type=&amp;quot;xs:int&amp;quot; minOccurs=&amp;quot;0&amp;quot; /&amp;gt;_x000d__x000d_                &amp;lt;xs:element name=&amp;quot;InstitutionalPathID&amp;quot; type=&amp;quot;xs:int&amp;quot; minOccurs=&amp;quot;0&amp;quot; /&amp;gt;_x000d__x000d_                &amp;lt;xs:element name=&amp;quot;PreviousCaseIdentifier&amp;quot; type=&amp;quot;xs:string&amp;quot; minOccurs=&amp;quot;0&amp;quot; /&amp;gt;_x000d__x000d_                &amp;lt;xs:element name=&amp;quot;ArchivingActivityID&amp;quot; type=&amp;quot;xs:int&amp;quot; minOccurs=&amp;quot;0&amp;quot; /&amp;gt;_x000d__x000d_                &amp;lt;xs:element name=&amp;quot;GettingReasonID&amp;quot; type=&amp;quot;xs:int&amp;quot; minOccurs=&amp;quot;0&amp;quot; /&amp;gt;_x000d__x000d_                &amp;lt;xs:element name=&amp;quot;StorageDate&amp;quot; type=&amp;quot;xs:dateTime&amp;quot; minOccurs=&amp;quot;0&amp;quot; /&amp;gt;_x000d__x000d_                &amp;lt;xs:element name=&amp;quot;IsArchivingActivityManuallyUpdated&amp;quot; type=&amp;quot;xs:boolean&amp;quot; minOccurs=&amp;quot;0&amp;quot; /&amp;gt;_x000d__x000d_                &amp;lt;xs:element name=&amp;quot;StorageDateRecalculationDate&amp;quot; type=&amp;quot;xs:dateTime&amp;quot; minOccurs=&amp;quot;0&amp;quot; /&amp;gt;_x000d__x000d_                &amp;lt;xs:element name=&amp;quot;IsDecisionTypeZaveElyon&amp;quot; type=&amp;quot;xs:boolean&amp;quot; minOccurs=&amp;quot;0&amp;quot; /&amp;gt;_x000d__x000d_                &amp;lt;xs:element name=&amp;quot;IsGuaranteeDeposit&amp;quot; type=&amp;quot;xs:boolean&amp;quot; minOccurs=&amp;quot;0&amp;quot; /&amp;gt;_x000d__x000d_                &amp;lt;xs:element name=&amp;quot;IsFeePaid&amp;quot; type=&amp;quot;xs:boolean&amp;quot; minOccurs=&amp;quot;0&amp;quot; /&amp;gt;_x000d__x000d_                &amp;lt;xs:element name=&amp;quot;IsExistCancelledArrest&amp;quot; type=&amp;quot;xs:boolean&amp;quot; minOccurs=&amp;quot;0&amp;quot; /&amp;gt;_x000d__x000d_                &amp;lt;xs:element name=&amp;quot;IsExistPrisoner&amp;quot; type=&amp;quot;xs:boolean&amp;quot; minOccurs=&amp;quot;0&amp;quot; /&amp;gt;_x000d__x000d_                &amp;lt;xs:element name=&amp;quot;IsExistDetainee&amp;quot; type=&amp;quot;xs:boolean&amp;quot; minOccurs=&amp;quot;0&amp;quot; /&amp;gt;_x000d__x000d_                &amp;lt;xs:element name=&amp;quot;IsDebitExist&amp;quot; type=&amp;quot;xs:boolean&amp;quot; minOccurs=&amp;quot;0&amp;quot; /&amp;gt;_x000d__x000d_                &amp;lt;xs:element name=&amp;quot;DebitExsitDate&amp;quot; type=&amp;quot;xs:dateTime&amp;quot; minOccurs=&amp;quot;0&amp;quot; /&amp;gt;_x000d__x000d_                &amp;lt;xs:element name=&amp;quot;OpenFeeIndication&amp;quot; type=&amp;quot;xs:int&amp;quot; minOccurs=&amp;quot;0&amp;quot; /&amp;gt;_x000d__x000d_                &amp;lt;xs:element name=&amp;quot;GuaranteeIndication&amp;quot; type=&amp;quot;xs:int&amp;quot; minOccurs=&amp;quot;0&amp;quot; /&amp;gt;_x000d__x000d_                &amp;lt;xs:element name=&amp;quot;DelayedPunishmentDate&amp;quot; type=&amp;quot;xs:dateTime&amp;quot; minOccurs=&amp;quot;0&amp;quot; /&amp;gt;_x000d__x000d_                &amp;lt;xs:element name=&amp;quot;IsExistSeizure&amp;quot; type=&amp;quot;xs:boolean&amp;quot; minOccurs=&amp;quot;0&amp;quot; /&amp;gt;_x000d__x000d_                &amp;lt;xs:element name=&amp;quot;IsExemptionExistInCase&amp;quot; type=&amp;quot;xs:boolean&amp;quot; minOccurs=&amp;quot;0&amp;quot; /&amp;gt;_x000d__x000d_                &amp;lt;xs:element name=&amp;quot;IsDebitTransferedInCase&amp;quot; type=&amp;quot;xs:boolean&amp;quot; minOccurs=&amp;quot;0&amp;quot; /&amp;gt;_x000d__x000d_                &amp;lt;xs:element name=&amp;quot;IsUnconvertedCase&amp;quot; type=&amp;quot;xs:boolean&amp;quot; minOccurs=&amp;quot;0&amp;quot; /&amp;gt;_x000d__x000d_                &amp;lt;xs:element name=&amp;quot;ActiveInCaseSuspendedLawyers&amp;quot; type=&amp;quot;xs:string&amp;quot; minOccurs=&amp;quot;0&amp;quot; /&amp;gt;_x000d__x000d_              &amp;lt;/xs:sequence&amp;gt;_x000d__x000d_            &amp;lt;/xs:complexType&amp;gt;_x000d__x000d_          &amp;lt;/xs:element&amp;gt;_x000d__x000d_        &amp;lt;/xs:choice&amp;gt;_x000d__x000d_      &amp;lt;/xs:complexType&amp;gt;_x000d__x000d_    &amp;lt;/xs:element&amp;gt;_x000d__x000d_  &amp;lt;/xs:schema&amp;gt;_x000d__x000d_  &amp;lt;diffgr:diffgram xmlns:msdata=&amp;quot;urn:schemas-microsoft-com:xml-msdata&amp;quot; xmlns:diffgr=&amp;quot;urn:schemas-microsoft-com:xml-diffgram-v1&amp;quot;&amp;gt;_x000d__x000d_    &amp;lt;CasePresentationDS xmlns=&amp;quot;http://tempuri.org/CasePresentationDS.xsd&amp;quot;&amp;gt;_x000d__x000d_      &amp;lt;CasePresentationDataSet diffgr:id=&amp;quot;CasePresentationDataSet1&amp;quot; msdata:rowOrder=&amp;quot;0&amp;quot; diffgr:hasChanges=&amp;quot;modified&amp;quot;&amp;gt;_x000d__x000d_        &amp;lt;CaseID&amp;gt;71028253&amp;lt;/CaseID&amp;gt;_x000d__x000d_        &amp;lt;CaseMonth&amp;gt;4&amp;lt;/CaseMonth&amp;gt;_x000d__x000d_        &amp;lt;CaseYear&amp;gt;2013&amp;lt;/CaseYear&amp;gt;_x000d__x000d_        &amp;lt;CaseNumber&amp;gt;49864&amp;lt;/CaseNumber&amp;gt;_x000d__x000d_        &amp;lt;NumeratorGroupID&amp;gt;1&amp;lt;/NumeratorGroupID&amp;gt;_x000d__x000d_        &amp;lt;CaseName&amp;gt;ôø÷ìéèåú îçåæ îøëæ ð&amp;#39; ñåìééîðåá&amp;lt;/CaseName&amp;gt;_x000d__x000d_        &amp;lt;CourtID&amp;gt;36&amp;lt;/CourtID&amp;gt;_x000d__x000d_        &amp;lt;CaseTypeID&amp;gt;10048&amp;lt;/CaseTypeID&amp;gt;_x000d__x000d_        &amp;lt;CaseJudgeName&amp;gt;äéùàí  àáå ùçàãä&amp;lt;/CaseJudgeName&amp;gt;_x000d__x000d_        &amp;lt;ProcedureID&amp;gt;2&amp;lt;/ProcedureID&amp;gt;_x000d__x000d_        &amp;lt;CaseStatusID&amp;gt;2&amp;lt;/CaseStatusID&amp;gt;_x000d__x000d_        &amp;lt;ProceedingID&amp;gt;2&amp;lt;/ProceedingID&amp;gt;_x000d__x000d_        &amp;lt;IsCaseLinked&amp;gt;false&amp;lt;/IsCaseLinked&amp;gt;_x000d__x000d_        &amp;lt;PrivilegeID&amp;gt;2&amp;lt;/PrivilegeID&amp;gt;_x000d__x000d_        &amp;lt;IsAppealingCaseExist&amp;gt;false&amp;lt;/IsAppealingCaseExist&amp;gt;_x000d__x000d_        &amp;lt;CaseDisplayIdentifier&amp;gt;49864-04-13&amp;lt;/CaseDisplayIdentifier&amp;gt;_x000d__x000d_        &amp;lt;CaseTypeDesc&amp;gt;ú&amp;quot;ô&amp;lt;/CaseTypeDesc&amp;gt;_x000d__x000d_        &amp;lt;CourtDesc&amp;gt;ùìåí øîìä&amp;lt;/CourtDesc&amp;gt;_x000d__x000d_        &amp;lt;CaseStageDesc&amp;gt;úé÷ àì÷èøåðé&amp;lt;/CaseStageDesc&amp;gt;_x000d__x000d_        &amp;lt;CaseOpenDate&amp;gt;2013-04-28T11:00:00+03:00&amp;lt;/CaseOpenDate&amp;gt;_x000d__x000d_        &amp;lt;PleaTypeID&amp;gt;8&amp;lt;/PleaTypeID&amp;gt;_x000d__x000d_        &amp;lt;CourtLevelID&amp;gt;1&amp;lt;/CourtLevelID&amp;gt;_x000d__x000d_        &amp;lt;CaseJudgeFirstName&amp;gt;äéùàí&amp;lt;/CaseJudgeFirstName&amp;gt;_x000d__x000d_        &amp;lt;CaseJudgeLastName&amp;gt;àáå ùçàãä&amp;lt;/CaseJudgeLastName&amp;gt;_x000d__x000d_        &amp;lt;JudicalPersonID&amp;gt;026265066@GOV.IL&amp;lt;/JudicalPersonID&amp;gt;_x000d__x000d_        &amp;lt;IsJudicalPanel&amp;gt;false&amp;lt;/IsJudicalPanel&amp;gt;_x000d__x000d_        &amp;lt;CourtDisplayName&amp;gt;áéú îùôè äùìåí áøîìä&amp;lt;/CourtDisplayName&amp;gt;_x000d__x000d_        &amp;lt;IsAllStartDataCollected&amp;gt;true&amp;lt;/IsAllStartDataCollected&amp;gt;_x000d__x000d_        &amp;lt;CaseDesc&amp;gt;úé÷ äåòáø ìúéå÷ àøëéá_x000d__x000d_9.7.15 éòì&amp;lt;/CaseDesc&amp;gt;_x000d__x000d_        &amp;lt;isExistMinorSide&amp;gt;false&amp;lt;/isExistMinorSide&amp;gt;_x000d__x000d_        &amp;lt;isExistMinorWitness&amp;gt;false&amp;lt;/isExistMinorWitness&amp;gt;_x000d__x000d_        &amp;lt;ArchivingActivityID&amp;gt;1&amp;lt;/ArchivingActivityID&amp;gt;_x000d__x000d_        &amp;lt;IsDecisionTypeZaveElyon&amp;gt;false&amp;lt;/IsDecisionTypeZaveElyon&amp;gt;_x000d__x000d_        &amp;lt;IsExistPrisoner&amp;gt;false&amp;lt;/IsExistPrisoner&amp;gt;_x000d__x000d_        &amp;lt;IsExistDetainee&amp;gt;false&amp;lt;/IsExistDetainee&amp;gt;_x000d__x000d_        &amp;lt;IsDebitExist&amp;gt;false&amp;lt;/IsDebitExist&amp;gt;_x000d__x000d_        &amp;lt;DebitExsitDate&amp;gt;2015-08-13T03:00:00+03:00&amp;lt;/DebitExsitDate&amp;gt;_x000d__x000d_        &amp;lt;IsExistSeizure&amp;gt;false&amp;lt;/IsExistSeizure&amp;gt;_x000d__x000d_        &amp;lt;IsExemptionExistInCase&amp;gt;false&amp;lt;/IsExemptionExistInCase&amp;gt;_x000d__x000d_        &amp;lt;IsDebitTransferedInCase&amp;gt;false&amp;lt;/IsDebitTransferedInCase&amp;gt;_x000d__x000d_      &amp;lt;/CasePresentationDataSet&amp;gt;_x000d__x000d_    &amp;lt;/CasePresentationDS&amp;gt;_x000d__x000d_    &amp;lt;diffgr:before&amp;gt;_x000d__x000d_      &amp;lt;CasePresentationDataSet diffgr:id=&amp;quot;CasePresentationDataSet1&amp;quot; msdata:rowOrder=&amp;quot;0&amp;quot; xmlns=&amp;quot;http://tempuri.org/CasePresentationDS.xsd&amp;quot;&amp;gt;_x000d__x000d_        &amp;lt;CaseID&amp;gt;71028253&amp;lt;/CaseID&amp;gt;_x000d__x000d_        &amp;lt;CaseMonth&amp;gt;4&amp;lt;/CaseMonth&amp;gt;_x000d__x000d_        &amp;lt;CaseYear&amp;gt;2013&amp;lt;/CaseYear&amp;gt;_x000d__x000d_        &amp;lt;CaseNumber&amp;gt;49864&amp;lt;/CaseNumber&amp;gt;_x000d__x000d_        &amp;lt;NumeratorGroupID&amp;gt;1&amp;lt;/NumeratorGroupID&amp;gt;_x000d__x000d_        &amp;lt;CaseName&amp;gt;ôø÷ìéèåú îçåæ îøëæ ð&amp;#39; ñåìééîðåá&amp;lt;/CaseName&amp;gt;_x000d__x000d_        &amp;lt;CourtID&amp;gt;36&amp;lt;/CourtID&amp;gt;_x000d__x000d_        &amp;lt;CaseTypeID&amp;gt;10048&amp;lt;/CaseTypeID&amp;gt;_x000d__x000d_        &amp;lt;CaseJudgeName&amp;gt;äéùàí  àáå ùçàãä&amp;lt;/CaseJudgeName&amp;gt;_x000d__x000d_        &amp;lt;ProcedureID&amp;gt;2&amp;lt;/ProcedureID&amp;gt;_x000d__x000d_        &amp;lt;CaseStatusID&amp;gt;2&amp;lt;/CaseStatusID&amp;gt;_x000d__x000d_        &amp;lt;ProceedingID&amp;gt;2&amp;lt;/ProceedingID&amp;gt;_x000d__x000d_        &amp;lt;IsCaseLinked&amp;gt;false&amp;lt;/IsCaseLinked&amp;gt;_x000d__x000d_        &amp;lt;PrivilegeID&amp;gt;2&amp;lt;/PrivilegeID&amp;gt;_x000d__x000d_        &amp;lt;IsAppealingCaseExist&amp;gt;false&amp;lt;/IsAppealingCaseExist&amp;gt;_x000d__x000d_        &amp;lt;CaseDisplayIdentifier&amp;gt;49864-04-13&amp;lt;/CaseDisplayIdentifier&amp;gt;_x000d__x000d_        &amp;lt;CaseTypeDesc&amp;gt;ú&amp;quot;ô&amp;lt;/CaseTypeDesc&amp;gt;_x000d__x000d_        &amp;lt;CourtDesc&amp;gt;ùìåí øîìä&amp;lt;/CourtDesc&amp;gt;_x000d__x000d_        &amp;lt;CaseStageDesc&amp;gt;úé÷ àì÷èøåðé&amp;lt;/CaseStageDesc&amp;gt;_x000d__x000d_        &amp;lt;CaseOpenDate&amp;gt;2013-04-28T11:00:00+03:00&amp;lt;/CaseOpenDate&amp;gt;_x000d__x000d_        &amp;lt;PleaTypeID&amp;gt;8&amp;lt;/PleaTypeID&amp;gt;_x000d__x000d_        &amp;lt;CourtLevelID&amp;gt;1&amp;lt;/CourtLevelID&amp;gt;_x000d__x000d_        &amp;lt;CaseJudgeFirstName&amp;gt;äéùàí&amp;lt;/CaseJudgeFirstName&amp;gt;_x000d__x000d_        &amp;lt;CaseJudgeLastName&amp;gt;àáå ùçàãä&amp;lt;/CaseJudgeLastName&amp;gt;_x000d__x000d_        &amp;lt;JudicalPersonID&amp;gt;026265066@GOV.IL&amp;lt;/JudicalPersonID&amp;gt;_x000d__x000d_        &amp;lt;IsJudicalPanel&amp;gt;false&amp;lt;/IsJudicalPanel&amp;gt;_x000d__x000d_        &amp;lt;CourtDisplayName&amp;gt;áéú îùôè äùìåí áøîìä&amp;lt;/CourtDisplayName&amp;gt;_x000d__x000d_        &amp;lt;IsAllStartDataCollected&amp;gt;true&amp;lt;/IsAllStartDataCollected&amp;gt;_x000d__x000d_        &amp;lt;CaseDesc&amp;gt;úé÷ äåòáø ìúéå÷ àøëéá_x000d__x000d_9.7.15 éòì&amp;lt;/CaseDesc&amp;gt;_x000d__x000d_        &amp;lt;ArchivingActivityID&amp;gt;1&amp;lt;/ArchivingActivityID&amp;gt;_x000d__x000d_      &amp;lt;/CasePresentationDataSet&amp;gt;_x000d__x000d_    &amp;lt;/diffgr:before&amp;gt;_x000d__x000d_  &amp;lt;/diffgr:diffgram&amp;gt;_x000d__x000d_&amp;lt;/CasePresentationDS&amp;gt;"/>
    <w:docVar w:name="CourtID" w:val="36"/>
    <w:docVar w:name="DecisionDS" w:val="&amp;lt;?xml version=&amp;quot;1.0&amp;quot;?&amp;gt;_x000d__x000d_&amp;lt;DecisionDS&amp;gt;_x000d__x000d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d_    &amp;lt;xs:element name=&amp;quot;DecisionDS&amp;quot; msdata:IsDataSet=&amp;quot;true&amp;quot; msdata:Locale=&amp;quot;he-IL&amp;quot;&amp;gt;_x000d__x000d_      &amp;lt;xs:complexType&amp;gt;_x000d__x000d_        &amp;lt;xs:choice minOccurs=&amp;quot;0&amp;quot; maxOccurs=&amp;quot;unbounded&amp;quot;&amp;gt;_x000d__x000d_          &amp;lt;xs:element name=&amp;quot;dt_Decision&amp;quot;&amp;gt;_x000d__x000d_            &amp;lt;xs:complexType&amp;gt;_x000d__x000d_              &amp;lt;xs:sequence&amp;gt;_x000d__x000d_                &amp;lt;xs:element name=&amp;quot;DecisionID&amp;quot; msdata:ReadOnly=&amp;quot;true&amp;quot; msdata:AutoIncrement=&amp;quot;true&amp;quot; type=&amp;quot;xs:int&amp;quot; /&amp;gt;_x000d__x000d_                &amp;lt;xs:element name=&amp;quot;DecisionNumber&amp;quot; type=&amp;quot;xs:int&amp;quot; minOccurs=&amp;quot;0&amp;quot; /&amp;gt;_x000d__x000d_                &amp;lt;xs:element name=&amp;quot;DecisionName&amp;quot; type=&amp;quot;xs:string&amp;quot; /&amp;gt;_x000d__x000d_                &amp;lt;xs:element name=&amp;quot;DecisionStatusID&amp;quot; type=&amp;quot;xs:int&amp;quot; /&amp;gt;_x000d__x000d_                &amp;lt;xs:element name=&amp;quot;DecisionStatusChangeDate&amp;quot; type=&amp;quot;xs:dateTime&amp;quot; /&amp;gt;_x000d__x000d_                &amp;lt;xs:element name=&amp;quot;DecisionSignatureDate&amp;quot; type=&amp;quot;xs:dateTime&amp;quot; minOccurs=&amp;quot;0&amp;quot; /&amp;gt;_x000d__x000d_                &amp;lt;xs:element name=&amp;quot;DecisionSignatureUserID&amp;quot; type=&amp;quot;xs:string&amp;quot; minOccurs=&amp;quot;0&amp;quot; /&amp;gt;_x000d__x000d_                &amp;lt;xs:element name=&amp;quot;DecisionCreateDate&amp;quot; type=&amp;quot;xs:dateTime&amp;quot; /&amp;gt;_x000d__x000d_                &amp;lt;xs:element name=&amp;quot;DecisionChangeDate&amp;quot; type=&amp;quot;xs:dateTime&amp;quot; minOccurs=&amp;quot;0&amp;quot; /&amp;gt;_x000d__x000d_                &amp;lt;xs:element name=&amp;quot;DecisionChangeUserID&amp;quot; type=&amp;quot;xs:string&amp;quot; minOccurs=&amp;quot;0&amp;quot; /&amp;gt;_x000d__x000d_                &amp;lt;xs:element name=&amp;quot;DecisionDesc&amp;quot; type=&amp;quot;xs:string&amp;quot; minOccurs=&amp;quot;0&amp;quot; /&amp;gt;_x000d__x000d_                &amp;lt;xs:element name=&amp;quot;IsChosenDecision&amp;quot; type=&amp;quot;xs:boolean&amp;quot; default=&amp;quot;false&amp;quot; /&amp;gt;_x000d__x000d_                &amp;lt;xs:element name=&amp;quot;IsDecisionImplementationTask&amp;quot; type=&amp;quot;xs:boolean&amp;quot; default=&amp;quot;false&amp;quot; minOccurs=&amp;quot;0&amp;quot; /&amp;gt;_x000d__x000d_                &amp;lt;xs:element name=&amp;quot;IsDecisionInProtocol&amp;quot; type=&amp;quot;xs:boolean&amp;quot; default=&amp;quot;false&amp;quot; /&amp;gt;_x000d__x000d_                &amp;lt;xs:element name=&amp;quot;DecisionTypeID&amp;quot; type=&amp;quot;xs:int&amp;quot; /&amp;gt;_x000d__x000d_                &amp;lt;xs:element name=&amp;quot;DecisionText&amp;quot; type=&amp;quot;xs:string&amp;quot; minOccurs=&amp;quot;0&amp;quot; /&amp;gt;_x000d__x000d_                &amp;lt;xs:element name=&amp;quot;IsOnlyOneParty&amp;quot; type=&amp;quot;xs:boolean&amp;quot; default=&amp;quot;false&amp;quot; /&amp;gt;_x000d__x000d_                &amp;lt;xs:element name=&amp;quot;IsCanceledDecision&amp;quot; type=&amp;quot;xs:boolean&amp;quot; default=&amp;quot;false&amp;quot; /&amp;gt;_x000d__x000d_                &amp;lt;xs:element name=&amp;quot;DecisionLinkID&amp;quot; type=&amp;quot;xs:int&amp;quot; minOccurs=&amp;quot;0&amp;quot; /&amp;gt;_x000d__x000d_                &amp;lt;xs:element name=&amp;quot;DecisionLinkTypeID&amp;quot; type=&amp;quot;xs:int&amp;quot; minOccurs=&amp;quot;0&amp;quot; /&amp;gt;_x000d__x000d_                &amp;lt;xs:element name=&amp;quot;DocumentID&amp;quot; type=&amp;quot;xs:int&amp;quot; minOccurs=&amp;quot;0&amp;quot; /&amp;gt;_x000d__x000d_                &amp;lt;xs:element name=&amp;quot;PrivilegeID&amp;quot; type=&amp;quot;xs:int&amp;quot; /&amp;gt;_x000d__x000d_                &amp;lt;xs:element name=&amp;quot;IsDecisionConverted&amp;quot; type=&amp;quot;xs:boolean&amp;quot; default=&amp;quot;false&amp;quot; /&amp;gt;_x000d__x000d_                &amp;lt;xs:element name=&amp;quot;SignatureUserTypeID&amp;quot; type=&amp;quot;xs:int&amp;quot; minOccurs=&amp;quot;0&amp;quot; /&amp;gt;_x000d__x000d_                &amp;lt;xs:element name=&amp;quot;IsOpenedToSecondSide&amp;quot; type=&amp;quot;xs:boolean&amp;quot; default=&amp;quot;false&amp;quot; /&amp;gt;_x000d__x000d_                &amp;lt;xs:element name=&amp;quot;IsDecisionAppeled&amp;quot; type=&amp;quot;xs:boolean&amp;quot; default=&amp;quot;false&amp;quot; /&amp;gt;_x000d__x000d_                &amp;lt;xs:element name=&amp;quot;DecisionWriterID&amp;quot; type=&amp;quot;xs:string&amp;quot; minOccurs=&amp;quot;0&amp;quot; /&amp;gt;_x000d__x000d_                &amp;lt;xs:element name=&amp;quot;IsInstruction&amp;quot; type=&amp;quot;xs:boolean&amp;quot; default=&amp;quot;false&amp;quot; /&amp;gt;_x000d__x000d_                &amp;lt;xs:element name=&amp;quot;PreviousCaseID&amp;quot; type=&amp;quot;xs:string&amp;quot; minOccurs=&amp;quot;0&amp;quot; /&amp;gt;_x000d__x000d_                &amp;lt;xs:element name=&amp;quot;IsNeedAllSignatures&amp;quot; type=&amp;quot;xs:boolean&amp;quot; default=&amp;quot;false&amp;quot; minOccurs=&amp;quot;0&amp;quot; /&amp;gt;_x000d__x000d_                &amp;lt;xs:element name=&amp;quot;DecisionAttributeID&amp;quot; type=&amp;quot;xs:int&amp;quot; minOccurs=&amp;quot;0&amp;quot; /&amp;gt;_x000d__x000d_                &amp;lt;xs:element name=&amp;quot;DecisionCreationUserID&amp;quot; type=&amp;quot;xs:string&amp;quot; /&amp;gt;_x000d__x000d_                &amp;lt;xs:element name=&amp;quot;DecisionLinkName&amp;quot; type=&amp;quot;xs:string&amp;quot; minOccurs=&amp;quot;0&amp;quot; /&amp;gt;_x000d__x000d_                &amp;lt;xs:element name=&amp;quot;DecisionLinkCaseID&amp;quot; type=&amp;quot;xs:int&amp;quot; minOccurs=&amp;quot;0&amp;quot; /&amp;gt;_x000d__x000d_                &amp;lt;xs:element name=&amp;quot;DecisionDisplayName&amp;quot; type=&amp;quot;xs:string&amp;quot; minOccurs=&amp;quot;0&amp;quot; /&amp;gt;_x000d__x000d_                &amp;lt;xs:element name=&amp;quot;IsScanned&amp;quot; type=&amp;quot;xs:boolean&amp;quot; minOccurs=&amp;quot;0&amp;quot; /&amp;gt;_x000d__x000d_                &amp;lt;xs:element name=&amp;quot;DecisionSignatureUserName&amp;quot; type=&amp;quot;xs:string&amp;quot; minOccurs=&amp;quot;0&amp;quot; /&amp;gt;_x000d__x000d_                &amp;lt;xs:element name=&amp;quot;ChangePrivilegeUserID&amp;quot; type=&amp;quot;xs:string&amp;quot; minOccurs=&amp;quot;0&amp;quot; /&amp;gt;_x000d__x000d_                &amp;lt;xs:element name=&amp;quot;PublishInWebUserID&amp;quot; type=&amp;quot;xs:string&amp;quot; minOccurs=&amp;quot;0&amp;quot; /&amp;gt;_x000d__x000d_                &amp;lt;xs:element name=&amp;quot;NotificationTypeID&amp;quot; type=&amp;quot;xs:int&amp;quot; default=&amp;quot;1&amp;quot; minOccurs=&amp;quot;0&amp;quot; /&amp;gt;_x000d__x000d_                &amp;lt;xs:element name=&amp;quot;NotificationAuthorizeUserID&amp;quot; type=&amp;quot;xs:string&amp;quot; minOccurs=&amp;quot;0&amp;quot; /&amp;gt;_x000d__x000d_                &amp;lt;xs:element name=&amp;quot;DecisionReleaseDate&amp;quot; type=&amp;quot;xs:dateTime&amp;quot; minOccurs=&amp;quot;0&amp;quot; /&amp;gt;_x000d__x000d_                &amp;lt;xs:element name=&amp;quot;IsDecisionInNote&amp;quot; type=&amp;quot;xs:boolean&amp;quot; default=&amp;quot;false&amp;quot; /&amp;gt;_x000d__x000d_                &amp;lt;xs:element name=&amp;quot;IsDecisionUrgency&amp;quot; type=&amp;quot;xs:boolean&amp;quot; default=&amp;quot;false&amp;quot; /&amp;gt;_x000d__x000d_                &amp;lt;xs:element name=&amp;quot;IsOriginal&amp;quot; type=&amp;quot;xs:boolean&amp;quot; minOccurs=&amp;quot;0&amp;quot; /&amp;gt;_x000d__x000d_              &amp;lt;/xs:sequence&amp;gt;_x000d__x000d_            &amp;lt;/xs:complexType&amp;gt;_x000d__x000d_          &amp;lt;/xs:element&amp;gt;_x000d__x000d_          &amp;lt;xs:element name=&amp;quot;dt_DecisionCase&amp;quot;&amp;gt;_x000d__x000d_            &amp;lt;xs:complexType&amp;gt;_x000d__x000d_              &amp;lt;xs:sequence&amp;gt;_x000d__x000d_                &amp;lt;xs:element name=&amp;quot;DecisionID&amp;quot; type=&amp;quot;xs:int&amp;quot; /&amp;gt;_x000d__x000d_                &amp;lt;xs:element name=&amp;quot;CaseID&amp;quot; type=&amp;quot;xs:int&amp;quot; /&amp;gt;_x000d__x000d_                &amp;lt;xs:element name=&amp;quot;IsOriginal&amp;quot; type=&amp;quot;xs:boolean&amp;quot; default=&amp;quot;false&amp;quot; minOccurs=&amp;quot;0&amp;quot; /&amp;gt;_x000d__x000d_                &amp;lt;xs:element name=&amp;quot;IsDeleted&amp;quot; type=&amp;quot;xs:boolean&amp;quot; default=&amp;quot;false&amp;quot; /&amp;gt;_x000d__x000d_                &amp;lt;xs:element name=&amp;quot;CaseLinkTypeID&amp;quot; type=&amp;quot;xs:int&amp;quot; minOccurs=&amp;quot;0&amp;quot; /&amp;gt;_x000d__x000d_                &amp;lt;xs:element name=&amp;quot;CaseName&amp;quot; type=&amp;quot;xs:string&amp;quot; minOccurs=&amp;quot;0&amp;quot; /&amp;gt;_x000d__x000d_                &amp;lt;xs:element name=&amp;quot;CaseDisplayIdentifier&amp;quot; type=&amp;quot;xs:string&amp;quot; minOccurs=&amp;quot;0&amp;quot; /&amp;gt;_x000d__x000d_              &amp;lt;/xs:sequence&amp;gt;_x000d__x000d_            &amp;lt;/xs:complexType&amp;gt;_x000d__x000d_          &amp;lt;/xs:element&amp;gt;_x000d__x000d_          &amp;lt;xs:element name=&amp;quot;dt_DecisionMotion&amp;quot;&amp;gt;_x000d__x000d_            &amp;lt;xs:complexType&amp;gt;_x000d__x000d_              &amp;lt;xs:sequence&amp;gt;_x000d__x000d_                &amp;lt;xs:element name=&amp;quot;DecisionID&amp;quot; type=&amp;quot;xs:int&amp;quot; /&amp;gt;_x000d__x000d_                &amp;lt;xs:element name=&amp;quot;MotionID&amp;quot; type=&amp;quot;xs:int&amp;quot; /&amp;gt;_x000d__x000d_                &amp;lt;xs:element name=&amp;quot;DecisionResultID&amp;quot; type=&amp;quot;xs:int&amp;quot; minOccurs=&amp;quot;0&amp;quot; /&amp;gt;_x000d__x000d_                &amp;lt;xs:element name=&amp;quot;IsOriginalMotion&amp;quot; type=&amp;quot;xs:boolean&amp;quot; default=&amp;quot;false&amp;quot; minOccurs=&amp;quot;0&amp;quot; /&amp;gt;_x000d__x000d_                &amp;lt;xs:element name=&amp;quot;MotionName&amp;quot; type=&amp;quot;xs:string&amp;quot; minOccurs=&amp;quot;0&amp;quot; /&amp;gt;_x000d__x000d_                &amp;lt;xs:element name=&amp;quot;MotionOpenDate&amp;quot; type=&amp;quot;xs:dateTime&amp;quot; minOccurs=&amp;quot;0&amp;quot; /&amp;gt;_x000d__x000d_                &amp;lt;xs:element name=&amp;quot;CaseID&amp;quot; type=&amp;quot;xs:int&amp;quot; minOccurs=&amp;quot;0&amp;quot; /&amp;gt;_x000d__x000d_                &amp;lt;xs:element name=&amp;quot;CaseDisplayIdentifier&amp;quot; type=&amp;quot;xs:string&amp;quot; minOccurs=&amp;quot;0&amp;quot; /&amp;gt;_x000d__x000d_                &amp;lt;xs:element name=&amp;quot;ProcessNumber&amp;quot; type=&amp;quot;xs:int&amp;quot; minOccurs=&amp;quot;0&amp;quot; /&amp;gt;_x000d__x000d_              &amp;lt;/xs:sequence&amp;gt;_x000d__x000d_            &amp;lt;/xs:complexType&amp;gt;_x000d__x000d_          &amp;lt;/xs:element&amp;gt;_x000d__x000d_          &amp;lt;xs:element name=&amp;quot;dt_DecisionProtocol&amp;quot;&amp;gt;_x000d__x000d_            &amp;lt;xs:complexType&amp;gt;_x000d__x000d_              &amp;lt;xs:sequence&amp;gt;_x000d__x000d_                &amp;lt;xs:element name=&amp;quot;DecisionID&amp;quot; type=&amp;quot;xs:int&amp;quot; /&amp;gt;_x000d__x000d_                &amp;lt;xs:element name=&amp;quot;ProtocolID&amp;quot; type=&amp;quot;xs:int&amp;quot; /&amp;gt;_x000d__x000d_                &amp;lt;xs:element name=&amp;quot;ProtocolEventID&amp;quot; type=&amp;quot;xs:int&amp;quot; /&amp;gt;_x000d__x000d_              &amp;lt;/xs:sequence&amp;gt;_x000d__x000d_            &amp;lt;/xs:complexType&amp;gt;_x000d__x000d_          &amp;lt;/xs:element&amp;gt;_x000d__x000d_          &amp;lt;xs:element name=&amp;quot;dt_DecisionJudgePanel&amp;quot;&amp;gt;_x000d__x000d_            &amp;lt;xs:complexType&amp;gt;_x000d__x000d_              &amp;lt;xs:sequence&amp;gt;_x000d__x000d_                &amp;lt;xs:element name=&amp;quot;DecisionID&amp;quot; type=&amp;quot;xs:int&amp;quot; /&amp;gt;_x000d__x000d_                &amp;lt;xs:element name=&amp;quot;JudgeID&amp;quot; type=&amp;quot;xs:string&amp;quot; /&amp;gt;_x000d__x000d_                &amp;lt;xs:element name=&amp;quot;DocumentSendDate&amp;quot; type=&amp;quot;xs:dateTime&amp;quot; minOccurs=&amp;quot;0&amp;quot; /&amp;gt;_x000d__x000d_                &amp;lt;xs:element name=&amp;quot;FinalDate&amp;quot; type=&amp;quot;xs:dateTime&amp;quot; minOccurs=&amp;quot;0&amp;quot; /&amp;gt;_x000d__x000d_                &amp;lt;xs:element name=&amp;quot;SignatureDate&amp;quot; type=&amp;quot;xs:dateTime&amp;quot; minOccurs=&amp;quot;0&amp;quot; /&amp;gt;_x000d__x000d_                &amp;lt;xs:element name=&amp;quot;DocumentID&amp;quot; type=&amp;quot;xs:int&amp;quot; minOccurs=&amp;quot;0&amp;quot; /&amp;gt;_x000d__x000d_                &amp;lt;xs:element name=&amp;quot;DecisionOpinionDate&amp;quot; type=&amp;quot;xs:dateTime&amp;quot; minOccurs=&amp;quot;0&amp;quot; /&amp;gt;_x000d__x000d_                &amp;lt;xs:element name=&amp;quot;WriterViewedDraftDate&amp;quot; type=&amp;quot;xs:dateTime&amp;quot; minOccurs=&amp;quot;0&amp;quot; /&amp;gt;_x000d__x000d_                &amp;lt;xs:element name=&amp;quot;IsNeedAllSignatures&amp;quot; type=&amp;quot;xs:boolean&amp;quot; minOccurs=&amp;quot;0&amp;quot; /&amp;gt;_x000d__x000d_                &amp;lt;xs:element name=&amp;quot;DocumentIDNotes&amp;quot; type=&amp;quot;xs:int&amp;quot; minOccurs=&amp;quot;0&amp;quot; /&amp;gt;_x000d__x000d_                &amp;lt;xs:element name=&amp;quot;OrdinalNumber&amp;quot; type=&amp;quot;xs:int&amp;quot; minOccurs=&amp;quot;0&amp;quot; /&amp;gt;_x000d__x000d_              &amp;lt;/xs:sequence&amp;gt;_x000d__x000d_            &amp;lt;/xs:complexType&amp;gt;_x000d__x000d_          &amp;lt;/xs:element&amp;gt;_x000d__x000d_          &amp;lt;xs:element name=&amp;quot;dt_Attachments&amp;quot;&amp;gt;_x000d__x000d_            &amp;lt;xs:complexType&amp;gt;_x000d__x000d_              &amp;lt;xs:sequence&amp;gt;_x000d__x000d_                &amp;lt;xs:element name=&amp;quot;DocumentID&amp;quot; type=&amp;quot;xs:int&amp;quot; minOccurs=&amp;quot;0&amp;quot; /&amp;gt;_x000d__x000d_                &amp;lt;xs:element name=&amp;quot;DocumentStatusChangeDate&amp;quot; type=&amp;quot;xs:dateTime&amp;quot; minOccurs=&amp;quot;0&amp;quot; /&amp;gt;_x000d__x000d_                &amp;lt;xs:element name=&amp;quot;DocumentDesc&amp;quot; type=&amp;quot;xs:string&amp;quot; minOccurs=&amp;quot;0&amp;quot; /&amp;gt;_x000d__x000d_                &amp;lt;xs:element name=&amp;quot;DocumentMainID&amp;quot; type=&amp;quot;xs:int&amp;quot; minOccurs=&amp;quot;0&amp;quot; /&amp;gt;_x000d__x000d_              &amp;lt;/xs:sequence&amp;gt;_x000d__x000d_            &amp;lt;/xs:complexType&amp;gt;_x000d__x000d_          &amp;lt;/xs:element&amp;gt;_x000d__x000d_        &amp;lt;/xs:choice&amp;gt;_x000d__x000d_      &amp;lt;/xs:complexType&amp;gt;_x000d__x000d_      &amp;lt;xs:unique name=&amp;quot;DecisionDSKey1&amp;quot; msdata:PrimaryKey=&amp;quot;true&amp;quot;&amp;gt;_x000d__x000d_        &amp;lt;xs:selector xpath=&amp;quot;.//mstns:dt_Decision&amp;quot; /&amp;gt;_x000d__x000d_        &amp;lt;xs:field xpath=&amp;quot;mstns:DecisionID&amp;quot; /&amp;gt;_x000d__x000d_      &amp;lt;/xs:unique&amp;gt;_x000d__x000d_      &amp;lt;xs:unique name=&amp;quot;DecisionDSKey2&amp;quot; msdata:PrimaryKey=&amp;quot;true&amp;quot;&amp;gt;_x000d__x000d_        &amp;lt;xs:selector xpath=&amp;quot;.//mstns:dt_DecisionCase&amp;quot; /&amp;gt;_x000d__x000d_        &amp;lt;xs:field xpath=&amp;quot;mstns:DecisionID&amp;quot; /&amp;gt;_x000d__x000d_        &amp;lt;xs:field xpath=&amp;quot;mstns:CaseID&amp;quot; /&amp;gt;_x000d__x000d_      &amp;lt;/xs:unique&amp;gt;_x000d__x000d_      &amp;lt;xs:unique name=&amp;quot;DecisionDSKey3&amp;quot; msdata:PrimaryKey=&amp;quot;true&amp;quot;&amp;gt;_x000d__x000d_        &amp;lt;xs:selector xpath=&amp;quot;.//mstns:dt_DecisionMotion&amp;quot; /&amp;gt;_x000d__x000d_        &amp;lt;xs:field xpath=&amp;quot;mstns:DecisionID&amp;quot; /&amp;gt;_x000d__x000d_        &amp;lt;xs:field xpath=&amp;quot;mstns:MotionID&amp;quot; /&amp;gt;_x000d__x000d_      &amp;lt;/xs:unique&amp;gt;_x000d__x000d_      &amp;lt;xs:unique name=&amp;quot;DecisionDSKey4&amp;quot; msdata:PrimaryKey=&amp;quot;true&amp;quot;&amp;gt;_x000d__x000d_        &amp;lt;xs:selector xpath=&amp;quot;.//mstns:dt_DecisionProtocol&amp;quot; /&amp;gt;_x000d__x000d_        &amp;lt;xs:field xpath=&amp;quot;mstns:DecisionID&amp;quot; /&amp;gt;_x000d__x000d_        &amp;lt;xs:field xpath=&amp;quot;mstns:ProtocolID&amp;quot; /&amp;gt;_x000d__x000d_        &amp;lt;xs:field xpath=&amp;quot;mstns:ProtocolEventID&amp;quot; /&amp;gt;_x000d__x000d_      &amp;lt;/xs:unique&amp;gt;_x000d__x000d_      &amp;lt;xs:unique name=&amp;quot;DecisionDSKey10&amp;quot; msdata:PrimaryKey=&amp;quot;true&amp;quot;&amp;gt;_x000d__x000d_        &amp;lt;xs:selector xpath=&amp;quot;.//mstns:dt_DecisionJudgePanel&amp;quot; /&amp;gt;_x000d__x000d_        &amp;lt;xs:field xpath=&amp;quot;mstns:DecisionID&amp;quot; /&amp;gt;_x000d__x000d_        &amp;lt;xs:field xpath=&amp;quot;mstns:JudgeID&amp;quot; /&amp;gt;_x000d__x000d_      &amp;lt;/xs:unique&amp;gt;_x000d__x000d_      &amp;lt;xs:keyref name=&amp;quot;dt_Decisiondt_DecisionJudgePanel&amp;quot; refer=&amp;quot;DecisionDSKey1&amp;quot;&amp;gt;_x000d__x000d_        &amp;lt;xs:selector xpath=&amp;quot;.//mstns:dt_DecisionJudgePanel&amp;quot; /&amp;gt;_x000d__x000d_        &amp;lt;xs:field xpath=&amp;quot;mstns:DecisionID&amp;quot; /&amp;gt;_x000d__x000d_      &amp;lt;/xs:keyref&amp;gt;_x000d__x000d_      &amp;lt;xs:keyref name=&amp;quot;dt_Decisiondt_DecisionProtocol&amp;quot; refer=&amp;quot;DecisionDSKey1&amp;quot;&amp;gt;_x000d__x000d_        &amp;lt;xs:selector xpath=&amp;quot;.//mstns:dt_DecisionProtocol&amp;quot; /&amp;gt;_x000d__x000d_        &amp;lt;xs:field xpath=&amp;quot;mstns:DecisionID&amp;quot; /&amp;gt;_x000d__x000d_      &amp;lt;/xs:keyref&amp;gt;_x000d__x000d_      &amp;lt;xs:keyref name=&amp;quot;dt_Decisiondt_DecisionMotion&amp;quot; refer=&amp;quot;DecisionDSKey1&amp;quot;&amp;gt;_x000d__x000d_        &amp;lt;xs:selector xpath=&amp;quot;.//mstns:dt_DecisionMotion&amp;quot; /&amp;gt;_x000d__x000d_        &amp;lt;xs:field xpath=&amp;quot;mstns:DecisionID&amp;quot; /&amp;gt;_x000d__x000d_      &amp;lt;/xs:keyref&amp;gt;_x000d__x000d_      &amp;lt;xs:keyref name=&amp;quot;dt_Decisiondt_DecisionCase&amp;quot; refer=&amp;quot;DecisionDSKey1&amp;quot;&amp;gt;_x000d__x000d_        &amp;lt;xs:selector xpath=&amp;quot;.//mstns:dt_DecisionCase&amp;quot; /&amp;gt;_x000d__x000d_        &amp;lt;xs:field xpath=&amp;quot;mstns:DecisionID&amp;quot; /&amp;gt;_x000d__x000d_      &amp;lt;/xs:keyref&amp;gt;_x000d__x000d_    &amp;lt;/xs:element&amp;gt;_x000d__x000d_  &amp;lt;/xs:schema&amp;gt;_x000d__x000d_  &amp;lt;diffgr:diffgram xmlns:msdata=&amp;quot;urn:schemas-microsoft-com:xml-msdata&amp;quot; xmlns:diffgr=&amp;quot;urn:schemas-microsoft-com:xml-diffgram-v1&amp;quot;&amp;gt;_x000d__x000d_    &amp;lt;DecisionDS xmlns=&amp;quot;http://www.tempuri.org/DecisionDS.xsd&amp;quot;&amp;gt;_x000d__x000d_      &amp;lt;dt_Decision diffgr:id=&amp;quot;dt_Decision1&amp;quot; msdata:rowOrder=&amp;quot;0&amp;quot;&amp;gt;_x000d__x000d_        &amp;lt;DecisionID&amp;gt;96794747&amp;lt;/DecisionID&amp;gt;_x000d__x000d_        &amp;lt;DecisionName&amp;gt;äëøòú ãéï  ùðéúðä ò&amp;quot;é  äéùàí  àáå ùçàãä&amp;lt;/DecisionName&amp;gt;_x000d__x000d_        &amp;lt;DecisionStatusID&amp;gt;1&amp;lt;/DecisionStatusID&amp;gt;_x000d__x000d_        &amp;lt;DecisionStatusChangeDate&amp;gt;2015-08-13T14:24:31.07+03:00&amp;lt;/DecisionStatusChangeDate&amp;gt;_x000d__x000d_        &amp;lt;DecisionSignatureDate&amp;gt;2015-08-13T14:16:06.753+03:00&amp;lt;/DecisionSignatureDate&amp;gt;_x000d__x000d_        &amp;lt;DecisionSignatureUserID&amp;gt;026265066@GOV.IL&amp;lt;/DecisionSignatureUserID&amp;gt;_x000d__x000d_        &amp;lt;DecisionCreateDate&amp;gt;2015-08-13T14:19:18.44+03:00&amp;lt;/DecisionCreateDate&amp;gt;_x000d__x000d_        &amp;lt;DecisionChangeDate&amp;gt;2015-08-13T14:24:31.09+03:00&amp;lt;/DecisionChangeDate&amp;gt;_x000d__x000d_        &amp;lt;DecisionChangeUserID&amp;gt;026265066@GOV.IL&amp;lt;/DecisionChangeUserID&amp;gt;_x000d__x000d_        &amp;lt;IsChosenDecision&amp;gt;false&amp;lt;/IsChosenDecision&amp;gt;_x000d__x000d_        &amp;lt;IsDecisionImplementationTask&amp;gt;true&amp;lt;/IsDecisionImplementationTask&amp;gt;_x000d__x000d_        &amp;lt;IsDecisionInProtocol&amp;gt;false&amp;lt;/IsDecisionInProtocol&amp;gt;_x000d__x000d_        &amp;lt;DecisionTypeID&amp;gt;3&amp;lt;/DecisionTypeID&amp;gt;_x000d__x000d_        &amp;lt;IsOnlyOneParty&amp;gt;false&amp;lt;/IsOnlyOneParty&amp;gt;_x000d__x000d_        &amp;lt;IsCanceledDecision&amp;gt;false&amp;lt;/IsCanceledDecision&amp;gt;_x000d__x000d_        &amp;lt;DocumentID&amp;gt;207359081&amp;lt;/DocumentID&amp;gt;_x000d__x000d_        &amp;lt;PrivilegeID&amp;gt;2&amp;lt;/PrivilegeID&amp;gt;_x000d__x000d_        &amp;lt;IsDecisionConverted&amp;gt;false&amp;lt;/IsDecisionConverted&amp;gt;_x000d__x000d_        &amp;lt;IsOpenedToSecondSide&amp;gt;false&amp;lt;/IsOpenedToSecondSide&amp;gt;_x000d__x000d_        &amp;lt;IsDecisionAppeled&amp;gt;false&amp;lt;/IsDecisionAppeled&amp;gt;_x000d__x000d_        &amp;lt;DecisionWriterID&amp;gt;026265066@GOV.IL&amp;lt;/DecisionWriterID&amp;gt;_x000d__x000d_        &amp;lt;IsInstruction&amp;gt;false&amp;lt;/IsInstruction&amp;gt;_x000d__x000d_        &amp;lt;IsNeedAllSignatures&amp;gt;false&amp;lt;/IsNeedAllSignatures&amp;gt;_x000d__x000d_        &amp;lt;DecisionAttributeID&amp;gt;1&amp;lt;/DecisionAttributeID&amp;gt;_x000d__x000d_        &amp;lt;DecisionCreationUserID&amp;gt;026265066@GOV.IL&amp;lt;/DecisionCreationUserID&amp;gt;_x000d__x000d_        &amp;lt;DecisionDisplayName&amp;gt;äëøòú ãéï  ùðéúðä ò&amp;quot;é  äéùàí  àáå ùçàãä&amp;lt;/DecisionDisplayName&amp;gt;_x000d__x000d_        &amp;lt;IsScanned&amp;gt;false&amp;lt;/IsScanned&amp;gt;_x000d__x000d_        &amp;lt;DecisionSignatureUserName&amp;gt;äéùàí  àáå ùçàãä&amp;lt;/DecisionSignatureUserName&amp;gt;_x000d__x000d_        &amp;lt;NotificationTypeID&amp;gt;1&amp;lt;/NotificationTypeID&amp;gt;_x000d__x000d_        &amp;lt;IsDecisionInNote&amp;gt;false&amp;lt;/IsDecisionInNote&amp;gt;_x000d__x000d_        &amp;lt;IsDecisionUrgency&amp;gt;false&amp;lt;/IsDecisionUrgency&amp;gt;_x000d__x000d_      &amp;lt;/dt_Decision&amp;gt;_x000d__x000d_      &amp;lt;dt_DecisionCase diffgr:id=&amp;quot;dt_DecisionCase1&amp;quot; msdata:rowOrder=&amp;quot;0&amp;quot;&amp;gt;_x000d__x000d_        &amp;lt;DecisionID&amp;gt;96794747&amp;lt;/DecisionID&amp;gt;_x000d__x000d_        &amp;lt;CaseID&amp;gt;71028253&amp;lt;/CaseID&amp;gt;_x000d__x000d_        &amp;lt;IsOriginal&amp;gt;true&amp;lt;/IsOriginal&amp;gt;_x000d__x000d_        &amp;lt;IsDeleted&amp;gt;false&amp;lt;/IsDeleted&amp;gt;_x000d__x000d_        &amp;lt;CaseName&amp;gt;ôø÷ìéèåú îçåæ îøëæ ð&amp;#39; ñåìééîðåá&amp;lt;/CaseName&amp;gt;_x000d__x000d_        &amp;lt;CaseDisplayIdentifier&amp;gt;49864-04-13 ú&amp;quot;ô&amp;lt;/CaseDisplayIdentifier&amp;gt;_x000d__x000d_      &amp;lt;/dt_DecisionCase&amp;gt;_x000d__x000d_    &amp;lt;/DecisionDS&amp;gt;_x000d__x000d_  &amp;lt;/diffgr:diffgram&amp;gt;_x000d__x000d_&amp;lt;/DecisionDS&amp;gt;"/>
    <w:docVar w:name="DecisionID" w:val="96794747"/>
    <w:docVar w:name="MyInfo" w:val="This document was extracted from Nevo's site"/>
    <w:docVar w:name="WordClientAssemblyName" w:val="NGCS.Decision.ClientWordBL"/>
    <w:docVar w:name="WordClientClassName" w:val="NGCS.Decision.ClientWordBL.DecisionClient"/>
  </w:docVars>
  <w:rsids>
    <w:rsidRoot w:val="00870F64"/>
    <w:rsid w:val="00097BFF"/>
    <w:rsid w:val="000D676C"/>
    <w:rsid w:val="000E5776"/>
    <w:rsid w:val="0016006A"/>
    <w:rsid w:val="00180C2B"/>
    <w:rsid w:val="00186BCB"/>
    <w:rsid w:val="002039F6"/>
    <w:rsid w:val="00292F70"/>
    <w:rsid w:val="002D68F5"/>
    <w:rsid w:val="002F2FCF"/>
    <w:rsid w:val="00327999"/>
    <w:rsid w:val="00334A35"/>
    <w:rsid w:val="00337463"/>
    <w:rsid w:val="003A027F"/>
    <w:rsid w:val="003B729D"/>
    <w:rsid w:val="003C74D6"/>
    <w:rsid w:val="004334DF"/>
    <w:rsid w:val="004F2B64"/>
    <w:rsid w:val="0051562C"/>
    <w:rsid w:val="0052227C"/>
    <w:rsid w:val="00561844"/>
    <w:rsid w:val="00565DB5"/>
    <w:rsid w:val="00593E5B"/>
    <w:rsid w:val="005C3A98"/>
    <w:rsid w:val="005F01D1"/>
    <w:rsid w:val="0064690D"/>
    <w:rsid w:val="006958A7"/>
    <w:rsid w:val="007B07F8"/>
    <w:rsid w:val="007C40F8"/>
    <w:rsid w:val="007C7991"/>
    <w:rsid w:val="007F0D5D"/>
    <w:rsid w:val="00810372"/>
    <w:rsid w:val="008134CF"/>
    <w:rsid w:val="0082611F"/>
    <w:rsid w:val="00834D17"/>
    <w:rsid w:val="008351E7"/>
    <w:rsid w:val="00870F64"/>
    <w:rsid w:val="008B5E6C"/>
    <w:rsid w:val="008D35B7"/>
    <w:rsid w:val="00906D9D"/>
    <w:rsid w:val="009074A1"/>
    <w:rsid w:val="009251A2"/>
    <w:rsid w:val="00942F8C"/>
    <w:rsid w:val="00A5454F"/>
    <w:rsid w:val="00AC40FC"/>
    <w:rsid w:val="00AE60C8"/>
    <w:rsid w:val="00B20868"/>
    <w:rsid w:val="00B80E4C"/>
    <w:rsid w:val="00B949CB"/>
    <w:rsid w:val="00BF0FEA"/>
    <w:rsid w:val="00C82684"/>
    <w:rsid w:val="00C842D3"/>
    <w:rsid w:val="00C863A8"/>
    <w:rsid w:val="00CA706A"/>
    <w:rsid w:val="00D07CF7"/>
    <w:rsid w:val="00D63841"/>
    <w:rsid w:val="00DC081D"/>
    <w:rsid w:val="00E20138"/>
    <w:rsid w:val="00E2379A"/>
    <w:rsid w:val="00E83F6D"/>
    <w:rsid w:val="00E92233"/>
    <w:rsid w:val="00EA352A"/>
    <w:rsid w:val="00EB19E0"/>
    <w:rsid w:val="00EE1AFA"/>
    <w:rsid w:val="00F470DB"/>
    <w:rsid w:val="00F61193"/>
    <w:rsid w:val="00F718AF"/>
    <w:rsid w:val="00FD68E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BCC991"/>
  <w15:chartTrackingRefBased/>
  <w15:docId w15:val="{AAEE37A5-82B9-4582-99A7-C709FA90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character" w:styleId="PlaceholderText">
    <w:name w:val="Placeholder Text"/>
    <w:basedOn w:val="DefaultParagraphFont"/>
    <w:semiHidden/>
    <w:rsid w:val="00AE60C8"/>
    <w:rPr>
      <w:rFonts w:cs="Times New Roman"/>
      <w:color w:val="808080"/>
    </w:rPr>
  </w:style>
  <w:style w:type="character" w:styleId="PageNumber">
    <w:name w:val="page number"/>
    <w:basedOn w:val="DefaultParagraphFont"/>
    <w:rsid w:val="00CA706A"/>
  </w:style>
  <w:style w:type="character" w:styleId="Hyperlink">
    <w:name w:val="Hyperlink"/>
    <w:basedOn w:val="DefaultParagraphFont"/>
    <w:rsid w:val="00CA70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826383" TargetMode="External"/><Relationship Id="rId26" Type="http://schemas.openxmlformats.org/officeDocument/2006/relationships/hyperlink" Target="http://www.nevo.co.il/advertisements/nevo-100.doc" TargetMode="External"/><Relationship Id="rId3" Type="http://schemas.openxmlformats.org/officeDocument/2006/relationships/styles" Target="styles.xml"/><Relationship Id="rId21" Type="http://schemas.openxmlformats.org/officeDocument/2006/relationships/hyperlink" Target="http://www.nevo.co.il/case/5818971" TargetMode="External"/><Relationship Id="rId7" Type="http://schemas.openxmlformats.org/officeDocument/2006/relationships/endnotes" Target="endnotes.xml"/><Relationship Id="rId12" Type="http://schemas.openxmlformats.org/officeDocument/2006/relationships/hyperlink" Target="http://www.nevo.co.il/law/70301/348.c" TargetMode="External"/><Relationship Id="rId17" Type="http://schemas.openxmlformats.org/officeDocument/2006/relationships/hyperlink" Target="http://www.nevo.co.il/case/5706256" TargetMode="External"/><Relationship Id="rId25" Type="http://schemas.openxmlformats.org/officeDocument/2006/relationships/hyperlink" Target="http://www.nevo.co.il/law/70301" TargetMode="External"/><Relationship Id="rId2" Type="http://schemas.openxmlformats.org/officeDocument/2006/relationships/numbering" Target="numbering.xml"/><Relationship Id="rId16" Type="http://schemas.openxmlformats.org/officeDocument/2006/relationships/hyperlink" Target="http://www.nevo.co.il/case/6245704" TargetMode="External"/><Relationship Id="rId20" Type="http://schemas.openxmlformats.org/officeDocument/2006/relationships/hyperlink" Target="http://www.nevo.co.il/case/6169037"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hyperlink" Target="http://www.nevo.co.il/law/70301/348.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yperlink" Target="http://www.nevo.co.il/case/5944653" TargetMode="External"/><Relationship Id="rId28" Type="http://schemas.openxmlformats.org/officeDocument/2006/relationships/header" Target="header2.xml"/><Relationship Id="rId10" Type="http://schemas.openxmlformats.org/officeDocument/2006/relationships/hyperlink" Target="http://www.nevo.co.il/law/70301/348.c" TargetMode="External"/><Relationship Id="rId19" Type="http://schemas.openxmlformats.org/officeDocument/2006/relationships/hyperlink" Target="http://www.nevo.co.il/case/594465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348.c"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case/6097748"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18528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3407996</vt:i4>
      </vt:variant>
      <vt:variant>
        <vt:i4>45</vt:i4>
      </vt:variant>
      <vt:variant>
        <vt:i4>0</vt:i4>
      </vt:variant>
      <vt:variant>
        <vt:i4>5</vt:i4>
      </vt:variant>
      <vt:variant>
        <vt:lpwstr>http://www.nevo.co.il/case/5944653</vt:lpwstr>
      </vt:variant>
      <vt:variant>
        <vt:lpwstr/>
      </vt:variant>
      <vt:variant>
        <vt:i4>3145847</vt:i4>
      </vt:variant>
      <vt:variant>
        <vt:i4>42</vt:i4>
      </vt:variant>
      <vt:variant>
        <vt:i4>0</vt:i4>
      </vt:variant>
      <vt:variant>
        <vt:i4>5</vt:i4>
      </vt:variant>
      <vt:variant>
        <vt:lpwstr>http://www.nevo.co.il/case/6097748</vt:lpwstr>
      </vt:variant>
      <vt:variant>
        <vt:lpwstr/>
      </vt:variant>
      <vt:variant>
        <vt:i4>3932275</vt:i4>
      </vt:variant>
      <vt:variant>
        <vt:i4>39</vt:i4>
      </vt:variant>
      <vt:variant>
        <vt:i4>0</vt:i4>
      </vt:variant>
      <vt:variant>
        <vt:i4>5</vt:i4>
      </vt:variant>
      <vt:variant>
        <vt:lpwstr>http://www.nevo.co.il/case/5818971</vt:lpwstr>
      </vt:variant>
      <vt:variant>
        <vt:lpwstr/>
      </vt:variant>
      <vt:variant>
        <vt:i4>3604607</vt:i4>
      </vt:variant>
      <vt:variant>
        <vt:i4>36</vt:i4>
      </vt:variant>
      <vt:variant>
        <vt:i4>0</vt:i4>
      </vt:variant>
      <vt:variant>
        <vt:i4>5</vt:i4>
      </vt:variant>
      <vt:variant>
        <vt:lpwstr>http://www.nevo.co.il/case/6169037</vt:lpwstr>
      </vt:variant>
      <vt:variant>
        <vt:lpwstr/>
      </vt:variant>
      <vt:variant>
        <vt:i4>3407996</vt:i4>
      </vt:variant>
      <vt:variant>
        <vt:i4>33</vt:i4>
      </vt:variant>
      <vt:variant>
        <vt:i4>0</vt:i4>
      </vt:variant>
      <vt:variant>
        <vt:i4>5</vt:i4>
      </vt:variant>
      <vt:variant>
        <vt:lpwstr>http://www.nevo.co.il/case/5944653</vt:lpwstr>
      </vt:variant>
      <vt:variant>
        <vt:lpwstr/>
      </vt:variant>
      <vt:variant>
        <vt:i4>3604594</vt:i4>
      </vt:variant>
      <vt:variant>
        <vt:i4>30</vt:i4>
      </vt:variant>
      <vt:variant>
        <vt:i4>0</vt:i4>
      </vt:variant>
      <vt:variant>
        <vt:i4>5</vt:i4>
      </vt:variant>
      <vt:variant>
        <vt:lpwstr>http://www.nevo.co.il/case/5826383</vt:lpwstr>
      </vt:variant>
      <vt:variant>
        <vt:lpwstr/>
      </vt:variant>
      <vt:variant>
        <vt:i4>3211376</vt:i4>
      </vt:variant>
      <vt:variant>
        <vt:i4>27</vt:i4>
      </vt:variant>
      <vt:variant>
        <vt:i4>0</vt:i4>
      </vt:variant>
      <vt:variant>
        <vt:i4>5</vt:i4>
      </vt:variant>
      <vt:variant>
        <vt:lpwstr>http://www.nevo.co.il/case/5706256</vt:lpwstr>
      </vt:variant>
      <vt:variant>
        <vt:lpwstr/>
      </vt:variant>
      <vt:variant>
        <vt:i4>3211379</vt:i4>
      </vt:variant>
      <vt:variant>
        <vt:i4>24</vt:i4>
      </vt:variant>
      <vt:variant>
        <vt:i4>0</vt:i4>
      </vt:variant>
      <vt:variant>
        <vt:i4>5</vt:i4>
      </vt:variant>
      <vt:variant>
        <vt:lpwstr>http://www.nevo.co.il/case/6245704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2015-08-13T11:19:00Z</cp:lastPrinted>
  <dcterms:created xsi:type="dcterms:W3CDTF">2022-05-24T10:44:00Z</dcterms:created>
  <dcterms:modified xsi:type="dcterms:W3CDTF">2022-05-24T10:44:00Z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49864</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חמוטל פז;דן באומן</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20150813</vt:lpwstr>
  </property>
  <property fmtid="{D5CDD505-2E9C-101B-9397-08002B2CF9AE}" pid="14" name="TYPE_N_DATE">
    <vt:lpwstr>38020150813</vt:lpwstr>
  </property>
  <property fmtid="{D5CDD505-2E9C-101B-9397-08002B2CF9AE}" pid="15" name="WORDNUMPAGES">
    <vt:lpwstr>11</vt:lpwstr>
  </property>
  <property fmtid="{D5CDD505-2E9C-101B-9397-08002B2CF9AE}" pid="16" name="TYPE_ABS_DATE">
    <vt:lpwstr>380120150813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89</vt:lpwstr>
  </property>
  <property fmtid="{D5CDD505-2E9C-101B-9397-08002B2CF9AE}" pid="37" name="NOSE2ID">
    <vt:lpwstr>1625</vt:lpwstr>
  </property>
  <property fmtid="{D5CDD505-2E9C-101B-9397-08002B2CF9AE}" pid="38" name="NOSE3ID">
    <vt:lpwstr>16014</vt:lpwstr>
  </property>
  <property fmtid="{D5CDD505-2E9C-101B-9397-08002B2CF9AE}" pid="39" name="NOSE11">
    <vt:lpwstr>ראיות</vt:lpwstr>
  </property>
  <property fmtid="{D5CDD505-2E9C-101B-9397-08002B2CF9AE}" pid="40" name="NOSE21">
    <vt:lpwstr>זיהוי</vt:lpwstr>
  </property>
  <property fmtid="{D5CDD505-2E9C-101B-9397-08002B2CF9AE}" pid="41" name="NOSE31">
    <vt:lpwstr>מהימנות</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20150820</vt:lpwstr>
  </property>
  <property fmtid="{D5CDD505-2E9C-101B-9397-08002B2CF9AE}" pid="70" name="CASESLISTTMP1">
    <vt:lpwstr>6245704;5706256;5826383;5944653:2;6169037;5818971;6097748</vt:lpwstr>
  </property>
  <property fmtid="{D5CDD505-2E9C-101B-9397-08002B2CF9AE}" pid="71" name="LAWLISTTMP1">
    <vt:lpwstr>70301/348.c:2</vt:lpwstr>
  </property>
</Properties>
</file>