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D727C4" w:rsidRPr="00D36598" w14:paraId="01E8B4F0" w14:textId="77777777">
        <w:trPr>
          <w:trHeight w:hRule="exact" w:val="418"/>
          <w:jc w:val="center"/>
        </w:trPr>
        <w:tc>
          <w:tcPr>
            <w:tcW w:w="8721" w:type="dxa"/>
            <w:gridSpan w:val="2"/>
          </w:tcPr>
          <w:p w14:paraId="3C2566E2" w14:textId="77777777" w:rsidR="00D727C4" w:rsidRPr="00D36598" w:rsidRDefault="00D36598">
            <w:pPr>
              <w:pStyle w:val="Header"/>
              <w:jc w:val="center"/>
              <w:rPr>
                <w:rFonts w:ascii="Tahoma" w:hAnsi="Tahoma" w:cs="Tahoma"/>
                <w:color w:val="000080"/>
                <w:rtl/>
              </w:rPr>
            </w:pPr>
            <w:bookmarkStart w:id="0" w:name="LastJudge"/>
            <w:r w:rsidRPr="00D36598">
              <w:rPr>
                <w:rFonts w:ascii="Tahoma" w:hAnsi="Tahoma" w:cs="Tahoma"/>
                <w:b/>
                <w:bCs/>
                <w:color w:val="000080"/>
                <w:rtl/>
              </w:rPr>
              <w:t>בית משפט השלום בתל אביב - יפו</w:t>
            </w:r>
          </w:p>
        </w:tc>
      </w:tr>
      <w:tr w:rsidR="00D727C4" w:rsidRPr="00D36598" w14:paraId="3F555A48" w14:textId="77777777">
        <w:trPr>
          <w:trHeight w:val="337"/>
          <w:jc w:val="center"/>
        </w:trPr>
        <w:tc>
          <w:tcPr>
            <w:tcW w:w="5047" w:type="dxa"/>
          </w:tcPr>
          <w:p w14:paraId="5771FD94" w14:textId="77777777" w:rsidR="00D727C4" w:rsidRPr="00D36598" w:rsidRDefault="00D727C4">
            <w:pPr>
              <w:pStyle w:val="Header"/>
              <w:rPr>
                <w:rFonts w:cs="FrankRuehl"/>
                <w:sz w:val="28"/>
                <w:szCs w:val="28"/>
                <w:rtl/>
              </w:rPr>
            </w:pPr>
          </w:p>
        </w:tc>
        <w:tc>
          <w:tcPr>
            <w:tcW w:w="3674" w:type="dxa"/>
          </w:tcPr>
          <w:p w14:paraId="4B19FEEB" w14:textId="77777777" w:rsidR="00D727C4" w:rsidRPr="00D36598" w:rsidRDefault="00D727C4">
            <w:pPr>
              <w:pStyle w:val="Header"/>
              <w:jc w:val="right"/>
              <w:rPr>
                <w:rFonts w:cs="FrankRuehl"/>
                <w:sz w:val="28"/>
                <w:szCs w:val="28"/>
                <w:rtl/>
              </w:rPr>
            </w:pPr>
          </w:p>
        </w:tc>
      </w:tr>
      <w:tr w:rsidR="00D727C4" w:rsidRPr="00D36598" w14:paraId="59C9D9CA" w14:textId="77777777">
        <w:trPr>
          <w:trHeight w:val="337"/>
          <w:jc w:val="center"/>
        </w:trPr>
        <w:tc>
          <w:tcPr>
            <w:tcW w:w="8721" w:type="dxa"/>
            <w:gridSpan w:val="2"/>
          </w:tcPr>
          <w:p w14:paraId="48755EFD" w14:textId="77777777" w:rsidR="00D727C4" w:rsidRPr="00D36598" w:rsidRDefault="00D36598">
            <w:pPr>
              <w:rPr>
                <w:rFonts w:cs="FrankRuehl"/>
                <w:sz w:val="28"/>
                <w:szCs w:val="28"/>
                <w:rtl/>
              </w:rPr>
            </w:pPr>
            <w:r w:rsidRPr="00D36598">
              <w:rPr>
                <w:rFonts w:cs="FrankRuehl"/>
                <w:sz w:val="28"/>
                <w:szCs w:val="28"/>
                <w:rtl/>
              </w:rPr>
              <w:t>ת"פ</w:t>
            </w:r>
            <w:r w:rsidRPr="00D36598">
              <w:rPr>
                <w:rFonts w:cs="FrankRuehl" w:hint="cs"/>
                <w:sz w:val="28"/>
                <w:szCs w:val="28"/>
                <w:rtl/>
              </w:rPr>
              <w:t xml:space="preserve"> </w:t>
            </w:r>
            <w:r w:rsidRPr="00D36598">
              <w:rPr>
                <w:rFonts w:cs="FrankRuehl"/>
                <w:sz w:val="28"/>
                <w:szCs w:val="28"/>
                <w:rtl/>
              </w:rPr>
              <w:t>8218-04-13</w:t>
            </w:r>
            <w:r w:rsidRPr="00D36598">
              <w:rPr>
                <w:rFonts w:cs="FrankRuehl" w:hint="cs"/>
                <w:sz w:val="28"/>
                <w:szCs w:val="28"/>
                <w:rtl/>
              </w:rPr>
              <w:t xml:space="preserve"> </w:t>
            </w:r>
            <w:r w:rsidRPr="00D36598">
              <w:rPr>
                <w:rFonts w:cs="FrankRuehl"/>
                <w:sz w:val="28"/>
                <w:szCs w:val="28"/>
                <w:rtl/>
              </w:rPr>
              <w:t>מדינת ישראל נ' הלל</w:t>
            </w:r>
          </w:p>
        </w:tc>
      </w:tr>
    </w:tbl>
    <w:p w14:paraId="2FB4F7F8" w14:textId="77777777" w:rsidR="00D727C4" w:rsidRPr="00D36598" w:rsidRDefault="00D36598">
      <w:pPr>
        <w:pStyle w:val="Header"/>
      </w:pPr>
      <w:r w:rsidRPr="00D36598">
        <w:rPr>
          <w:rFonts w:hint="cs"/>
          <w:rtl/>
        </w:rPr>
        <w:t xml:space="preserve"> </w:t>
      </w:r>
    </w:p>
    <w:p w14:paraId="4C99B9EA" w14:textId="77777777" w:rsidR="00D727C4" w:rsidRPr="00D36598" w:rsidRDefault="00D727C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8077"/>
      </w:tblGrid>
      <w:tr w:rsidR="00D727C4" w:rsidRPr="00D36598" w14:paraId="285CB0AF" w14:textId="77777777">
        <w:trPr>
          <w:trHeight w:val="295"/>
          <w:jc w:val="center"/>
        </w:trPr>
        <w:tc>
          <w:tcPr>
            <w:tcW w:w="743" w:type="dxa"/>
            <w:tcBorders>
              <w:top w:val="nil"/>
              <w:left w:val="nil"/>
              <w:bottom w:val="nil"/>
              <w:right w:val="nil"/>
            </w:tcBorders>
          </w:tcPr>
          <w:p w14:paraId="407E1129" w14:textId="77777777" w:rsidR="00D727C4" w:rsidRPr="00D36598" w:rsidRDefault="00D36598">
            <w:pPr>
              <w:jc w:val="both"/>
              <w:rPr>
                <w:rFonts w:ascii="Arial" w:hAnsi="Arial"/>
                <w:b/>
                <w:bCs/>
              </w:rPr>
            </w:pPr>
            <w:r w:rsidRPr="00D36598">
              <w:rPr>
                <w:rFonts w:ascii="Arial" w:hAnsi="Arial"/>
                <w:b/>
                <w:bCs/>
                <w:rtl/>
              </w:rPr>
              <w:t xml:space="preserve">בפני </w:t>
            </w:r>
          </w:p>
        </w:tc>
        <w:tc>
          <w:tcPr>
            <w:tcW w:w="8077" w:type="dxa"/>
            <w:tcBorders>
              <w:top w:val="nil"/>
              <w:left w:val="nil"/>
              <w:bottom w:val="nil"/>
              <w:right w:val="nil"/>
            </w:tcBorders>
          </w:tcPr>
          <w:p w14:paraId="3F6532DA" w14:textId="77777777" w:rsidR="00D727C4" w:rsidRPr="00D36598" w:rsidRDefault="00D36598">
            <w:pPr>
              <w:rPr>
                <w:rFonts w:ascii="Arial" w:hAnsi="Arial"/>
                <w:b/>
                <w:bCs/>
                <w:highlight w:val="yellow"/>
              </w:rPr>
            </w:pPr>
            <w:r w:rsidRPr="00D36598">
              <w:rPr>
                <w:rFonts w:ascii="Arial" w:hAnsi="Arial" w:hint="cs"/>
                <w:b/>
                <w:bCs/>
                <w:rtl/>
              </w:rPr>
              <w:t>כב' ה</w:t>
            </w:r>
            <w:r w:rsidRPr="00D36598">
              <w:rPr>
                <w:rFonts w:hint="cs"/>
                <w:rtl/>
              </w:rPr>
              <w:t>שופט</w:t>
            </w:r>
            <w:r w:rsidRPr="00D36598">
              <w:rPr>
                <w:rFonts w:ascii="Arial" w:hAnsi="Arial"/>
                <w:b/>
                <w:bCs/>
                <w:rtl/>
              </w:rPr>
              <w:t xml:space="preserve"> </w:t>
            </w:r>
            <w:r w:rsidRPr="00D36598">
              <w:rPr>
                <w:rFonts w:hint="cs"/>
                <w:rtl/>
              </w:rPr>
              <w:t>עידו דרויאן</w:t>
            </w:r>
          </w:p>
        </w:tc>
      </w:tr>
    </w:tbl>
    <w:p w14:paraId="06F2FB1A" w14:textId="77777777" w:rsidR="00D727C4" w:rsidRPr="00D36598" w:rsidRDefault="00D727C4">
      <w:pPr>
        <w:rPr>
          <w:rtl/>
        </w:rPr>
      </w:pPr>
    </w:p>
    <w:p w14:paraId="3297B989" w14:textId="77777777" w:rsidR="00D727C4" w:rsidRPr="00D36598" w:rsidRDefault="00D727C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
        <w:gridCol w:w="4241"/>
        <w:gridCol w:w="3727"/>
      </w:tblGrid>
      <w:tr w:rsidR="00D727C4" w:rsidRPr="00D36598" w14:paraId="2FD9A4C0" w14:textId="77777777">
        <w:trPr>
          <w:trHeight w:val="355"/>
          <w:jc w:val="center"/>
        </w:trPr>
        <w:tc>
          <w:tcPr>
            <w:tcW w:w="852" w:type="dxa"/>
            <w:tcBorders>
              <w:top w:val="nil"/>
              <w:left w:val="nil"/>
              <w:bottom w:val="nil"/>
              <w:right w:val="nil"/>
            </w:tcBorders>
          </w:tcPr>
          <w:p w14:paraId="01B5933E" w14:textId="77777777" w:rsidR="00D727C4" w:rsidRPr="00D36598" w:rsidRDefault="00D727C4">
            <w:pPr>
              <w:jc w:val="both"/>
              <w:rPr>
                <w:rFonts w:ascii="Arial" w:hAnsi="Arial" w:cs="FrankRuehl"/>
                <w:b/>
                <w:bCs/>
                <w:sz w:val="28"/>
                <w:szCs w:val="28"/>
                <w:rtl/>
              </w:rPr>
            </w:pPr>
            <w:bookmarkStart w:id="1" w:name="FirstAppellant"/>
          </w:p>
          <w:p w14:paraId="2DDE562A" w14:textId="77777777" w:rsidR="00D727C4" w:rsidRPr="00D36598" w:rsidRDefault="00D727C4">
            <w:pPr>
              <w:jc w:val="both"/>
              <w:rPr>
                <w:rFonts w:ascii="Arial" w:hAnsi="Arial" w:cs="FrankRuehl"/>
                <w:b/>
                <w:bCs/>
                <w:sz w:val="28"/>
                <w:szCs w:val="28"/>
              </w:rPr>
            </w:pPr>
          </w:p>
        </w:tc>
        <w:tc>
          <w:tcPr>
            <w:tcW w:w="4241" w:type="dxa"/>
            <w:tcBorders>
              <w:top w:val="nil"/>
              <w:left w:val="nil"/>
              <w:bottom w:val="nil"/>
              <w:right w:val="nil"/>
            </w:tcBorders>
          </w:tcPr>
          <w:p w14:paraId="459C5C48" w14:textId="77777777" w:rsidR="00D727C4" w:rsidRPr="00D36598" w:rsidRDefault="00D36598">
            <w:pPr>
              <w:jc w:val="both"/>
              <w:rPr>
                <w:rFonts w:ascii="Arial" w:hAnsi="Arial"/>
                <w:b/>
                <w:bCs/>
                <w:sz w:val="26"/>
                <w:szCs w:val="26"/>
              </w:rPr>
            </w:pPr>
            <w:r w:rsidRPr="00D36598">
              <w:rPr>
                <w:rFonts w:hint="cs"/>
                <w:rtl/>
              </w:rPr>
              <w:t>מדינת ישראל</w:t>
            </w:r>
          </w:p>
        </w:tc>
        <w:tc>
          <w:tcPr>
            <w:tcW w:w="3727" w:type="dxa"/>
            <w:tcBorders>
              <w:top w:val="nil"/>
              <w:left w:val="nil"/>
              <w:bottom w:val="nil"/>
              <w:right w:val="nil"/>
            </w:tcBorders>
          </w:tcPr>
          <w:p w14:paraId="1A8D0A87" w14:textId="77777777" w:rsidR="00D727C4" w:rsidRPr="00D36598" w:rsidRDefault="00D36598">
            <w:pPr>
              <w:jc w:val="right"/>
              <w:rPr>
                <w:rFonts w:ascii="Arial" w:hAnsi="Arial"/>
                <w:b/>
                <w:bCs/>
                <w:sz w:val="26"/>
                <w:szCs w:val="26"/>
              </w:rPr>
            </w:pPr>
            <w:r w:rsidRPr="00D36598">
              <w:rPr>
                <w:rFonts w:ascii="Arial" w:hAnsi="Arial"/>
                <w:b/>
                <w:bCs/>
                <w:sz w:val="26"/>
                <w:szCs w:val="26"/>
                <w:rtl/>
              </w:rPr>
              <w:t>ה</w:t>
            </w:r>
            <w:r w:rsidRPr="00D36598">
              <w:rPr>
                <w:rFonts w:hint="cs"/>
                <w:rtl/>
              </w:rPr>
              <w:t>מאשימה</w:t>
            </w:r>
          </w:p>
        </w:tc>
      </w:tr>
      <w:tr w:rsidR="00D727C4" w:rsidRPr="00D36598" w14:paraId="02DBF3EA" w14:textId="77777777">
        <w:trPr>
          <w:trHeight w:val="355"/>
          <w:jc w:val="center"/>
        </w:trPr>
        <w:tc>
          <w:tcPr>
            <w:tcW w:w="852" w:type="dxa"/>
            <w:tcBorders>
              <w:top w:val="nil"/>
              <w:left w:val="nil"/>
              <w:bottom w:val="nil"/>
              <w:right w:val="nil"/>
            </w:tcBorders>
          </w:tcPr>
          <w:p w14:paraId="4B922D12" w14:textId="77777777" w:rsidR="00D727C4" w:rsidRPr="00D36598" w:rsidRDefault="00D727C4">
            <w:pPr>
              <w:jc w:val="both"/>
              <w:rPr>
                <w:rFonts w:ascii="Arial" w:hAnsi="Arial" w:cs="FrankRuehl"/>
                <w:b/>
                <w:bCs/>
                <w:sz w:val="28"/>
                <w:szCs w:val="28"/>
                <w:rtl/>
              </w:rPr>
            </w:pPr>
            <w:bookmarkStart w:id="2" w:name="FirstLawyer"/>
            <w:bookmarkEnd w:id="1"/>
          </w:p>
        </w:tc>
        <w:tc>
          <w:tcPr>
            <w:tcW w:w="4241" w:type="dxa"/>
            <w:tcBorders>
              <w:top w:val="nil"/>
              <w:left w:val="nil"/>
              <w:bottom w:val="nil"/>
              <w:right w:val="nil"/>
            </w:tcBorders>
          </w:tcPr>
          <w:p w14:paraId="41D7E4C7" w14:textId="77777777" w:rsidR="00D727C4" w:rsidRPr="00D36598" w:rsidRDefault="00D36598">
            <w:pPr>
              <w:jc w:val="both"/>
              <w:rPr>
                <w:sz w:val="26"/>
                <w:szCs w:val="26"/>
                <w:rtl/>
              </w:rPr>
            </w:pPr>
            <w:r w:rsidRPr="00D36598">
              <w:rPr>
                <w:rFonts w:hint="cs"/>
                <w:rtl/>
              </w:rPr>
              <w:t>ע"י ב"כ עו"ד יעלה הראל</w:t>
            </w:r>
          </w:p>
        </w:tc>
        <w:tc>
          <w:tcPr>
            <w:tcW w:w="3727" w:type="dxa"/>
            <w:tcBorders>
              <w:top w:val="nil"/>
              <w:left w:val="nil"/>
              <w:bottom w:val="nil"/>
              <w:right w:val="nil"/>
            </w:tcBorders>
          </w:tcPr>
          <w:p w14:paraId="12708CF3" w14:textId="77777777" w:rsidR="00D727C4" w:rsidRPr="00D36598" w:rsidRDefault="00D727C4">
            <w:pPr>
              <w:jc w:val="right"/>
              <w:rPr>
                <w:rFonts w:ascii="Arial" w:hAnsi="Arial"/>
                <w:b/>
                <w:bCs/>
                <w:sz w:val="26"/>
                <w:szCs w:val="26"/>
                <w:rtl/>
              </w:rPr>
            </w:pPr>
          </w:p>
        </w:tc>
      </w:tr>
      <w:bookmarkEnd w:id="2"/>
      <w:tr w:rsidR="00D727C4" w:rsidRPr="00D36598" w14:paraId="7FE56247" w14:textId="77777777">
        <w:trPr>
          <w:trHeight w:val="355"/>
          <w:jc w:val="center"/>
        </w:trPr>
        <w:tc>
          <w:tcPr>
            <w:tcW w:w="852" w:type="dxa"/>
            <w:tcBorders>
              <w:top w:val="nil"/>
              <w:left w:val="nil"/>
              <w:bottom w:val="nil"/>
              <w:right w:val="nil"/>
            </w:tcBorders>
          </w:tcPr>
          <w:p w14:paraId="4B28FCDF" w14:textId="77777777" w:rsidR="00D727C4" w:rsidRPr="00D36598" w:rsidRDefault="00D727C4">
            <w:pPr>
              <w:jc w:val="both"/>
              <w:rPr>
                <w:rFonts w:ascii="Arial" w:hAnsi="Arial" w:cs="FrankRuehl"/>
                <w:b/>
                <w:bCs/>
                <w:sz w:val="28"/>
                <w:szCs w:val="28"/>
                <w:rtl/>
              </w:rPr>
            </w:pPr>
          </w:p>
        </w:tc>
        <w:tc>
          <w:tcPr>
            <w:tcW w:w="7968" w:type="dxa"/>
            <w:gridSpan w:val="2"/>
            <w:tcBorders>
              <w:top w:val="nil"/>
              <w:left w:val="nil"/>
              <w:bottom w:val="nil"/>
              <w:right w:val="nil"/>
            </w:tcBorders>
          </w:tcPr>
          <w:p w14:paraId="7E79DEF0" w14:textId="77777777" w:rsidR="00D727C4" w:rsidRPr="00D36598" w:rsidRDefault="00D727C4">
            <w:pPr>
              <w:jc w:val="center"/>
              <w:rPr>
                <w:rFonts w:ascii="Arial" w:hAnsi="Arial"/>
                <w:b/>
                <w:bCs/>
                <w:sz w:val="26"/>
                <w:szCs w:val="26"/>
                <w:rtl/>
              </w:rPr>
            </w:pPr>
          </w:p>
          <w:p w14:paraId="246A8B8F" w14:textId="77777777" w:rsidR="00D727C4" w:rsidRPr="00D36598" w:rsidRDefault="00D36598">
            <w:pPr>
              <w:jc w:val="center"/>
              <w:rPr>
                <w:rFonts w:ascii="Arial" w:hAnsi="Arial"/>
                <w:b/>
                <w:bCs/>
                <w:sz w:val="26"/>
                <w:szCs w:val="26"/>
                <w:rtl/>
              </w:rPr>
            </w:pPr>
            <w:r w:rsidRPr="00D36598">
              <w:rPr>
                <w:rFonts w:ascii="Arial" w:hAnsi="Arial"/>
                <w:b/>
                <w:bCs/>
                <w:sz w:val="26"/>
                <w:szCs w:val="26"/>
                <w:rtl/>
              </w:rPr>
              <w:t>נגד</w:t>
            </w:r>
          </w:p>
          <w:p w14:paraId="2678B5DB" w14:textId="77777777" w:rsidR="00D727C4" w:rsidRPr="00D36598" w:rsidRDefault="00D727C4">
            <w:pPr>
              <w:jc w:val="both"/>
              <w:rPr>
                <w:rFonts w:ascii="Arial" w:hAnsi="Arial"/>
                <w:b/>
                <w:bCs/>
                <w:sz w:val="26"/>
                <w:szCs w:val="26"/>
              </w:rPr>
            </w:pPr>
          </w:p>
        </w:tc>
      </w:tr>
      <w:tr w:rsidR="00D727C4" w:rsidRPr="00D36598" w14:paraId="1873AF0D" w14:textId="77777777">
        <w:trPr>
          <w:trHeight w:val="355"/>
          <w:jc w:val="center"/>
        </w:trPr>
        <w:tc>
          <w:tcPr>
            <w:tcW w:w="852" w:type="dxa"/>
            <w:tcBorders>
              <w:top w:val="nil"/>
              <w:left w:val="nil"/>
              <w:bottom w:val="nil"/>
              <w:right w:val="nil"/>
            </w:tcBorders>
          </w:tcPr>
          <w:p w14:paraId="1DF84830" w14:textId="77777777" w:rsidR="00D727C4" w:rsidRPr="00D36598" w:rsidRDefault="00D727C4">
            <w:pPr>
              <w:jc w:val="both"/>
              <w:rPr>
                <w:rFonts w:ascii="Arial" w:hAnsi="Arial" w:cs="FrankRuehl"/>
                <w:b/>
                <w:bCs/>
                <w:sz w:val="28"/>
                <w:szCs w:val="28"/>
                <w:rtl/>
              </w:rPr>
            </w:pPr>
          </w:p>
        </w:tc>
        <w:tc>
          <w:tcPr>
            <w:tcW w:w="4241" w:type="dxa"/>
            <w:tcBorders>
              <w:top w:val="nil"/>
              <w:left w:val="nil"/>
              <w:bottom w:val="nil"/>
              <w:right w:val="nil"/>
            </w:tcBorders>
          </w:tcPr>
          <w:p w14:paraId="58F61FCB" w14:textId="77777777" w:rsidR="00D727C4" w:rsidRPr="00D36598" w:rsidRDefault="00D36598">
            <w:pPr>
              <w:jc w:val="both"/>
              <w:rPr>
                <w:b/>
                <w:bCs/>
                <w:sz w:val="26"/>
                <w:szCs w:val="26"/>
                <w:rtl/>
              </w:rPr>
            </w:pPr>
            <w:r w:rsidRPr="00D36598">
              <w:rPr>
                <w:rFonts w:hint="cs"/>
                <w:rtl/>
              </w:rPr>
              <w:t>שמשון הלל</w:t>
            </w:r>
          </w:p>
        </w:tc>
        <w:tc>
          <w:tcPr>
            <w:tcW w:w="3727" w:type="dxa"/>
            <w:tcBorders>
              <w:top w:val="nil"/>
              <w:left w:val="nil"/>
              <w:bottom w:val="nil"/>
              <w:right w:val="nil"/>
            </w:tcBorders>
          </w:tcPr>
          <w:p w14:paraId="752E9E16" w14:textId="77777777" w:rsidR="00D727C4" w:rsidRPr="00D36598" w:rsidRDefault="00D36598">
            <w:pPr>
              <w:jc w:val="right"/>
              <w:rPr>
                <w:rFonts w:ascii="Arial" w:hAnsi="Arial"/>
                <w:b/>
                <w:bCs/>
                <w:sz w:val="26"/>
                <w:szCs w:val="26"/>
              </w:rPr>
            </w:pPr>
            <w:r w:rsidRPr="00D36598">
              <w:rPr>
                <w:rFonts w:ascii="Arial" w:hAnsi="Arial"/>
                <w:b/>
                <w:bCs/>
                <w:sz w:val="26"/>
                <w:szCs w:val="26"/>
                <w:rtl/>
              </w:rPr>
              <w:t>ה</w:t>
            </w:r>
            <w:r w:rsidRPr="00D36598">
              <w:rPr>
                <w:rFonts w:hint="cs"/>
                <w:rtl/>
              </w:rPr>
              <w:t>נאשם</w:t>
            </w:r>
          </w:p>
        </w:tc>
      </w:tr>
      <w:tr w:rsidR="00D727C4" w:rsidRPr="00D36598" w14:paraId="1FA3E23A" w14:textId="77777777">
        <w:trPr>
          <w:trHeight w:val="355"/>
          <w:jc w:val="center"/>
        </w:trPr>
        <w:tc>
          <w:tcPr>
            <w:tcW w:w="852" w:type="dxa"/>
            <w:tcBorders>
              <w:top w:val="nil"/>
              <w:left w:val="nil"/>
              <w:bottom w:val="nil"/>
              <w:right w:val="nil"/>
            </w:tcBorders>
          </w:tcPr>
          <w:p w14:paraId="290F3F58" w14:textId="77777777" w:rsidR="00D727C4" w:rsidRPr="00D36598" w:rsidRDefault="00D727C4">
            <w:pPr>
              <w:jc w:val="both"/>
              <w:rPr>
                <w:rFonts w:ascii="Arial" w:hAnsi="Arial" w:cs="FrankRuehl"/>
                <w:b/>
                <w:bCs/>
                <w:sz w:val="28"/>
                <w:szCs w:val="28"/>
                <w:rtl/>
              </w:rPr>
            </w:pPr>
          </w:p>
        </w:tc>
        <w:tc>
          <w:tcPr>
            <w:tcW w:w="4241" w:type="dxa"/>
            <w:tcBorders>
              <w:top w:val="nil"/>
              <w:left w:val="nil"/>
              <w:bottom w:val="nil"/>
              <w:right w:val="nil"/>
            </w:tcBorders>
          </w:tcPr>
          <w:p w14:paraId="48FDE098" w14:textId="77777777" w:rsidR="00D727C4" w:rsidRPr="00D36598" w:rsidRDefault="00D36598">
            <w:pPr>
              <w:jc w:val="both"/>
              <w:rPr>
                <w:rtl/>
              </w:rPr>
            </w:pPr>
            <w:r w:rsidRPr="00D36598">
              <w:rPr>
                <w:rFonts w:hint="cs"/>
                <w:rtl/>
              </w:rPr>
              <w:t>ע"י ב"כ עו"ד שירן ברגמן</w:t>
            </w:r>
          </w:p>
        </w:tc>
        <w:tc>
          <w:tcPr>
            <w:tcW w:w="3727" w:type="dxa"/>
            <w:tcBorders>
              <w:top w:val="nil"/>
              <w:left w:val="nil"/>
              <w:bottom w:val="nil"/>
              <w:right w:val="nil"/>
            </w:tcBorders>
          </w:tcPr>
          <w:p w14:paraId="4E9E07F3" w14:textId="77777777" w:rsidR="00D727C4" w:rsidRPr="00D36598" w:rsidRDefault="00D727C4">
            <w:pPr>
              <w:jc w:val="right"/>
              <w:rPr>
                <w:rFonts w:ascii="Arial" w:hAnsi="Arial"/>
                <w:b/>
                <w:bCs/>
                <w:sz w:val="26"/>
                <w:szCs w:val="26"/>
              </w:rPr>
            </w:pPr>
          </w:p>
        </w:tc>
      </w:tr>
    </w:tbl>
    <w:p w14:paraId="6D2A8297" w14:textId="77777777" w:rsidR="0086629A" w:rsidRDefault="0086629A">
      <w:pPr>
        <w:rPr>
          <w:rtl/>
        </w:rPr>
      </w:pPr>
      <w:bookmarkStart w:id="3" w:name="LawTable"/>
      <w:bookmarkEnd w:id="3"/>
    </w:p>
    <w:p w14:paraId="12E0CB8D" w14:textId="77777777" w:rsidR="0086629A" w:rsidRPr="0086629A" w:rsidRDefault="0086629A" w:rsidP="0086629A">
      <w:pPr>
        <w:spacing w:after="120" w:line="240" w:lineRule="exact"/>
        <w:ind w:left="283" w:hanging="283"/>
        <w:jc w:val="both"/>
        <w:rPr>
          <w:rFonts w:ascii="FrankRuehl" w:hAnsi="FrankRuehl" w:cs="FrankRuehl"/>
          <w:rtl/>
        </w:rPr>
      </w:pPr>
      <w:r w:rsidRPr="0086629A">
        <w:rPr>
          <w:rFonts w:ascii="FrankRuehl" w:hAnsi="FrankRuehl" w:cs="FrankRuehl" w:hint="eastAsia"/>
          <w:rtl/>
        </w:rPr>
        <w:t>חקיקה</w:t>
      </w:r>
      <w:r w:rsidRPr="0086629A">
        <w:rPr>
          <w:rFonts w:ascii="FrankRuehl" w:hAnsi="FrankRuehl" w:cs="FrankRuehl"/>
          <w:rtl/>
        </w:rPr>
        <w:t xml:space="preserve"> </w:t>
      </w:r>
      <w:r w:rsidRPr="0086629A">
        <w:rPr>
          <w:rFonts w:ascii="FrankRuehl" w:hAnsi="FrankRuehl" w:cs="FrankRuehl" w:hint="eastAsia"/>
          <w:rtl/>
        </w:rPr>
        <w:t>שאוזכרה</w:t>
      </w:r>
      <w:r w:rsidRPr="0086629A">
        <w:rPr>
          <w:rFonts w:ascii="FrankRuehl" w:hAnsi="FrankRuehl" w:cs="FrankRuehl"/>
          <w:rtl/>
        </w:rPr>
        <w:t xml:space="preserve">: </w:t>
      </w:r>
    </w:p>
    <w:p w14:paraId="54ED9AE4" w14:textId="77777777" w:rsidR="0086629A" w:rsidRPr="0086629A" w:rsidRDefault="0086629A" w:rsidP="0086629A">
      <w:pPr>
        <w:spacing w:after="120" w:line="240" w:lineRule="exact"/>
        <w:ind w:left="283" w:hanging="283"/>
        <w:jc w:val="both"/>
        <w:rPr>
          <w:rFonts w:ascii="FrankRuehl" w:hAnsi="FrankRuehl" w:cs="FrankRuehl"/>
          <w:color w:val="0000FF"/>
          <w:u w:val="single"/>
          <w:rtl/>
        </w:rPr>
      </w:pPr>
      <w:hyperlink r:id="rId6" w:history="1">
        <w:r w:rsidRPr="0086629A">
          <w:rPr>
            <w:rStyle w:val="Hyperlink"/>
            <w:rFonts w:ascii="FrankRuehl" w:hAnsi="FrankRuehl" w:cs="FrankRuehl" w:hint="eastAsia"/>
            <w:rtl/>
          </w:rPr>
          <w:t>חוק</w:t>
        </w:r>
        <w:r w:rsidRPr="0086629A">
          <w:rPr>
            <w:rStyle w:val="Hyperlink"/>
            <w:rFonts w:ascii="FrankRuehl" w:hAnsi="FrankRuehl" w:cs="FrankRuehl"/>
            <w:rtl/>
          </w:rPr>
          <w:t xml:space="preserve"> </w:t>
        </w:r>
        <w:r w:rsidRPr="0086629A">
          <w:rPr>
            <w:rStyle w:val="Hyperlink"/>
            <w:rFonts w:ascii="FrankRuehl" w:hAnsi="FrankRuehl" w:cs="FrankRuehl" w:hint="eastAsia"/>
            <w:rtl/>
          </w:rPr>
          <w:t>העונשין</w:t>
        </w:r>
        <w:r w:rsidRPr="0086629A">
          <w:rPr>
            <w:rStyle w:val="Hyperlink"/>
            <w:rFonts w:ascii="FrankRuehl" w:hAnsi="FrankRuehl" w:cs="FrankRuehl"/>
            <w:rtl/>
          </w:rPr>
          <w:t xml:space="preserve">, </w:t>
        </w:r>
        <w:r w:rsidRPr="0086629A">
          <w:rPr>
            <w:rStyle w:val="Hyperlink"/>
            <w:rFonts w:ascii="FrankRuehl" w:hAnsi="FrankRuehl" w:cs="FrankRuehl" w:hint="eastAsia"/>
            <w:rtl/>
          </w:rPr>
          <w:t>תשל</w:t>
        </w:r>
        <w:r w:rsidRPr="0086629A">
          <w:rPr>
            <w:rStyle w:val="Hyperlink"/>
            <w:rFonts w:ascii="FrankRuehl" w:hAnsi="FrankRuehl" w:cs="FrankRuehl"/>
            <w:rtl/>
          </w:rPr>
          <w:t>"</w:t>
        </w:r>
        <w:r w:rsidRPr="0086629A">
          <w:rPr>
            <w:rStyle w:val="Hyperlink"/>
            <w:rFonts w:ascii="FrankRuehl" w:hAnsi="FrankRuehl" w:cs="FrankRuehl" w:hint="eastAsia"/>
            <w:rtl/>
          </w:rPr>
          <w:t>ז</w:t>
        </w:r>
        <w:r w:rsidRPr="0086629A">
          <w:rPr>
            <w:rStyle w:val="Hyperlink"/>
            <w:rFonts w:ascii="FrankRuehl" w:hAnsi="FrankRuehl" w:cs="FrankRuehl"/>
            <w:rtl/>
          </w:rPr>
          <w:t>-1977</w:t>
        </w:r>
      </w:hyperlink>
      <w:r w:rsidRPr="0086629A">
        <w:rPr>
          <w:rFonts w:ascii="FrankRuehl" w:hAnsi="FrankRuehl" w:cs="FrankRuehl"/>
          <w:color w:val="0000FF"/>
          <w:u w:val="single"/>
          <w:rtl/>
        </w:rPr>
        <w:t xml:space="preserve">: </w:t>
      </w:r>
      <w:r w:rsidRPr="0086629A">
        <w:rPr>
          <w:rFonts w:ascii="FrankRuehl" w:hAnsi="FrankRuehl" w:cs="FrankRuehl" w:hint="eastAsia"/>
          <w:color w:val="0000FF"/>
          <w:u w:val="single"/>
          <w:rtl/>
        </w:rPr>
        <w:t>סע</w:t>
      </w:r>
      <w:r w:rsidRPr="0086629A">
        <w:rPr>
          <w:rFonts w:ascii="FrankRuehl" w:hAnsi="FrankRuehl" w:cs="FrankRuehl"/>
          <w:color w:val="0000FF"/>
          <w:u w:val="single"/>
          <w:rtl/>
        </w:rPr>
        <w:t xml:space="preserve">'  </w:t>
      </w:r>
      <w:hyperlink r:id="rId7" w:history="1">
        <w:r w:rsidRPr="0086629A">
          <w:rPr>
            <w:rStyle w:val="Hyperlink"/>
            <w:rFonts w:ascii="FrankRuehl" w:hAnsi="FrankRuehl" w:cs="FrankRuehl"/>
          </w:rPr>
          <w:t>349(</w:t>
        </w:r>
        <w:r w:rsidRPr="0086629A">
          <w:rPr>
            <w:rStyle w:val="Hyperlink"/>
            <w:rFonts w:ascii="FrankRuehl" w:hAnsi="FrankRuehl" w:cs="FrankRuehl" w:hint="eastAsia"/>
            <w:rtl/>
          </w:rPr>
          <w:t>א</w:t>
        </w:r>
        <w:r w:rsidRPr="0086629A">
          <w:rPr>
            <w:rStyle w:val="Hyperlink"/>
            <w:rFonts w:ascii="FrankRuehl" w:hAnsi="FrankRuehl" w:cs="FrankRuehl"/>
          </w:rPr>
          <w:t>)</w:t>
        </w:r>
      </w:hyperlink>
    </w:p>
    <w:p w14:paraId="3A5BFF49" w14:textId="77777777" w:rsidR="0086629A" w:rsidRPr="0086629A" w:rsidRDefault="0086629A" w:rsidP="0086629A">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727C4" w14:paraId="20E7AC43" w14:textId="77777777">
        <w:trPr>
          <w:trHeight w:val="355"/>
          <w:jc w:val="center"/>
        </w:trPr>
        <w:tc>
          <w:tcPr>
            <w:tcW w:w="8820" w:type="dxa"/>
            <w:tcBorders>
              <w:top w:val="nil"/>
              <w:left w:val="nil"/>
              <w:bottom w:val="nil"/>
              <w:right w:val="nil"/>
            </w:tcBorders>
          </w:tcPr>
          <w:p w14:paraId="765D60EB" w14:textId="77777777" w:rsidR="00D36598" w:rsidRPr="00D36598" w:rsidRDefault="00D36598" w:rsidP="00D36598">
            <w:pPr>
              <w:jc w:val="center"/>
              <w:rPr>
                <w:rFonts w:ascii="Arial" w:hAnsi="Arial"/>
                <w:b/>
                <w:bCs/>
                <w:sz w:val="28"/>
                <w:szCs w:val="28"/>
                <w:u w:val="single"/>
                <w:rtl/>
              </w:rPr>
            </w:pPr>
            <w:bookmarkStart w:id="4" w:name="LawTable_End"/>
            <w:bookmarkStart w:id="5" w:name="PsakDin" w:colFirst="0" w:colLast="0"/>
            <w:bookmarkEnd w:id="0"/>
            <w:bookmarkEnd w:id="4"/>
            <w:r w:rsidRPr="00D36598">
              <w:rPr>
                <w:rFonts w:ascii="Arial" w:hAnsi="Arial"/>
                <w:b/>
                <w:bCs/>
                <w:sz w:val="28"/>
                <w:szCs w:val="28"/>
                <w:u w:val="single"/>
                <w:rtl/>
              </w:rPr>
              <w:t>הכרעת דין</w:t>
            </w:r>
          </w:p>
          <w:p w14:paraId="775C098F" w14:textId="77777777" w:rsidR="00D727C4" w:rsidRPr="00D36598" w:rsidRDefault="00D727C4" w:rsidP="00D36598">
            <w:pPr>
              <w:jc w:val="center"/>
              <w:rPr>
                <w:rFonts w:ascii="Arial" w:hAnsi="Arial"/>
                <w:bCs/>
                <w:sz w:val="28"/>
                <w:szCs w:val="28"/>
                <w:u w:val="single"/>
                <w:rtl/>
              </w:rPr>
            </w:pPr>
          </w:p>
        </w:tc>
      </w:tr>
      <w:bookmarkEnd w:id="5"/>
    </w:tbl>
    <w:p w14:paraId="72C83CCF" w14:textId="77777777" w:rsidR="00D727C4" w:rsidRDefault="00D727C4">
      <w:pPr>
        <w:spacing w:line="360" w:lineRule="auto"/>
        <w:jc w:val="both"/>
        <w:rPr>
          <w:rFonts w:ascii="Arial" w:hAnsi="Arial"/>
          <w:b/>
          <w:bCs/>
          <w:u w:val="single"/>
          <w:rtl/>
        </w:rPr>
      </w:pPr>
    </w:p>
    <w:p w14:paraId="06D1D36E" w14:textId="77777777" w:rsidR="00D727C4" w:rsidRDefault="00D36598">
      <w:pPr>
        <w:spacing w:line="360" w:lineRule="auto"/>
        <w:jc w:val="both"/>
        <w:rPr>
          <w:rFonts w:ascii="Arial" w:hAnsi="Arial"/>
          <w:b/>
          <w:bCs/>
          <w:u w:val="single"/>
          <w:rtl/>
        </w:rPr>
      </w:pPr>
      <w:r>
        <w:rPr>
          <w:rFonts w:ascii="Arial" w:hAnsi="Arial" w:hint="cs"/>
          <w:b/>
          <w:bCs/>
          <w:u w:val="single"/>
          <w:rtl/>
        </w:rPr>
        <w:t>כתב האישום ותשובת הנאשם:</w:t>
      </w:r>
    </w:p>
    <w:p w14:paraId="3AA8CAC0" w14:textId="77777777" w:rsidR="00D727C4" w:rsidRDefault="00D727C4">
      <w:pPr>
        <w:spacing w:line="360" w:lineRule="auto"/>
        <w:jc w:val="both"/>
        <w:rPr>
          <w:rFonts w:ascii="Arial" w:hAnsi="Arial"/>
          <w:rtl/>
        </w:rPr>
      </w:pPr>
    </w:p>
    <w:p w14:paraId="7876EC88" w14:textId="77777777" w:rsidR="00D727C4" w:rsidRDefault="00D36598">
      <w:pPr>
        <w:spacing w:line="360" w:lineRule="auto"/>
        <w:jc w:val="both"/>
        <w:rPr>
          <w:rtl/>
        </w:rPr>
      </w:pPr>
      <w:bookmarkStart w:id="6" w:name="ABSTRACT_START"/>
      <w:bookmarkEnd w:id="6"/>
      <w:r>
        <w:rPr>
          <w:rFonts w:hint="cs"/>
          <w:b/>
          <w:bCs/>
          <w:rtl/>
        </w:rPr>
        <w:t>כתב האישום</w:t>
      </w:r>
      <w:r>
        <w:rPr>
          <w:rFonts w:hint="cs"/>
          <w:rtl/>
        </w:rPr>
        <w:t xml:space="preserve"> שהוגש באפריל 2013 מייחס לנאשם עבירה של מעשה מגונה בפומבי, בגין מעשה נטען מיום 19.3.12 בשעה 18:45 בערך, ברחוב חזון איש בבני-ברק:</w:t>
      </w:r>
    </w:p>
    <w:p w14:paraId="055D13DF" w14:textId="77777777" w:rsidR="00D727C4" w:rsidRDefault="00D36598">
      <w:pPr>
        <w:spacing w:line="360" w:lineRule="auto"/>
        <w:jc w:val="both"/>
        <w:rPr>
          <w:rtl/>
        </w:rPr>
      </w:pPr>
      <w:r>
        <w:rPr>
          <w:rFonts w:hint="cs"/>
          <w:rtl/>
        </w:rPr>
        <w:t xml:space="preserve">במועד זה חצו את הכביש המתלוננות פ.ב. וא.כ., שתיהן ילידות 1994 (להלן: "המתלוננות"). הנאשם חלף על פניהן, סובב ראשו מספר פעמים לאחור כדי להתבונן בהן, ונכנס לחצר בניין בה המתין עד אשר המתלוננות חלפו על פני החצר. אז  פתח הנאשם את רוכסן מכנסיו, הוציא את איבר מינו והחל משפשף אותו מולן באמצעות ידו לשם גירוי, סיפוק או ביזוי מיניים. </w:t>
      </w:r>
    </w:p>
    <w:p w14:paraId="5ED00C3B" w14:textId="77777777" w:rsidR="00D727C4" w:rsidRDefault="00D727C4">
      <w:pPr>
        <w:spacing w:line="360" w:lineRule="auto"/>
        <w:jc w:val="both"/>
        <w:rPr>
          <w:rtl/>
        </w:rPr>
      </w:pPr>
      <w:bookmarkStart w:id="7" w:name="ABSTRACT_END"/>
      <w:bookmarkEnd w:id="7"/>
    </w:p>
    <w:p w14:paraId="6E721271" w14:textId="77777777" w:rsidR="00D727C4" w:rsidRDefault="00D36598">
      <w:pPr>
        <w:spacing w:line="360" w:lineRule="auto"/>
        <w:jc w:val="both"/>
        <w:rPr>
          <w:rtl/>
        </w:rPr>
      </w:pPr>
      <w:r>
        <w:rPr>
          <w:rFonts w:hint="cs"/>
          <w:b/>
          <w:bCs/>
          <w:rtl/>
        </w:rPr>
        <w:t>בתשובתו לאישום</w:t>
      </w:r>
      <w:r>
        <w:rPr>
          <w:rFonts w:hint="cs"/>
          <w:rtl/>
        </w:rPr>
        <w:t xml:space="preserve"> הודה הנאשם כי נכח במקום ובזמן האירוע, אולם טען כי עצר ברחוב ליד עץ כדי להטיל את מימיו, פתח רוכסן מכנסיו ולאחר שהתחרט רכס אותם שוב והלך לדרכו. </w:t>
      </w:r>
    </w:p>
    <w:p w14:paraId="293A5F2E" w14:textId="77777777" w:rsidR="00D727C4" w:rsidRDefault="00D727C4">
      <w:pPr>
        <w:spacing w:line="360" w:lineRule="auto"/>
        <w:jc w:val="both"/>
        <w:rPr>
          <w:rtl/>
        </w:rPr>
      </w:pPr>
    </w:p>
    <w:p w14:paraId="3F62315E" w14:textId="77777777" w:rsidR="00D727C4" w:rsidRDefault="00D36598">
      <w:pPr>
        <w:spacing w:line="360" w:lineRule="auto"/>
        <w:jc w:val="both"/>
        <w:rPr>
          <w:b/>
          <w:bCs/>
          <w:u w:val="single"/>
          <w:rtl/>
        </w:rPr>
      </w:pPr>
      <w:r>
        <w:rPr>
          <w:rFonts w:hint="cs"/>
          <w:b/>
          <w:bCs/>
          <w:u w:val="single"/>
          <w:rtl/>
        </w:rPr>
        <w:t>הראיות:</w:t>
      </w:r>
    </w:p>
    <w:p w14:paraId="350CABD4" w14:textId="77777777" w:rsidR="00D727C4" w:rsidRDefault="00D36598">
      <w:pPr>
        <w:spacing w:line="360" w:lineRule="auto"/>
        <w:jc w:val="both"/>
        <w:rPr>
          <w:sz w:val="28"/>
          <w:szCs w:val="28"/>
          <w:rtl/>
        </w:rPr>
      </w:pPr>
      <w:r>
        <w:rPr>
          <w:rFonts w:hint="cs"/>
          <w:b/>
          <w:bCs/>
          <w:sz w:val="28"/>
          <w:szCs w:val="28"/>
          <w:u w:val="single"/>
          <w:rtl/>
        </w:rPr>
        <w:t xml:space="preserve"> </w:t>
      </w:r>
    </w:p>
    <w:p w14:paraId="4228C533" w14:textId="77777777" w:rsidR="00D727C4" w:rsidRDefault="00D36598">
      <w:pPr>
        <w:spacing w:line="360" w:lineRule="auto"/>
        <w:jc w:val="both"/>
        <w:rPr>
          <w:rtl/>
        </w:rPr>
      </w:pPr>
      <w:r>
        <w:rPr>
          <w:rFonts w:hint="cs"/>
          <w:b/>
          <w:bCs/>
          <w:rtl/>
        </w:rPr>
        <w:lastRenderedPageBreak/>
        <w:t>א.כ.</w:t>
      </w:r>
      <w:r>
        <w:rPr>
          <w:rFonts w:hint="cs"/>
          <w:rtl/>
        </w:rPr>
        <w:t xml:space="preserve"> העידה כי באותו ערב חברתה והיא חצו במעבר חציה ברחוב בבני ברק, כאשר הנאשם התבונן בהן באופן מוזר. הוא הלך אחריהן, חלף על פניהן והסתכל עליהן כל הדרך. לאחר מכן עמד מאחורי בניין, הוציא את איבר מינו והתחיל לאונן. הן המשיכו ללכת קדימה והוא פנה לרחוב אחר ואז הן התקשרו למשטרה. לאחר מכן פנו לחבורת ילדים שהייתה בסביבה וביקשו מהם לעקוב אחריו ולראות לאן הוא הולך. היא ראתה שהנאשם נכנס לאולם "ארמונות חן" וכשהציצה פנימה ראתה שישב שם כאורח. כשהגיעה המשטרה ונכנסה לאולם נבהל הנאשם וניסה לברוח. </w:t>
      </w:r>
    </w:p>
    <w:p w14:paraId="3121FF8F" w14:textId="77777777" w:rsidR="00D727C4" w:rsidRDefault="00D36598">
      <w:pPr>
        <w:spacing w:line="360" w:lineRule="auto"/>
        <w:jc w:val="both"/>
        <w:rPr>
          <w:rtl/>
        </w:rPr>
      </w:pPr>
      <w:r>
        <w:rPr>
          <w:rFonts w:hint="cs"/>
          <w:rtl/>
        </w:rPr>
        <w:t>בחקירתה הנגדית הסבירה המתלוננת כי בעת שאונן, עמד הנאשם בצד של הבניין, כלפי הרחוב הראשי, במקום בו אנשים עוברים. היא הדגימה היכן עמד יחסית לבניין ומדוע ניתן לכנות זאת גם "אחורי הבניין" הגם שהנאשם היה גלוי לעיניהן בעוברן מולו ברחוב. א.כ. לא זכרה להעריך מרחק וזמן שחלפו מעת שהבחינה בנאשם הולך אחריהן ועד אירוע האוננות עצמו.</w:t>
      </w:r>
    </w:p>
    <w:p w14:paraId="0055D61D" w14:textId="77777777" w:rsidR="00D727C4" w:rsidRDefault="00D727C4">
      <w:pPr>
        <w:spacing w:line="360" w:lineRule="auto"/>
        <w:jc w:val="both"/>
        <w:rPr>
          <w:rtl/>
        </w:rPr>
      </w:pPr>
    </w:p>
    <w:p w14:paraId="7803BCBF" w14:textId="77777777" w:rsidR="00D727C4" w:rsidRDefault="00D36598">
      <w:pPr>
        <w:spacing w:line="360" w:lineRule="auto"/>
        <w:jc w:val="both"/>
        <w:rPr>
          <w:rtl/>
        </w:rPr>
      </w:pPr>
      <w:r>
        <w:rPr>
          <w:rFonts w:hint="cs"/>
          <w:b/>
          <w:bCs/>
          <w:rtl/>
        </w:rPr>
        <w:t>פ.מ.</w:t>
      </w:r>
      <w:r>
        <w:rPr>
          <w:rFonts w:hint="cs"/>
          <w:rtl/>
        </w:rPr>
        <w:t xml:space="preserve"> העידה אף היא כי באותו ערב הלכה ברחוב עם חברתה א.כ. וכאשר חצו במעבר חציה חלף על פניהן הנאשם והתבונן בהן בצורה מוזרה, המשיך ללכת והסתכל בהן כמה פעמים כשהוא מסובב את ראשו. לאחר מכן, נכנס הנאשם בין הבניינים, ומאחורי אחד הבניינים הוציא את איבר מינו והתחיל לאונן. הוא הלך מהר יותר מהן ולכן הגיע לשטח הבניין לפניהן. הן חלפו על פניו "וממש נגעלנו", לדבריה הוא רצה שהן יראו אותו מאונן. הן נבהלו, המשיכו ללכת והתקשרו למשטרה כי רצו שיתפסו אותו. הן המשיכו לעקוב אחריו יחד עם חבורת הילדים שפגשו בדרך והצטרפה למעקב, עד שראו כי הנאשם הגיע לאולם "ארמונות חן" ונכנס לשם כאורח. המתלוננות חיכו מחוץ לאולם עד שהגיעה המשטרה. פ.מ. זכרה כי המרחק בינן לבין הנאשם המאונן היה כמטר וחצי "משהו מאוד קרוב". גם פ.מ. הבהירה כי הכוונה במונח "מאחורי הבניין" היא לכך שמדובר היה בצד האחורי של הבניין (לא זה של הכניסה אליו), כאשר צד זה פונה למדרכה עליהן המתלוננות הלכו (פרוטוקול, עמ' 12 ש' 18- 20; וכן ר' ת/3, שרטוט בו רשם בית המשפט מיקומים על פי התייחסות המתלוננת). עוד היא מתארת, כי מדובר במבנה שנמצא בפינת המגרש ולא מתפרס על השטח כולו. לדבריה, הנאשם עמד בחלק החשוף, שלא היה בתוך הבניין עצמו ושאותו ניתן לראות מהמדרכה עליה הן עמדו (ר' סימון ת/3 מפי המתלוננת). </w:t>
      </w:r>
    </w:p>
    <w:p w14:paraId="426CDDA7" w14:textId="77777777" w:rsidR="00D727C4" w:rsidRDefault="00D727C4">
      <w:pPr>
        <w:spacing w:line="360" w:lineRule="auto"/>
        <w:jc w:val="both"/>
        <w:rPr>
          <w:rtl/>
        </w:rPr>
      </w:pPr>
    </w:p>
    <w:p w14:paraId="6580380B" w14:textId="77777777" w:rsidR="00D727C4" w:rsidRDefault="00D36598">
      <w:pPr>
        <w:spacing w:line="360" w:lineRule="auto"/>
        <w:jc w:val="both"/>
        <w:rPr>
          <w:rtl/>
        </w:rPr>
      </w:pPr>
      <w:r>
        <w:rPr>
          <w:rFonts w:hint="cs"/>
          <w:b/>
          <w:bCs/>
          <w:rtl/>
        </w:rPr>
        <w:t xml:space="preserve">גרסתו הראשונית של הנאשם </w:t>
      </w:r>
      <w:r>
        <w:rPr>
          <w:rFonts w:hint="cs"/>
          <w:rtl/>
        </w:rPr>
        <w:t xml:space="preserve">תועדה בדו"ח הפעולה ובדו"ח המעצר מיום האירוע (ת/1-ת/2) בהם נרשם מפי הנאשם כי הוציא את איבר מינו "אולי בשביל להשתין ובכלל הוא לא עומד לי כי אני שותה כדורים". בדו"ח הפעולה נכתב כי הנאשם היה לחוץ וכל הזמן ניסה להתקדם בהליכה עד כי אזקו אותו מחשש שיברח. </w:t>
      </w:r>
    </w:p>
    <w:p w14:paraId="02F2D8D0" w14:textId="77777777" w:rsidR="00D727C4" w:rsidRDefault="00D727C4">
      <w:pPr>
        <w:spacing w:line="360" w:lineRule="auto"/>
        <w:jc w:val="both"/>
        <w:rPr>
          <w:rtl/>
        </w:rPr>
      </w:pPr>
    </w:p>
    <w:p w14:paraId="39745CBC" w14:textId="77777777" w:rsidR="00D727C4" w:rsidRDefault="00D36598">
      <w:pPr>
        <w:spacing w:line="360" w:lineRule="auto"/>
        <w:jc w:val="both"/>
        <w:rPr>
          <w:rtl/>
        </w:rPr>
      </w:pPr>
      <w:r>
        <w:rPr>
          <w:rFonts w:hint="cs"/>
          <w:b/>
          <w:bCs/>
          <w:rtl/>
        </w:rPr>
        <w:t>בחקירתו</w:t>
      </w:r>
      <w:r>
        <w:rPr>
          <w:rFonts w:hint="cs"/>
          <w:rtl/>
        </w:rPr>
        <w:t xml:space="preserve"> (ת/4) הכחיש הנאשם שאונן וטען כי עצר להשתין אבל "הפיפי עצר לו" ולכן אמנם פתח את הרוכסן אך סגרו מבלי לשלוף את אבר המין כלל. הנאשם הודה שאכן המתלוננות עברו במקום והוא הביט בהן. לדבריו, מיהר ונכנס לאולם השמחות כי הוזמן לשם לחתונת בנו של הרב אצלו הוא לומד תורה. </w:t>
      </w:r>
    </w:p>
    <w:p w14:paraId="4016627B" w14:textId="77777777" w:rsidR="00D727C4" w:rsidRDefault="00D727C4">
      <w:pPr>
        <w:spacing w:line="360" w:lineRule="auto"/>
        <w:jc w:val="both"/>
        <w:rPr>
          <w:rtl/>
        </w:rPr>
      </w:pPr>
    </w:p>
    <w:p w14:paraId="35CCCC6B" w14:textId="77777777" w:rsidR="00D727C4" w:rsidRDefault="00D36598">
      <w:pPr>
        <w:spacing w:line="360" w:lineRule="auto"/>
        <w:jc w:val="both"/>
        <w:rPr>
          <w:rtl/>
        </w:rPr>
      </w:pPr>
      <w:r>
        <w:rPr>
          <w:rFonts w:hint="cs"/>
          <w:b/>
          <w:bCs/>
          <w:rtl/>
        </w:rPr>
        <w:t xml:space="preserve">בעדותו </w:t>
      </w:r>
      <w:r>
        <w:rPr>
          <w:rFonts w:hint="cs"/>
          <w:rtl/>
        </w:rPr>
        <w:t xml:space="preserve"> שינה הנאשם את גרסתו והכחיש כליל כי נכח במקום האירוע ברחוב חזון איש או שעצר להטיל את מימיו. לפי גרסתו החדשה, הוא נסע עם אחר ברכב מבית הכנסת ישירות לאולם השמחות ושם שהה ברציפות משעה 18:00 ועד הגעת המשטרה.</w:t>
      </w:r>
    </w:p>
    <w:p w14:paraId="0CCB0682" w14:textId="77777777" w:rsidR="00D727C4" w:rsidRDefault="00D727C4">
      <w:pPr>
        <w:spacing w:line="360" w:lineRule="auto"/>
        <w:jc w:val="both"/>
        <w:rPr>
          <w:rtl/>
        </w:rPr>
      </w:pPr>
    </w:p>
    <w:p w14:paraId="63C55056" w14:textId="77777777" w:rsidR="00D727C4" w:rsidRDefault="00D727C4">
      <w:pPr>
        <w:spacing w:line="360" w:lineRule="auto"/>
        <w:jc w:val="both"/>
        <w:rPr>
          <w:rtl/>
        </w:rPr>
      </w:pPr>
    </w:p>
    <w:p w14:paraId="23A7EC67" w14:textId="77777777" w:rsidR="00D727C4" w:rsidRDefault="00D36598">
      <w:pPr>
        <w:spacing w:line="360" w:lineRule="auto"/>
        <w:jc w:val="both"/>
        <w:rPr>
          <w:rtl/>
        </w:rPr>
      </w:pPr>
      <w:r>
        <w:rPr>
          <w:rFonts w:hint="cs"/>
          <w:b/>
          <w:bCs/>
          <w:u w:val="single"/>
          <w:rtl/>
        </w:rPr>
        <w:t>דיון ומסקנות</w:t>
      </w:r>
      <w:r>
        <w:rPr>
          <w:rFonts w:hint="cs"/>
          <w:rtl/>
        </w:rPr>
        <w:t>:</w:t>
      </w:r>
    </w:p>
    <w:p w14:paraId="7C24FA3D" w14:textId="77777777" w:rsidR="00D727C4" w:rsidRDefault="00D727C4">
      <w:pPr>
        <w:spacing w:line="360" w:lineRule="auto"/>
        <w:jc w:val="both"/>
        <w:rPr>
          <w:rtl/>
        </w:rPr>
      </w:pPr>
    </w:p>
    <w:p w14:paraId="31A0F9A9" w14:textId="77777777" w:rsidR="00D727C4" w:rsidRDefault="00D36598">
      <w:pPr>
        <w:spacing w:line="360" w:lineRule="auto"/>
        <w:jc w:val="both"/>
        <w:rPr>
          <w:rtl/>
        </w:rPr>
      </w:pPr>
      <w:r>
        <w:rPr>
          <w:rFonts w:hint="cs"/>
          <w:rtl/>
        </w:rPr>
        <w:t>שתי המתלוננות העידו באופן קוהרנטי וברור, כשא.כ. אף הדגימה לבית המשפט את התנועות שראתה, שלא מותירות מקום לספק בדבר מהותן כתנועות אוננות. פעולתן המידית של המתלוננות, שעקבו אחרי הנאשם והזעיקו משטרה, מלמדת אף היא על כנות דבריהן ועל הזעזוע שחשו.</w:t>
      </w:r>
    </w:p>
    <w:p w14:paraId="079699D8" w14:textId="77777777" w:rsidR="00D727C4" w:rsidRDefault="00D36598">
      <w:pPr>
        <w:spacing w:line="360" w:lineRule="auto"/>
        <w:jc w:val="both"/>
        <w:rPr>
          <w:rtl/>
        </w:rPr>
      </w:pPr>
      <w:r>
        <w:rPr>
          <w:rFonts w:hint="cs"/>
          <w:rtl/>
        </w:rPr>
        <w:t xml:space="preserve">שוכנעתי לחלוטין כי המתלוננות ראו שתיהן את תנועותיו של הנאשם בחצר, ואני דוחה את הטענות בדבר העדר תאורה מספקת או מיקום המעשה מאחורי בנין. </w:t>
      </w:r>
    </w:p>
    <w:p w14:paraId="3798B7F4" w14:textId="77777777" w:rsidR="00D727C4" w:rsidRDefault="00D36598">
      <w:pPr>
        <w:spacing w:line="360" w:lineRule="auto"/>
        <w:jc w:val="both"/>
        <w:rPr>
          <w:rtl/>
        </w:rPr>
      </w:pPr>
      <w:r>
        <w:rPr>
          <w:rFonts w:hint="cs"/>
          <w:rtl/>
        </w:rPr>
        <w:t>לא נמצא כל פגם בעדויות המתלוננות, גם לא נראה חשש לתיאום עדויות אסור, ואני קובע אפוא שגרסתן מהימנה ומאפשרת קביעת ממצאים על-סמכה ללא כל סייג.</w:t>
      </w:r>
    </w:p>
    <w:p w14:paraId="78D5E63A" w14:textId="77777777" w:rsidR="00D727C4" w:rsidRDefault="00D727C4">
      <w:pPr>
        <w:spacing w:line="360" w:lineRule="auto"/>
        <w:jc w:val="both"/>
        <w:rPr>
          <w:rtl/>
        </w:rPr>
      </w:pPr>
    </w:p>
    <w:p w14:paraId="40EE3010" w14:textId="77777777" w:rsidR="00D727C4" w:rsidRDefault="00D36598">
      <w:pPr>
        <w:spacing w:line="360" w:lineRule="auto"/>
        <w:jc w:val="both"/>
        <w:rPr>
          <w:rtl/>
        </w:rPr>
      </w:pPr>
      <w:r>
        <w:rPr>
          <w:rFonts w:hint="cs"/>
          <w:rtl/>
        </w:rPr>
        <w:t>לעומתן, גרסאותיו המשתנות-מהותית של הנאשם מעוררות קשיי אמון ברורים. אני דוחה אפוא את גרסתו הכבושה של הנאשם, שצצה רק בבית המשפט והפתיעה גם את הסניגור המלומד (ראו פרוטוקול חקירה ראשית, ע' 15). מעבר לנחוץ אציין, שלא הובא כל עד מתבקש לתמיכה בעדות זו.</w:t>
      </w:r>
    </w:p>
    <w:p w14:paraId="0CB6AC5C" w14:textId="77777777" w:rsidR="00D727C4" w:rsidRDefault="00D36598">
      <w:pPr>
        <w:spacing w:line="360" w:lineRule="auto"/>
        <w:jc w:val="both"/>
        <w:rPr>
          <w:rtl/>
        </w:rPr>
      </w:pPr>
      <w:r>
        <w:rPr>
          <w:rFonts w:hint="cs"/>
          <w:rtl/>
        </w:rPr>
        <w:t xml:space="preserve">גם אם אבחן את גרסת הנאשם הראשונית בלבד </w:t>
      </w:r>
      <w:r>
        <w:rPr>
          <w:rtl/>
        </w:rPr>
        <w:t>–</w:t>
      </w:r>
      <w:r>
        <w:rPr>
          <w:rFonts w:hint="cs"/>
          <w:rtl/>
        </w:rPr>
        <w:t xml:space="preserve"> דהיינו, כי תנועותיו התמימות פורשו שלא כהלכה </w:t>
      </w:r>
      <w:r>
        <w:rPr>
          <w:rtl/>
        </w:rPr>
        <w:t>–</w:t>
      </w:r>
      <w:r>
        <w:rPr>
          <w:rFonts w:hint="cs"/>
          <w:rtl/>
        </w:rPr>
        <w:t xml:space="preserve"> דינה להידחות מפני גרסת המתלוננות, לאחר ששוכנעתי כי ראו היטב את שמתרחש וכשלפחות אחת מהן ידעה להסביר ולהדגים את מהות התנועות.</w:t>
      </w:r>
    </w:p>
    <w:p w14:paraId="56FEF107" w14:textId="77777777" w:rsidR="00D727C4" w:rsidRDefault="00D727C4">
      <w:pPr>
        <w:spacing w:line="360" w:lineRule="auto"/>
        <w:jc w:val="both"/>
        <w:rPr>
          <w:rtl/>
        </w:rPr>
      </w:pPr>
    </w:p>
    <w:p w14:paraId="0D718ECF" w14:textId="77777777" w:rsidR="00D727C4" w:rsidRDefault="00D36598">
      <w:pPr>
        <w:spacing w:line="360" w:lineRule="auto"/>
        <w:jc w:val="both"/>
        <w:rPr>
          <w:rtl/>
        </w:rPr>
      </w:pPr>
      <w:r>
        <w:rPr>
          <w:rFonts w:hint="cs"/>
          <w:rtl/>
        </w:rPr>
        <w:t>משנדחו גרסאות הנאשם, יש לתת למעשיו את משמעותם הברורה והגלויה שעלתה מגרסת המתלוננות, ולקבוע כי הנאשם אונן בנוכחות המתלוננות לשם גירוי או סיפוק מיניים.</w:t>
      </w:r>
    </w:p>
    <w:p w14:paraId="588058F0" w14:textId="77777777" w:rsidR="00D727C4" w:rsidRPr="00D36598" w:rsidRDefault="00D36598">
      <w:pPr>
        <w:spacing w:line="360" w:lineRule="auto"/>
        <w:jc w:val="both"/>
        <w:rPr>
          <w:color w:val="FFFFFF"/>
          <w:sz w:val="2"/>
          <w:szCs w:val="2"/>
          <w:rtl/>
        </w:rPr>
      </w:pPr>
      <w:r w:rsidRPr="00D36598">
        <w:rPr>
          <w:color w:val="FFFFFF"/>
          <w:sz w:val="2"/>
          <w:szCs w:val="2"/>
          <w:rtl/>
        </w:rPr>
        <w:t>5129371</w:t>
      </w:r>
    </w:p>
    <w:p w14:paraId="4EE0E2CD" w14:textId="77777777" w:rsidR="00D727C4" w:rsidRDefault="00D36598">
      <w:pPr>
        <w:spacing w:line="360" w:lineRule="auto"/>
        <w:jc w:val="both"/>
        <w:rPr>
          <w:b/>
          <w:bCs/>
          <w:rtl/>
        </w:rPr>
      </w:pPr>
      <w:r w:rsidRPr="00D36598">
        <w:rPr>
          <w:b/>
          <w:bCs/>
          <w:color w:val="FFFFFF"/>
          <w:sz w:val="2"/>
          <w:szCs w:val="2"/>
          <w:rtl/>
        </w:rPr>
        <w:t>54678313</w:t>
      </w:r>
      <w:r>
        <w:rPr>
          <w:rFonts w:hint="cs"/>
          <w:b/>
          <w:bCs/>
          <w:rtl/>
        </w:rPr>
        <w:t xml:space="preserve">סוף דבר, אני מרשיע את הנאשם בעבירה של מעשה מגונה בפומבי, לפי </w:t>
      </w:r>
      <w:hyperlink r:id="rId8" w:history="1">
        <w:r w:rsidR="0086629A" w:rsidRPr="0086629A">
          <w:rPr>
            <w:rStyle w:val="Hyperlink"/>
            <w:rFonts w:hint="eastAsia"/>
            <w:b/>
            <w:bCs/>
            <w:rtl/>
          </w:rPr>
          <w:t>סעיף</w:t>
        </w:r>
        <w:r w:rsidR="0086629A" w:rsidRPr="0086629A">
          <w:rPr>
            <w:rStyle w:val="Hyperlink"/>
            <w:b/>
            <w:bCs/>
            <w:rtl/>
          </w:rPr>
          <w:t xml:space="preserve"> 349(</w:t>
        </w:r>
        <w:r w:rsidR="0086629A" w:rsidRPr="0086629A">
          <w:rPr>
            <w:rStyle w:val="Hyperlink"/>
            <w:rFonts w:hint="eastAsia"/>
            <w:b/>
            <w:bCs/>
            <w:rtl/>
          </w:rPr>
          <w:t>א</w:t>
        </w:r>
        <w:r w:rsidR="0086629A" w:rsidRPr="0086629A">
          <w:rPr>
            <w:rStyle w:val="Hyperlink"/>
            <w:b/>
            <w:bCs/>
            <w:rtl/>
          </w:rPr>
          <w:t>)</w:t>
        </w:r>
      </w:hyperlink>
      <w:r>
        <w:rPr>
          <w:rFonts w:hint="cs"/>
          <w:b/>
          <w:bCs/>
          <w:rtl/>
        </w:rPr>
        <w:t xml:space="preserve"> ל</w:t>
      </w:r>
      <w:hyperlink r:id="rId9" w:history="1">
        <w:r w:rsidRPr="00D36598">
          <w:rPr>
            <w:rFonts w:hint="eastAsia"/>
            <w:b/>
            <w:bCs/>
            <w:color w:val="0000FF"/>
            <w:u w:val="single"/>
            <w:rtl/>
          </w:rPr>
          <w:t>חוק</w:t>
        </w:r>
        <w:r w:rsidRPr="00D36598">
          <w:rPr>
            <w:b/>
            <w:bCs/>
            <w:color w:val="0000FF"/>
            <w:u w:val="single"/>
            <w:rtl/>
          </w:rPr>
          <w:t xml:space="preserve"> </w:t>
        </w:r>
        <w:r w:rsidRPr="00D36598">
          <w:rPr>
            <w:rFonts w:hint="eastAsia"/>
            <w:b/>
            <w:bCs/>
            <w:color w:val="0000FF"/>
            <w:u w:val="single"/>
            <w:rtl/>
          </w:rPr>
          <w:t>העונשין</w:t>
        </w:r>
      </w:hyperlink>
      <w:r>
        <w:rPr>
          <w:rFonts w:hint="cs"/>
          <w:b/>
          <w:bCs/>
          <w:rtl/>
        </w:rPr>
        <w:t>, התשל"ז- 1977.</w:t>
      </w:r>
    </w:p>
    <w:p w14:paraId="2469B6BB" w14:textId="77777777" w:rsidR="00D727C4" w:rsidRDefault="00D727C4">
      <w:pPr>
        <w:spacing w:line="360" w:lineRule="auto"/>
        <w:jc w:val="both"/>
        <w:rPr>
          <w:rFonts w:ascii="Arial" w:hAnsi="Arial"/>
          <w:sz w:val="28"/>
          <w:szCs w:val="28"/>
          <w:rtl/>
        </w:rPr>
      </w:pPr>
    </w:p>
    <w:p w14:paraId="0693D8C3" w14:textId="77777777" w:rsidR="00D727C4" w:rsidRDefault="00D36598">
      <w:pPr>
        <w:rPr>
          <w:rFonts w:ascii="Arial" w:hAnsi="Arial"/>
          <w:rtl/>
        </w:rPr>
      </w:pPr>
      <w:r>
        <w:rPr>
          <w:rFonts w:ascii="Arial" w:hAnsi="Arial"/>
          <w:rtl/>
        </w:rPr>
        <w:t xml:space="preserve">ניתנה היום,  י"ז תמוז תשע"ד, 15 יולי 2014, במעמד הצדדים. </w:t>
      </w:r>
    </w:p>
    <w:p w14:paraId="70EF667C" w14:textId="77777777" w:rsidR="00D727C4" w:rsidRDefault="00D727C4">
      <w:pPr>
        <w:tabs>
          <w:tab w:val="left" w:pos="1625"/>
        </w:tabs>
        <w:jc w:val="right"/>
      </w:pPr>
      <w:bookmarkStart w:id="8" w:name="_GoBack"/>
      <w:bookmarkEnd w:id="8"/>
    </w:p>
    <w:p w14:paraId="2B3BA559" w14:textId="77777777" w:rsidR="00D727C4" w:rsidRDefault="00D727C4">
      <w:pPr>
        <w:tabs>
          <w:tab w:val="left" w:pos="1625"/>
        </w:tabs>
        <w:jc w:val="right"/>
        <w:rPr>
          <w:sz w:val="28"/>
          <w:szCs w:val="28"/>
          <w:rtl/>
        </w:rPr>
      </w:pPr>
    </w:p>
    <w:p w14:paraId="2A431C61" w14:textId="77777777" w:rsidR="00D36598" w:rsidRPr="00D36598" w:rsidRDefault="00D36598" w:rsidP="00D36598">
      <w:pPr>
        <w:keepNext/>
        <w:rPr>
          <w:rFonts w:ascii="David" w:hAnsi="David"/>
          <w:color w:val="000000"/>
          <w:sz w:val="22"/>
          <w:szCs w:val="22"/>
          <w:rtl/>
        </w:rPr>
      </w:pPr>
    </w:p>
    <w:p w14:paraId="6BA46EEE" w14:textId="77777777" w:rsidR="00D36598" w:rsidRPr="00D36598" w:rsidRDefault="00D36598" w:rsidP="00D36598">
      <w:pPr>
        <w:keepNext/>
        <w:rPr>
          <w:rFonts w:ascii="David" w:hAnsi="David"/>
          <w:color w:val="000000"/>
          <w:sz w:val="22"/>
          <w:szCs w:val="22"/>
          <w:rtl/>
        </w:rPr>
      </w:pPr>
      <w:r w:rsidRPr="00D36598">
        <w:rPr>
          <w:rFonts w:ascii="David" w:hAnsi="David" w:hint="eastAsia"/>
          <w:color w:val="000000"/>
          <w:sz w:val="22"/>
          <w:szCs w:val="22"/>
          <w:rtl/>
        </w:rPr>
        <w:t>עידו</w:t>
      </w:r>
      <w:r w:rsidRPr="00D36598">
        <w:rPr>
          <w:rFonts w:ascii="David" w:hAnsi="David"/>
          <w:color w:val="000000"/>
          <w:sz w:val="22"/>
          <w:szCs w:val="22"/>
          <w:rtl/>
        </w:rPr>
        <w:t xml:space="preserve"> </w:t>
      </w:r>
      <w:r w:rsidRPr="00D36598">
        <w:rPr>
          <w:rFonts w:ascii="David" w:hAnsi="David" w:hint="eastAsia"/>
          <w:color w:val="000000"/>
          <w:sz w:val="22"/>
          <w:szCs w:val="22"/>
          <w:rtl/>
        </w:rPr>
        <w:t>דרויאן</w:t>
      </w:r>
      <w:r w:rsidRPr="00D36598">
        <w:rPr>
          <w:rFonts w:ascii="David" w:hAnsi="David"/>
          <w:color w:val="000000"/>
          <w:sz w:val="22"/>
          <w:szCs w:val="22"/>
          <w:rtl/>
        </w:rPr>
        <w:t xml:space="preserve"> 54678313</w:t>
      </w:r>
    </w:p>
    <w:p w14:paraId="1E409B6C" w14:textId="77777777" w:rsidR="00D36598" w:rsidRDefault="00D36598" w:rsidP="00D36598">
      <w:r w:rsidRPr="00D36598">
        <w:rPr>
          <w:rFonts w:hint="eastAsia"/>
          <w:color w:val="000000"/>
          <w:rtl/>
        </w:rPr>
        <w:t>נוסח</w:t>
      </w:r>
      <w:r w:rsidRPr="00D36598">
        <w:rPr>
          <w:color w:val="000000"/>
          <w:rtl/>
        </w:rPr>
        <w:t xml:space="preserve"> </w:t>
      </w:r>
      <w:r w:rsidRPr="00D36598">
        <w:rPr>
          <w:rFonts w:hint="eastAsia"/>
          <w:color w:val="000000"/>
          <w:rtl/>
        </w:rPr>
        <w:t>מסמך</w:t>
      </w:r>
      <w:r w:rsidRPr="00D36598">
        <w:rPr>
          <w:color w:val="000000"/>
          <w:rtl/>
        </w:rPr>
        <w:t xml:space="preserve"> </w:t>
      </w:r>
      <w:r w:rsidRPr="00D36598">
        <w:rPr>
          <w:rFonts w:hint="eastAsia"/>
          <w:color w:val="000000"/>
          <w:rtl/>
        </w:rPr>
        <w:t>זה</w:t>
      </w:r>
      <w:r w:rsidRPr="00D36598">
        <w:rPr>
          <w:color w:val="000000"/>
          <w:rtl/>
        </w:rPr>
        <w:t xml:space="preserve"> </w:t>
      </w:r>
      <w:r w:rsidRPr="00D36598">
        <w:rPr>
          <w:rFonts w:hint="eastAsia"/>
          <w:color w:val="000000"/>
          <w:rtl/>
        </w:rPr>
        <w:t>כפוף</w:t>
      </w:r>
      <w:r w:rsidRPr="00D36598">
        <w:rPr>
          <w:color w:val="000000"/>
          <w:rtl/>
        </w:rPr>
        <w:t xml:space="preserve"> </w:t>
      </w:r>
      <w:r w:rsidRPr="00D36598">
        <w:rPr>
          <w:rFonts w:hint="eastAsia"/>
          <w:color w:val="000000"/>
          <w:rtl/>
        </w:rPr>
        <w:t>לשינויי</w:t>
      </w:r>
      <w:r w:rsidRPr="00D36598">
        <w:rPr>
          <w:color w:val="000000"/>
          <w:rtl/>
        </w:rPr>
        <w:t xml:space="preserve"> </w:t>
      </w:r>
      <w:r w:rsidRPr="00D36598">
        <w:rPr>
          <w:rFonts w:hint="eastAsia"/>
          <w:color w:val="000000"/>
          <w:rtl/>
        </w:rPr>
        <w:t>ניסוח</w:t>
      </w:r>
      <w:r w:rsidRPr="00D36598">
        <w:rPr>
          <w:color w:val="000000"/>
          <w:rtl/>
        </w:rPr>
        <w:t xml:space="preserve"> </w:t>
      </w:r>
      <w:r w:rsidRPr="00D36598">
        <w:rPr>
          <w:rFonts w:hint="eastAsia"/>
          <w:color w:val="000000"/>
          <w:rtl/>
        </w:rPr>
        <w:t>ועריכה</w:t>
      </w:r>
    </w:p>
    <w:p w14:paraId="2F97348F" w14:textId="77777777" w:rsidR="00D36598" w:rsidRDefault="00D36598" w:rsidP="00D36598">
      <w:pPr>
        <w:rPr>
          <w:rtl/>
        </w:rPr>
      </w:pPr>
    </w:p>
    <w:p w14:paraId="56C81FE0" w14:textId="77777777" w:rsidR="00D36598" w:rsidRDefault="00D36598" w:rsidP="00D36598">
      <w:pPr>
        <w:jc w:val="center"/>
        <w:rPr>
          <w:color w:val="0000FF"/>
          <w:u w:val="single"/>
        </w:rPr>
      </w:pPr>
      <w:hyperlink r:id="rId10" w:history="1">
        <w:r>
          <w:rPr>
            <w:rFonts w:hint="eastAsia"/>
            <w:color w:val="0000FF"/>
            <w:u w:val="single"/>
            <w:rtl/>
          </w:rPr>
          <w:t>בעניין</w:t>
        </w:r>
        <w:r>
          <w:rPr>
            <w:color w:val="0000FF"/>
            <w:u w:val="single"/>
            <w:rtl/>
          </w:rPr>
          <w:t xml:space="preserve"> </w:t>
        </w:r>
        <w:r>
          <w:rPr>
            <w:rFonts w:hint="eastAsia"/>
            <w:color w:val="0000FF"/>
            <w:u w:val="single"/>
            <w:rtl/>
          </w:rPr>
          <w:t>עריכה</w:t>
        </w:r>
        <w:r>
          <w:rPr>
            <w:color w:val="0000FF"/>
            <w:u w:val="single"/>
            <w:rtl/>
          </w:rPr>
          <w:t xml:space="preserve"> </w:t>
        </w:r>
        <w:r>
          <w:rPr>
            <w:rFonts w:hint="eastAsia"/>
            <w:color w:val="0000FF"/>
            <w:u w:val="single"/>
            <w:rtl/>
          </w:rPr>
          <w:t>ושינויים</w:t>
        </w:r>
        <w:r>
          <w:rPr>
            <w:color w:val="0000FF"/>
            <w:u w:val="single"/>
            <w:rtl/>
          </w:rPr>
          <w:t xml:space="preserve"> </w:t>
        </w:r>
        <w:r>
          <w:rPr>
            <w:rFonts w:hint="eastAsia"/>
            <w:color w:val="0000FF"/>
            <w:u w:val="single"/>
            <w:rtl/>
          </w:rPr>
          <w:t>במסמכי</w:t>
        </w:r>
        <w:r>
          <w:rPr>
            <w:color w:val="0000FF"/>
            <w:u w:val="single"/>
            <w:rtl/>
          </w:rPr>
          <w:t xml:space="preserve"> </w:t>
        </w:r>
        <w:r>
          <w:rPr>
            <w:rFonts w:hint="eastAsia"/>
            <w:color w:val="0000FF"/>
            <w:u w:val="single"/>
            <w:rtl/>
          </w:rPr>
          <w:t>פסיקה</w:t>
        </w:r>
        <w:r>
          <w:rPr>
            <w:color w:val="0000FF"/>
            <w:u w:val="single"/>
            <w:rtl/>
          </w:rPr>
          <w:t xml:space="preserve">, </w:t>
        </w:r>
        <w:r>
          <w:rPr>
            <w:rFonts w:hint="eastAsia"/>
            <w:color w:val="0000FF"/>
            <w:u w:val="single"/>
            <w:rtl/>
          </w:rPr>
          <w:t>חקיקה</w:t>
        </w:r>
        <w:r>
          <w:rPr>
            <w:color w:val="0000FF"/>
            <w:u w:val="single"/>
            <w:rtl/>
          </w:rPr>
          <w:t xml:space="preserve"> </w:t>
        </w:r>
        <w:r>
          <w:rPr>
            <w:rFonts w:hint="eastAsia"/>
            <w:color w:val="0000FF"/>
            <w:u w:val="single"/>
            <w:rtl/>
          </w:rPr>
          <w:t>ועוד</w:t>
        </w:r>
        <w:r>
          <w:rPr>
            <w:color w:val="0000FF"/>
            <w:u w:val="single"/>
            <w:rtl/>
          </w:rPr>
          <w:t xml:space="preserve"> </w:t>
        </w:r>
        <w:r>
          <w:rPr>
            <w:rFonts w:hint="eastAsia"/>
            <w:color w:val="0000FF"/>
            <w:u w:val="single"/>
            <w:rtl/>
          </w:rPr>
          <w:t>באתר</w:t>
        </w:r>
        <w:r>
          <w:rPr>
            <w:color w:val="0000FF"/>
            <w:u w:val="single"/>
            <w:rtl/>
          </w:rPr>
          <w:t xml:space="preserve"> </w:t>
        </w:r>
        <w:r>
          <w:rPr>
            <w:rFonts w:hint="eastAsia"/>
            <w:color w:val="0000FF"/>
            <w:u w:val="single"/>
            <w:rtl/>
          </w:rPr>
          <w:t>נבו</w:t>
        </w:r>
        <w:r>
          <w:rPr>
            <w:color w:val="0000FF"/>
            <w:u w:val="single"/>
            <w:rtl/>
          </w:rPr>
          <w:t xml:space="preserve"> – </w:t>
        </w:r>
        <w:r>
          <w:rPr>
            <w:rFonts w:hint="eastAsia"/>
            <w:color w:val="0000FF"/>
            <w:u w:val="single"/>
            <w:rtl/>
          </w:rPr>
          <w:t>הקש</w:t>
        </w:r>
        <w:r>
          <w:rPr>
            <w:color w:val="0000FF"/>
            <w:u w:val="single"/>
            <w:rtl/>
          </w:rPr>
          <w:t xml:space="preserve"> </w:t>
        </w:r>
        <w:r>
          <w:rPr>
            <w:rFonts w:hint="eastAsia"/>
            <w:color w:val="0000FF"/>
            <w:u w:val="single"/>
            <w:rtl/>
          </w:rPr>
          <w:t>כאן</w:t>
        </w:r>
      </w:hyperlink>
    </w:p>
    <w:p w14:paraId="567BAA9E" w14:textId="77777777" w:rsidR="00D727C4" w:rsidRPr="00D36598" w:rsidRDefault="00D727C4" w:rsidP="00D36598">
      <w:pPr>
        <w:jc w:val="center"/>
        <w:rPr>
          <w:color w:val="0000FF"/>
          <w:u w:val="single"/>
        </w:rPr>
      </w:pPr>
    </w:p>
    <w:sectPr w:rsidR="00D727C4" w:rsidRPr="00D36598" w:rsidSect="00D36598">
      <w:headerReference w:type="even" r:id="rId11"/>
      <w:headerReference w:type="default" r:id="rId12"/>
      <w:footerReference w:type="even" r:id="rId13"/>
      <w:footerReference w:type="default" r:id="rId1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2166B" w14:textId="77777777" w:rsidR="00886F62" w:rsidRPr="00850908" w:rsidRDefault="00886F62">
      <w:pPr>
        <w:rPr>
          <w:rFonts w:cs="Arial"/>
          <w:szCs w:val="20"/>
        </w:rPr>
      </w:pPr>
      <w:r>
        <w:separator/>
      </w:r>
    </w:p>
  </w:endnote>
  <w:endnote w:type="continuationSeparator" w:id="0">
    <w:p w14:paraId="7468049B" w14:textId="77777777" w:rsidR="00886F62" w:rsidRPr="00850908" w:rsidRDefault="00886F62">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66162" w14:textId="77777777" w:rsidR="00D36598" w:rsidRDefault="00D36598" w:rsidP="00D36598">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9B2B5E1" w14:textId="77777777" w:rsidR="00D36598" w:rsidRPr="00D36598" w:rsidRDefault="00D36598" w:rsidP="00D36598">
    <w:pPr>
      <w:pStyle w:val="Footer"/>
      <w:pBdr>
        <w:top w:val="single" w:sz="4" w:space="1" w:color="auto"/>
        <w:between w:val="single" w:sz="4" w:space="0" w:color="auto"/>
      </w:pBdr>
      <w:spacing w:after="60"/>
      <w:jc w:val="center"/>
      <w:rPr>
        <w:rFonts w:ascii="FrankRuehl" w:hAnsi="FrankRuehl" w:cs="FrankRuehl"/>
        <w:color w:val="000000"/>
      </w:rPr>
    </w:pPr>
    <w:r w:rsidRPr="00D3659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95ED5" w14:textId="77777777" w:rsidR="00D36598" w:rsidRDefault="00D36598" w:rsidP="00D36598">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5768B">
      <w:rPr>
        <w:rFonts w:ascii="FrankRuehl" w:hAnsi="FrankRuehl" w:cs="FrankRuehl"/>
        <w:noProof/>
        <w:rtl/>
      </w:rPr>
      <w:t>1</w:t>
    </w:r>
    <w:r>
      <w:rPr>
        <w:rFonts w:ascii="FrankRuehl" w:hAnsi="FrankRuehl" w:cs="FrankRuehl"/>
        <w:rtl/>
      </w:rPr>
      <w:fldChar w:fldCharType="end"/>
    </w:r>
  </w:p>
  <w:p w14:paraId="63F806DD" w14:textId="77777777" w:rsidR="00D727C4" w:rsidRPr="00D36598" w:rsidRDefault="00D36598" w:rsidP="00D36598">
    <w:pPr>
      <w:pStyle w:val="Footer"/>
      <w:pBdr>
        <w:top w:val="single" w:sz="4" w:space="1" w:color="auto"/>
        <w:between w:val="single" w:sz="4" w:space="0" w:color="auto"/>
      </w:pBdr>
      <w:spacing w:after="60"/>
      <w:jc w:val="center"/>
      <w:rPr>
        <w:rFonts w:ascii="FrankRuehl" w:hAnsi="FrankRuehl" w:cs="FrankRuehl"/>
        <w:color w:val="000000"/>
      </w:rPr>
    </w:pPr>
    <w:r w:rsidRPr="00D36598">
      <w:rPr>
        <w:rFonts w:ascii="FrankRuehl" w:hAnsi="FrankRuehl" w:cs="FrankRuehl"/>
        <w:color w:val="000000"/>
      </w:rPr>
      <w:pict w14:anchorId="39F02E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D4BDC" w14:textId="77777777" w:rsidR="00886F62" w:rsidRPr="00850908" w:rsidRDefault="00886F62">
      <w:pPr>
        <w:rPr>
          <w:rFonts w:cs="Arial"/>
          <w:szCs w:val="20"/>
        </w:rPr>
      </w:pPr>
      <w:r>
        <w:separator/>
      </w:r>
    </w:p>
  </w:footnote>
  <w:footnote w:type="continuationSeparator" w:id="0">
    <w:p w14:paraId="33B890F1" w14:textId="77777777" w:rsidR="00886F62" w:rsidRPr="00850908" w:rsidRDefault="00886F62">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9B6CA" w14:textId="77777777" w:rsidR="00D36598" w:rsidRPr="00D36598" w:rsidRDefault="00D36598" w:rsidP="00D36598">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8218-04-13</w:t>
    </w:r>
    <w:r>
      <w:rPr>
        <w:rFonts w:ascii="David" w:hAnsi="David"/>
        <w:color w:val="000000"/>
        <w:sz w:val="22"/>
        <w:szCs w:val="22"/>
        <w:rtl/>
      </w:rPr>
      <w:tab/>
      <w:t xml:space="preserve"> מדינת ישראל נ' שמשון הלל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ED0F7" w14:textId="77777777" w:rsidR="00D36598" w:rsidRPr="00D36598" w:rsidRDefault="00D36598" w:rsidP="00D36598">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8218-04-13</w:t>
    </w:r>
    <w:r>
      <w:rPr>
        <w:rFonts w:ascii="David" w:hAnsi="David"/>
        <w:color w:val="000000"/>
        <w:sz w:val="22"/>
        <w:szCs w:val="22"/>
        <w:rtl/>
      </w:rPr>
      <w:tab/>
      <w:t xml:space="preserve"> מדינת ישראל נ' שמשון הלל</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727C4"/>
    <w:rsid w:val="0055768B"/>
    <w:rsid w:val="0086629A"/>
    <w:rsid w:val="00886F62"/>
    <w:rsid w:val="00A37299"/>
    <w:rsid w:val="00D36598"/>
    <w:rsid w:val="00D727C4"/>
    <w:rsid w:val="00DE3B6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E144853"/>
  <w15:chartTrackingRefBased/>
  <w15:docId w15:val="{52BF4DFD-D522-4186-9C25-3DBE82B48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727C4"/>
    <w:pPr>
      <w:bidi/>
    </w:pPr>
    <w:rPr>
      <w:rFonts w:ascii="Arial (W1)" w:hAnsi="Arial (W1)"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D727C4"/>
    <w:pPr>
      <w:tabs>
        <w:tab w:val="center" w:pos="4153"/>
        <w:tab w:val="right" w:pos="8306"/>
      </w:tabs>
    </w:pPr>
  </w:style>
  <w:style w:type="paragraph" w:styleId="Footer">
    <w:name w:val="footer"/>
    <w:basedOn w:val="Normal"/>
    <w:rsid w:val="00D727C4"/>
    <w:pPr>
      <w:tabs>
        <w:tab w:val="center" w:pos="4153"/>
        <w:tab w:val="right" w:pos="8306"/>
      </w:tabs>
    </w:pPr>
  </w:style>
  <w:style w:type="character" w:styleId="PageNumber">
    <w:name w:val="page number"/>
    <w:basedOn w:val="DefaultParagraphFont"/>
    <w:rsid w:val="00D36598"/>
  </w:style>
  <w:style w:type="character" w:styleId="Hyperlink">
    <w:name w:val="Hyperlink"/>
    <w:basedOn w:val="DefaultParagraphFont"/>
    <w:rsid w:val="00D365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9.a"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nevo.co.il/law/70301/349.a" TargetMode="External"/><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798</Words>
  <Characters>4552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5340</CharactersWithSpaces>
  <SharedDoc>false</SharedDoc>
  <HLinks>
    <vt:vector size="30" baseType="variant">
      <vt:variant>
        <vt:i4>393283</vt:i4>
      </vt:variant>
      <vt:variant>
        <vt:i4>12</vt:i4>
      </vt:variant>
      <vt:variant>
        <vt:i4>0</vt:i4>
      </vt:variant>
      <vt:variant>
        <vt:i4>5</vt:i4>
      </vt:variant>
      <vt:variant>
        <vt:lpwstr>http://www.nevo.co.il/advertisements/nevo-100.doc</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5177439</vt:i4>
      </vt:variant>
      <vt:variant>
        <vt:i4>6</vt:i4>
      </vt:variant>
      <vt:variant>
        <vt:i4>0</vt:i4>
      </vt:variant>
      <vt:variant>
        <vt:i4>5</vt:i4>
      </vt:variant>
      <vt:variant>
        <vt:lpwstr>http://www.nevo.co.il/law/70301/349.a</vt:lpwstr>
      </vt:variant>
      <vt:variant>
        <vt:lpwstr/>
      </vt:variant>
      <vt:variant>
        <vt:i4>5177439</vt:i4>
      </vt:variant>
      <vt:variant>
        <vt:i4>3</vt:i4>
      </vt:variant>
      <vt:variant>
        <vt:i4>0</vt:i4>
      </vt:variant>
      <vt:variant>
        <vt:i4>5</vt:i4>
      </vt:variant>
      <vt:variant>
        <vt:lpwstr>http://www.nevo.co.il/law/70301/349.a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2022-05-24T10:44:00Z</dcterms:created>
  <dcterms:modified xsi:type="dcterms:W3CDTF">2022-05-24T10:44:00Z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8218</vt:lpwstr>
  </property>
  <property fmtid="{D5CDD505-2E9C-101B-9397-08002B2CF9AE}" pid="6" name="NEWPARTB">
    <vt:lpwstr>04</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שמשון הלל</vt:lpwstr>
  </property>
  <property fmtid="{D5CDD505-2E9C-101B-9397-08002B2CF9AE}" pid="10" name="LAWYER">
    <vt:lpwstr>יעלה הראל;שירן ברגמן</vt:lpwstr>
  </property>
  <property fmtid="{D5CDD505-2E9C-101B-9397-08002B2CF9AE}" pid="11" name="JUDGE">
    <vt:lpwstr>עידו דרויאן</vt:lpwstr>
  </property>
  <property fmtid="{D5CDD505-2E9C-101B-9397-08002B2CF9AE}" pid="12" name="CITY">
    <vt:lpwstr>ת"א</vt:lpwstr>
  </property>
  <property fmtid="{D5CDD505-2E9C-101B-9397-08002B2CF9AE}" pid="13" name="DATE">
    <vt:lpwstr>20140715</vt:lpwstr>
  </property>
  <property fmtid="{D5CDD505-2E9C-101B-9397-08002B2CF9AE}" pid="14" name="TYPE_N_DATE">
    <vt:lpwstr>38020140715</vt:lpwstr>
  </property>
  <property fmtid="{D5CDD505-2E9C-101B-9397-08002B2CF9AE}" pid="15" name="WORDNUMPAGES">
    <vt:lpwstr>3</vt:lpwstr>
  </property>
  <property fmtid="{D5CDD505-2E9C-101B-9397-08002B2CF9AE}" pid="16" name="TYPE_ABS_DATE">
    <vt:lpwstr>380020140715</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LAWLISTTMP1">
    <vt:lpwstr>70301/349.a</vt:lpwstr>
  </property>
</Properties>
</file>