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00757F" w:rsidRPr="0000757F" w14:paraId="0A98DE3A" w14:textId="77777777">
        <w:trPr>
          <w:trHeight w:hRule="exact" w:val="418"/>
          <w:jc w:val="center"/>
        </w:trPr>
        <w:tc>
          <w:tcPr>
            <w:tcW w:w="8721" w:type="dxa"/>
            <w:gridSpan w:val="2"/>
          </w:tcPr>
          <w:p w14:paraId="05E3AE0D" w14:textId="77777777" w:rsidR="0000757F" w:rsidRPr="0000757F" w:rsidRDefault="0000757F" w:rsidP="0000757F">
            <w:pPr>
              <w:pStyle w:val="Header"/>
              <w:jc w:val="center"/>
              <w:rPr>
                <w:rFonts w:ascii="Tahoma" w:hAnsi="Tahoma" w:cs="Tahoma"/>
                <w:color w:val="000080"/>
                <w:rtl/>
              </w:rPr>
            </w:pPr>
            <w:bookmarkStart w:id="0" w:name="LastJudge"/>
            <w:r w:rsidRPr="0000757F">
              <w:rPr>
                <w:rFonts w:ascii="Tahoma" w:hAnsi="Tahoma" w:cs="Tahoma"/>
                <w:b/>
                <w:bCs/>
                <w:color w:val="000080"/>
                <w:rtl/>
              </w:rPr>
              <w:t>בית משפט השלום בתל אביב - יפו</w:t>
            </w:r>
          </w:p>
        </w:tc>
      </w:tr>
      <w:tr w:rsidR="0000757F" w:rsidRPr="0000757F" w14:paraId="3246D612" w14:textId="77777777">
        <w:trPr>
          <w:trHeight w:val="337"/>
          <w:jc w:val="center"/>
        </w:trPr>
        <w:tc>
          <w:tcPr>
            <w:tcW w:w="5047" w:type="dxa"/>
          </w:tcPr>
          <w:p w14:paraId="2591FEB6" w14:textId="77777777" w:rsidR="0000757F" w:rsidRPr="0000757F" w:rsidRDefault="0000757F" w:rsidP="0000757F">
            <w:pPr>
              <w:pStyle w:val="Header"/>
              <w:rPr>
                <w:rFonts w:cs="FrankRuehl"/>
                <w:sz w:val="28"/>
                <w:szCs w:val="28"/>
                <w:rtl/>
              </w:rPr>
            </w:pPr>
          </w:p>
        </w:tc>
        <w:tc>
          <w:tcPr>
            <w:tcW w:w="3674" w:type="dxa"/>
          </w:tcPr>
          <w:p w14:paraId="6CE542F6" w14:textId="77777777" w:rsidR="0000757F" w:rsidRPr="0000757F" w:rsidRDefault="0000757F" w:rsidP="0000757F">
            <w:pPr>
              <w:pStyle w:val="Header"/>
              <w:jc w:val="right"/>
              <w:rPr>
                <w:rFonts w:cs="FrankRuehl"/>
                <w:sz w:val="28"/>
                <w:szCs w:val="28"/>
                <w:rtl/>
              </w:rPr>
            </w:pPr>
          </w:p>
        </w:tc>
      </w:tr>
      <w:tr w:rsidR="0000757F" w:rsidRPr="0000757F" w14:paraId="5B9FA749" w14:textId="77777777">
        <w:trPr>
          <w:trHeight w:val="337"/>
          <w:jc w:val="center"/>
        </w:trPr>
        <w:tc>
          <w:tcPr>
            <w:tcW w:w="8721" w:type="dxa"/>
            <w:gridSpan w:val="2"/>
          </w:tcPr>
          <w:p w14:paraId="628F505F" w14:textId="77777777" w:rsidR="0000757F" w:rsidRPr="0000757F" w:rsidRDefault="0000757F" w:rsidP="0000757F">
            <w:pPr>
              <w:rPr>
                <w:rFonts w:cs="FrankRuehl"/>
                <w:sz w:val="28"/>
                <w:szCs w:val="28"/>
                <w:rtl/>
              </w:rPr>
            </w:pPr>
            <w:r w:rsidRPr="0000757F">
              <w:rPr>
                <w:rFonts w:cs="FrankRuehl" w:hint="eastAsia"/>
                <w:sz w:val="28"/>
                <w:szCs w:val="28"/>
                <w:rtl/>
              </w:rPr>
              <w:t>ת</w:t>
            </w:r>
            <w:r w:rsidRPr="0000757F">
              <w:rPr>
                <w:rFonts w:cs="FrankRuehl"/>
                <w:sz w:val="28"/>
                <w:szCs w:val="28"/>
                <w:rtl/>
              </w:rPr>
              <w:t>"</w:t>
            </w:r>
            <w:r w:rsidRPr="0000757F">
              <w:rPr>
                <w:rFonts w:cs="FrankRuehl" w:hint="eastAsia"/>
                <w:sz w:val="28"/>
                <w:szCs w:val="28"/>
                <w:rtl/>
              </w:rPr>
              <w:t>פ</w:t>
            </w:r>
            <w:r w:rsidRPr="0000757F">
              <w:rPr>
                <w:rFonts w:cs="FrankRuehl"/>
                <w:sz w:val="28"/>
                <w:szCs w:val="28"/>
                <w:rtl/>
              </w:rPr>
              <w:t xml:space="preserve"> 59171-05-13 </w:t>
            </w:r>
            <w:r w:rsidRPr="0000757F">
              <w:rPr>
                <w:rFonts w:cs="FrankRuehl" w:hint="eastAsia"/>
                <w:sz w:val="28"/>
                <w:szCs w:val="28"/>
                <w:rtl/>
              </w:rPr>
              <w:t>מדינת</w:t>
            </w:r>
            <w:r w:rsidRPr="0000757F">
              <w:rPr>
                <w:rFonts w:cs="FrankRuehl"/>
                <w:sz w:val="28"/>
                <w:szCs w:val="28"/>
                <w:rtl/>
              </w:rPr>
              <w:t xml:space="preserve"> </w:t>
            </w:r>
            <w:r w:rsidRPr="0000757F">
              <w:rPr>
                <w:rFonts w:cs="FrankRuehl" w:hint="eastAsia"/>
                <w:sz w:val="28"/>
                <w:szCs w:val="28"/>
                <w:rtl/>
              </w:rPr>
              <w:t>ישראל</w:t>
            </w:r>
            <w:r w:rsidRPr="0000757F">
              <w:rPr>
                <w:rFonts w:cs="FrankRuehl"/>
                <w:sz w:val="28"/>
                <w:szCs w:val="28"/>
                <w:rtl/>
              </w:rPr>
              <w:t xml:space="preserve"> </w:t>
            </w:r>
            <w:r w:rsidRPr="0000757F">
              <w:rPr>
                <w:rFonts w:cs="FrankRuehl" w:hint="eastAsia"/>
                <w:sz w:val="28"/>
                <w:szCs w:val="28"/>
                <w:rtl/>
              </w:rPr>
              <w:t>נ</w:t>
            </w:r>
            <w:r w:rsidRPr="0000757F">
              <w:rPr>
                <w:rFonts w:cs="FrankRuehl"/>
                <w:sz w:val="28"/>
                <w:szCs w:val="28"/>
                <w:rtl/>
              </w:rPr>
              <w:t xml:space="preserve">' </w:t>
            </w:r>
            <w:r w:rsidRPr="0000757F">
              <w:rPr>
                <w:rFonts w:cs="FrankRuehl" w:hint="eastAsia"/>
                <w:sz w:val="28"/>
                <w:szCs w:val="28"/>
                <w:rtl/>
              </w:rPr>
              <w:t>פוגאץ</w:t>
            </w:r>
          </w:p>
          <w:p w14:paraId="2F0B3291" w14:textId="77777777" w:rsidR="0000757F" w:rsidRPr="0000757F" w:rsidRDefault="0000757F" w:rsidP="0000757F">
            <w:pPr>
              <w:pStyle w:val="Header"/>
              <w:rPr>
                <w:rtl/>
              </w:rPr>
            </w:pPr>
          </w:p>
        </w:tc>
      </w:tr>
    </w:tbl>
    <w:p w14:paraId="16E187B8" w14:textId="77777777" w:rsidR="0000757F" w:rsidRPr="0000757F" w:rsidRDefault="0000757F" w:rsidP="0000757F">
      <w:pPr>
        <w:pStyle w:val="Header"/>
      </w:pPr>
      <w:r w:rsidRPr="0000757F">
        <w:rPr>
          <w:rtl/>
        </w:rPr>
        <w:t xml:space="preserve"> </w:t>
      </w:r>
    </w:p>
    <w:p w14:paraId="65205C68" w14:textId="77777777" w:rsidR="0000757F" w:rsidRPr="0000757F" w:rsidRDefault="0000757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8077"/>
      </w:tblGrid>
      <w:tr w:rsidR="0000757F" w:rsidRPr="0000757F" w14:paraId="560B4036" w14:textId="77777777">
        <w:trPr>
          <w:trHeight w:val="295"/>
          <w:jc w:val="center"/>
        </w:trPr>
        <w:tc>
          <w:tcPr>
            <w:tcW w:w="743" w:type="dxa"/>
            <w:tcBorders>
              <w:top w:val="nil"/>
              <w:left w:val="nil"/>
              <w:bottom w:val="nil"/>
              <w:right w:val="nil"/>
            </w:tcBorders>
          </w:tcPr>
          <w:p w14:paraId="2585F553" w14:textId="77777777" w:rsidR="0000757F" w:rsidRPr="0000757F" w:rsidRDefault="0000757F" w:rsidP="0000757F">
            <w:pPr>
              <w:jc w:val="both"/>
              <w:rPr>
                <w:rFonts w:ascii="Arial" w:hAnsi="Arial"/>
                <w:b/>
                <w:bCs/>
              </w:rPr>
            </w:pPr>
            <w:r w:rsidRPr="0000757F">
              <w:rPr>
                <w:rFonts w:ascii="Arial" w:hAnsi="Arial"/>
                <w:b/>
                <w:bCs/>
                <w:rtl/>
              </w:rPr>
              <w:t xml:space="preserve">בפני </w:t>
            </w:r>
          </w:p>
        </w:tc>
        <w:tc>
          <w:tcPr>
            <w:tcW w:w="8077" w:type="dxa"/>
            <w:tcBorders>
              <w:top w:val="nil"/>
              <w:left w:val="nil"/>
              <w:bottom w:val="nil"/>
              <w:right w:val="nil"/>
            </w:tcBorders>
          </w:tcPr>
          <w:p w14:paraId="1F212814" w14:textId="77777777" w:rsidR="0000757F" w:rsidRPr="0000757F" w:rsidRDefault="0000757F" w:rsidP="0000757F">
            <w:pPr>
              <w:rPr>
                <w:rFonts w:ascii="Arial" w:hAnsi="Arial"/>
                <w:b/>
                <w:bCs/>
                <w:highlight w:val="yellow"/>
              </w:rPr>
            </w:pPr>
            <w:r w:rsidRPr="0000757F">
              <w:rPr>
                <w:rFonts w:ascii="Arial" w:hAnsi="Arial"/>
                <w:b/>
                <w:bCs/>
                <w:rtl/>
              </w:rPr>
              <w:t>כב' השופט עידו דרויאן</w:t>
            </w:r>
          </w:p>
        </w:tc>
      </w:tr>
    </w:tbl>
    <w:p w14:paraId="08AB3342" w14:textId="77777777" w:rsidR="00D928B8" w:rsidRPr="0000757F" w:rsidRDefault="00D928B8">
      <w:pPr>
        <w:rPr>
          <w:rtl/>
        </w:rPr>
      </w:pPr>
    </w:p>
    <w:p w14:paraId="2ADA2413" w14:textId="77777777" w:rsidR="0000757F" w:rsidRPr="0000757F" w:rsidRDefault="0000757F">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
        <w:gridCol w:w="4241"/>
        <w:gridCol w:w="3727"/>
      </w:tblGrid>
      <w:tr w:rsidR="0000757F" w:rsidRPr="0000757F" w14:paraId="3846F014" w14:textId="77777777">
        <w:trPr>
          <w:trHeight w:val="355"/>
          <w:jc w:val="center"/>
        </w:trPr>
        <w:tc>
          <w:tcPr>
            <w:tcW w:w="852" w:type="dxa"/>
            <w:tcBorders>
              <w:top w:val="nil"/>
              <w:left w:val="nil"/>
              <w:bottom w:val="nil"/>
              <w:right w:val="nil"/>
            </w:tcBorders>
          </w:tcPr>
          <w:p w14:paraId="0DA6B01E" w14:textId="77777777" w:rsidR="0000757F" w:rsidRPr="0000757F" w:rsidRDefault="0000757F" w:rsidP="0000757F">
            <w:pPr>
              <w:jc w:val="both"/>
              <w:rPr>
                <w:rFonts w:ascii="Arial" w:hAnsi="Arial" w:cs="FrankRuehl"/>
                <w:b/>
                <w:bCs/>
                <w:sz w:val="28"/>
                <w:szCs w:val="28"/>
              </w:rPr>
            </w:pPr>
          </w:p>
        </w:tc>
        <w:tc>
          <w:tcPr>
            <w:tcW w:w="4241" w:type="dxa"/>
            <w:tcBorders>
              <w:top w:val="nil"/>
              <w:left w:val="nil"/>
              <w:bottom w:val="nil"/>
              <w:right w:val="nil"/>
            </w:tcBorders>
          </w:tcPr>
          <w:p w14:paraId="4EBF1FC0" w14:textId="77777777" w:rsidR="0000757F" w:rsidRPr="0000757F" w:rsidRDefault="0000757F" w:rsidP="0000757F">
            <w:pPr>
              <w:jc w:val="both"/>
              <w:rPr>
                <w:rFonts w:ascii="Arial" w:hAnsi="Arial"/>
                <w:b/>
                <w:bCs/>
                <w:sz w:val="26"/>
                <w:szCs w:val="26"/>
              </w:rPr>
            </w:pPr>
            <w:r w:rsidRPr="0000757F">
              <w:rPr>
                <w:rFonts w:ascii="Arial" w:hAnsi="Arial"/>
                <w:b/>
                <w:bCs/>
                <w:sz w:val="26"/>
                <w:szCs w:val="26"/>
                <w:rtl/>
              </w:rPr>
              <w:t>מדינת ישראל</w:t>
            </w:r>
          </w:p>
        </w:tc>
        <w:tc>
          <w:tcPr>
            <w:tcW w:w="3727" w:type="dxa"/>
            <w:tcBorders>
              <w:top w:val="nil"/>
              <w:left w:val="nil"/>
              <w:bottom w:val="nil"/>
              <w:right w:val="nil"/>
            </w:tcBorders>
          </w:tcPr>
          <w:p w14:paraId="1531F314" w14:textId="77777777" w:rsidR="0000757F" w:rsidRPr="0000757F" w:rsidRDefault="0000757F" w:rsidP="0000757F">
            <w:pPr>
              <w:jc w:val="right"/>
              <w:rPr>
                <w:rFonts w:ascii="Arial" w:hAnsi="Arial"/>
                <w:b/>
                <w:bCs/>
                <w:sz w:val="26"/>
                <w:szCs w:val="26"/>
              </w:rPr>
            </w:pPr>
          </w:p>
        </w:tc>
      </w:tr>
      <w:tr w:rsidR="0000757F" w:rsidRPr="0000757F" w14:paraId="30751E37" w14:textId="77777777">
        <w:trPr>
          <w:trHeight w:val="355"/>
          <w:jc w:val="center"/>
        </w:trPr>
        <w:tc>
          <w:tcPr>
            <w:tcW w:w="852" w:type="dxa"/>
            <w:tcBorders>
              <w:top w:val="nil"/>
              <w:left w:val="nil"/>
              <w:bottom w:val="nil"/>
              <w:right w:val="nil"/>
            </w:tcBorders>
          </w:tcPr>
          <w:p w14:paraId="1474F062" w14:textId="77777777" w:rsidR="0000757F" w:rsidRPr="0000757F" w:rsidRDefault="0000757F" w:rsidP="0000757F">
            <w:pPr>
              <w:jc w:val="both"/>
              <w:rPr>
                <w:rFonts w:ascii="Arial" w:hAnsi="Arial" w:cs="FrankRuehl"/>
                <w:b/>
                <w:bCs/>
                <w:sz w:val="28"/>
                <w:szCs w:val="28"/>
                <w:rtl/>
              </w:rPr>
            </w:pPr>
            <w:bookmarkStart w:id="1" w:name="FirstAppellant" w:colFirst="0" w:colLast="1"/>
            <w:bookmarkStart w:id="2" w:name="FirstLawyer"/>
          </w:p>
        </w:tc>
        <w:tc>
          <w:tcPr>
            <w:tcW w:w="4241" w:type="dxa"/>
            <w:tcBorders>
              <w:top w:val="nil"/>
              <w:left w:val="nil"/>
              <w:bottom w:val="nil"/>
              <w:right w:val="nil"/>
            </w:tcBorders>
          </w:tcPr>
          <w:p w14:paraId="65368D28" w14:textId="77777777" w:rsidR="0000757F" w:rsidRPr="0000757F" w:rsidRDefault="0000757F" w:rsidP="0000757F">
            <w:pPr>
              <w:jc w:val="both"/>
              <w:rPr>
                <w:b/>
                <w:bCs/>
                <w:sz w:val="26"/>
                <w:szCs w:val="26"/>
                <w:rtl/>
              </w:rPr>
            </w:pPr>
            <w:r w:rsidRPr="0000757F">
              <w:rPr>
                <w:rFonts w:hint="eastAsia"/>
                <w:b/>
                <w:bCs/>
                <w:sz w:val="26"/>
                <w:szCs w:val="26"/>
                <w:rtl/>
              </w:rPr>
              <w:t>ע</w:t>
            </w:r>
            <w:r w:rsidRPr="0000757F">
              <w:rPr>
                <w:b/>
                <w:bCs/>
                <w:sz w:val="26"/>
                <w:szCs w:val="26"/>
                <w:rtl/>
              </w:rPr>
              <w:t>"</w:t>
            </w:r>
            <w:r w:rsidRPr="0000757F">
              <w:rPr>
                <w:rFonts w:hint="eastAsia"/>
                <w:b/>
                <w:bCs/>
                <w:sz w:val="26"/>
                <w:szCs w:val="26"/>
                <w:rtl/>
              </w:rPr>
              <w:t>י</w:t>
            </w:r>
            <w:r w:rsidRPr="0000757F">
              <w:rPr>
                <w:b/>
                <w:bCs/>
                <w:sz w:val="26"/>
                <w:szCs w:val="26"/>
                <w:rtl/>
              </w:rPr>
              <w:t xml:space="preserve"> </w:t>
            </w:r>
            <w:r w:rsidRPr="0000757F">
              <w:rPr>
                <w:rFonts w:hint="eastAsia"/>
                <w:b/>
                <w:bCs/>
                <w:sz w:val="26"/>
                <w:szCs w:val="26"/>
                <w:rtl/>
              </w:rPr>
              <w:t>ב</w:t>
            </w:r>
            <w:r w:rsidRPr="0000757F">
              <w:rPr>
                <w:b/>
                <w:bCs/>
                <w:sz w:val="26"/>
                <w:szCs w:val="26"/>
                <w:rtl/>
              </w:rPr>
              <w:t>"</w:t>
            </w:r>
            <w:r w:rsidRPr="0000757F">
              <w:rPr>
                <w:rFonts w:hint="eastAsia"/>
                <w:b/>
                <w:bCs/>
                <w:sz w:val="26"/>
                <w:szCs w:val="26"/>
                <w:rtl/>
              </w:rPr>
              <w:t>כ</w:t>
            </w:r>
            <w:r w:rsidRPr="0000757F">
              <w:rPr>
                <w:b/>
                <w:bCs/>
                <w:sz w:val="26"/>
                <w:szCs w:val="26"/>
                <w:rtl/>
              </w:rPr>
              <w:t xml:space="preserve"> </w:t>
            </w:r>
            <w:r w:rsidRPr="0000757F">
              <w:rPr>
                <w:rFonts w:hint="eastAsia"/>
                <w:b/>
                <w:bCs/>
                <w:sz w:val="26"/>
                <w:szCs w:val="26"/>
                <w:rtl/>
              </w:rPr>
              <w:t>עו</w:t>
            </w:r>
            <w:r w:rsidRPr="0000757F">
              <w:rPr>
                <w:b/>
                <w:bCs/>
                <w:sz w:val="26"/>
                <w:szCs w:val="26"/>
                <w:rtl/>
              </w:rPr>
              <w:t>"</w:t>
            </w:r>
            <w:r w:rsidRPr="0000757F">
              <w:rPr>
                <w:rFonts w:hint="eastAsia"/>
                <w:b/>
                <w:bCs/>
                <w:sz w:val="26"/>
                <w:szCs w:val="26"/>
                <w:rtl/>
              </w:rPr>
              <w:t>ד</w:t>
            </w:r>
            <w:r w:rsidRPr="0000757F">
              <w:rPr>
                <w:b/>
                <w:bCs/>
                <w:sz w:val="26"/>
                <w:szCs w:val="26"/>
                <w:rtl/>
              </w:rPr>
              <w:t xml:space="preserve"> </w:t>
            </w:r>
            <w:r w:rsidRPr="0000757F">
              <w:rPr>
                <w:rFonts w:hint="eastAsia"/>
                <w:b/>
                <w:bCs/>
                <w:sz w:val="26"/>
                <w:szCs w:val="26"/>
                <w:rtl/>
              </w:rPr>
              <w:t>ביאלין</w:t>
            </w:r>
          </w:p>
        </w:tc>
        <w:tc>
          <w:tcPr>
            <w:tcW w:w="3727" w:type="dxa"/>
            <w:tcBorders>
              <w:top w:val="nil"/>
              <w:left w:val="nil"/>
              <w:bottom w:val="nil"/>
              <w:right w:val="nil"/>
            </w:tcBorders>
          </w:tcPr>
          <w:p w14:paraId="78D22227" w14:textId="77777777" w:rsidR="0000757F" w:rsidRPr="0000757F" w:rsidRDefault="0000757F" w:rsidP="0000757F">
            <w:pPr>
              <w:jc w:val="right"/>
              <w:rPr>
                <w:rFonts w:ascii="Arial" w:hAnsi="Arial"/>
                <w:b/>
                <w:bCs/>
                <w:sz w:val="26"/>
                <w:szCs w:val="26"/>
                <w:rtl/>
              </w:rPr>
            </w:pPr>
            <w:r w:rsidRPr="0000757F">
              <w:rPr>
                <w:rFonts w:ascii="Arial" w:hAnsi="Arial"/>
                <w:b/>
                <w:bCs/>
                <w:sz w:val="26"/>
                <w:szCs w:val="26"/>
                <w:rtl/>
              </w:rPr>
              <w:t>המאשימה</w:t>
            </w:r>
          </w:p>
        </w:tc>
      </w:tr>
      <w:bookmarkEnd w:id="2"/>
      <w:tr w:rsidR="0000757F" w:rsidRPr="0000757F" w14:paraId="203B9BBB" w14:textId="77777777">
        <w:trPr>
          <w:trHeight w:val="355"/>
          <w:jc w:val="center"/>
        </w:trPr>
        <w:tc>
          <w:tcPr>
            <w:tcW w:w="852" w:type="dxa"/>
            <w:tcBorders>
              <w:top w:val="nil"/>
              <w:left w:val="nil"/>
              <w:bottom w:val="nil"/>
              <w:right w:val="nil"/>
            </w:tcBorders>
          </w:tcPr>
          <w:p w14:paraId="1814FB20" w14:textId="77777777" w:rsidR="0000757F" w:rsidRPr="0000757F" w:rsidRDefault="0000757F" w:rsidP="0000757F">
            <w:pPr>
              <w:jc w:val="both"/>
              <w:rPr>
                <w:rFonts w:ascii="Arial" w:hAnsi="Arial" w:cs="FrankRuehl"/>
                <w:b/>
                <w:bCs/>
                <w:sz w:val="28"/>
                <w:szCs w:val="28"/>
                <w:rtl/>
              </w:rPr>
            </w:pPr>
          </w:p>
        </w:tc>
        <w:tc>
          <w:tcPr>
            <w:tcW w:w="7968" w:type="dxa"/>
            <w:gridSpan w:val="2"/>
            <w:tcBorders>
              <w:top w:val="nil"/>
              <w:left w:val="nil"/>
              <w:bottom w:val="nil"/>
              <w:right w:val="nil"/>
            </w:tcBorders>
          </w:tcPr>
          <w:p w14:paraId="77F2B79D" w14:textId="77777777" w:rsidR="0000757F" w:rsidRPr="0000757F" w:rsidRDefault="0000757F" w:rsidP="0000757F">
            <w:pPr>
              <w:jc w:val="center"/>
              <w:rPr>
                <w:rFonts w:ascii="Arial" w:hAnsi="Arial"/>
                <w:b/>
                <w:bCs/>
                <w:sz w:val="26"/>
                <w:szCs w:val="26"/>
                <w:rtl/>
              </w:rPr>
            </w:pPr>
          </w:p>
          <w:p w14:paraId="357AFCB2" w14:textId="77777777" w:rsidR="0000757F" w:rsidRPr="0000757F" w:rsidRDefault="0000757F" w:rsidP="0000757F">
            <w:pPr>
              <w:jc w:val="center"/>
              <w:rPr>
                <w:rFonts w:ascii="Arial" w:hAnsi="Arial"/>
                <w:b/>
                <w:bCs/>
                <w:sz w:val="26"/>
                <w:szCs w:val="26"/>
                <w:rtl/>
              </w:rPr>
            </w:pPr>
            <w:r w:rsidRPr="0000757F">
              <w:rPr>
                <w:rFonts w:ascii="Arial" w:hAnsi="Arial"/>
                <w:b/>
                <w:bCs/>
                <w:sz w:val="26"/>
                <w:szCs w:val="26"/>
                <w:rtl/>
              </w:rPr>
              <w:t>נגד</w:t>
            </w:r>
          </w:p>
          <w:p w14:paraId="4A3CF97A" w14:textId="77777777" w:rsidR="0000757F" w:rsidRPr="0000757F" w:rsidRDefault="0000757F" w:rsidP="0000757F">
            <w:pPr>
              <w:jc w:val="both"/>
              <w:rPr>
                <w:rFonts w:ascii="Arial" w:hAnsi="Arial"/>
                <w:b/>
                <w:bCs/>
                <w:sz w:val="26"/>
                <w:szCs w:val="26"/>
              </w:rPr>
            </w:pPr>
          </w:p>
        </w:tc>
      </w:tr>
      <w:bookmarkEnd w:id="1"/>
      <w:tr w:rsidR="0000757F" w:rsidRPr="0000757F" w14:paraId="50BF87C1" w14:textId="77777777">
        <w:trPr>
          <w:trHeight w:val="355"/>
          <w:jc w:val="center"/>
        </w:trPr>
        <w:tc>
          <w:tcPr>
            <w:tcW w:w="852" w:type="dxa"/>
            <w:tcBorders>
              <w:top w:val="nil"/>
              <w:left w:val="nil"/>
              <w:bottom w:val="nil"/>
              <w:right w:val="nil"/>
            </w:tcBorders>
          </w:tcPr>
          <w:p w14:paraId="29D229AE" w14:textId="77777777" w:rsidR="0000757F" w:rsidRPr="0000757F" w:rsidRDefault="0000757F" w:rsidP="0000757F">
            <w:pPr>
              <w:jc w:val="both"/>
              <w:rPr>
                <w:rFonts w:ascii="Arial" w:hAnsi="Arial" w:cs="FrankRuehl"/>
                <w:b/>
                <w:bCs/>
                <w:sz w:val="28"/>
                <w:szCs w:val="28"/>
                <w:rtl/>
              </w:rPr>
            </w:pPr>
          </w:p>
        </w:tc>
        <w:tc>
          <w:tcPr>
            <w:tcW w:w="4241" w:type="dxa"/>
            <w:tcBorders>
              <w:top w:val="nil"/>
              <w:left w:val="nil"/>
              <w:bottom w:val="nil"/>
              <w:right w:val="nil"/>
            </w:tcBorders>
          </w:tcPr>
          <w:p w14:paraId="7E95BC64" w14:textId="77777777" w:rsidR="0000757F" w:rsidRPr="0000757F" w:rsidRDefault="0000757F" w:rsidP="0000757F">
            <w:pPr>
              <w:jc w:val="both"/>
              <w:rPr>
                <w:b/>
                <w:bCs/>
                <w:sz w:val="26"/>
                <w:szCs w:val="26"/>
                <w:rtl/>
              </w:rPr>
            </w:pPr>
            <w:r w:rsidRPr="0000757F">
              <w:rPr>
                <w:rFonts w:ascii="Arial" w:hAnsi="Arial"/>
                <w:b/>
                <w:bCs/>
                <w:sz w:val="26"/>
                <w:szCs w:val="26"/>
                <w:rtl/>
              </w:rPr>
              <w:t>אליהו פוגאץ</w:t>
            </w:r>
          </w:p>
        </w:tc>
        <w:tc>
          <w:tcPr>
            <w:tcW w:w="3727" w:type="dxa"/>
            <w:tcBorders>
              <w:top w:val="nil"/>
              <w:left w:val="nil"/>
              <w:bottom w:val="nil"/>
              <w:right w:val="nil"/>
            </w:tcBorders>
          </w:tcPr>
          <w:p w14:paraId="516953C5" w14:textId="77777777" w:rsidR="0000757F" w:rsidRPr="0000757F" w:rsidRDefault="0000757F" w:rsidP="0000757F">
            <w:pPr>
              <w:jc w:val="right"/>
              <w:rPr>
                <w:rFonts w:ascii="Arial" w:hAnsi="Arial"/>
                <w:b/>
                <w:bCs/>
                <w:sz w:val="26"/>
                <w:szCs w:val="26"/>
              </w:rPr>
            </w:pPr>
          </w:p>
        </w:tc>
      </w:tr>
      <w:tr w:rsidR="0000757F" w:rsidRPr="0000757F" w14:paraId="5414063F" w14:textId="77777777">
        <w:trPr>
          <w:trHeight w:val="355"/>
          <w:jc w:val="center"/>
        </w:trPr>
        <w:tc>
          <w:tcPr>
            <w:tcW w:w="852" w:type="dxa"/>
            <w:tcBorders>
              <w:top w:val="nil"/>
              <w:left w:val="nil"/>
              <w:bottom w:val="nil"/>
              <w:right w:val="nil"/>
            </w:tcBorders>
          </w:tcPr>
          <w:p w14:paraId="5EC7D320" w14:textId="77777777" w:rsidR="0000757F" w:rsidRPr="0000757F" w:rsidRDefault="0000757F" w:rsidP="0000757F">
            <w:pPr>
              <w:jc w:val="both"/>
              <w:rPr>
                <w:rFonts w:ascii="Arial" w:hAnsi="Arial" w:cs="FrankRuehl"/>
                <w:b/>
                <w:bCs/>
                <w:sz w:val="28"/>
                <w:szCs w:val="28"/>
                <w:rtl/>
              </w:rPr>
            </w:pPr>
          </w:p>
        </w:tc>
        <w:tc>
          <w:tcPr>
            <w:tcW w:w="4241" w:type="dxa"/>
            <w:tcBorders>
              <w:top w:val="nil"/>
              <w:left w:val="nil"/>
              <w:bottom w:val="nil"/>
              <w:right w:val="nil"/>
            </w:tcBorders>
          </w:tcPr>
          <w:p w14:paraId="32FB4E90" w14:textId="77777777" w:rsidR="0000757F" w:rsidRPr="0000757F" w:rsidRDefault="0000757F" w:rsidP="0000757F">
            <w:pPr>
              <w:jc w:val="both"/>
              <w:rPr>
                <w:b/>
                <w:bCs/>
                <w:sz w:val="26"/>
                <w:szCs w:val="26"/>
                <w:rtl/>
              </w:rPr>
            </w:pPr>
            <w:r w:rsidRPr="0000757F">
              <w:rPr>
                <w:rFonts w:hint="eastAsia"/>
                <w:b/>
                <w:bCs/>
                <w:sz w:val="26"/>
                <w:szCs w:val="26"/>
                <w:rtl/>
              </w:rPr>
              <w:t>ע</w:t>
            </w:r>
            <w:r w:rsidRPr="0000757F">
              <w:rPr>
                <w:b/>
                <w:bCs/>
                <w:sz w:val="26"/>
                <w:szCs w:val="26"/>
                <w:rtl/>
              </w:rPr>
              <w:t>"</w:t>
            </w:r>
            <w:r w:rsidRPr="0000757F">
              <w:rPr>
                <w:rFonts w:hint="eastAsia"/>
                <w:b/>
                <w:bCs/>
                <w:sz w:val="26"/>
                <w:szCs w:val="26"/>
                <w:rtl/>
              </w:rPr>
              <w:t>י</w:t>
            </w:r>
            <w:r w:rsidRPr="0000757F">
              <w:rPr>
                <w:b/>
                <w:bCs/>
                <w:sz w:val="26"/>
                <w:szCs w:val="26"/>
                <w:rtl/>
              </w:rPr>
              <w:t xml:space="preserve"> </w:t>
            </w:r>
            <w:r w:rsidRPr="0000757F">
              <w:rPr>
                <w:rFonts w:hint="eastAsia"/>
                <w:b/>
                <w:bCs/>
                <w:sz w:val="26"/>
                <w:szCs w:val="26"/>
                <w:rtl/>
              </w:rPr>
              <w:t>ב</w:t>
            </w:r>
            <w:r w:rsidRPr="0000757F">
              <w:rPr>
                <w:b/>
                <w:bCs/>
                <w:sz w:val="26"/>
                <w:szCs w:val="26"/>
                <w:rtl/>
              </w:rPr>
              <w:t>"</w:t>
            </w:r>
            <w:r w:rsidRPr="0000757F">
              <w:rPr>
                <w:rFonts w:hint="eastAsia"/>
                <w:b/>
                <w:bCs/>
                <w:sz w:val="26"/>
                <w:szCs w:val="26"/>
                <w:rtl/>
              </w:rPr>
              <w:t>כ</w:t>
            </w:r>
            <w:r w:rsidRPr="0000757F">
              <w:rPr>
                <w:b/>
                <w:bCs/>
                <w:sz w:val="26"/>
                <w:szCs w:val="26"/>
                <w:rtl/>
              </w:rPr>
              <w:t xml:space="preserve"> </w:t>
            </w:r>
            <w:r w:rsidRPr="0000757F">
              <w:rPr>
                <w:rFonts w:hint="eastAsia"/>
                <w:b/>
                <w:bCs/>
                <w:sz w:val="26"/>
                <w:szCs w:val="26"/>
                <w:rtl/>
              </w:rPr>
              <w:t>עו</w:t>
            </w:r>
            <w:r w:rsidRPr="0000757F">
              <w:rPr>
                <w:b/>
                <w:bCs/>
                <w:sz w:val="26"/>
                <w:szCs w:val="26"/>
                <w:rtl/>
              </w:rPr>
              <w:t>"</w:t>
            </w:r>
            <w:r w:rsidRPr="0000757F">
              <w:rPr>
                <w:rFonts w:hint="eastAsia"/>
                <w:b/>
                <w:bCs/>
                <w:sz w:val="26"/>
                <w:szCs w:val="26"/>
                <w:rtl/>
              </w:rPr>
              <w:t>ד</w:t>
            </w:r>
            <w:r w:rsidRPr="0000757F">
              <w:rPr>
                <w:b/>
                <w:bCs/>
                <w:sz w:val="26"/>
                <w:szCs w:val="26"/>
                <w:rtl/>
              </w:rPr>
              <w:t xml:space="preserve"> </w:t>
            </w:r>
            <w:r w:rsidRPr="0000757F">
              <w:rPr>
                <w:rFonts w:hint="eastAsia"/>
                <w:b/>
                <w:bCs/>
                <w:sz w:val="26"/>
                <w:szCs w:val="26"/>
                <w:rtl/>
              </w:rPr>
              <w:t>קורנברג</w:t>
            </w:r>
          </w:p>
        </w:tc>
        <w:tc>
          <w:tcPr>
            <w:tcW w:w="3727" w:type="dxa"/>
            <w:tcBorders>
              <w:top w:val="nil"/>
              <w:left w:val="nil"/>
              <w:bottom w:val="nil"/>
              <w:right w:val="nil"/>
            </w:tcBorders>
          </w:tcPr>
          <w:p w14:paraId="6E01BF47" w14:textId="77777777" w:rsidR="0000757F" w:rsidRPr="0000757F" w:rsidRDefault="0000757F" w:rsidP="0000757F">
            <w:pPr>
              <w:jc w:val="right"/>
              <w:rPr>
                <w:rFonts w:ascii="Arial" w:hAnsi="Arial"/>
                <w:b/>
                <w:bCs/>
                <w:sz w:val="26"/>
                <w:szCs w:val="26"/>
              </w:rPr>
            </w:pPr>
            <w:r w:rsidRPr="0000757F">
              <w:rPr>
                <w:rFonts w:ascii="Arial" w:hAnsi="Arial"/>
                <w:b/>
                <w:bCs/>
                <w:sz w:val="26"/>
                <w:szCs w:val="26"/>
                <w:rtl/>
              </w:rPr>
              <w:t>הנאשמים</w:t>
            </w:r>
          </w:p>
        </w:tc>
      </w:tr>
    </w:tbl>
    <w:p w14:paraId="1F4077AE" w14:textId="77777777" w:rsidR="00137B49" w:rsidRDefault="00137B49">
      <w:pPr>
        <w:rPr>
          <w:rtl/>
        </w:rPr>
      </w:pPr>
      <w:bookmarkStart w:id="3" w:name="LawTable"/>
      <w:bookmarkEnd w:id="3"/>
    </w:p>
    <w:p w14:paraId="073C0B0E" w14:textId="77777777" w:rsidR="00137B49" w:rsidRPr="00137B49" w:rsidRDefault="00137B49" w:rsidP="00137B49">
      <w:pPr>
        <w:spacing w:after="120" w:line="240" w:lineRule="exact"/>
        <w:ind w:left="283" w:hanging="283"/>
        <w:jc w:val="both"/>
        <w:rPr>
          <w:rFonts w:ascii="FrankRuehl" w:hAnsi="FrankRuehl" w:cs="FrankRuehl"/>
          <w:rtl/>
        </w:rPr>
      </w:pPr>
    </w:p>
    <w:p w14:paraId="2580DE72" w14:textId="77777777" w:rsidR="00137B49" w:rsidRPr="00137B49" w:rsidRDefault="00137B49" w:rsidP="00137B49">
      <w:pPr>
        <w:spacing w:after="120" w:line="240" w:lineRule="exact"/>
        <w:ind w:left="283" w:hanging="283"/>
        <w:jc w:val="both"/>
        <w:rPr>
          <w:rFonts w:ascii="FrankRuehl" w:hAnsi="FrankRuehl" w:cs="FrankRuehl"/>
          <w:rtl/>
        </w:rPr>
      </w:pPr>
      <w:r w:rsidRPr="00137B49">
        <w:rPr>
          <w:rFonts w:ascii="FrankRuehl" w:hAnsi="FrankRuehl" w:cs="FrankRuehl" w:hint="eastAsia"/>
          <w:rtl/>
        </w:rPr>
        <w:t>חקיקה</w:t>
      </w:r>
      <w:r w:rsidRPr="00137B49">
        <w:rPr>
          <w:rFonts w:ascii="FrankRuehl" w:hAnsi="FrankRuehl" w:cs="FrankRuehl"/>
          <w:rtl/>
        </w:rPr>
        <w:t xml:space="preserve"> </w:t>
      </w:r>
      <w:r w:rsidRPr="00137B49">
        <w:rPr>
          <w:rFonts w:ascii="FrankRuehl" w:hAnsi="FrankRuehl" w:cs="FrankRuehl" w:hint="eastAsia"/>
          <w:rtl/>
        </w:rPr>
        <w:t>שאוזכרה</w:t>
      </w:r>
      <w:r w:rsidRPr="00137B49">
        <w:rPr>
          <w:rFonts w:ascii="FrankRuehl" w:hAnsi="FrankRuehl" w:cs="FrankRuehl"/>
          <w:rtl/>
        </w:rPr>
        <w:t xml:space="preserve">: </w:t>
      </w:r>
    </w:p>
    <w:p w14:paraId="5BE28465" w14:textId="77777777" w:rsidR="00137B49" w:rsidRPr="00137B49" w:rsidRDefault="00137B49" w:rsidP="00137B49">
      <w:pPr>
        <w:spacing w:after="120" w:line="240" w:lineRule="exact"/>
        <w:ind w:left="283" w:hanging="283"/>
        <w:jc w:val="both"/>
        <w:rPr>
          <w:rFonts w:ascii="FrankRuehl" w:hAnsi="FrankRuehl" w:cs="FrankRuehl"/>
          <w:rtl/>
        </w:rPr>
      </w:pPr>
      <w:hyperlink r:id="rId8" w:history="1">
        <w:r w:rsidRPr="00137B49">
          <w:rPr>
            <w:rFonts w:ascii="FrankRuehl" w:hAnsi="FrankRuehl" w:cs="FrankRuehl" w:hint="eastAsia"/>
            <w:color w:val="0000FF"/>
            <w:u w:val="single"/>
            <w:rtl/>
          </w:rPr>
          <w:t>חוק</w:t>
        </w:r>
        <w:r w:rsidRPr="00137B49">
          <w:rPr>
            <w:rFonts w:ascii="FrankRuehl" w:hAnsi="FrankRuehl" w:cs="FrankRuehl"/>
            <w:color w:val="0000FF"/>
            <w:u w:val="single"/>
            <w:rtl/>
          </w:rPr>
          <w:t xml:space="preserve"> </w:t>
        </w:r>
        <w:r w:rsidRPr="00137B49">
          <w:rPr>
            <w:rFonts w:ascii="FrankRuehl" w:hAnsi="FrankRuehl" w:cs="FrankRuehl" w:hint="eastAsia"/>
            <w:color w:val="0000FF"/>
            <w:u w:val="single"/>
            <w:rtl/>
          </w:rPr>
          <w:t>העונשין</w:t>
        </w:r>
        <w:r w:rsidRPr="00137B49">
          <w:rPr>
            <w:rFonts w:ascii="FrankRuehl" w:hAnsi="FrankRuehl" w:cs="FrankRuehl"/>
            <w:color w:val="0000FF"/>
            <w:u w:val="single"/>
            <w:rtl/>
          </w:rPr>
          <w:t xml:space="preserve">, </w:t>
        </w:r>
        <w:r w:rsidRPr="00137B49">
          <w:rPr>
            <w:rFonts w:ascii="FrankRuehl" w:hAnsi="FrankRuehl" w:cs="FrankRuehl" w:hint="eastAsia"/>
            <w:color w:val="0000FF"/>
            <w:u w:val="single"/>
            <w:rtl/>
          </w:rPr>
          <w:t>תשל</w:t>
        </w:r>
        <w:r w:rsidRPr="00137B49">
          <w:rPr>
            <w:rFonts w:ascii="FrankRuehl" w:hAnsi="FrankRuehl" w:cs="FrankRuehl"/>
            <w:color w:val="0000FF"/>
            <w:u w:val="single"/>
            <w:rtl/>
          </w:rPr>
          <w:t>"</w:t>
        </w:r>
        <w:r w:rsidRPr="00137B49">
          <w:rPr>
            <w:rFonts w:ascii="FrankRuehl" w:hAnsi="FrankRuehl" w:cs="FrankRuehl" w:hint="eastAsia"/>
            <w:color w:val="0000FF"/>
            <w:u w:val="single"/>
            <w:rtl/>
          </w:rPr>
          <w:t>ז</w:t>
        </w:r>
        <w:r w:rsidRPr="00137B49">
          <w:rPr>
            <w:rFonts w:ascii="FrankRuehl" w:hAnsi="FrankRuehl" w:cs="FrankRuehl"/>
            <w:color w:val="0000FF"/>
            <w:u w:val="single"/>
            <w:rtl/>
          </w:rPr>
          <w:t>-1977</w:t>
        </w:r>
      </w:hyperlink>
      <w:r w:rsidRPr="00137B49">
        <w:rPr>
          <w:rFonts w:ascii="FrankRuehl" w:hAnsi="FrankRuehl" w:cs="FrankRuehl"/>
          <w:rtl/>
        </w:rPr>
        <w:t xml:space="preserve">: </w:t>
      </w:r>
      <w:r w:rsidRPr="00137B49">
        <w:rPr>
          <w:rFonts w:ascii="FrankRuehl" w:hAnsi="FrankRuehl" w:cs="FrankRuehl" w:hint="eastAsia"/>
          <w:rtl/>
        </w:rPr>
        <w:t>סע</w:t>
      </w:r>
      <w:r w:rsidRPr="00137B49">
        <w:rPr>
          <w:rFonts w:ascii="FrankRuehl" w:hAnsi="FrankRuehl" w:cs="FrankRuehl"/>
          <w:rtl/>
        </w:rPr>
        <w:t xml:space="preserve">'  </w:t>
      </w:r>
      <w:hyperlink r:id="rId9" w:history="1">
        <w:r w:rsidRPr="00137B49">
          <w:rPr>
            <w:rFonts w:ascii="FrankRuehl" w:hAnsi="FrankRuehl" w:cs="FrankRuehl"/>
            <w:color w:val="0000FF"/>
            <w:u w:val="single"/>
            <w:rtl/>
          </w:rPr>
          <w:t>348(</w:t>
        </w:r>
        <w:r w:rsidRPr="00137B49">
          <w:rPr>
            <w:rFonts w:ascii="FrankRuehl" w:hAnsi="FrankRuehl" w:cs="FrankRuehl" w:hint="eastAsia"/>
            <w:color w:val="0000FF"/>
            <w:u w:val="single"/>
            <w:rtl/>
          </w:rPr>
          <w:t>ג</w:t>
        </w:r>
        <w:r w:rsidRPr="00137B49">
          <w:rPr>
            <w:rFonts w:ascii="FrankRuehl" w:hAnsi="FrankRuehl" w:cs="FrankRuehl"/>
            <w:color w:val="0000FF"/>
            <w:u w:val="single"/>
            <w:rtl/>
          </w:rPr>
          <w:t>)</w:t>
        </w:r>
      </w:hyperlink>
    </w:p>
    <w:p w14:paraId="1BFDED63" w14:textId="77777777" w:rsidR="00137B49" w:rsidRPr="00137B49" w:rsidRDefault="00137B49" w:rsidP="00137B49">
      <w:pPr>
        <w:spacing w:after="120" w:line="240" w:lineRule="exact"/>
        <w:ind w:left="283" w:hanging="283"/>
        <w:jc w:val="both"/>
        <w:rPr>
          <w:rFonts w:ascii="FrankRuehl" w:hAnsi="FrankRuehl" w:cs="FrankRuehl"/>
          <w:rtl/>
        </w:rPr>
      </w:pPr>
    </w:p>
    <w:p w14:paraId="7788A882" w14:textId="77777777" w:rsidR="0000757F" w:rsidRPr="0000757F" w:rsidRDefault="0000757F">
      <w:pPr>
        <w:rPr>
          <w:rtl/>
        </w:rPr>
      </w:pPr>
      <w:bookmarkStart w:id="4" w:name="LawTable_End"/>
      <w:bookmarkEnd w:id="4"/>
    </w:p>
    <w:p w14:paraId="50B5703F" w14:textId="77777777" w:rsidR="00D928B8" w:rsidRPr="0000757F" w:rsidRDefault="00D928B8">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928B8" w:rsidRPr="0000757F" w14:paraId="250BF01B" w14:textId="77777777">
        <w:trPr>
          <w:trHeight w:val="355"/>
          <w:jc w:val="center"/>
        </w:trPr>
        <w:tc>
          <w:tcPr>
            <w:tcW w:w="8820" w:type="dxa"/>
            <w:tcBorders>
              <w:top w:val="nil"/>
              <w:left w:val="nil"/>
              <w:bottom w:val="nil"/>
              <w:right w:val="nil"/>
            </w:tcBorders>
          </w:tcPr>
          <w:p w14:paraId="5BA005D0" w14:textId="77777777" w:rsidR="00D928B8" w:rsidRPr="0000757F" w:rsidRDefault="0000757F" w:rsidP="0000757F">
            <w:pPr>
              <w:jc w:val="center"/>
              <w:rPr>
                <w:rFonts w:ascii="Arial" w:hAnsi="Arial"/>
                <w:bCs/>
                <w:sz w:val="28"/>
                <w:szCs w:val="28"/>
                <w:rtl/>
              </w:rPr>
            </w:pPr>
            <w:bookmarkStart w:id="5" w:name="PsakDin" w:colFirst="0" w:colLast="0"/>
            <w:bookmarkEnd w:id="0"/>
            <w:r w:rsidRPr="0000757F">
              <w:rPr>
                <w:rFonts w:ascii="Arial" w:hAnsi="Arial"/>
                <w:b/>
                <w:bCs/>
                <w:sz w:val="28"/>
                <w:szCs w:val="28"/>
                <w:rtl/>
              </w:rPr>
              <w:t>הכרעת דין</w:t>
            </w:r>
          </w:p>
        </w:tc>
      </w:tr>
      <w:bookmarkEnd w:id="5"/>
    </w:tbl>
    <w:p w14:paraId="5606F2BB" w14:textId="77777777" w:rsidR="00D928B8" w:rsidRPr="0059243D" w:rsidRDefault="00D928B8" w:rsidP="00F96CE7">
      <w:pPr>
        <w:spacing w:line="360" w:lineRule="auto"/>
        <w:jc w:val="both"/>
        <w:rPr>
          <w:rFonts w:ascii="Arial" w:hAnsi="Arial"/>
          <w:rtl/>
        </w:rPr>
      </w:pPr>
    </w:p>
    <w:p w14:paraId="639ACF3E" w14:textId="77777777" w:rsidR="00D928B8" w:rsidRDefault="00D928B8" w:rsidP="0059243D">
      <w:pPr>
        <w:spacing w:line="360" w:lineRule="auto"/>
        <w:jc w:val="both"/>
        <w:rPr>
          <w:rFonts w:ascii="Arial" w:hAnsi="Arial"/>
          <w:rtl/>
        </w:rPr>
      </w:pPr>
      <w:bookmarkStart w:id="6" w:name="ABSTRACT_START"/>
      <w:bookmarkEnd w:id="6"/>
      <w:r w:rsidRPr="00541E5D">
        <w:rPr>
          <w:rFonts w:ascii="Arial" w:hAnsi="Arial"/>
          <w:b/>
          <w:bCs/>
          <w:rtl/>
        </w:rPr>
        <w:t>בכתב האישום</w:t>
      </w:r>
      <w:r>
        <w:rPr>
          <w:rFonts w:ascii="Arial" w:hAnsi="Arial"/>
          <w:rtl/>
        </w:rPr>
        <w:t xml:space="preserve"> הואשם הנאשם בביצוע מעשים מגונים לפי </w:t>
      </w:r>
      <w:hyperlink r:id="rId10" w:history="1">
        <w:r w:rsidR="00137B49" w:rsidRPr="00137B49">
          <w:rPr>
            <w:rFonts w:ascii="Arial" w:hAnsi="Arial"/>
            <w:color w:val="0000FF"/>
            <w:u w:val="single"/>
            <w:rtl/>
          </w:rPr>
          <w:t>סעיף 348(ג)</w:t>
        </w:r>
      </w:hyperlink>
      <w:r>
        <w:rPr>
          <w:rFonts w:ascii="Arial" w:hAnsi="Arial"/>
          <w:rtl/>
        </w:rPr>
        <w:t xml:space="preserve"> ל</w:t>
      </w:r>
      <w:hyperlink r:id="rId11" w:history="1">
        <w:r w:rsidR="0000757F" w:rsidRPr="0000757F">
          <w:rPr>
            <w:rFonts w:ascii="Arial" w:hAnsi="Arial"/>
            <w:color w:val="0000FF"/>
            <w:u w:val="single"/>
            <w:rtl/>
          </w:rPr>
          <w:t>חוק העונשין</w:t>
        </w:r>
      </w:hyperlink>
      <w:r>
        <w:rPr>
          <w:rFonts w:ascii="Arial" w:hAnsi="Arial"/>
          <w:rtl/>
        </w:rPr>
        <w:t>, תשל"ז-1977, בגין אירוע מיום 23.5.13:</w:t>
      </w:r>
    </w:p>
    <w:p w14:paraId="450D5929" w14:textId="77777777" w:rsidR="00D928B8" w:rsidRDefault="00D928B8" w:rsidP="0059243D">
      <w:pPr>
        <w:spacing w:line="360" w:lineRule="auto"/>
        <w:jc w:val="both"/>
        <w:rPr>
          <w:rFonts w:ascii="Arial" w:hAnsi="Arial"/>
          <w:rtl/>
        </w:rPr>
      </w:pPr>
      <w:r w:rsidRPr="00541E5D">
        <w:rPr>
          <w:rFonts w:ascii="Arial" w:hAnsi="Arial"/>
          <w:b/>
          <w:bCs/>
          <w:rtl/>
        </w:rPr>
        <w:t>אין מחלוקת</w:t>
      </w:r>
      <w:r>
        <w:rPr>
          <w:rFonts w:ascii="Arial" w:hAnsi="Arial"/>
          <w:rtl/>
        </w:rPr>
        <w:t>, שבמועד הנדון בשעת צהריים נסעה המתלוננת באוטובוס מצפון הארץ לתל-אביב ובתחנה המרכזית בעפולה עלה הנאשם לאוטובוס והתיישב לידה</w:t>
      </w:r>
      <w:bookmarkStart w:id="7" w:name="ABSTRACT_END"/>
      <w:bookmarkEnd w:id="7"/>
      <w:r>
        <w:rPr>
          <w:rFonts w:ascii="Arial" w:hAnsi="Arial"/>
          <w:rtl/>
        </w:rPr>
        <w:t xml:space="preserve">. </w:t>
      </w:r>
    </w:p>
    <w:p w14:paraId="2C22595B" w14:textId="77777777" w:rsidR="00D928B8" w:rsidRDefault="00D928B8" w:rsidP="0059243D">
      <w:pPr>
        <w:spacing w:line="360" w:lineRule="auto"/>
        <w:jc w:val="both"/>
        <w:rPr>
          <w:rFonts w:ascii="Arial" w:hAnsi="Arial"/>
          <w:rtl/>
        </w:rPr>
      </w:pPr>
      <w:r w:rsidRPr="00541E5D">
        <w:rPr>
          <w:rFonts w:ascii="Arial" w:hAnsi="Arial"/>
          <w:b/>
          <w:bCs/>
          <w:rtl/>
        </w:rPr>
        <w:t>לטענת התביעה</w:t>
      </w:r>
      <w:r>
        <w:rPr>
          <w:rFonts w:ascii="Arial" w:hAnsi="Arial"/>
          <w:rtl/>
        </w:rPr>
        <w:t>, לאחר שהמתלוננת נרדמה, ביצע בה הנאשם מעשים מגונים באופן חוזר ונשנה, על-ידי כך שמספר פעמים תפס בידו את שדהּ הימני, לשם גירוי סיפוק או ביזוי מיניים, כשהוא עושה עצמו ישן.</w:t>
      </w:r>
    </w:p>
    <w:p w14:paraId="3CCABB45" w14:textId="77777777" w:rsidR="00D928B8" w:rsidRDefault="00D928B8" w:rsidP="0059243D">
      <w:pPr>
        <w:spacing w:line="360" w:lineRule="auto"/>
        <w:jc w:val="both"/>
        <w:rPr>
          <w:rFonts w:ascii="Arial" w:hAnsi="Arial"/>
          <w:rtl/>
        </w:rPr>
      </w:pPr>
      <w:r w:rsidRPr="00541E5D">
        <w:rPr>
          <w:rFonts w:ascii="Arial" w:hAnsi="Arial"/>
          <w:b/>
          <w:bCs/>
          <w:rtl/>
        </w:rPr>
        <w:t>לטענת ההגנה</w:t>
      </w:r>
      <w:r>
        <w:rPr>
          <w:rFonts w:ascii="Arial" w:hAnsi="Arial"/>
          <w:rtl/>
        </w:rPr>
        <w:t>, הנאשם אכן ישב ליד המתלוננת, אך נרדם ולא התעורר כלל אלא לאחר שהמתלוננת העירה אותו ודרשה שימסור לה את שמו. ודאי שלא ביצע את המיוחס לו, אלא לכל היותר היה מגע אקראי מתוך שינה.</w:t>
      </w:r>
    </w:p>
    <w:p w14:paraId="487F1D48" w14:textId="77777777" w:rsidR="00D928B8" w:rsidRDefault="00D928B8" w:rsidP="0059243D">
      <w:pPr>
        <w:spacing w:line="360" w:lineRule="auto"/>
        <w:jc w:val="both"/>
        <w:rPr>
          <w:rFonts w:ascii="Arial" w:hAnsi="Arial"/>
          <w:rtl/>
        </w:rPr>
      </w:pPr>
    </w:p>
    <w:p w14:paraId="4F933D7B" w14:textId="77777777" w:rsidR="00D928B8" w:rsidRDefault="00D928B8" w:rsidP="00541E5D">
      <w:pPr>
        <w:spacing w:line="360" w:lineRule="auto"/>
        <w:jc w:val="both"/>
        <w:rPr>
          <w:rFonts w:ascii="Arial" w:hAnsi="Arial"/>
          <w:rtl/>
        </w:rPr>
      </w:pPr>
      <w:r>
        <w:rPr>
          <w:rFonts w:ascii="Arial" w:hAnsi="Arial"/>
          <w:b/>
          <w:bCs/>
          <w:rtl/>
        </w:rPr>
        <w:t>המתלוננת</w:t>
      </w:r>
      <w:r>
        <w:rPr>
          <w:rFonts w:ascii="Arial" w:hAnsi="Arial"/>
          <w:rtl/>
        </w:rPr>
        <w:t xml:space="preserve">, שהיתה כבת 18 בעת האירוע, העידה ומסרה שבמועד הנ"ל נסעה לתל-אביב יחד עם חברותיה מיקה ושקד, ושלושתן ישבו במושב האחורי באוטובוס – שקד ליד החלון השמאלי (מנקודת מבט של היושבים), מימינה מיקה, והמתלוננת שישבה מימינה של מיקה תפסה את המושב </w:t>
      </w:r>
      <w:r>
        <w:rPr>
          <w:rFonts w:ascii="Arial" w:hAnsi="Arial"/>
          <w:rtl/>
        </w:rPr>
        <w:lastRenderedPageBreak/>
        <w:t>האמצעי בשורה, כשעל ברכיה תיק הגב הגדול שלה. ליד החלון השמאלי ישב בחור. בעפולה עלה הנאשם לאוטובוס והתיישב במקום הפנוי שמימינה של המתלוננת, אף שהיו מקומות פנויים נוספים באוטובוס. הנאשם נראה כנרדם וגם המתלוננת נרדמה, ואז התעוררה לפתע כשידו של הנאשם לופתת את שדהּ הימני – "זאת היתה ממש לפיתה" – כשהיד נמצאת בין גופה לבין התיק שעל ברכיה. כשהבינה המתלוננת מה שקרה, העיפה את ידו. עיניו של הנאשם נותרו עצומות אך המתלוננת לא נרדמה שוב. לאחר מספר דקות שב הנאשם על המעשה, ושוב העיפה המתלוננת את ידו, וכך עוד פעמיים או שלוש. בהמשך הנאשם הניח ידו על בטנה של המתלוננת והיא העיפה לו את היד, אז הניח ידו על פנים ירכה והיא העיפה לו את היד.</w:t>
      </w:r>
    </w:p>
    <w:p w14:paraId="5EAA67DB" w14:textId="77777777" w:rsidR="00D928B8" w:rsidRPr="00541E5D" w:rsidRDefault="00D928B8" w:rsidP="008F742D">
      <w:pPr>
        <w:spacing w:line="360" w:lineRule="auto"/>
        <w:jc w:val="both"/>
        <w:rPr>
          <w:rFonts w:ascii="Arial" w:hAnsi="Arial"/>
          <w:rtl/>
        </w:rPr>
      </w:pPr>
      <w:r>
        <w:rPr>
          <w:rFonts w:ascii="Arial" w:hAnsi="Arial"/>
          <w:rtl/>
        </w:rPr>
        <w:t>המתלוננת הסבירה שקפאה במקומה, והחליטה שלא לעבור מקום כי רצתה להביא ללכידתו של הנאשם – "גם אם אקום וארד מהאוטובוס... זה ייגמר שם, ואז הוא יעלה לאוטובוס הבא ויעשה את אותם דברים. מאוד רציתי להתלונן... זו אחריות כבדה מדי שהוא יעשה את זה לאחרות. נשארתי שם עד שיהיה לי את האומץ להתלונן". ואכן, כשהגיע האוטובוס לתחנת תל-אביב – ארלוזורוב דרשה המתלוננת מהנאשם שיאמר לה את שמו והאשימה אותו שהטריד אותה והיא רוצה להתלונן עליו. הנאשם הכחיש, החל ויכוח ביניהם ואז התערב גבר שאמר למתלוננת להתקשר למשטרה ולנאשם לרדת מהאוטובוס איתם. כך ירדו מהאוטובוס המתלוננת (אף שלא היתה זו התחנה שלה), שתי חברותיה, הנאשם, הגבר וחייל נוסף שביקש לסייע. המתלוננת שמעה וראתה שגם הנאשם מתקשר למשטרה. הגבר והחייל נצמדו לנאשם גם כשהלך לכאן ולשם בתואנות שונות, וכך עד שהגיעה המשטרה ולקחה את המעורבים לחקירה.</w:t>
      </w:r>
    </w:p>
    <w:p w14:paraId="4A5F2409" w14:textId="77777777" w:rsidR="00D928B8" w:rsidRDefault="00D928B8" w:rsidP="00B131F2">
      <w:pPr>
        <w:spacing w:line="360" w:lineRule="auto"/>
        <w:jc w:val="both"/>
        <w:rPr>
          <w:rFonts w:ascii="Arial" w:hAnsi="Arial"/>
          <w:rtl/>
        </w:rPr>
      </w:pPr>
      <w:r>
        <w:rPr>
          <w:rFonts w:ascii="Arial" w:hAnsi="Arial"/>
          <w:b/>
          <w:bCs/>
          <w:rtl/>
        </w:rPr>
        <w:t xml:space="preserve">ההתרשמות מעדות המתלוננת היתה חיובית ביותר: </w:t>
      </w:r>
      <w:r>
        <w:rPr>
          <w:rFonts w:ascii="Arial" w:hAnsi="Arial"/>
          <w:rtl/>
        </w:rPr>
        <w:t>המתלוננת מסרה דבריה בזהירות ובאיפוק, כשהיא מבחינה היטב בין פרטים שזכרה לפרטים אותם זכרה פחות או שכחה. העדות נמסרה באופן קוהרנטי וקולח, והמתלוננת הסבירה היטב את תחושותיה בעת המעשים. לפי התרשמותי, מדובר באישה צעירה שברגיל הינה בטוחה בעצמה ואסרטיבית, כשהמצב אליו נקלעה גרם לה לאבדן שליטה ולקיפאון אותו חשה. מחויבותה הברורה של המתלוננת לערכים ולזולת – מדובר במי שעשתה שנת שירות והדריכה בתנועת נוער באותה עת – באה לביטוי ממשי בתחושתה שעליה להקריב את נוחותה ולהתעלם מחששותיה, כדי להביא ללכידת הנאשם ולמנוע חוויות קשות מנשים אחרות.</w:t>
      </w:r>
    </w:p>
    <w:p w14:paraId="3EF64131" w14:textId="77777777" w:rsidR="00D928B8" w:rsidRDefault="00D928B8" w:rsidP="005627F4">
      <w:pPr>
        <w:spacing w:line="360" w:lineRule="auto"/>
        <w:jc w:val="both"/>
        <w:rPr>
          <w:rFonts w:ascii="Arial" w:hAnsi="Arial"/>
          <w:rtl/>
        </w:rPr>
      </w:pPr>
    </w:p>
    <w:p w14:paraId="082FB910" w14:textId="77777777" w:rsidR="00D928B8" w:rsidRDefault="00D928B8" w:rsidP="005627F4">
      <w:pPr>
        <w:spacing w:line="360" w:lineRule="auto"/>
        <w:jc w:val="both"/>
        <w:rPr>
          <w:rFonts w:ascii="Arial" w:hAnsi="Arial"/>
          <w:rtl/>
        </w:rPr>
      </w:pPr>
      <w:r>
        <w:rPr>
          <w:rFonts w:ascii="Arial" w:hAnsi="Arial"/>
          <w:b/>
          <w:bCs/>
          <w:rtl/>
        </w:rPr>
        <w:t>אומר מיד, שעדותה של המתלוננת זכתה לאמוני המלא ברמה המאפשרת הסתמכות עליה-לבדה כבסיס להרשעה, הגם שמדובר בעדות יחידה, והשוו האמור ב</w:t>
      </w:r>
      <w:hyperlink r:id="rId12" w:history="1">
        <w:r w:rsidR="0000757F" w:rsidRPr="0000757F">
          <w:rPr>
            <w:rFonts w:ascii="Arial" w:hAnsi="Arial"/>
            <w:b/>
            <w:bCs/>
            <w:color w:val="0000FF"/>
            <w:u w:val="single"/>
            <w:rtl/>
          </w:rPr>
          <w:t>ע"פ 8148/11</w:t>
        </w:r>
      </w:hyperlink>
      <w:r w:rsidRPr="005627F4">
        <w:rPr>
          <w:rFonts w:ascii="Arial" w:hAnsi="Arial"/>
          <w:b/>
          <w:bCs/>
          <w:rtl/>
        </w:rPr>
        <w:t xml:space="preserve"> </w:t>
      </w:r>
      <w:r w:rsidRPr="00143932">
        <w:rPr>
          <w:rFonts w:ascii="Arial" w:hAnsi="Arial"/>
          <w:b/>
          <w:bCs/>
          <w:i/>
          <w:iCs/>
          <w:rtl/>
        </w:rPr>
        <w:t>מנשה נ' מ.י.</w:t>
      </w:r>
      <w:r w:rsidRPr="005627F4">
        <w:rPr>
          <w:rFonts w:ascii="Arial" w:hAnsi="Arial"/>
          <w:b/>
          <w:bCs/>
          <w:rtl/>
        </w:rPr>
        <w:t xml:space="preserve"> (2013)</w:t>
      </w:r>
      <w:r>
        <w:rPr>
          <w:rFonts w:ascii="Arial" w:hAnsi="Arial"/>
          <w:b/>
          <w:bCs/>
          <w:rtl/>
        </w:rPr>
        <w:t>. עם-זאת, לצד העדות תמיכות ממשיות ביותר, כפי שיפורט להלן:</w:t>
      </w:r>
    </w:p>
    <w:p w14:paraId="29DB607F" w14:textId="77777777" w:rsidR="00D928B8" w:rsidRDefault="00D928B8" w:rsidP="005627F4">
      <w:pPr>
        <w:spacing w:line="360" w:lineRule="auto"/>
        <w:jc w:val="both"/>
        <w:rPr>
          <w:rFonts w:ascii="Arial" w:hAnsi="Arial"/>
          <w:rtl/>
        </w:rPr>
      </w:pPr>
    </w:p>
    <w:p w14:paraId="6011BF20" w14:textId="77777777" w:rsidR="00D928B8" w:rsidRPr="002318CB" w:rsidRDefault="00D928B8" w:rsidP="00812747">
      <w:pPr>
        <w:spacing w:line="360" w:lineRule="auto"/>
        <w:jc w:val="both"/>
        <w:rPr>
          <w:rFonts w:ascii="Arial" w:hAnsi="Arial"/>
          <w:rtl/>
        </w:rPr>
      </w:pPr>
      <w:r w:rsidRPr="002318CB">
        <w:rPr>
          <w:rFonts w:ascii="Arial" w:hAnsi="Arial"/>
          <w:b/>
          <w:bCs/>
          <w:rtl/>
        </w:rPr>
        <w:t>א.</w:t>
      </w:r>
      <w:r w:rsidRPr="002318CB">
        <w:rPr>
          <w:rFonts w:ascii="Arial" w:hAnsi="Arial"/>
          <w:b/>
          <w:bCs/>
          <w:rtl/>
        </w:rPr>
        <w:tab/>
        <w:t>תלונה תכופה ומצב נפשי מיד לאחר המעשים:</w:t>
      </w:r>
      <w:r w:rsidRPr="002318CB">
        <w:rPr>
          <w:rFonts w:ascii="Arial" w:hAnsi="Arial"/>
          <w:rtl/>
        </w:rPr>
        <w:t xml:space="preserve"> </w:t>
      </w:r>
    </w:p>
    <w:p w14:paraId="23DE2A69" w14:textId="77777777" w:rsidR="00D928B8" w:rsidRDefault="00D928B8" w:rsidP="00143932">
      <w:pPr>
        <w:pStyle w:val="ListParagraph"/>
        <w:numPr>
          <w:ilvl w:val="0"/>
          <w:numId w:val="7"/>
        </w:numPr>
        <w:spacing w:line="360" w:lineRule="auto"/>
        <w:jc w:val="both"/>
        <w:rPr>
          <w:rFonts w:ascii="Arial" w:hAnsi="Arial"/>
        </w:rPr>
      </w:pPr>
      <w:r w:rsidRPr="00143932">
        <w:rPr>
          <w:rFonts w:ascii="Arial" w:hAnsi="Arial"/>
          <w:rtl/>
        </w:rPr>
        <w:t xml:space="preserve">מיקה, חברתה של המתלוננת, התעוררה מקולות הוויכוח של המתלוננת והנאשם, ותיארה את מצבה של המתלוננת  -"יושבת מקופלת כזה... כל הגוף שלה היה מכווץ פנימה... היתה כמו מקופלת מבפנים... זה לא התאים ל[מתלוננת]... זה לא אופייני ל[מתלוננת]... היא </w:t>
      </w:r>
      <w:r w:rsidRPr="00143932">
        <w:rPr>
          <w:rFonts w:ascii="Arial" w:hAnsi="Arial"/>
          <w:rtl/>
        </w:rPr>
        <w:lastRenderedPageBreak/>
        <w:t>בקושי דיברה והקול היה חלש... ביום-יום [המתלוננת] זקופה... היא זאת שתהיה אסרטיבית... היא תעמוד על שלה". מיקה שחשה שמשהו קרה שאלה את המת</w:t>
      </w:r>
      <w:r>
        <w:rPr>
          <w:rFonts w:ascii="Arial" w:hAnsi="Arial"/>
          <w:rtl/>
        </w:rPr>
        <w:t>לוננת אם הנאשם עשה לה משהו והמתלוננת</w:t>
      </w:r>
      <w:r w:rsidRPr="00143932">
        <w:rPr>
          <w:rFonts w:ascii="Arial" w:hAnsi="Arial"/>
          <w:rtl/>
        </w:rPr>
        <w:t xml:space="preserve"> השיבה בחיוב. באוטובוס אמרה המתלוננת למיקה שהנאשם נגע בה או הטריד אותה, וכשהמשטר</w:t>
      </w:r>
      <w:r>
        <w:rPr>
          <w:rFonts w:ascii="Arial" w:hAnsi="Arial"/>
          <w:rtl/>
        </w:rPr>
        <w:t>ה הגיעה שמעה מיקה פרטים נוספים;</w:t>
      </w:r>
    </w:p>
    <w:p w14:paraId="1D0DB452" w14:textId="77777777" w:rsidR="00D928B8" w:rsidRPr="00143932" w:rsidRDefault="00D928B8" w:rsidP="00143932">
      <w:pPr>
        <w:pStyle w:val="ListParagraph"/>
        <w:numPr>
          <w:ilvl w:val="0"/>
          <w:numId w:val="7"/>
        </w:numPr>
        <w:spacing w:line="360" w:lineRule="auto"/>
        <w:jc w:val="both"/>
        <w:rPr>
          <w:rFonts w:ascii="Arial" w:hAnsi="Arial"/>
          <w:rtl/>
        </w:rPr>
      </w:pPr>
      <w:r>
        <w:rPr>
          <w:rFonts w:ascii="Arial" w:hAnsi="Arial"/>
          <w:rtl/>
        </w:rPr>
        <w:t>מצאתי את עדותה של מיקה אמינה, לנוכח הזהירות בה נמסרה, הדיוק בפרטים והעובדה כי עיקריה אינם במחלוקת כלל. לא מצאתי כל סימן לתיאום גרסאות שבכוחו לכרסם במשקל הפוטנציאלי של העדות;</w:t>
      </w:r>
    </w:p>
    <w:p w14:paraId="31CB6DC7" w14:textId="77777777" w:rsidR="00D928B8" w:rsidRDefault="00D928B8" w:rsidP="00143932">
      <w:pPr>
        <w:pStyle w:val="ListParagraph"/>
        <w:numPr>
          <w:ilvl w:val="0"/>
          <w:numId w:val="7"/>
        </w:numPr>
        <w:spacing w:line="360" w:lineRule="auto"/>
        <w:jc w:val="both"/>
        <w:rPr>
          <w:rFonts w:ascii="Arial" w:hAnsi="Arial"/>
        </w:rPr>
      </w:pPr>
      <w:r w:rsidRPr="00143932">
        <w:rPr>
          <w:rFonts w:ascii="Arial" w:hAnsi="Arial"/>
          <w:rtl/>
        </w:rPr>
        <w:t>אין מחלוקת, כי המתלוננת ביקשה להתלונן בהזדמנות הראשונה, בתחנה הראשונה בה עצר האוטובו</w:t>
      </w:r>
      <w:r>
        <w:rPr>
          <w:rFonts w:ascii="Arial" w:hAnsi="Arial"/>
          <w:rtl/>
        </w:rPr>
        <w:t>ס, אף שלא היתה זו תחנת היעד שלה;</w:t>
      </w:r>
    </w:p>
    <w:p w14:paraId="643F49C7" w14:textId="77777777" w:rsidR="00D928B8" w:rsidRPr="00143932" w:rsidRDefault="00D928B8" w:rsidP="00097955">
      <w:pPr>
        <w:pStyle w:val="ListParagraph"/>
        <w:numPr>
          <w:ilvl w:val="0"/>
          <w:numId w:val="7"/>
        </w:numPr>
        <w:spacing w:line="360" w:lineRule="auto"/>
        <w:jc w:val="both"/>
        <w:rPr>
          <w:rFonts w:ascii="Arial" w:hAnsi="Arial"/>
          <w:rtl/>
        </w:rPr>
      </w:pPr>
      <w:r>
        <w:rPr>
          <w:rFonts w:ascii="Arial" w:hAnsi="Arial"/>
          <w:rtl/>
        </w:rPr>
        <w:t>שינוי דרסטי זה בהתנהגותה של המתלוננת, יחד עם תלונתה התכופה, מהווים תמיכות של-ממש בדבריה, לפיהם עברה אירוע טראומטי של תקיפה מינית;</w:t>
      </w:r>
    </w:p>
    <w:p w14:paraId="6AFE3301" w14:textId="77777777" w:rsidR="00D928B8" w:rsidRDefault="00D928B8" w:rsidP="00812747">
      <w:pPr>
        <w:spacing w:line="360" w:lineRule="auto"/>
        <w:jc w:val="both"/>
        <w:rPr>
          <w:rFonts w:ascii="Arial" w:hAnsi="Arial"/>
          <w:rtl/>
        </w:rPr>
      </w:pPr>
    </w:p>
    <w:p w14:paraId="34F793CB" w14:textId="77777777" w:rsidR="00D928B8" w:rsidRPr="002318CB" w:rsidRDefault="00D928B8" w:rsidP="00812747">
      <w:pPr>
        <w:spacing w:line="360" w:lineRule="auto"/>
        <w:jc w:val="both"/>
        <w:rPr>
          <w:rFonts w:ascii="Arial" w:hAnsi="Arial"/>
          <w:rtl/>
        </w:rPr>
      </w:pPr>
      <w:r w:rsidRPr="002318CB">
        <w:rPr>
          <w:rFonts w:ascii="Arial" w:hAnsi="Arial"/>
          <w:b/>
          <w:bCs/>
          <w:rtl/>
        </w:rPr>
        <w:t>ב.</w:t>
      </w:r>
      <w:r w:rsidRPr="002318CB">
        <w:rPr>
          <w:rFonts w:ascii="Arial" w:hAnsi="Arial"/>
          <w:b/>
          <w:bCs/>
          <w:rtl/>
        </w:rPr>
        <w:tab/>
        <w:t xml:space="preserve">"מעשים דומים": </w:t>
      </w:r>
    </w:p>
    <w:p w14:paraId="18ED91EA" w14:textId="77777777" w:rsidR="00D928B8" w:rsidRDefault="00D928B8" w:rsidP="008862B1">
      <w:pPr>
        <w:pStyle w:val="ListParagraph"/>
        <w:numPr>
          <w:ilvl w:val="0"/>
          <w:numId w:val="10"/>
        </w:numPr>
        <w:spacing w:line="360" w:lineRule="auto"/>
        <w:jc w:val="both"/>
        <w:rPr>
          <w:rFonts w:ascii="Arial" w:hAnsi="Arial"/>
        </w:rPr>
      </w:pPr>
      <w:r w:rsidRPr="00F34602">
        <w:rPr>
          <w:rFonts w:ascii="Arial" w:hAnsi="Arial"/>
          <w:rtl/>
        </w:rPr>
        <w:t>הדוקטרינה של "מעשים דומים" נשאבה למשפט הישראלי לפני שנים רבות, וראו ההלכה המנחה שנקבעה ב</w:t>
      </w:r>
      <w:hyperlink r:id="rId13" w:history="1">
        <w:r w:rsidR="0000757F" w:rsidRPr="0000757F">
          <w:rPr>
            <w:rFonts w:ascii="Arial" w:hAnsi="Arial"/>
            <w:color w:val="0000FF"/>
            <w:u w:val="single"/>
            <w:rtl/>
          </w:rPr>
          <w:t>ע"פ 265/64</w:t>
        </w:r>
      </w:hyperlink>
      <w:r w:rsidRPr="00F34602">
        <w:rPr>
          <w:rFonts w:ascii="Arial" w:hAnsi="Arial"/>
          <w:rtl/>
        </w:rPr>
        <w:t xml:space="preserve"> </w:t>
      </w:r>
      <w:r w:rsidRPr="00F34602">
        <w:rPr>
          <w:rFonts w:ascii="Arial" w:hAnsi="Arial"/>
          <w:b/>
          <w:bCs/>
          <w:rtl/>
        </w:rPr>
        <w:t xml:space="preserve">שיוביץ נ' היו"מ </w:t>
      </w:r>
      <w:r w:rsidRPr="00F34602">
        <w:rPr>
          <w:rFonts w:ascii="Arial" w:hAnsi="Arial"/>
          <w:rtl/>
        </w:rPr>
        <w:t>(1965) ובוססה שוב ושוב, תוך השפעת התפתחויות שבדין האמריקאי (כפי שנאמר ב</w:t>
      </w:r>
      <w:hyperlink r:id="rId14" w:history="1">
        <w:r w:rsidR="0000757F" w:rsidRPr="0000757F">
          <w:rPr>
            <w:rFonts w:ascii="Arial" w:hAnsi="Arial"/>
            <w:color w:val="0000FF"/>
            <w:u w:val="single"/>
            <w:rtl/>
          </w:rPr>
          <w:t>ע"פ 411/04</w:t>
        </w:r>
      </w:hyperlink>
      <w:r w:rsidRPr="00F34602">
        <w:rPr>
          <w:rFonts w:ascii="Arial" w:hAnsi="Arial"/>
          <w:rtl/>
        </w:rPr>
        <w:t xml:space="preserve"> </w:t>
      </w:r>
      <w:r w:rsidRPr="00F34602">
        <w:rPr>
          <w:rFonts w:ascii="Arial" w:hAnsi="Arial"/>
          <w:b/>
          <w:bCs/>
          <w:rtl/>
        </w:rPr>
        <w:t xml:space="preserve">טטרו נ' מ.י. </w:t>
      </w:r>
      <w:r w:rsidRPr="00F34602">
        <w:rPr>
          <w:rFonts w:ascii="Arial" w:hAnsi="Arial"/>
          <w:rtl/>
        </w:rPr>
        <w:t xml:space="preserve"> (2006)</w:t>
      </w:r>
      <w:r>
        <w:rPr>
          <w:rFonts w:ascii="Arial" w:hAnsi="Arial"/>
          <w:rtl/>
        </w:rPr>
        <w:t xml:space="preserve"> בסעיף 13</w:t>
      </w:r>
      <w:r w:rsidRPr="00F34602">
        <w:rPr>
          <w:rFonts w:ascii="Arial" w:hAnsi="Arial"/>
          <w:rtl/>
        </w:rPr>
        <w:t xml:space="preserve">). בתמצית, "עדות בדבר מעשים דומים" נועדה להוכיח את קיומה של מחשבה פלילית, בשונה ממעשה-אקראי או מעשה שבתום-לב, כאשר זהות המבצע ועצם ביצוע המעשה אינם שנויים במחלוקת. כמעט מאליו יובן, שדוקטרינה זו שימשה גם לעניין עבירות מין. </w:t>
      </w:r>
      <w:r>
        <w:rPr>
          <w:rFonts w:ascii="Arial" w:hAnsi="Arial"/>
          <w:rtl/>
        </w:rPr>
        <w:t xml:space="preserve">לדגומה ראו </w:t>
      </w:r>
      <w:hyperlink r:id="rId15" w:history="1">
        <w:r w:rsidR="0000757F" w:rsidRPr="0000757F">
          <w:rPr>
            <w:rFonts w:ascii="Arial" w:hAnsi="Arial"/>
            <w:color w:val="0000FF"/>
            <w:u w:val="single"/>
            <w:rtl/>
          </w:rPr>
          <w:t>ע"פ 7024/93</w:t>
        </w:r>
      </w:hyperlink>
      <w:r w:rsidRPr="00F34602">
        <w:rPr>
          <w:rFonts w:ascii="Arial" w:hAnsi="Arial"/>
          <w:rtl/>
        </w:rPr>
        <w:t xml:space="preserve"> </w:t>
      </w:r>
      <w:r w:rsidRPr="00F34602">
        <w:rPr>
          <w:rFonts w:ascii="Arial" w:hAnsi="Arial"/>
          <w:b/>
          <w:bCs/>
          <w:rtl/>
        </w:rPr>
        <w:t>פלח נ' מ.י.</w:t>
      </w:r>
      <w:r w:rsidRPr="00F34602">
        <w:rPr>
          <w:rFonts w:ascii="Arial" w:hAnsi="Arial"/>
          <w:rtl/>
        </w:rPr>
        <w:t xml:space="preserve"> (1995)</w:t>
      </w:r>
      <w:r>
        <w:rPr>
          <w:rFonts w:ascii="Arial" w:hAnsi="Arial"/>
          <w:rtl/>
        </w:rPr>
        <w:t>, שם</w:t>
      </w:r>
      <w:r w:rsidRPr="00F34602">
        <w:rPr>
          <w:rFonts w:ascii="Arial" w:hAnsi="Arial"/>
          <w:rtl/>
        </w:rPr>
        <w:t xml:space="preserve"> הסתמך בית המשפט העליון על דוקטרינה זו, בין יתר הראיות, כראיה לכך שמעשים מיניים שביצע נאשם בנפגעות היו אכ</w:t>
      </w:r>
      <w:r>
        <w:rPr>
          <w:rFonts w:ascii="Arial" w:hAnsi="Arial"/>
          <w:rtl/>
        </w:rPr>
        <w:t>ן מעשי עבירה ולא מעשים שבתום-לב;</w:t>
      </w:r>
    </w:p>
    <w:p w14:paraId="6D037634" w14:textId="77777777" w:rsidR="00D928B8" w:rsidRDefault="00D928B8" w:rsidP="00143932">
      <w:pPr>
        <w:pStyle w:val="ListParagraph"/>
        <w:numPr>
          <w:ilvl w:val="0"/>
          <w:numId w:val="10"/>
        </w:numPr>
        <w:spacing w:line="360" w:lineRule="auto"/>
        <w:jc w:val="both"/>
        <w:rPr>
          <w:rFonts w:ascii="Arial" w:hAnsi="Arial"/>
        </w:rPr>
      </w:pPr>
      <w:r w:rsidRPr="005263D5">
        <w:rPr>
          <w:rFonts w:ascii="Arial" w:hAnsi="Arial"/>
          <w:rtl/>
        </w:rPr>
        <w:t>ראיה לעניין "מעשים דומים" אינה צריכה לעמוד בכללים המחמירים שנקבעו ביחס ל"עדות שיטה" שמטרתה לשמש לזיהוי הנאשם. זה מכבר נקבע, כי לא ניתן ואף אין צורך בקביעת קריטריונים ברורים, גורפים ונוקשים בסוגיה זו (</w:t>
      </w:r>
      <w:r>
        <w:rPr>
          <w:rFonts w:ascii="Arial" w:hAnsi="Arial"/>
          <w:rtl/>
        </w:rPr>
        <w:t xml:space="preserve">וראו </w:t>
      </w:r>
      <w:hyperlink r:id="rId16" w:history="1">
        <w:r w:rsidR="0000757F" w:rsidRPr="0000757F">
          <w:rPr>
            <w:rFonts w:ascii="Arial" w:hAnsi="Arial"/>
            <w:color w:val="0000FF"/>
            <w:u w:val="single"/>
            <w:rtl/>
          </w:rPr>
          <w:t>ע"פ 5385/13</w:t>
        </w:r>
      </w:hyperlink>
      <w:r w:rsidRPr="005263D5">
        <w:rPr>
          <w:rFonts w:ascii="Arial" w:hAnsi="Arial"/>
          <w:rtl/>
        </w:rPr>
        <w:t xml:space="preserve"> </w:t>
      </w:r>
      <w:r w:rsidRPr="005263D5">
        <w:rPr>
          <w:rFonts w:ascii="Arial" w:hAnsi="Arial"/>
          <w:b/>
          <w:bCs/>
          <w:rtl/>
        </w:rPr>
        <w:t>פלוני נ' מי.</w:t>
      </w:r>
      <w:r w:rsidRPr="005263D5">
        <w:rPr>
          <w:rFonts w:ascii="Arial" w:hAnsi="Arial"/>
          <w:rtl/>
        </w:rPr>
        <w:t xml:space="preserve"> (2013) בסעיף 37;</w:t>
      </w:r>
      <w:r>
        <w:rPr>
          <w:rFonts w:ascii="Arial" w:hAnsi="Arial"/>
          <w:rtl/>
        </w:rPr>
        <w:t xml:space="preserve"> </w:t>
      </w:r>
      <w:hyperlink r:id="rId17" w:history="1">
        <w:r w:rsidR="0000757F" w:rsidRPr="0000757F">
          <w:rPr>
            <w:rFonts w:ascii="Arial" w:hAnsi="Arial"/>
            <w:color w:val="0000FF"/>
            <w:u w:val="single"/>
            <w:rtl/>
          </w:rPr>
          <w:t>ע"פ 9657/05</w:t>
        </w:r>
      </w:hyperlink>
      <w:r>
        <w:rPr>
          <w:rFonts w:ascii="Arial" w:hAnsi="Arial"/>
          <w:rtl/>
        </w:rPr>
        <w:t xml:space="preserve"> </w:t>
      </w:r>
      <w:r>
        <w:rPr>
          <w:rFonts w:ascii="Arial" w:hAnsi="Arial"/>
          <w:b/>
          <w:bCs/>
          <w:rtl/>
        </w:rPr>
        <w:t>פלוני נ' מ.י.</w:t>
      </w:r>
      <w:r>
        <w:rPr>
          <w:rFonts w:ascii="Arial" w:hAnsi="Arial"/>
          <w:rtl/>
        </w:rPr>
        <w:t xml:space="preserve"> (2009) בסעיף 23;</w:t>
      </w:r>
      <w:r w:rsidRPr="005263D5">
        <w:rPr>
          <w:rFonts w:ascii="Arial" w:hAnsi="Arial"/>
          <w:rtl/>
        </w:rPr>
        <w:t xml:space="preserve"> </w:t>
      </w:r>
      <w:hyperlink r:id="rId18" w:history="1">
        <w:r w:rsidR="0000757F" w:rsidRPr="0000757F">
          <w:rPr>
            <w:rFonts w:ascii="Arial" w:hAnsi="Arial"/>
            <w:color w:val="0000FF"/>
            <w:u w:val="single"/>
            <w:rtl/>
          </w:rPr>
          <w:t>ע"פ 854/04</w:t>
        </w:r>
      </w:hyperlink>
      <w:r w:rsidRPr="005263D5">
        <w:rPr>
          <w:rFonts w:ascii="Arial" w:hAnsi="Arial"/>
          <w:rtl/>
        </w:rPr>
        <w:t xml:space="preserve"> </w:t>
      </w:r>
      <w:r w:rsidRPr="005263D5">
        <w:rPr>
          <w:rFonts w:ascii="Arial" w:hAnsi="Arial"/>
          <w:b/>
          <w:bCs/>
          <w:rtl/>
        </w:rPr>
        <w:t>פלוני נ' מ.י.</w:t>
      </w:r>
      <w:r w:rsidRPr="005263D5">
        <w:rPr>
          <w:rFonts w:ascii="Arial" w:hAnsi="Arial"/>
          <w:rtl/>
        </w:rPr>
        <w:t xml:space="preserve"> (2005) בסעיף 19;</w:t>
      </w:r>
      <w:r>
        <w:rPr>
          <w:rFonts w:ascii="Arial" w:hAnsi="Arial"/>
          <w:rtl/>
        </w:rPr>
        <w:t xml:space="preserve"> </w:t>
      </w:r>
      <w:hyperlink r:id="rId19" w:history="1">
        <w:r w:rsidR="0000757F" w:rsidRPr="0000757F">
          <w:rPr>
            <w:rFonts w:ascii="Arial" w:hAnsi="Arial"/>
            <w:color w:val="0000FF"/>
            <w:u w:val="single"/>
            <w:rtl/>
          </w:rPr>
          <w:t>ע"פ 6279/03</w:t>
        </w:r>
      </w:hyperlink>
      <w:r>
        <w:rPr>
          <w:rFonts w:ascii="Arial" w:hAnsi="Arial"/>
          <w:rtl/>
        </w:rPr>
        <w:t xml:space="preserve"> </w:t>
      </w:r>
      <w:r>
        <w:rPr>
          <w:rFonts w:ascii="Arial" w:hAnsi="Arial"/>
          <w:b/>
          <w:bCs/>
          <w:rtl/>
        </w:rPr>
        <w:t xml:space="preserve">פלוני נ' מ.י. </w:t>
      </w:r>
      <w:r>
        <w:rPr>
          <w:rFonts w:ascii="Arial" w:hAnsi="Arial"/>
          <w:rtl/>
        </w:rPr>
        <w:t>(2004) בסעיף 12;</w:t>
      </w:r>
      <w:r w:rsidRPr="005263D5">
        <w:rPr>
          <w:rFonts w:ascii="Arial" w:hAnsi="Arial"/>
          <w:rtl/>
        </w:rPr>
        <w:t xml:space="preserve"> </w:t>
      </w:r>
      <w:hyperlink r:id="rId20" w:history="1">
        <w:r w:rsidR="0000757F" w:rsidRPr="0000757F">
          <w:rPr>
            <w:rFonts w:ascii="Arial" w:hAnsi="Arial"/>
            <w:color w:val="0000FF"/>
            <w:u w:val="single"/>
            <w:rtl/>
          </w:rPr>
          <w:t>ע"פ 4721/99</w:t>
        </w:r>
      </w:hyperlink>
      <w:r w:rsidRPr="005263D5">
        <w:rPr>
          <w:rFonts w:ascii="Arial" w:hAnsi="Arial"/>
          <w:rtl/>
        </w:rPr>
        <w:t xml:space="preserve"> </w:t>
      </w:r>
      <w:r w:rsidRPr="005263D5">
        <w:rPr>
          <w:rFonts w:ascii="Arial" w:hAnsi="Arial"/>
          <w:b/>
          <w:bCs/>
          <w:rtl/>
        </w:rPr>
        <w:t>פלוני נ' מ.י.</w:t>
      </w:r>
      <w:r w:rsidRPr="005263D5">
        <w:rPr>
          <w:rFonts w:ascii="Arial" w:hAnsi="Arial"/>
          <w:rtl/>
        </w:rPr>
        <w:t xml:space="preserve"> (1999), בדברי הש' דורנר; </w:t>
      </w:r>
      <w:hyperlink r:id="rId21" w:history="1">
        <w:r w:rsidR="0000757F" w:rsidRPr="0000757F">
          <w:rPr>
            <w:rFonts w:ascii="Arial" w:hAnsi="Arial"/>
            <w:color w:val="0000FF"/>
            <w:u w:val="single"/>
            <w:rtl/>
          </w:rPr>
          <w:t>ע"פ 3049/94</w:t>
        </w:r>
      </w:hyperlink>
      <w:r w:rsidRPr="005263D5">
        <w:rPr>
          <w:rFonts w:ascii="Arial" w:hAnsi="Arial"/>
          <w:rtl/>
        </w:rPr>
        <w:t xml:space="preserve"> </w:t>
      </w:r>
      <w:r w:rsidRPr="005263D5">
        <w:rPr>
          <w:rFonts w:ascii="Arial" w:hAnsi="Arial"/>
          <w:b/>
          <w:bCs/>
          <w:rtl/>
        </w:rPr>
        <w:t>פלוני נ' מ.י.</w:t>
      </w:r>
      <w:r w:rsidRPr="005263D5">
        <w:rPr>
          <w:rFonts w:ascii="Arial" w:hAnsi="Arial"/>
          <w:rtl/>
        </w:rPr>
        <w:t xml:space="preserve"> (), בסעיף 5 לדברי הש' בך; </w:t>
      </w:r>
      <w:hyperlink r:id="rId22" w:history="1">
        <w:r w:rsidR="0000757F" w:rsidRPr="0000757F">
          <w:rPr>
            <w:rFonts w:ascii="Arial" w:hAnsi="Arial"/>
            <w:color w:val="0000FF"/>
            <w:u w:val="single"/>
            <w:rtl/>
          </w:rPr>
          <w:t>ע"פ 4009/90</w:t>
        </w:r>
      </w:hyperlink>
      <w:r w:rsidRPr="005263D5">
        <w:rPr>
          <w:rFonts w:ascii="Arial" w:hAnsi="Arial"/>
          <w:rtl/>
        </w:rPr>
        <w:t xml:space="preserve"> </w:t>
      </w:r>
      <w:r w:rsidRPr="005263D5">
        <w:rPr>
          <w:rFonts w:ascii="Arial" w:hAnsi="Arial"/>
          <w:b/>
          <w:bCs/>
          <w:rtl/>
        </w:rPr>
        <w:t xml:space="preserve">מ.י. נ' פלוני </w:t>
      </w:r>
      <w:r w:rsidRPr="005263D5">
        <w:rPr>
          <w:rFonts w:ascii="Arial" w:hAnsi="Arial"/>
          <w:rtl/>
        </w:rPr>
        <w:t xml:space="preserve">(1993),סעיפים 8-9 לדעת הרוב מפי הש' גולדברג): </w:t>
      </w:r>
    </w:p>
    <w:p w14:paraId="38DA8B92" w14:textId="77777777" w:rsidR="00D928B8" w:rsidRDefault="00D928B8" w:rsidP="00F428BE">
      <w:pPr>
        <w:pStyle w:val="ListParagraph"/>
        <w:numPr>
          <w:ilvl w:val="1"/>
          <w:numId w:val="8"/>
        </w:numPr>
        <w:spacing w:line="360" w:lineRule="auto"/>
        <w:jc w:val="both"/>
        <w:rPr>
          <w:rFonts w:ascii="Arial" w:hAnsi="Arial"/>
        </w:rPr>
      </w:pPr>
      <w:r>
        <w:rPr>
          <w:rFonts w:ascii="Arial" w:hAnsi="Arial"/>
          <w:rtl/>
        </w:rPr>
        <w:t xml:space="preserve">ראשית, די בכך שהראיה מצביעה על נטייה של הנאשם לביצוע המעשה ודי ב"קווי דמיון כלליים"; </w:t>
      </w:r>
    </w:p>
    <w:p w14:paraId="3329426C" w14:textId="77777777" w:rsidR="00D928B8" w:rsidRDefault="00D928B8" w:rsidP="00F428BE">
      <w:pPr>
        <w:pStyle w:val="ListParagraph"/>
        <w:numPr>
          <w:ilvl w:val="1"/>
          <w:numId w:val="8"/>
        </w:numPr>
        <w:spacing w:line="360" w:lineRule="auto"/>
        <w:jc w:val="both"/>
        <w:rPr>
          <w:rFonts w:ascii="Arial" w:hAnsi="Arial"/>
        </w:rPr>
      </w:pPr>
      <w:r>
        <w:rPr>
          <w:rFonts w:ascii="Arial" w:hAnsi="Arial"/>
          <w:rtl/>
        </w:rPr>
        <w:t xml:space="preserve">שנית, משקל הראיה נבחן בהקשר ליתר הראיות; </w:t>
      </w:r>
    </w:p>
    <w:p w14:paraId="50E5EFAB" w14:textId="77777777" w:rsidR="00D928B8" w:rsidRDefault="00D928B8" w:rsidP="00143932">
      <w:pPr>
        <w:pStyle w:val="ListParagraph"/>
        <w:numPr>
          <w:ilvl w:val="0"/>
          <w:numId w:val="10"/>
        </w:numPr>
        <w:spacing w:line="360" w:lineRule="auto"/>
        <w:jc w:val="both"/>
        <w:rPr>
          <w:rFonts w:ascii="Arial" w:hAnsi="Arial"/>
        </w:rPr>
      </w:pPr>
      <w:r>
        <w:rPr>
          <w:rFonts w:ascii="Arial" w:hAnsi="Arial"/>
          <w:rtl/>
        </w:rPr>
        <w:lastRenderedPageBreak/>
        <w:t>ההלכה הפסוקה – לרבות האסמכתאות הנ"ל – קובעת כי ראיה מסוג זה יכולה לשמש גם סיוע במקום בו נדרשת תמיכה מסוג זה לראיה העיקרית. קל וחומר, שכוחה יפה לתמוך בראיה שזקוקה לתמיכה מעטה או להיעדר תמיכה כלל;</w:t>
      </w:r>
    </w:p>
    <w:p w14:paraId="20284312" w14:textId="77777777" w:rsidR="00D928B8" w:rsidRDefault="00D928B8" w:rsidP="00143932">
      <w:pPr>
        <w:pStyle w:val="ListParagraph"/>
        <w:numPr>
          <w:ilvl w:val="0"/>
          <w:numId w:val="10"/>
        </w:numPr>
        <w:spacing w:line="360" w:lineRule="auto"/>
        <w:jc w:val="both"/>
        <w:rPr>
          <w:rFonts w:ascii="Arial" w:hAnsi="Arial"/>
        </w:rPr>
      </w:pPr>
      <w:r>
        <w:rPr>
          <w:rFonts w:ascii="Arial" w:hAnsi="Arial"/>
          <w:rtl/>
        </w:rPr>
        <w:t xml:space="preserve">במקרה דנן הובאה ראיה איתנה שכוחה רב: הרשעתו של הנאשם במעשה מגונה אותו ביצע ביום 17.8.10, בחיילת צעירה שנמנמה, באוטובוס שנסע מתל-אביב לכיוון צפון, וכאשר המעשה היה בעיקרו תפיסת שדהּ הימני. אף כאן טען הנאשם כי ישן וניסה להיתמם, אך לא זכה לאמונו של בית המשפט (ת/7 – </w:t>
      </w:r>
      <w:hyperlink r:id="rId23" w:history="1">
        <w:r w:rsidR="0000757F" w:rsidRPr="0000757F">
          <w:rPr>
            <w:rFonts w:ascii="Arial" w:hAnsi="Arial"/>
            <w:color w:val="0000FF"/>
            <w:u w:val="single"/>
            <w:rtl/>
          </w:rPr>
          <w:t>ת.פ. 31656-03-11</w:t>
        </w:r>
      </w:hyperlink>
      <w:r>
        <w:rPr>
          <w:rFonts w:ascii="Arial" w:hAnsi="Arial"/>
          <w:rtl/>
        </w:rPr>
        <w:t>, הכרעת דין מיום 11.7.12</w:t>
      </w:r>
      <w:r>
        <w:rPr>
          <w:rStyle w:val="FootnoteReference"/>
          <w:rFonts w:ascii="Arial" w:hAnsi="Arial" w:cs="David"/>
          <w:rtl/>
        </w:rPr>
        <w:footnoteReference w:id="1"/>
      </w:r>
      <w:r>
        <w:rPr>
          <w:rFonts w:ascii="Arial" w:hAnsi="Arial"/>
          <w:rtl/>
        </w:rPr>
        <w:t>). קל לזהות את המאפיינים הדומים – זירת הפעולה, "סוג" הקורבנות, המעשה עצמו, וטענות ההתגוננות של הנאשם. אין צורך לומר, שלא נטען, אף לא הוכח, כל קשר בין המתלוננת דנן למתלוננת בתיק הקודם;</w:t>
      </w:r>
    </w:p>
    <w:p w14:paraId="43A1DC1C" w14:textId="77777777" w:rsidR="00D928B8" w:rsidRDefault="00D928B8" w:rsidP="00143932">
      <w:pPr>
        <w:pStyle w:val="ListParagraph"/>
        <w:numPr>
          <w:ilvl w:val="0"/>
          <w:numId w:val="10"/>
        </w:numPr>
        <w:spacing w:line="360" w:lineRule="auto"/>
        <w:jc w:val="both"/>
        <w:rPr>
          <w:rFonts w:ascii="Arial" w:hAnsi="Arial"/>
        </w:rPr>
      </w:pPr>
      <w:r>
        <w:rPr>
          <w:rFonts w:ascii="Arial" w:hAnsi="Arial"/>
          <w:rtl/>
        </w:rPr>
        <w:t>לפיכך אני קובע כי גם הרשעתו הקודמת של הנאשם יכולה לתמוך בעדותה של המתלוננת, ככל שזו צריכה תמיכה;</w:t>
      </w:r>
    </w:p>
    <w:p w14:paraId="3385FE75" w14:textId="77777777" w:rsidR="00D928B8" w:rsidRDefault="00D928B8" w:rsidP="00C71C93">
      <w:pPr>
        <w:spacing w:line="360" w:lineRule="auto"/>
        <w:jc w:val="both"/>
        <w:rPr>
          <w:rFonts w:ascii="Arial" w:hAnsi="Arial"/>
          <w:rtl/>
        </w:rPr>
      </w:pPr>
    </w:p>
    <w:p w14:paraId="367F91A4" w14:textId="77777777" w:rsidR="00D928B8" w:rsidRPr="002318CB" w:rsidRDefault="00D928B8" w:rsidP="00C71C93">
      <w:pPr>
        <w:spacing w:line="360" w:lineRule="auto"/>
        <w:jc w:val="both"/>
        <w:rPr>
          <w:rFonts w:ascii="Arial" w:hAnsi="Arial"/>
          <w:b/>
          <w:bCs/>
          <w:rtl/>
        </w:rPr>
      </w:pPr>
      <w:r w:rsidRPr="002318CB">
        <w:rPr>
          <w:rFonts w:ascii="Arial" w:hAnsi="Arial"/>
          <w:b/>
          <w:bCs/>
          <w:rtl/>
        </w:rPr>
        <w:t>ג.</w:t>
      </w:r>
      <w:r w:rsidRPr="002318CB">
        <w:rPr>
          <w:rFonts w:ascii="Arial" w:hAnsi="Arial"/>
          <w:b/>
          <w:bCs/>
          <w:rtl/>
        </w:rPr>
        <w:tab/>
        <w:t>העדר מניע:</w:t>
      </w:r>
    </w:p>
    <w:p w14:paraId="570310D3" w14:textId="77777777" w:rsidR="00D928B8" w:rsidRPr="0019122B" w:rsidRDefault="00D928B8" w:rsidP="0019122B">
      <w:pPr>
        <w:spacing w:line="360" w:lineRule="auto"/>
        <w:ind w:left="720" w:hanging="720"/>
        <w:jc w:val="both"/>
        <w:rPr>
          <w:rFonts w:ascii="Arial" w:hAnsi="Arial"/>
          <w:rtl/>
        </w:rPr>
      </w:pPr>
      <w:r>
        <w:rPr>
          <w:rFonts w:ascii="Arial" w:hAnsi="Arial"/>
          <w:rtl/>
        </w:rPr>
        <w:tab/>
        <w:t xml:space="preserve">יש לתת משקל מסוים גם להיעדרו של כל מניע אפשרי לכך שהמתלוננת בחרה להתלונן, ובוודאי שבחרה להתלונן נגד הנאשם אותו לא הכירה לפני המקרה ולא פגשה שוב לאחר החקירה, והשוו </w:t>
      </w:r>
      <w:hyperlink r:id="rId24" w:history="1">
        <w:r w:rsidR="0000757F" w:rsidRPr="0000757F">
          <w:rPr>
            <w:rFonts w:ascii="Arial" w:hAnsi="Arial"/>
            <w:color w:val="0000FF"/>
            <w:u w:val="single"/>
            <w:rtl/>
          </w:rPr>
          <w:t>ע"פ 7653/11</w:t>
        </w:r>
      </w:hyperlink>
      <w:r>
        <w:rPr>
          <w:rFonts w:ascii="Arial" w:hAnsi="Arial"/>
          <w:rtl/>
        </w:rPr>
        <w:t xml:space="preserve"> </w:t>
      </w:r>
      <w:r>
        <w:rPr>
          <w:rFonts w:ascii="Arial" w:hAnsi="Arial"/>
          <w:b/>
          <w:bCs/>
          <w:rtl/>
        </w:rPr>
        <w:t>פלוני נ' מ.י.</w:t>
      </w:r>
      <w:r>
        <w:rPr>
          <w:rFonts w:ascii="Arial" w:hAnsi="Arial"/>
          <w:rtl/>
        </w:rPr>
        <w:t xml:space="preserve"> (2012) ו</w:t>
      </w:r>
      <w:hyperlink r:id="rId25" w:history="1">
        <w:r w:rsidR="0000757F" w:rsidRPr="0000757F">
          <w:rPr>
            <w:rFonts w:ascii="Arial" w:hAnsi="Arial"/>
            <w:color w:val="0000FF"/>
            <w:u w:val="single"/>
            <w:rtl/>
          </w:rPr>
          <w:t>ע"פ 993/00</w:t>
        </w:r>
      </w:hyperlink>
      <w:r>
        <w:rPr>
          <w:rFonts w:ascii="Arial" w:hAnsi="Arial"/>
          <w:rtl/>
        </w:rPr>
        <w:t xml:space="preserve"> </w:t>
      </w:r>
      <w:r>
        <w:rPr>
          <w:rFonts w:ascii="Arial" w:hAnsi="Arial"/>
          <w:b/>
          <w:bCs/>
          <w:rtl/>
        </w:rPr>
        <w:t>נור נ' מ.י.</w:t>
      </w:r>
      <w:r>
        <w:rPr>
          <w:rFonts w:ascii="Arial" w:hAnsi="Arial"/>
          <w:rtl/>
        </w:rPr>
        <w:t xml:space="preserve"> (2002);</w:t>
      </w:r>
    </w:p>
    <w:p w14:paraId="2BA95D19" w14:textId="77777777" w:rsidR="00D928B8" w:rsidRPr="00097955" w:rsidRDefault="00D928B8" w:rsidP="00097955">
      <w:pPr>
        <w:spacing w:line="360" w:lineRule="auto"/>
        <w:jc w:val="both"/>
        <w:rPr>
          <w:rFonts w:ascii="Arial" w:hAnsi="Arial"/>
          <w:rtl/>
        </w:rPr>
      </w:pPr>
    </w:p>
    <w:p w14:paraId="1B6557E2" w14:textId="77777777" w:rsidR="00D928B8" w:rsidRDefault="00D928B8" w:rsidP="00097955">
      <w:pPr>
        <w:spacing w:line="360" w:lineRule="auto"/>
        <w:jc w:val="both"/>
        <w:rPr>
          <w:rFonts w:ascii="Arial" w:hAnsi="Arial"/>
          <w:rtl/>
        </w:rPr>
      </w:pPr>
      <w:r>
        <w:rPr>
          <w:rFonts w:ascii="Arial" w:hAnsi="Arial"/>
          <w:b/>
          <w:bCs/>
          <w:rtl/>
        </w:rPr>
        <w:t>גרסת הנאשם</w:t>
      </w:r>
      <w:r>
        <w:rPr>
          <w:rFonts w:ascii="Arial" w:hAnsi="Arial"/>
          <w:rtl/>
        </w:rPr>
        <w:t xml:space="preserve"> היתה עקבית כבר מהדברים שמסר למתלוננת ולשוטרים שהגיעו למקום (ת/5), וכך גם לאורך חקירתו ובעימות: לדבריו ישן כל הדרך והתעורר רק כשמרפקה אותו המתלוננת כשהגיעו לתל-אביב ובפיה האשמות חמורות וחצופות. הנאשם ציין שגם הוא הזמין משטרה בשל האשמות אלו ועיכובו על-ידי המתלוננת, חברותיה ושני הגברים שנזעקו לעזרתה. בהודעתו (ת/1) הכחיש כל מגע, אפילו אקראי, ובעדותו אף הוסיף שהמתלוננת שמה את תיקה בינו לבינה – מתוך התחשבות בכללי שמירת הנגיעה – ואף הוא התרחק ממנה לכיוון הבחור שישב מימינו. הנאשם התפתל בעדותו, כשהתבקש בחקירה הנגדית מדוע בחר לשבת ליד אישה, כאשר למעשה היו מקומות פנויים נוספים באוטובוס, ליד חיילים. תשובותיו של הנאשם הפכו למעורפלות עוד יותר, כשעימת אותו התובע הנכבד עם דבריו בבית המשפט בעניין הדומה האחר (ת/7), שם טען ש"אני דתי, בחיים לא יושב ליד בחורה" (עמ' 25-26 לפרוטוקול דנן). </w:t>
      </w:r>
    </w:p>
    <w:p w14:paraId="19E93DBD" w14:textId="77777777" w:rsidR="00D928B8" w:rsidRDefault="00D928B8" w:rsidP="00097955">
      <w:pPr>
        <w:spacing w:line="360" w:lineRule="auto"/>
        <w:jc w:val="both"/>
        <w:rPr>
          <w:rFonts w:ascii="Arial" w:hAnsi="Arial"/>
          <w:rtl/>
        </w:rPr>
      </w:pPr>
      <w:r w:rsidRPr="00B131F2">
        <w:rPr>
          <w:rFonts w:ascii="Arial" w:hAnsi="Arial"/>
          <w:b/>
          <w:bCs/>
          <w:rtl/>
        </w:rPr>
        <w:t>עדותו של הנאשם לא עשתה רושם אמין:</w:t>
      </w:r>
      <w:r>
        <w:rPr>
          <w:rFonts w:ascii="Arial" w:hAnsi="Arial"/>
          <w:rtl/>
        </w:rPr>
        <w:t xml:space="preserve"> הנאשם הכביר פרטים שלא לצורך, בניסיון לערפל את התמונה, וכאמור – נלכד בסתירה ממשית לעניין בחירתו לשבת ליד אישה</w:t>
      </w:r>
      <w:r>
        <w:rPr>
          <w:rStyle w:val="FootnoteReference"/>
          <w:rFonts w:ascii="Arial" w:hAnsi="Arial" w:cs="David"/>
          <w:rtl/>
        </w:rPr>
        <w:footnoteReference w:id="2"/>
      </w:r>
      <w:r>
        <w:rPr>
          <w:rFonts w:ascii="Arial" w:hAnsi="Arial"/>
          <w:rtl/>
        </w:rPr>
        <w:t xml:space="preserve">. </w:t>
      </w:r>
    </w:p>
    <w:p w14:paraId="23F23DD3" w14:textId="77777777" w:rsidR="00D928B8" w:rsidRDefault="00D928B8" w:rsidP="00097955">
      <w:pPr>
        <w:spacing w:line="360" w:lineRule="auto"/>
        <w:jc w:val="both"/>
        <w:rPr>
          <w:rFonts w:ascii="Arial" w:hAnsi="Arial"/>
          <w:rtl/>
        </w:rPr>
      </w:pPr>
    </w:p>
    <w:p w14:paraId="1F3A8A0B" w14:textId="77777777" w:rsidR="00D928B8" w:rsidRDefault="00D928B8" w:rsidP="00097955">
      <w:pPr>
        <w:spacing w:line="360" w:lineRule="auto"/>
        <w:jc w:val="both"/>
        <w:rPr>
          <w:rFonts w:ascii="Arial" w:hAnsi="Arial"/>
          <w:rtl/>
        </w:rPr>
      </w:pPr>
      <w:r w:rsidRPr="0019122B">
        <w:rPr>
          <w:rFonts w:ascii="Arial" w:hAnsi="Arial"/>
          <w:b/>
          <w:bCs/>
          <w:rtl/>
        </w:rPr>
        <w:t xml:space="preserve">סוף דבר </w:t>
      </w:r>
      <w:r>
        <w:rPr>
          <w:rFonts w:ascii="Arial" w:hAnsi="Arial"/>
          <w:b/>
          <w:bCs/>
          <w:rtl/>
        </w:rPr>
        <w:t>יש לקבוע שגרסת הנאשם אינה יכולה לעמוד נגד גרסתה המוצקה והאמינה של המתלוננת, הנתמכת – מעבר לצורך – בתמיכות של ממש.</w:t>
      </w:r>
    </w:p>
    <w:p w14:paraId="23CE78ED" w14:textId="77777777" w:rsidR="00D928B8" w:rsidRDefault="00D928B8" w:rsidP="00097955">
      <w:pPr>
        <w:spacing w:line="360" w:lineRule="auto"/>
        <w:jc w:val="both"/>
        <w:rPr>
          <w:rFonts w:ascii="Arial" w:hAnsi="Arial"/>
          <w:rtl/>
        </w:rPr>
      </w:pPr>
    </w:p>
    <w:p w14:paraId="4301E707" w14:textId="77777777" w:rsidR="00D928B8" w:rsidRDefault="00D928B8" w:rsidP="00F010A5">
      <w:pPr>
        <w:spacing w:line="360" w:lineRule="auto"/>
        <w:jc w:val="both"/>
        <w:rPr>
          <w:rFonts w:ascii="Arial" w:hAnsi="Arial"/>
          <w:rtl/>
        </w:rPr>
      </w:pPr>
      <w:r>
        <w:rPr>
          <w:rFonts w:ascii="Arial" w:hAnsi="Arial"/>
          <w:b/>
          <w:bCs/>
          <w:rtl/>
        </w:rPr>
        <w:t>מספרם של המעשים</w:t>
      </w:r>
      <w:r>
        <w:rPr>
          <w:rFonts w:ascii="Arial" w:hAnsi="Arial"/>
          <w:rtl/>
        </w:rPr>
        <w:t xml:space="preserve"> אותם ביצע הנאשם עומד על שש פעמים, לפי תיאורה של המתלוננת בעדותה ודבריה בעימות (ת/2). קיימת הצדקה מלאה להרשעת הנאשם בגין כל מעשה בנפרד, לפי ההלכה שנפסקה לעניין עבירות מצטברות, וראו למשל </w:t>
      </w:r>
      <w:hyperlink r:id="rId26" w:history="1">
        <w:r w:rsidR="0000757F" w:rsidRPr="0000757F">
          <w:rPr>
            <w:rFonts w:ascii="Arial" w:hAnsi="Arial"/>
            <w:color w:val="0000FF"/>
            <w:u w:val="single"/>
            <w:rtl/>
          </w:rPr>
          <w:t>ע"פ 8748/08</w:t>
        </w:r>
      </w:hyperlink>
      <w:r>
        <w:rPr>
          <w:rFonts w:ascii="Arial" w:hAnsi="Arial"/>
          <w:rtl/>
        </w:rPr>
        <w:t xml:space="preserve"> </w:t>
      </w:r>
      <w:r>
        <w:rPr>
          <w:rFonts w:ascii="Arial" w:hAnsi="Arial"/>
          <w:b/>
          <w:bCs/>
          <w:rtl/>
        </w:rPr>
        <w:t>ברכה נ' מ.י.</w:t>
      </w:r>
      <w:r>
        <w:rPr>
          <w:rFonts w:ascii="Arial" w:hAnsi="Arial"/>
          <w:rtl/>
        </w:rPr>
        <w:t xml:space="preserve"> (2011). הלכה זו קבעה שני מבחני עזר לאבחנה, האם מדובר במעשה אחד נמשך או מעשי עבירה נפרדים:</w:t>
      </w:r>
    </w:p>
    <w:p w14:paraId="3B08C399" w14:textId="77777777" w:rsidR="00D928B8" w:rsidRDefault="00D928B8" w:rsidP="00F010A5">
      <w:pPr>
        <w:spacing w:line="360" w:lineRule="auto"/>
        <w:jc w:val="both"/>
        <w:rPr>
          <w:rFonts w:ascii="Arial" w:hAnsi="Arial"/>
          <w:rtl/>
        </w:rPr>
      </w:pPr>
      <w:r>
        <w:rPr>
          <w:rFonts w:ascii="Arial" w:hAnsi="Arial"/>
          <w:rtl/>
        </w:rPr>
        <w:t>1)</w:t>
      </w:r>
      <w:r>
        <w:rPr>
          <w:rFonts w:ascii="Arial" w:hAnsi="Arial"/>
          <w:rtl/>
        </w:rPr>
        <w:tab/>
        <w:t xml:space="preserve">המבחן הצורני-עובדתי, הבוחן אם ניתן עובדתית להפריד ולפצל את מעשי העבירה זה מזה; </w:t>
      </w:r>
    </w:p>
    <w:p w14:paraId="5A448611" w14:textId="77777777" w:rsidR="00D928B8" w:rsidRDefault="00D928B8" w:rsidP="00F010A5">
      <w:pPr>
        <w:spacing w:line="360" w:lineRule="auto"/>
        <w:ind w:left="720" w:hanging="720"/>
        <w:jc w:val="both"/>
        <w:rPr>
          <w:rFonts w:ascii="Arial" w:hAnsi="Arial"/>
          <w:rtl/>
        </w:rPr>
      </w:pPr>
      <w:r>
        <w:rPr>
          <w:rFonts w:ascii="Arial" w:hAnsi="Arial"/>
          <w:rtl/>
        </w:rPr>
        <w:t>2)</w:t>
      </w:r>
      <w:r>
        <w:rPr>
          <w:rFonts w:ascii="Arial" w:hAnsi="Arial"/>
          <w:rtl/>
        </w:rPr>
        <w:tab/>
        <w:t xml:space="preserve">המבחן המהותי-מוסרי, שלוקח בחשבון בין היתר את חשיבות הערך הנפגע ואת ערך ההרתעה; </w:t>
      </w:r>
    </w:p>
    <w:p w14:paraId="11D830F1" w14:textId="77777777" w:rsidR="00D928B8" w:rsidRDefault="0000757F" w:rsidP="00F010A5">
      <w:pPr>
        <w:spacing w:line="360" w:lineRule="auto"/>
        <w:jc w:val="both"/>
        <w:rPr>
          <w:rFonts w:ascii="Arial" w:hAnsi="Arial"/>
          <w:rtl/>
        </w:rPr>
      </w:pPr>
      <w:r w:rsidRPr="0000757F">
        <w:rPr>
          <w:rFonts w:ascii="Arial" w:hAnsi="Arial"/>
          <w:color w:val="FFFFFF"/>
          <w:sz w:val="2"/>
          <w:szCs w:val="2"/>
          <w:rtl/>
        </w:rPr>
        <w:t>5129371</w:t>
      </w:r>
      <w:r w:rsidR="00D928B8">
        <w:rPr>
          <w:rFonts w:ascii="Arial" w:hAnsi="Arial"/>
          <w:rtl/>
        </w:rPr>
        <w:t>במקרה דנן, היתה הפסקת-זמן ניכרת בין כל מעשה ומעשה והנאשם יכול היה להימנע מהמשך מעשיו.</w:t>
      </w:r>
      <w:r w:rsidR="00D928B8">
        <w:rPr>
          <w:rFonts w:ascii="Arial" w:hAnsi="Arial"/>
          <w:b/>
          <w:bCs/>
          <w:rtl/>
        </w:rPr>
        <w:t xml:space="preserve"> </w:t>
      </w:r>
      <w:r w:rsidR="00D928B8">
        <w:rPr>
          <w:rFonts w:ascii="Arial" w:hAnsi="Arial"/>
          <w:rtl/>
        </w:rPr>
        <w:t xml:space="preserve">אין צורך להכביר מילים על חומרת הפגיעה החוזרת באוטונומיה של המתלוננת, צנעת גופה, פרטיותה וכבודה, וראו לעניין זה </w:t>
      </w:r>
      <w:hyperlink r:id="rId27" w:history="1">
        <w:r w:rsidRPr="0000757F">
          <w:rPr>
            <w:rFonts w:hint="eastAsia"/>
            <w:color w:val="0000FF"/>
            <w:u w:val="single"/>
            <w:rtl/>
          </w:rPr>
          <w:t>ע</w:t>
        </w:r>
        <w:r w:rsidRPr="0000757F">
          <w:rPr>
            <w:color w:val="0000FF"/>
            <w:u w:val="single"/>
            <w:rtl/>
          </w:rPr>
          <w:t>"</w:t>
        </w:r>
        <w:r w:rsidRPr="0000757F">
          <w:rPr>
            <w:rFonts w:hint="eastAsia"/>
            <w:color w:val="0000FF"/>
            <w:u w:val="single"/>
            <w:rtl/>
          </w:rPr>
          <w:t>פ</w:t>
        </w:r>
        <w:r w:rsidRPr="0000757F">
          <w:rPr>
            <w:color w:val="0000FF"/>
            <w:u w:val="single"/>
            <w:rtl/>
          </w:rPr>
          <w:t xml:space="preserve"> 6269/99 </w:t>
        </w:r>
        <w:r w:rsidRPr="0000757F">
          <w:rPr>
            <w:rFonts w:hint="eastAsia"/>
            <w:color w:val="0000FF"/>
            <w:u w:val="single"/>
            <w:rtl/>
          </w:rPr>
          <w:t>פלוני</w:t>
        </w:r>
        <w:r w:rsidRPr="0000757F">
          <w:rPr>
            <w:color w:val="0000FF"/>
            <w:u w:val="single"/>
            <w:rtl/>
          </w:rPr>
          <w:t xml:space="preserve"> </w:t>
        </w:r>
        <w:r w:rsidRPr="0000757F">
          <w:rPr>
            <w:rFonts w:hint="eastAsia"/>
            <w:color w:val="0000FF"/>
            <w:u w:val="single"/>
            <w:rtl/>
          </w:rPr>
          <w:t>נ</w:t>
        </w:r>
        <w:r w:rsidRPr="0000757F">
          <w:rPr>
            <w:color w:val="0000FF"/>
            <w:u w:val="single"/>
            <w:rtl/>
          </w:rPr>
          <w:t xml:space="preserve">' </w:t>
        </w:r>
        <w:r w:rsidRPr="0000757F">
          <w:rPr>
            <w:rFonts w:hint="eastAsia"/>
            <w:color w:val="0000FF"/>
            <w:u w:val="single"/>
            <w:rtl/>
          </w:rPr>
          <w:t>מ</w:t>
        </w:r>
        <w:r w:rsidRPr="0000757F">
          <w:rPr>
            <w:color w:val="0000FF"/>
            <w:u w:val="single"/>
            <w:rtl/>
          </w:rPr>
          <w:t>.</w:t>
        </w:r>
        <w:r w:rsidRPr="0000757F">
          <w:rPr>
            <w:rFonts w:hint="eastAsia"/>
            <w:color w:val="0000FF"/>
            <w:u w:val="single"/>
            <w:rtl/>
          </w:rPr>
          <w:t>י</w:t>
        </w:r>
        <w:r w:rsidRPr="0000757F">
          <w:rPr>
            <w:color w:val="0000FF"/>
            <w:u w:val="single"/>
            <w:rtl/>
          </w:rPr>
          <w:t xml:space="preserve">. (2001), </w:t>
        </w:r>
        <w:r w:rsidRPr="0000757F">
          <w:rPr>
            <w:rFonts w:hint="eastAsia"/>
            <w:color w:val="0000FF"/>
            <w:u w:val="single"/>
            <w:rtl/>
          </w:rPr>
          <w:t>פ</w:t>
        </w:r>
        <w:r w:rsidRPr="0000757F">
          <w:rPr>
            <w:color w:val="0000FF"/>
            <w:u w:val="single"/>
            <w:rtl/>
          </w:rPr>
          <w:t>"</w:t>
        </w:r>
        <w:r w:rsidRPr="0000757F">
          <w:rPr>
            <w:rFonts w:hint="eastAsia"/>
            <w:color w:val="0000FF"/>
            <w:u w:val="single"/>
            <w:rtl/>
          </w:rPr>
          <w:t>ד</w:t>
        </w:r>
        <w:r w:rsidRPr="0000757F">
          <w:rPr>
            <w:color w:val="0000FF"/>
            <w:u w:val="single"/>
            <w:rtl/>
          </w:rPr>
          <w:t xml:space="preserve"> </w:t>
        </w:r>
        <w:r w:rsidRPr="0000757F">
          <w:rPr>
            <w:rFonts w:hint="eastAsia"/>
            <w:color w:val="0000FF"/>
            <w:u w:val="single"/>
            <w:rtl/>
          </w:rPr>
          <w:t>נה</w:t>
        </w:r>
      </w:hyperlink>
      <w:r w:rsidR="00D928B8">
        <w:rPr>
          <w:rtl/>
        </w:rPr>
        <w:t xml:space="preserve">(2) 496, 507; </w:t>
      </w:r>
      <w:hyperlink r:id="rId28" w:history="1">
        <w:r w:rsidRPr="0000757F">
          <w:rPr>
            <w:rFonts w:hint="eastAsia"/>
            <w:color w:val="0000FF"/>
            <w:u w:val="single"/>
            <w:rtl/>
          </w:rPr>
          <w:t>ע</w:t>
        </w:r>
        <w:r w:rsidRPr="0000757F">
          <w:rPr>
            <w:color w:val="0000FF"/>
            <w:u w:val="single"/>
            <w:rtl/>
          </w:rPr>
          <w:t>"</w:t>
        </w:r>
        <w:r w:rsidRPr="0000757F">
          <w:rPr>
            <w:rFonts w:hint="eastAsia"/>
            <w:color w:val="0000FF"/>
            <w:u w:val="single"/>
            <w:rtl/>
          </w:rPr>
          <w:t>פ</w:t>
        </w:r>
        <w:r w:rsidRPr="0000757F">
          <w:rPr>
            <w:color w:val="0000FF"/>
            <w:u w:val="single"/>
            <w:rtl/>
          </w:rPr>
          <w:t xml:space="preserve"> 6255/03</w:t>
        </w:r>
      </w:hyperlink>
      <w:r w:rsidR="00D928B8">
        <w:rPr>
          <w:rtl/>
        </w:rPr>
        <w:t xml:space="preserve"> </w:t>
      </w:r>
      <w:r w:rsidR="00D928B8" w:rsidRPr="00975954">
        <w:rPr>
          <w:rFonts w:hint="eastAsia"/>
          <w:b/>
          <w:bCs/>
          <w:rtl/>
        </w:rPr>
        <w:t>פלוני</w:t>
      </w:r>
      <w:r w:rsidR="00D928B8" w:rsidRPr="00975954">
        <w:rPr>
          <w:b/>
          <w:bCs/>
          <w:rtl/>
        </w:rPr>
        <w:t xml:space="preserve"> </w:t>
      </w:r>
      <w:r w:rsidR="00D928B8" w:rsidRPr="00975954">
        <w:rPr>
          <w:rFonts w:hint="eastAsia"/>
          <w:b/>
          <w:bCs/>
          <w:rtl/>
        </w:rPr>
        <w:t>נ</w:t>
      </w:r>
      <w:r w:rsidR="00D928B8" w:rsidRPr="00975954">
        <w:rPr>
          <w:b/>
          <w:bCs/>
          <w:rtl/>
        </w:rPr>
        <w:t xml:space="preserve">' </w:t>
      </w:r>
      <w:r w:rsidR="00D928B8" w:rsidRPr="00975954">
        <w:rPr>
          <w:rFonts w:hint="eastAsia"/>
          <w:b/>
          <w:bCs/>
          <w:rtl/>
        </w:rPr>
        <w:t>מ</w:t>
      </w:r>
      <w:r w:rsidR="00D928B8" w:rsidRPr="00975954">
        <w:rPr>
          <w:b/>
          <w:bCs/>
          <w:rtl/>
        </w:rPr>
        <w:t>.</w:t>
      </w:r>
      <w:r w:rsidR="00D928B8" w:rsidRPr="00975954">
        <w:rPr>
          <w:rFonts w:hint="eastAsia"/>
          <w:b/>
          <w:bCs/>
          <w:rtl/>
        </w:rPr>
        <w:t>י</w:t>
      </w:r>
      <w:r w:rsidR="00D928B8" w:rsidRPr="00975954">
        <w:rPr>
          <w:b/>
          <w:bCs/>
          <w:rtl/>
        </w:rPr>
        <w:t>.</w:t>
      </w:r>
      <w:r w:rsidR="00D928B8">
        <w:rPr>
          <w:rtl/>
        </w:rPr>
        <w:t xml:space="preserve"> (2005) </w:t>
      </w:r>
      <w:r w:rsidR="00D928B8">
        <w:rPr>
          <w:rFonts w:hint="eastAsia"/>
          <w:rtl/>
        </w:rPr>
        <w:t>בסעיף</w:t>
      </w:r>
      <w:r w:rsidR="00D928B8">
        <w:rPr>
          <w:rtl/>
        </w:rPr>
        <w:t xml:space="preserve"> 18; </w:t>
      </w:r>
      <w:r w:rsidR="00D928B8">
        <w:rPr>
          <w:rFonts w:hint="eastAsia"/>
          <w:rtl/>
        </w:rPr>
        <w:t>ו</w:t>
      </w:r>
      <w:hyperlink r:id="rId29" w:history="1">
        <w:r w:rsidRPr="0000757F">
          <w:rPr>
            <w:rFonts w:hint="eastAsia"/>
            <w:color w:val="0000FF"/>
            <w:u w:val="single"/>
            <w:rtl/>
          </w:rPr>
          <w:t>ע</w:t>
        </w:r>
        <w:r w:rsidRPr="0000757F">
          <w:rPr>
            <w:color w:val="0000FF"/>
            <w:u w:val="single"/>
            <w:rtl/>
          </w:rPr>
          <w:t>"</w:t>
        </w:r>
        <w:r w:rsidRPr="0000757F">
          <w:rPr>
            <w:rFonts w:hint="eastAsia"/>
            <w:color w:val="0000FF"/>
            <w:u w:val="single"/>
            <w:rtl/>
          </w:rPr>
          <w:t>פ</w:t>
        </w:r>
        <w:r w:rsidRPr="0000757F">
          <w:rPr>
            <w:color w:val="0000FF"/>
            <w:u w:val="single"/>
            <w:rtl/>
          </w:rPr>
          <w:t xml:space="preserve"> 9603/09</w:t>
        </w:r>
      </w:hyperlink>
      <w:r w:rsidR="00D928B8">
        <w:rPr>
          <w:rtl/>
        </w:rPr>
        <w:t xml:space="preserve"> </w:t>
      </w:r>
      <w:r w:rsidR="00D928B8" w:rsidRPr="00975954">
        <w:rPr>
          <w:rFonts w:hint="eastAsia"/>
          <w:b/>
          <w:bCs/>
          <w:rtl/>
        </w:rPr>
        <w:t>פלוני</w:t>
      </w:r>
      <w:r w:rsidR="00D928B8" w:rsidRPr="00975954">
        <w:rPr>
          <w:b/>
          <w:bCs/>
          <w:rtl/>
        </w:rPr>
        <w:t xml:space="preserve"> </w:t>
      </w:r>
      <w:r w:rsidR="00D928B8" w:rsidRPr="00975954">
        <w:rPr>
          <w:rFonts w:hint="eastAsia"/>
          <w:b/>
          <w:bCs/>
          <w:rtl/>
        </w:rPr>
        <w:t>נ</w:t>
      </w:r>
      <w:r w:rsidR="00D928B8" w:rsidRPr="00975954">
        <w:rPr>
          <w:b/>
          <w:bCs/>
          <w:rtl/>
        </w:rPr>
        <w:t xml:space="preserve">' </w:t>
      </w:r>
      <w:r w:rsidR="00D928B8" w:rsidRPr="00975954">
        <w:rPr>
          <w:rFonts w:hint="eastAsia"/>
          <w:b/>
          <w:bCs/>
          <w:rtl/>
        </w:rPr>
        <w:t>מ</w:t>
      </w:r>
      <w:r w:rsidR="00D928B8" w:rsidRPr="00975954">
        <w:rPr>
          <w:b/>
          <w:bCs/>
          <w:rtl/>
        </w:rPr>
        <w:t>.</w:t>
      </w:r>
      <w:r w:rsidR="00D928B8" w:rsidRPr="00975954">
        <w:rPr>
          <w:rFonts w:hint="eastAsia"/>
          <w:b/>
          <w:bCs/>
          <w:rtl/>
        </w:rPr>
        <w:t>י</w:t>
      </w:r>
      <w:r w:rsidR="00D928B8" w:rsidRPr="00975954">
        <w:rPr>
          <w:b/>
          <w:bCs/>
          <w:rtl/>
        </w:rPr>
        <w:t>.</w:t>
      </w:r>
      <w:r w:rsidR="00D928B8">
        <w:rPr>
          <w:rtl/>
        </w:rPr>
        <w:t xml:space="preserve">(2011) </w:t>
      </w:r>
      <w:r w:rsidR="00D928B8">
        <w:rPr>
          <w:rFonts w:hint="eastAsia"/>
          <w:rtl/>
        </w:rPr>
        <w:t>בסעיף</w:t>
      </w:r>
      <w:r w:rsidR="00D928B8">
        <w:rPr>
          <w:rtl/>
        </w:rPr>
        <w:t xml:space="preserve"> 13 </w:t>
      </w:r>
      <w:r w:rsidR="00D928B8">
        <w:rPr>
          <w:rFonts w:hint="eastAsia"/>
          <w:rtl/>
        </w:rPr>
        <w:t>לדברי</w:t>
      </w:r>
      <w:r w:rsidR="00D928B8">
        <w:rPr>
          <w:rtl/>
        </w:rPr>
        <w:t xml:space="preserve"> </w:t>
      </w:r>
      <w:r w:rsidR="00D928B8">
        <w:rPr>
          <w:rFonts w:hint="eastAsia"/>
          <w:rtl/>
        </w:rPr>
        <w:t>הש</w:t>
      </w:r>
      <w:r w:rsidR="00D928B8">
        <w:rPr>
          <w:rtl/>
        </w:rPr>
        <w:t xml:space="preserve">' </w:t>
      </w:r>
      <w:r w:rsidR="00D928B8">
        <w:rPr>
          <w:rFonts w:hint="eastAsia"/>
          <w:rtl/>
        </w:rPr>
        <w:t>ג</w:t>
      </w:r>
      <w:r w:rsidR="00D928B8">
        <w:rPr>
          <w:rtl/>
        </w:rPr>
        <w:t>'</w:t>
      </w:r>
      <w:r w:rsidR="00D928B8">
        <w:rPr>
          <w:rFonts w:hint="eastAsia"/>
          <w:rtl/>
        </w:rPr>
        <w:t>ובראן</w:t>
      </w:r>
      <w:r w:rsidR="00D928B8">
        <w:rPr>
          <w:rtl/>
        </w:rPr>
        <w:t xml:space="preserve">.  </w:t>
      </w:r>
      <w:r w:rsidR="00D928B8">
        <w:rPr>
          <w:rFonts w:ascii="Arial" w:hAnsi="Arial"/>
          <w:rtl/>
        </w:rPr>
        <w:t xml:space="preserve">המסקנה המחויבת, בדבר היות המעשים עבירות מצטברות ולא "מעשה אחד", עולה אפוא משני המבחנים. </w:t>
      </w:r>
    </w:p>
    <w:p w14:paraId="2DDA3D35" w14:textId="77777777" w:rsidR="00D928B8" w:rsidRPr="0000757F" w:rsidRDefault="0000757F" w:rsidP="0019122B">
      <w:pPr>
        <w:spacing w:line="360" w:lineRule="auto"/>
        <w:jc w:val="both"/>
        <w:rPr>
          <w:rFonts w:ascii="Arial" w:hAnsi="Arial"/>
          <w:color w:val="FFFFFF"/>
          <w:sz w:val="2"/>
          <w:szCs w:val="2"/>
          <w:rtl/>
        </w:rPr>
      </w:pPr>
      <w:r w:rsidRPr="0000757F">
        <w:rPr>
          <w:rFonts w:ascii="Arial" w:hAnsi="Arial"/>
          <w:color w:val="FFFFFF"/>
          <w:sz w:val="2"/>
          <w:szCs w:val="2"/>
          <w:rtl/>
        </w:rPr>
        <w:t>54678313</w:t>
      </w:r>
    </w:p>
    <w:p w14:paraId="286AE1D0" w14:textId="77777777" w:rsidR="00D928B8" w:rsidRPr="0012376E" w:rsidRDefault="00D928B8" w:rsidP="0019122B">
      <w:pPr>
        <w:spacing w:line="360" w:lineRule="auto"/>
        <w:jc w:val="both"/>
        <w:rPr>
          <w:rFonts w:ascii="Arial" w:hAnsi="Arial"/>
          <w:b/>
          <w:bCs/>
          <w:rtl/>
        </w:rPr>
      </w:pPr>
      <w:r>
        <w:rPr>
          <w:rFonts w:ascii="Arial" w:hAnsi="Arial"/>
          <w:b/>
          <w:bCs/>
          <w:rtl/>
        </w:rPr>
        <w:t>אני מרשיע אפוא את הנאשם במיוח</w:t>
      </w:r>
      <w:r w:rsidRPr="0012376E">
        <w:rPr>
          <w:rFonts w:ascii="Arial" w:hAnsi="Arial"/>
          <w:b/>
          <w:bCs/>
          <w:rtl/>
        </w:rPr>
        <w:t xml:space="preserve">ס לו בכתב האישום - מעשים מגונים לפי </w:t>
      </w:r>
      <w:hyperlink r:id="rId30" w:history="1">
        <w:r w:rsidR="00137B49" w:rsidRPr="00137B49">
          <w:rPr>
            <w:rFonts w:ascii="Arial" w:hAnsi="Arial"/>
            <w:b/>
            <w:bCs/>
            <w:color w:val="0000FF"/>
            <w:u w:val="single"/>
            <w:rtl/>
          </w:rPr>
          <w:t>סעיף 348(ג)</w:t>
        </w:r>
      </w:hyperlink>
      <w:r w:rsidRPr="0012376E">
        <w:rPr>
          <w:rFonts w:ascii="Arial" w:hAnsi="Arial"/>
          <w:b/>
          <w:bCs/>
          <w:rtl/>
        </w:rPr>
        <w:t xml:space="preserve"> ל</w:t>
      </w:r>
      <w:hyperlink r:id="rId31" w:history="1">
        <w:r w:rsidR="0000757F" w:rsidRPr="0000757F">
          <w:rPr>
            <w:rFonts w:ascii="Arial" w:hAnsi="Arial"/>
            <w:b/>
            <w:bCs/>
            <w:color w:val="0000FF"/>
            <w:u w:val="single"/>
            <w:rtl/>
          </w:rPr>
          <w:t>חוק העונשין</w:t>
        </w:r>
      </w:hyperlink>
      <w:r w:rsidRPr="0012376E">
        <w:rPr>
          <w:rFonts w:ascii="Arial" w:hAnsi="Arial"/>
          <w:b/>
          <w:bCs/>
          <w:rtl/>
        </w:rPr>
        <w:t>, תשל"ז-1997 (ריבוי עבירות).</w:t>
      </w:r>
    </w:p>
    <w:p w14:paraId="2765ADF3" w14:textId="77777777" w:rsidR="00D928B8" w:rsidRPr="0059243D" w:rsidRDefault="00D928B8" w:rsidP="00F96CE7">
      <w:pPr>
        <w:spacing w:line="360" w:lineRule="auto"/>
        <w:jc w:val="both"/>
        <w:rPr>
          <w:rFonts w:ascii="Arial" w:hAnsi="Arial"/>
          <w:rtl/>
        </w:rPr>
      </w:pPr>
    </w:p>
    <w:p w14:paraId="02CEFE66" w14:textId="77777777" w:rsidR="00D928B8" w:rsidRPr="00F96CE7" w:rsidRDefault="0000757F">
      <w:pPr>
        <w:rPr>
          <w:rFonts w:ascii="Arial" w:hAnsi="Arial"/>
          <w:rtl/>
        </w:rPr>
      </w:pPr>
      <w:r>
        <w:rPr>
          <w:rFonts w:ascii="Arial" w:hAnsi="Arial"/>
          <w:rtl/>
        </w:rPr>
        <w:t xml:space="preserve">ניתנה היום,  כ"ד ניסן תשע"ד , 24 אפריל 2014, במעמד הצדדים. </w:t>
      </w:r>
    </w:p>
    <w:p w14:paraId="5A024E98" w14:textId="77777777" w:rsidR="00D928B8" w:rsidRPr="00137B49" w:rsidRDefault="00137B49" w:rsidP="00E20138">
      <w:pPr>
        <w:tabs>
          <w:tab w:val="left" w:pos="1625"/>
        </w:tabs>
        <w:jc w:val="right"/>
        <w:rPr>
          <w:color w:val="FFFFFF"/>
          <w:sz w:val="2"/>
          <w:szCs w:val="2"/>
        </w:rPr>
      </w:pPr>
      <w:bookmarkStart w:id="8" w:name="_GoBack"/>
      <w:bookmarkEnd w:id="8"/>
      <w:r w:rsidRPr="00137B49">
        <w:rPr>
          <w:color w:val="FFFFFF"/>
          <w:sz w:val="2"/>
          <w:szCs w:val="2"/>
          <w:rtl/>
        </w:rPr>
        <w:t>5129371</w:t>
      </w:r>
    </w:p>
    <w:p w14:paraId="258DF843" w14:textId="77777777" w:rsidR="0000757F" w:rsidRPr="00137B49" w:rsidRDefault="00137B49" w:rsidP="0000757F">
      <w:pPr>
        <w:keepNext/>
        <w:tabs>
          <w:tab w:val="left" w:pos="1625"/>
        </w:tabs>
        <w:rPr>
          <w:rFonts w:ascii="David" w:hAnsi="David"/>
          <w:color w:val="FFFFFF"/>
          <w:sz w:val="2"/>
          <w:szCs w:val="2"/>
          <w:rtl/>
        </w:rPr>
      </w:pPr>
      <w:r w:rsidRPr="00137B49">
        <w:rPr>
          <w:rFonts w:ascii="David" w:hAnsi="David"/>
          <w:color w:val="FFFFFF"/>
          <w:sz w:val="2"/>
          <w:szCs w:val="2"/>
          <w:rtl/>
        </w:rPr>
        <w:t>54678313</w:t>
      </w:r>
    </w:p>
    <w:p w14:paraId="5279E10E" w14:textId="77777777" w:rsidR="0000757F" w:rsidRDefault="0000757F" w:rsidP="0000757F">
      <w:pPr>
        <w:tabs>
          <w:tab w:val="left" w:pos="1625"/>
        </w:tabs>
        <w:rPr>
          <w:sz w:val="28"/>
          <w:szCs w:val="28"/>
          <w:rtl/>
        </w:rPr>
      </w:pPr>
    </w:p>
    <w:p w14:paraId="28BBB133" w14:textId="77777777" w:rsidR="0000757F" w:rsidRDefault="0000757F" w:rsidP="0000757F">
      <w:pPr>
        <w:tabs>
          <w:tab w:val="left" w:pos="1625"/>
        </w:tabs>
        <w:jc w:val="center"/>
        <w:rPr>
          <w:color w:val="0000FF"/>
          <w:sz w:val="28"/>
          <w:u w:val="single"/>
          <w:rtl/>
        </w:rPr>
      </w:pPr>
      <w:hyperlink r:id="rId32" w:history="1">
        <w:r>
          <w:rPr>
            <w:rFonts w:hint="eastAsia"/>
            <w:color w:val="0000FF"/>
            <w:sz w:val="28"/>
            <w:u w:val="single"/>
            <w:rtl/>
          </w:rPr>
          <w:t>בעניין</w:t>
        </w:r>
        <w:r>
          <w:rPr>
            <w:color w:val="0000FF"/>
            <w:sz w:val="28"/>
            <w:u w:val="single"/>
            <w:rtl/>
          </w:rPr>
          <w:t xml:space="preserve"> </w:t>
        </w:r>
        <w:r>
          <w:rPr>
            <w:rFonts w:hint="eastAsia"/>
            <w:color w:val="0000FF"/>
            <w:sz w:val="28"/>
            <w:u w:val="single"/>
            <w:rtl/>
          </w:rPr>
          <w:t>עריכה</w:t>
        </w:r>
        <w:r>
          <w:rPr>
            <w:color w:val="0000FF"/>
            <w:sz w:val="28"/>
            <w:u w:val="single"/>
            <w:rtl/>
          </w:rPr>
          <w:t xml:space="preserve"> </w:t>
        </w:r>
        <w:r>
          <w:rPr>
            <w:rFonts w:hint="eastAsia"/>
            <w:color w:val="0000FF"/>
            <w:sz w:val="28"/>
            <w:u w:val="single"/>
            <w:rtl/>
          </w:rPr>
          <w:t>ושינויים</w:t>
        </w:r>
        <w:r>
          <w:rPr>
            <w:color w:val="0000FF"/>
            <w:sz w:val="28"/>
            <w:u w:val="single"/>
            <w:rtl/>
          </w:rPr>
          <w:t xml:space="preserve"> </w:t>
        </w:r>
        <w:r>
          <w:rPr>
            <w:rFonts w:hint="eastAsia"/>
            <w:color w:val="0000FF"/>
            <w:sz w:val="28"/>
            <w:u w:val="single"/>
            <w:rtl/>
          </w:rPr>
          <w:t>במסמכי</w:t>
        </w:r>
        <w:r>
          <w:rPr>
            <w:color w:val="0000FF"/>
            <w:sz w:val="28"/>
            <w:u w:val="single"/>
            <w:rtl/>
          </w:rPr>
          <w:t xml:space="preserve"> </w:t>
        </w:r>
        <w:r>
          <w:rPr>
            <w:rFonts w:hint="eastAsia"/>
            <w:color w:val="0000FF"/>
            <w:sz w:val="28"/>
            <w:u w:val="single"/>
            <w:rtl/>
          </w:rPr>
          <w:t>פסיקה</w:t>
        </w:r>
        <w:r>
          <w:rPr>
            <w:color w:val="0000FF"/>
            <w:sz w:val="28"/>
            <w:u w:val="single"/>
            <w:rtl/>
          </w:rPr>
          <w:t xml:space="preserve">, </w:t>
        </w:r>
        <w:r>
          <w:rPr>
            <w:rFonts w:hint="eastAsia"/>
            <w:color w:val="0000FF"/>
            <w:sz w:val="28"/>
            <w:u w:val="single"/>
            <w:rtl/>
          </w:rPr>
          <w:t>חקיקה</w:t>
        </w:r>
        <w:r>
          <w:rPr>
            <w:color w:val="0000FF"/>
            <w:sz w:val="28"/>
            <w:u w:val="single"/>
            <w:rtl/>
          </w:rPr>
          <w:t xml:space="preserve"> </w:t>
        </w:r>
        <w:r>
          <w:rPr>
            <w:rFonts w:hint="eastAsia"/>
            <w:color w:val="0000FF"/>
            <w:sz w:val="28"/>
            <w:u w:val="single"/>
            <w:rtl/>
          </w:rPr>
          <w:t>ועוד</w:t>
        </w:r>
        <w:r>
          <w:rPr>
            <w:color w:val="0000FF"/>
            <w:sz w:val="28"/>
            <w:u w:val="single"/>
            <w:rtl/>
          </w:rPr>
          <w:t xml:space="preserve"> </w:t>
        </w:r>
        <w:r>
          <w:rPr>
            <w:rFonts w:hint="eastAsia"/>
            <w:color w:val="0000FF"/>
            <w:sz w:val="28"/>
            <w:u w:val="single"/>
            <w:rtl/>
          </w:rPr>
          <w:t>באתר</w:t>
        </w:r>
        <w:r>
          <w:rPr>
            <w:color w:val="0000FF"/>
            <w:sz w:val="28"/>
            <w:u w:val="single"/>
            <w:rtl/>
          </w:rPr>
          <w:t xml:space="preserve"> </w:t>
        </w:r>
        <w:r>
          <w:rPr>
            <w:rFonts w:hint="eastAsia"/>
            <w:color w:val="0000FF"/>
            <w:sz w:val="28"/>
            <w:u w:val="single"/>
            <w:rtl/>
          </w:rPr>
          <w:t>נבו</w:t>
        </w:r>
        <w:r>
          <w:rPr>
            <w:color w:val="0000FF"/>
            <w:sz w:val="28"/>
            <w:u w:val="single"/>
            <w:rtl/>
          </w:rPr>
          <w:t xml:space="preserve"> – </w:t>
        </w:r>
        <w:r>
          <w:rPr>
            <w:rFonts w:hint="eastAsia"/>
            <w:color w:val="0000FF"/>
            <w:sz w:val="28"/>
            <w:u w:val="single"/>
            <w:rtl/>
          </w:rPr>
          <w:t>הקש</w:t>
        </w:r>
        <w:r>
          <w:rPr>
            <w:color w:val="0000FF"/>
            <w:sz w:val="28"/>
            <w:u w:val="single"/>
            <w:rtl/>
          </w:rPr>
          <w:t xml:space="preserve"> </w:t>
        </w:r>
        <w:r>
          <w:rPr>
            <w:rFonts w:hint="eastAsia"/>
            <w:color w:val="0000FF"/>
            <w:sz w:val="28"/>
            <w:u w:val="single"/>
            <w:rtl/>
          </w:rPr>
          <w:t>כאן</w:t>
        </w:r>
      </w:hyperlink>
    </w:p>
    <w:p w14:paraId="4389C692" w14:textId="77777777" w:rsidR="00137B49" w:rsidRPr="00137B49" w:rsidRDefault="00137B49" w:rsidP="00137B49">
      <w:pPr>
        <w:keepNext/>
        <w:tabs>
          <w:tab w:val="left" w:pos="1625"/>
        </w:tabs>
        <w:rPr>
          <w:rFonts w:ascii="David" w:hAnsi="David"/>
          <w:color w:val="000000"/>
          <w:sz w:val="22"/>
          <w:szCs w:val="22"/>
          <w:rtl/>
        </w:rPr>
      </w:pPr>
    </w:p>
    <w:p w14:paraId="1793AF1A" w14:textId="77777777" w:rsidR="00137B49" w:rsidRPr="00137B49" w:rsidRDefault="00137B49" w:rsidP="00137B49">
      <w:pPr>
        <w:keepNext/>
        <w:tabs>
          <w:tab w:val="left" w:pos="1625"/>
        </w:tabs>
        <w:rPr>
          <w:rFonts w:ascii="David" w:hAnsi="David"/>
          <w:color w:val="000000"/>
          <w:sz w:val="22"/>
          <w:szCs w:val="22"/>
          <w:rtl/>
        </w:rPr>
      </w:pPr>
      <w:r w:rsidRPr="00137B49">
        <w:rPr>
          <w:rFonts w:ascii="David" w:hAnsi="David" w:hint="eastAsia"/>
          <w:color w:val="000000"/>
          <w:sz w:val="22"/>
          <w:szCs w:val="22"/>
          <w:rtl/>
        </w:rPr>
        <w:t>עידו</w:t>
      </w:r>
      <w:r w:rsidRPr="00137B49">
        <w:rPr>
          <w:rFonts w:ascii="David" w:hAnsi="David"/>
          <w:color w:val="000000"/>
          <w:sz w:val="22"/>
          <w:szCs w:val="22"/>
          <w:rtl/>
        </w:rPr>
        <w:t xml:space="preserve"> </w:t>
      </w:r>
      <w:r w:rsidRPr="00137B49">
        <w:rPr>
          <w:rFonts w:ascii="David" w:hAnsi="David" w:hint="eastAsia"/>
          <w:color w:val="000000"/>
          <w:sz w:val="22"/>
          <w:szCs w:val="22"/>
          <w:rtl/>
        </w:rPr>
        <w:t>דרויאן</w:t>
      </w:r>
      <w:r w:rsidRPr="00137B49">
        <w:rPr>
          <w:rFonts w:ascii="David" w:hAnsi="David"/>
          <w:color w:val="000000"/>
          <w:sz w:val="22"/>
          <w:szCs w:val="22"/>
          <w:rtl/>
        </w:rPr>
        <w:t xml:space="preserve"> 54678313-/</w:t>
      </w:r>
    </w:p>
    <w:p w14:paraId="17B126AE" w14:textId="77777777" w:rsidR="00D928B8" w:rsidRPr="0000757F" w:rsidRDefault="00137B49" w:rsidP="00137B49">
      <w:pPr>
        <w:tabs>
          <w:tab w:val="left" w:pos="1625"/>
        </w:tabs>
        <w:rPr>
          <w:color w:val="0000FF"/>
          <w:sz w:val="28"/>
          <w:u w:val="single"/>
          <w:rtl/>
        </w:rPr>
      </w:pPr>
      <w:r w:rsidRPr="00137B49">
        <w:rPr>
          <w:rFonts w:hint="eastAsia"/>
          <w:color w:val="000000"/>
          <w:sz w:val="28"/>
          <w:u w:val="single"/>
          <w:rtl/>
        </w:rPr>
        <w:t>נוסח</w:t>
      </w:r>
      <w:r w:rsidRPr="00137B49">
        <w:rPr>
          <w:color w:val="000000"/>
          <w:sz w:val="28"/>
          <w:u w:val="single"/>
          <w:rtl/>
        </w:rPr>
        <w:t xml:space="preserve"> </w:t>
      </w:r>
      <w:r w:rsidRPr="00137B49">
        <w:rPr>
          <w:rFonts w:hint="eastAsia"/>
          <w:color w:val="000000"/>
          <w:sz w:val="28"/>
          <w:u w:val="single"/>
          <w:rtl/>
        </w:rPr>
        <w:t>מסמך</w:t>
      </w:r>
      <w:r w:rsidRPr="00137B49">
        <w:rPr>
          <w:color w:val="000000"/>
          <w:sz w:val="28"/>
          <w:u w:val="single"/>
          <w:rtl/>
        </w:rPr>
        <w:t xml:space="preserve"> </w:t>
      </w:r>
      <w:r w:rsidRPr="00137B49">
        <w:rPr>
          <w:rFonts w:hint="eastAsia"/>
          <w:color w:val="000000"/>
          <w:sz w:val="28"/>
          <w:u w:val="single"/>
          <w:rtl/>
        </w:rPr>
        <w:t>זה</w:t>
      </w:r>
      <w:r w:rsidRPr="00137B49">
        <w:rPr>
          <w:color w:val="000000"/>
          <w:sz w:val="28"/>
          <w:u w:val="single"/>
          <w:rtl/>
        </w:rPr>
        <w:t xml:space="preserve"> </w:t>
      </w:r>
      <w:r w:rsidRPr="00137B49">
        <w:rPr>
          <w:rFonts w:hint="eastAsia"/>
          <w:color w:val="000000"/>
          <w:sz w:val="28"/>
          <w:u w:val="single"/>
          <w:rtl/>
        </w:rPr>
        <w:t>כפוף</w:t>
      </w:r>
      <w:r w:rsidRPr="00137B49">
        <w:rPr>
          <w:color w:val="000000"/>
          <w:sz w:val="28"/>
          <w:u w:val="single"/>
          <w:rtl/>
        </w:rPr>
        <w:t xml:space="preserve"> </w:t>
      </w:r>
      <w:r w:rsidRPr="00137B49">
        <w:rPr>
          <w:rFonts w:hint="eastAsia"/>
          <w:color w:val="000000"/>
          <w:sz w:val="28"/>
          <w:u w:val="single"/>
          <w:rtl/>
        </w:rPr>
        <w:t>לשינויי</w:t>
      </w:r>
      <w:r w:rsidRPr="00137B49">
        <w:rPr>
          <w:color w:val="000000"/>
          <w:sz w:val="28"/>
          <w:u w:val="single"/>
          <w:rtl/>
        </w:rPr>
        <w:t xml:space="preserve"> </w:t>
      </w:r>
      <w:r w:rsidRPr="00137B49">
        <w:rPr>
          <w:rFonts w:hint="eastAsia"/>
          <w:color w:val="000000"/>
          <w:sz w:val="28"/>
          <w:u w:val="single"/>
          <w:rtl/>
        </w:rPr>
        <w:t>ניסוח</w:t>
      </w:r>
      <w:r w:rsidRPr="00137B49">
        <w:rPr>
          <w:color w:val="000000"/>
          <w:sz w:val="28"/>
          <w:u w:val="single"/>
          <w:rtl/>
        </w:rPr>
        <w:t xml:space="preserve"> </w:t>
      </w:r>
      <w:r w:rsidRPr="00137B49">
        <w:rPr>
          <w:rFonts w:hint="eastAsia"/>
          <w:color w:val="000000"/>
          <w:sz w:val="28"/>
          <w:u w:val="single"/>
          <w:rtl/>
        </w:rPr>
        <w:t>ועריכה</w:t>
      </w:r>
    </w:p>
    <w:sectPr w:rsidR="00D928B8" w:rsidRPr="0000757F" w:rsidSect="00137B49">
      <w:headerReference w:type="even" r:id="rId33"/>
      <w:headerReference w:type="default" r:id="rId34"/>
      <w:footerReference w:type="even" r:id="rId35"/>
      <w:footerReference w:type="default" r:id="rId36"/>
      <w:pgSz w:w="11907" w:h="16840" w:code="9"/>
      <w:pgMar w:top="1701" w:right="1701" w:bottom="2552" w:left="1701" w:header="187" w:footer="720" w:gutter="0"/>
      <w:pgNumType w:start="1"/>
      <w:cols w:space="720"/>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9FB34" w14:textId="77777777" w:rsidR="00453E3F" w:rsidRDefault="00453E3F">
      <w:r>
        <w:separator/>
      </w:r>
    </w:p>
  </w:endnote>
  <w:endnote w:type="continuationSeparator" w:id="0">
    <w:p w14:paraId="2B8DD19A" w14:textId="77777777" w:rsidR="00453E3F" w:rsidRDefault="00453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1)">
    <w:altName w:val="Arial"/>
    <w:panose1 w:val="00000000000000000000"/>
    <w:charset w:val="00"/>
    <w:family w:val="swiss"/>
    <w:notTrueType/>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20F" w14:textId="77777777" w:rsidR="00137B49" w:rsidRDefault="00137B49" w:rsidP="00137B49">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0B9F69E" w14:textId="77777777" w:rsidR="00137B49" w:rsidRPr="00137B49" w:rsidRDefault="00137B49" w:rsidP="00137B49">
    <w:pPr>
      <w:pStyle w:val="Footer"/>
      <w:pBdr>
        <w:top w:val="single" w:sz="4" w:space="1" w:color="auto"/>
        <w:between w:val="single" w:sz="4" w:space="0" w:color="auto"/>
      </w:pBdr>
      <w:spacing w:after="60"/>
      <w:jc w:val="center"/>
      <w:rPr>
        <w:rFonts w:ascii="FrankRuehl" w:hAnsi="FrankRuehl" w:cs="FrankRuehl"/>
        <w:color w:val="000000"/>
      </w:rPr>
    </w:pPr>
    <w:r w:rsidRPr="00137B4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53BB6" w14:textId="77777777" w:rsidR="00137B49" w:rsidRDefault="00137B49" w:rsidP="00137B49">
    <w:pPr>
      <w:pStyle w:val="Footer"/>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2909A1F" w14:textId="77777777" w:rsidR="00137B49" w:rsidRPr="00137B49" w:rsidRDefault="00137B49" w:rsidP="00137B49">
    <w:pPr>
      <w:pStyle w:val="Footer"/>
      <w:pBdr>
        <w:top w:val="single" w:sz="4" w:space="1" w:color="auto"/>
        <w:between w:val="single" w:sz="4" w:space="0" w:color="auto"/>
      </w:pBdr>
      <w:spacing w:after="60"/>
      <w:jc w:val="center"/>
      <w:rPr>
        <w:rFonts w:ascii="FrankRuehl" w:hAnsi="FrankRuehl" w:cs="FrankRuehl" w:hint="cs"/>
        <w:color w:val="000000"/>
        <w:rtl/>
      </w:rPr>
    </w:pPr>
    <w:r w:rsidRPr="00137B49">
      <w:rPr>
        <w:rFonts w:ascii="FrankRuehl" w:hAnsi="FrankRuehl" w:cs="FrankRuehl" w:hint="cs"/>
        <w:color w:val="000000"/>
      </w:rPr>
      <w:pict w14:anchorId="1E091C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259777" w14:textId="77777777" w:rsidR="00453E3F" w:rsidRDefault="00453E3F">
      <w:r>
        <w:separator/>
      </w:r>
    </w:p>
  </w:footnote>
  <w:footnote w:type="continuationSeparator" w:id="0">
    <w:p w14:paraId="13998905" w14:textId="77777777" w:rsidR="00453E3F" w:rsidRDefault="00453E3F">
      <w:r>
        <w:continuationSeparator/>
      </w:r>
    </w:p>
  </w:footnote>
  <w:footnote w:id="1">
    <w:p w14:paraId="5E9AF1B2" w14:textId="77777777" w:rsidR="00137B49" w:rsidRDefault="00137B49">
      <w:pPr>
        <w:pStyle w:val="FootnoteText"/>
      </w:pPr>
      <w:r>
        <w:rPr>
          <w:rStyle w:val="FootnoteReference"/>
          <w:rFonts w:cs="David"/>
        </w:rPr>
        <w:footnoteRef/>
      </w:r>
      <w:r>
        <w:rPr>
          <w:rtl/>
        </w:rPr>
        <w:t xml:space="preserve"> </w:t>
      </w:r>
      <w:r>
        <w:rPr>
          <w:rtl/>
        </w:rPr>
        <w:tab/>
      </w:r>
      <w:r>
        <w:rPr>
          <w:rFonts w:hint="eastAsia"/>
          <w:rtl/>
        </w:rPr>
        <w:t>על</w:t>
      </w:r>
      <w:r>
        <w:rPr>
          <w:rtl/>
        </w:rPr>
        <w:t xml:space="preserve"> </w:t>
      </w:r>
      <w:r>
        <w:rPr>
          <w:rFonts w:hint="eastAsia"/>
          <w:rtl/>
        </w:rPr>
        <w:t>פסק</w:t>
      </w:r>
      <w:r>
        <w:rPr>
          <w:rtl/>
        </w:rPr>
        <w:t xml:space="preserve"> </w:t>
      </w:r>
      <w:r>
        <w:rPr>
          <w:rFonts w:hint="eastAsia"/>
          <w:rtl/>
        </w:rPr>
        <w:t>הדין</w:t>
      </w:r>
      <w:r>
        <w:rPr>
          <w:rtl/>
        </w:rPr>
        <w:t xml:space="preserve"> </w:t>
      </w:r>
      <w:r>
        <w:rPr>
          <w:rFonts w:hint="eastAsia"/>
          <w:rtl/>
        </w:rPr>
        <w:t>הוגש</w:t>
      </w:r>
      <w:r>
        <w:rPr>
          <w:rtl/>
        </w:rPr>
        <w:t xml:space="preserve"> </w:t>
      </w:r>
      <w:r>
        <w:rPr>
          <w:rFonts w:hint="eastAsia"/>
          <w:rtl/>
        </w:rPr>
        <w:t>ערעור</w:t>
      </w:r>
      <w:r>
        <w:rPr>
          <w:rtl/>
        </w:rPr>
        <w:t xml:space="preserve">, </w:t>
      </w:r>
      <w:r>
        <w:rPr>
          <w:rFonts w:hint="eastAsia"/>
          <w:rtl/>
        </w:rPr>
        <w:t>אך</w:t>
      </w:r>
      <w:r>
        <w:rPr>
          <w:rtl/>
        </w:rPr>
        <w:t xml:space="preserve"> </w:t>
      </w:r>
      <w:r>
        <w:rPr>
          <w:rFonts w:hint="eastAsia"/>
          <w:rtl/>
        </w:rPr>
        <w:t>על</w:t>
      </w:r>
      <w:r>
        <w:rPr>
          <w:rtl/>
        </w:rPr>
        <w:t xml:space="preserve"> </w:t>
      </w:r>
      <w:r>
        <w:rPr>
          <w:rFonts w:hint="eastAsia"/>
          <w:rtl/>
        </w:rPr>
        <w:t>חומרת</w:t>
      </w:r>
      <w:r>
        <w:rPr>
          <w:rtl/>
        </w:rPr>
        <w:t xml:space="preserve"> </w:t>
      </w:r>
      <w:r>
        <w:rPr>
          <w:rFonts w:hint="eastAsia"/>
          <w:rtl/>
        </w:rPr>
        <w:t>העונש</w:t>
      </w:r>
      <w:r>
        <w:rPr>
          <w:rtl/>
        </w:rPr>
        <w:t xml:space="preserve"> </w:t>
      </w:r>
      <w:r>
        <w:rPr>
          <w:rFonts w:hint="eastAsia"/>
          <w:rtl/>
        </w:rPr>
        <w:t>בלבד</w:t>
      </w:r>
      <w:r>
        <w:rPr>
          <w:rtl/>
        </w:rPr>
        <w:t xml:space="preserve">, </w:t>
      </w:r>
      <w:r>
        <w:rPr>
          <w:rFonts w:hint="eastAsia"/>
          <w:rtl/>
        </w:rPr>
        <w:t>כך</w:t>
      </w:r>
      <w:r>
        <w:rPr>
          <w:rtl/>
        </w:rPr>
        <w:t xml:space="preserve"> </w:t>
      </w:r>
      <w:r>
        <w:rPr>
          <w:rFonts w:hint="eastAsia"/>
          <w:rtl/>
        </w:rPr>
        <w:t>שהכרעת</w:t>
      </w:r>
      <w:r>
        <w:rPr>
          <w:rtl/>
        </w:rPr>
        <w:t xml:space="preserve"> </w:t>
      </w:r>
      <w:r>
        <w:rPr>
          <w:rFonts w:hint="eastAsia"/>
          <w:rtl/>
        </w:rPr>
        <w:t>הדין</w:t>
      </w:r>
      <w:r>
        <w:rPr>
          <w:rtl/>
        </w:rPr>
        <w:t xml:space="preserve"> </w:t>
      </w:r>
      <w:r>
        <w:rPr>
          <w:rFonts w:hint="eastAsia"/>
          <w:rtl/>
        </w:rPr>
        <w:t>חלוטה</w:t>
      </w:r>
      <w:r>
        <w:rPr>
          <w:rtl/>
        </w:rPr>
        <w:t>;</w:t>
      </w:r>
    </w:p>
  </w:footnote>
  <w:footnote w:id="2">
    <w:p w14:paraId="79372AE1" w14:textId="77777777" w:rsidR="00137B49" w:rsidRDefault="00137B49" w:rsidP="00245EDE">
      <w:pPr>
        <w:pStyle w:val="FootnoteText"/>
        <w:ind w:left="720" w:hanging="720"/>
      </w:pPr>
      <w:r>
        <w:rPr>
          <w:rStyle w:val="FootnoteReference"/>
          <w:rFonts w:cs="David"/>
        </w:rPr>
        <w:footnoteRef/>
      </w:r>
      <w:r>
        <w:rPr>
          <w:rtl/>
        </w:rPr>
        <w:t xml:space="preserve"> </w:t>
      </w:r>
      <w:r>
        <w:rPr>
          <w:rtl/>
        </w:rPr>
        <w:tab/>
      </w:r>
      <w:r>
        <w:rPr>
          <w:rFonts w:hint="eastAsia"/>
          <w:rtl/>
        </w:rPr>
        <w:t>הנאשם</w:t>
      </w:r>
      <w:r>
        <w:rPr>
          <w:rtl/>
        </w:rPr>
        <w:t xml:space="preserve"> </w:t>
      </w:r>
      <w:r>
        <w:rPr>
          <w:rFonts w:hint="eastAsia"/>
          <w:rtl/>
        </w:rPr>
        <w:t>מסר</w:t>
      </w:r>
      <w:r>
        <w:rPr>
          <w:rtl/>
        </w:rPr>
        <w:t xml:space="preserve"> </w:t>
      </w:r>
      <w:r>
        <w:rPr>
          <w:rFonts w:hint="eastAsia"/>
          <w:rtl/>
        </w:rPr>
        <w:t>גרסה</w:t>
      </w:r>
      <w:r>
        <w:rPr>
          <w:rtl/>
        </w:rPr>
        <w:t xml:space="preserve"> </w:t>
      </w:r>
      <w:r>
        <w:rPr>
          <w:rFonts w:hint="eastAsia"/>
          <w:rtl/>
        </w:rPr>
        <w:t>נוספת</w:t>
      </w:r>
      <w:r>
        <w:rPr>
          <w:rtl/>
        </w:rPr>
        <w:t xml:space="preserve">, </w:t>
      </w:r>
      <w:r>
        <w:rPr>
          <w:rFonts w:hint="eastAsia"/>
          <w:rtl/>
        </w:rPr>
        <w:t>לפיה</w:t>
      </w:r>
      <w:r>
        <w:rPr>
          <w:rtl/>
        </w:rPr>
        <w:t xml:space="preserve"> </w:t>
      </w:r>
      <w:r>
        <w:rPr>
          <w:rFonts w:hint="eastAsia"/>
          <w:rtl/>
        </w:rPr>
        <w:t>כלל</w:t>
      </w:r>
      <w:r>
        <w:rPr>
          <w:rtl/>
        </w:rPr>
        <w:t xml:space="preserve"> </w:t>
      </w:r>
      <w:r>
        <w:rPr>
          <w:rFonts w:hint="eastAsia"/>
          <w:rtl/>
        </w:rPr>
        <w:t>אינו</w:t>
      </w:r>
      <w:r>
        <w:rPr>
          <w:rtl/>
        </w:rPr>
        <w:t xml:space="preserve"> </w:t>
      </w:r>
      <w:r>
        <w:rPr>
          <w:rFonts w:hint="eastAsia"/>
          <w:rtl/>
        </w:rPr>
        <w:t>זוכר</w:t>
      </w:r>
      <w:r>
        <w:rPr>
          <w:rtl/>
        </w:rPr>
        <w:t xml:space="preserve"> </w:t>
      </w:r>
      <w:r>
        <w:rPr>
          <w:rFonts w:hint="eastAsia"/>
          <w:rtl/>
        </w:rPr>
        <w:t>את</w:t>
      </w:r>
      <w:r>
        <w:rPr>
          <w:rtl/>
        </w:rPr>
        <w:t xml:space="preserve"> </w:t>
      </w:r>
      <w:r>
        <w:rPr>
          <w:rFonts w:hint="eastAsia"/>
          <w:rtl/>
        </w:rPr>
        <w:t>האירוע</w:t>
      </w:r>
      <w:r>
        <w:rPr>
          <w:rtl/>
        </w:rPr>
        <w:t xml:space="preserve">, </w:t>
      </w:r>
      <w:r>
        <w:rPr>
          <w:rFonts w:hint="eastAsia"/>
          <w:rtl/>
        </w:rPr>
        <w:t>במהלך</w:t>
      </w:r>
      <w:r>
        <w:rPr>
          <w:rtl/>
        </w:rPr>
        <w:t xml:space="preserve"> </w:t>
      </w:r>
      <w:r>
        <w:rPr>
          <w:rFonts w:hint="eastAsia"/>
          <w:rtl/>
        </w:rPr>
        <w:t>בדיקתו</w:t>
      </w:r>
      <w:r>
        <w:rPr>
          <w:rtl/>
        </w:rPr>
        <w:t xml:space="preserve"> </w:t>
      </w:r>
      <w:r>
        <w:rPr>
          <w:rFonts w:hint="eastAsia"/>
          <w:rtl/>
        </w:rPr>
        <w:t>מטעם</w:t>
      </w:r>
      <w:r>
        <w:rPr>
          <w:rtl/>
        </w:rPr>
        <w:t xml:space="preserve"> </w:t>
      </w:r>
      <w:r>
        <w:rPr>
          <w:rFonts w:hint="eastAsia"/>
          <w:rtl/>
        </w:rPr>
        <w:t>הפסיכיאטר</w:t>
      </w:r>
      <w:r>
        <w:rPr>
          <w:rtl/>
        </w:rPr>
        <w:t xml:space="preserve"> </w:t>
      </w:r>
      <w:r>
        <w:rPr>
          <w:rFonts w:hint="eastAsia"/>
          <w:rtl/>
        </w:rPr>
        <w:t>המחוזי</w:t>
      </w:r>
      <w:r>
        <w:rPr>
          <w:rtl/>
        </w:rPr>
        <w:t xml:space="preserve"> </w:t>
      </w:r>
      <w:r>
        <w:rPr>
          <w:rFonts w:hint="eastAsia"/>
          <w:rtl/>
        </w:rPr>
        <w:t>ביום</w:t>
      </w:r>
      <w:r>
        <w:rPr>
          <w:rtl/>
        </w:rPr>
        <w:t xml:space="preserve"> 21.1.14 (</w:t>
      </w:r>
      <w:r>
        <w:rPr>
          <w:rFonts w:hint="eastAsia"/>
          <w:rtl/>
        </w:rPr>
        <w:t>חוות</w:t>
      </w:r>
      <w:r>
        <w:rPr>
          <w:rtl/>
        </w:rPr>
        <w:t xml:space="preserve"> </w:t>
      </w:r>
      <w:r>
        <w:rPr>
          <w:rFonts w:hint="eastAsia"/>
          <w:rtl/>
        </w:rPr>
        <w:t>הדעת</w:t>
      </w:r>
      <w:r>
        <w:rPr>
          <w:rtl/>
        </w:rPr>
        <w:t xml:space="preserve"> </w:t>
      </w:r>
      <w:r>
        <w:rPr>
          <w:rFonts w:hint="eastAsia"/>
          <w:rtl/>
        </w:rPr>
        <w:t>הוגשה</w:t>
      </w:r>
      <w:r>
        <w:rPr>
          <w:rtl/>
        </w:rPr>
        <w:t xml:space="preserve"> </w:t>
      </w:r>
      <w:r>
        <w:rPr>
          <w:rFonts w:hint="eastAsia"/>
          <w:rtl/>
        </w:rPr>
        <w:t>לתיק</w:t>
      </w:r>
      <w:r>
        <w:rPr>
          <w:rtl/>
        </w:rPr>
        <w:t xml:space="preserve"> </w:t>
      </w:r>
      <w:r>
        <w:rPr>
          <w:rFonts w:hint="eastAsia"/>
          <w:rtl/>
        </w:rPr>
        <w:t>ביהמ</w:t>
      </w:r>
      <w:r>
        <w:rPr>
          <w:rtl/>
        </w:rPr>
        <w:t>"</w:t>
      </w:r>
      <w:r>
        <w:rPr>
          <w:rFonts w:hint="eastAsia"/>
          <w:rtl/>
        </w:rPr>
        <w:t>ש</w:t>
      </w:r>
      <w:r>
        <w:rPr>
          <w:rtl/>
        </w:rPr>
        <w:t xml:space="preserve">). </w:t>
      </w:r>
      <w:r>
        <w:rPr>
          <w:rFonts w:hint="eastAsia"/>
          <w:rtl/>
        </w:rPr>
        <w:t>כיון</w:t>
      </w:r>
      <w:r>
        <w:rPr>
          <w:rtl/>
        </w:rPr>
        <w:t xml:space="preserve"> </w:t>
      </w:r>
      <w:r>
        <w:rPr>
          <w:rFonts w:hint="eastAsia"/>
          <w:rtl/>
        </w:rPr>
        <w:t>שעניין</w:t>
      </w:r>
      <w:r>
        <w:rPr>
          <w:rtl/>
        </w:rPr>
        <w:t xml:space="preserve"> </w:t>
      </w:r>
      <w:r>
        <w:rPr>
          <w:rFonts w:hint="eastAsia"/>
          <w:rtl/>
        </w:rPr>
        <w:t>זה</w:t>
      </w:r>
      <w:r>
        <w:rPr>
          <w:rtl/>
        </w:rPr>
        <w:t xml:space="preserve"> </w:t>
      </w:r>
      <w:r>
        <w:rPr>
          <w:rFonts w:hint="eastAsia"/>
          <w:rtl/>
        </w:rPr>
        <w:t>לא</w:t>
      </w:r>
      <w:r>
        <w:rPr>
          <w:rtl/>
        </w:rPr>
        <w:t xml:space="preserve"> </w:t>
      </w:r>
      <w:r>
        <w:rPr>
          <w:rFonts w:hint="eastAsia"/>
          <w:rtl/>
        </w:rPr>
        <w:t>בורר</w:t>
      </w:r>
      <w:r>
        <w:rPr>
          <w:rtl/>
        </w:rPr>
        <w:t xml:space="preserve"> </w:t>
      </w:r>
      <w:r>
        <w:rPr>
          <w:rFonts w:hint="eastAsia"/>
          <w:rtl/>
        </w:rPr>
        <w:t>ולא</w:t>
      </w:r>
      <w:r>
        <w:rPr>
          <w:rtl/>
        </w:rPr>
        <w:t xml:space="preserve"> </w:t>
      </w:r>
      <w:r>
        <w:rPr>
          <w:rFonts w:hint="eastAsia"/>
          <w:rtl/>
        </w:rPr>
        <w:t>לובן</w:t>
      </w:r>
      <w:r>
        <w:rPr>
          <w:rtl/>
        </w:rPr>
        <w:t xml:space="preserve"> </w:t>
      </w:r>
      <w:r>
        <w:rPr>
          <w:rFonts w:hint="eastAsia"/>
          <w:rtl/>
        </w:rPr>
        <w:t>בעדות</w:t>
      </w:r>
      <w:r>
        <w:rPr>
          <w:rtl/>
        </w:rPr>
        <w:t xml:space="preserve"> </w:t>
      </w:r>
      <w:r>
        <w:rPr>
          <w:rFonts w:hint="eastAsia"/>
          <w:rtl/>
        </w:rPr>
        <w:t>הנאשם</w:t>
      </w:r>
      <w:r>
        <w:rPr>
          <w:rtl/>
        </w:rPr>
        <w:t xml:space="preserve">, </w:t>
      </w:r>
      <w:r>
        <w:rPr>
          <w:rFonts w:hint="eastAsia"/>
          <w:rtl/>
        </w:rPr>
        <w:t>לא</w:t>
      </w:r>
      <w:r>
        <w:rPr>
          <w:rtl/>
        </w:rPr>
        <w:t xml:space="preserve"> </w:t>
      </w:r>
      <w:r>
        <w:rPr>
          <w:rFonts w:hint="eastAsia"/>
          <w:rtl/>
        </w:rPr>
        <w:t>נתתי</w:t>
      </w:r>
      <w:r>
        <w:rPr>
          <w:rtl/>
        </w:rPr>
        <w:t xml:space="preserve"> </w:t>
      </w:r>
      <w:r>
        <w:rPr>
          <w:rFonts w:hint="eastAsia"/>
          <w:rtl/>
        </w:rPr>
        <w:t>לכך</w:t>
      </w:r>
      <w:r>
        <w:rPr>
          <w:rtl/>
        </w:rPr>
        <w:t xml:space="preserve"> </w:t>
      </w:r>
      <w:r>
        <w:rPr>
          <w:rFonts w:hint="eastAsia"/>
          <w:rtl/>
        </w:rPr>
        <w:t>משקל</w:t>
      </w:r>
      <w:r>
        <w:rPr>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77CD1" w14:textId="77777777" w:rsidR="00137B49" w:rsidRPr="00137B49" w:rsidRDefault="00137B49" w:rsidP="00137B4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59171-05-13</w:t>
    </w:r>
    <w:r>
      <w:rPr>
        <w:rFonts w:ascii="David" w:hAnsi="David"/>
        <w:color w:val="000000"/>
        <w:sz w:val="22"/>
        <w:szCs w:val="22"/>
        <w:rtl/>
      </w:rPr>
      <w:tab/>
      <w:t xml:space="preserve"> מדינת ישראל נ' אליהו פוגאץ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84090" w14:textId="77777777" w:rsidR="00137B49" w:rsidRPr="00137B49" w:rsidRDefault="00137B49" w:rsidP="00137B49">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59171-05-13</w:t>
    </w:r>
    <w:r>
      <w:rPr>
        <w:rFonts w:ascii="David" w:hAnsi="David"/>
        <w:color w:val="000000"/>
        <w:sz w:val="22"/>
        <w:szCs w:val="22"/>
        <w:rtl/>
      </w:rPr>
      <w:tab/>
      <w:t xml:space="preserve"> מדינת ישראל נ' אליהו פוגאץ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51421"/>
    <w:multiLevelType w:val="hybridMultilevel"/>
    <w:tmpl w:val="F8B03DCE"/>
    <w:lvl w:ilvl="0" w:tplc="04090013">
      <w:start w:val="1"/>
      <w:numFmt w:val="hebrew1"/>
      <w:lvlText w:val="%1."/>
      <w:lvlJc w:val="center"/>
      <w:pPr>
        <w:ind w:left="360" w:hanging="360"/>
      </w:pPr>
      <w:rPr>
        <w:rFonts w:cs="Times New Roman"/>
        <w:szCs w:val="24"/>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291836CD"/>
    <w:multiLevelType w:val="hybridMultilevel"/>
    <w:tmpl w:val="2174CF4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2F7548FC"/>
    <w:multiLevelType w:val="multilevel"/>
    <w:tmpl w:val="5D3644D0"/>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15:restartNumberingAfterBreak="0">
    <w:nsid w:val="3D024734"/>
    <w:multiLevelType w:val="hybridMultilevel"/>
    <w:tmpl w:val="A6F462B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15:restartNumberingAfterBreak="0">
    <w:nsid w:val="3D4249BE"/>
    <w:multiLevelType w:val="hybridMultilevel"/>
    <w:tmpl w:val="DAF44AB8"/>
    <w:lvl w:ilvl="0" w:tplc="92F66374">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4C2F6673"/>
    <w:multiLevelType w:val="hybridMultilevel"/>
    <w:tmpl w:val="DAF44AB8"/>
    <w:lvl w:ilvl="0" w:tplc="92F66374">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F7016C1"/>
    <w:multiLevelType w:val="hybridMultilevel"/>
    <w:tmpl w:val="3F868C46"/>
    <w:lvl w:ilvl="0" w:tplc="0409000F">
      <w:start w:val="1"/>
      <w:numFmt w:val="decimal"/>
      <w:lvlText w:val="%1."/>
      <w:lvlJc w:val="left"/>
      <w:pPr>
        <w:ind w:left="360" w:hanging="360"/>
      </w:pPr>
      <w:rPr>
        <w:rFonts w:cs="Times New Roman"/>
      </w:rPr>
    </w:lvl>
    <w:lvl w:ilvl="1" w:tplc="04090013">
      <w:start w:val="1"/>
      <w:numFmt w:val="hebrew1"/>
      <w:lvlText w:val="%2."/>
      <w:lvlJc w:val="center"/>
      <w:pPr>
        <w:ind w:left="1080" w:hanging="360"/>
      </w:pPr>
      <w:rPr>
        <w:rFonts w:cs="Times New Roman"/>
        <w:szCs w:val="24"/>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15:restartNumberingAfterBreak="0">
    <w:nsid w:val="606C6661"/>
    <w:multiLevelType w:val="hybridMultilevel"/>
    <w:tmpl w:val="D4660A34"/>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6F48636C"/>
    <w:multiLevelType w:val="hybridMultilevel"/>
    <w:tmpl w:val="5D3644D0"/>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742A4890"/>
    <w:multiLevelType w:val="hybridMultilevel"/>
    <w:tmpl w:val="F032707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16cid:durableId="1000041076">
    <w:abstractNumId w:val="8"/>
  </w:num>
  <w:num w:numId="2" w16cid:durableId="530650727">
    <w:abstractNumId w:val="2"/>
  </w:num>
  <w:num w:numId="3" w16cid:durableId="382800085">
    <w:abstractNumId w:val="3"/>
  </w:num>
  <w:num w:numId="4" w16cid:durableId="1822572341">
    <w:abstractNumId w:val="1"/>
  </w:num>
  <w:num w:numId="5" w16cid:durableId="78407283">
    <w:abstractNumId w:val="7"/>
  </w:num>
  <w:num w:numId="6" w16cid:durableId="289013772">
    <w:abstractNumId w:val="9"/>
  </w:num>
  <w:num w:numId="7" w16cid:durableId="159201485">
    <w:abstractNumId w:val="5"/>
  </w:num>
  <w:num w:numId="8" w16cid:durableId="1186868447">
    <w:abstractNumId w:val="6"/>
  </w:num>
  <w:num w:numId="9" w16cid:durableId="466171681">
    <w:abstractNumId w:val="0"/>
  </w:num>
  <w:num w:numId="10" w16cid:durableId="930547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1107175"/>
    <w:docVar w:name="CasePresentationDS" w:val="&amp;lt;?xml version=&amp;quot;1.0&amp;quot;?&amp;gt;_x000d__x000a_&amp;lt;CasePresentationDS&amp;gt;_x000d__x000a_  &amp;lt;xs:schema id=&amp;quot;CasePresentationDS&amp;quot; targetNamespace=&amp;quot;http://tempuri.org/CasePresentationDS.xsd&amp;quot; xmlns:mstns=&amp;quot;http://tempuri.org/CasePresentationDS.xsd&amp;quot; xmlns=&amp;quot;http://tempuri.org/CasePresentationDS.xsd&amp;quot; xmlns:xs=&amp;quot;http://www.w3.org/2001/XMLSchema&amp;quot; xmlns:msdata=&amp;quot;urn:schemas-microsoft-com:xml-msdata&amp;quot; attributeFormDefault=&amp;quot;qualified&amp;quot; elementFormDefault=&amp;quot;qualified&amp;quot;&amp;gt;_x000d__x000a_    &amp;lt;xs:element name=&amp;quot;CasePresentationDS&amp;quot; msdata:IsDataSet=&amp;quot;true&amp;quot; msdata:Locale=&amp;quot;&amp;quot;&amp;gt;_x000d__x000a_      &amp;lt;xs:complexType&amp;gt;_x000d__x000a_        &amp;lt;xs:choice minOccurs=&amp;quot;0&amp;quot; maxOccurs=&amp;quot;unbounded&amp;quot;&amp;gt;_x000d__x000a_          &amp;lt;xs:element name=&amp;quot;CasePresentationDataSet&amp;quot;&amp;gt;_x000d__x000a_            &amp;lt;xs:complexType&amp;gt;_x000d__x000a_              &amp;lt;xs:sequence&amp;gt;_x000d__x000a_                &amp;lt;xs:element name=&amp;quot;CaseID&amp;quot; type=&amp;quot;xs:int&amp;quot; /&amp;gt;_x000d__x000a_                &amp;lt;xs:element name=&amp;quot;CaseMonth&amp;quot; type=&amp;quot;xs:int&amp;quot; /&amp;gt;_x000d__x000a_                &amp;lt;xs:element name=&amp;quot;CaseYear&amp;quot; type=&amp;quot;xs:int&amp;quot; /&amp;gt;_x000d__x000a_                &amp;lt;xs:element name=&amp;quot;CaseNumber&amp;quot; type=&amp;quot;xs:int&amp;quot; /&amp;gt;_x000d__x000a_                &amp;lt;xs:element name=&amp;quot;NumeratorGroupID&amp;quot; type=&amp;quot;xs:int&amp;quot; /&amp;gt;_x000d__x000a_                &amp;lt;xs:element name=&amp;quot;CaseName&amp;quot; type=&amp;quot;xs:string&amp;quot; /&amp;gt;_x000d__x000a_                &amp;lt;xs:element name=&amp;quot;CourtID&amp;quot; type=&amp;quot;xs:int&amp;quot; /&amp;gt;_x000d__x000a_                &amp;lt;xs:element name=&amp;quot;CaseTypeID&amp;quot; type=&amp;quot;xs:int&amp;quot; /&amp;gt;_x000d__x000a_                &amp;lt;xs:element name=&amp;quot;CaseInterestID&amp;quot; type=&amp;quot;xs:int&amp;quot; minOccurs=&amp;quot;0&amp;quot; /&amp;gt;_x000d__x000a_                &amp;lt;xs:element name=&amp;quot;CaseJudgeName&amp;quot; type=&amp;quot;xs:string&amp;quot; minOccurs=&amp;quot;0&amp;quot; /&amp;gt;_x000d__x000a_                &amp;lt;xs:element name=&amp;quot;CaseLinkTypeID&amp;quot; type=&amp;quot;xs:int&amp;quot; minOccurs=&amp;quot;0&amp;quot; /&amp;gt;_x000d__x000a_                &amp;lt;xs:element name=&amp;quot;ProcedureID&amp;quot; type=&amp;quot;xs:int&amp;quot; minOccurs=&amp;quot;0&amp;quot; /&amp;gt;_x000d__x000a_                &amp;lt;xs:element name=&amp;quot;PreviousCaseYear&amp;quot; type=&amp;quot;xs:string&amp;quot; minOccurs=&amp;quot;0&amp;quot; /&amp;gt;_x000d__x000a_                &amp;lt;xs:element name=&amp;quot;PreviousCaseNumber&amp;quot; type=&amp;quot;xs:int&amp;quot; minOccurs=&amp;quot;0&amp;quot; /&amp;gt;_x000d__x000a_                &amp;lt;xs:element name=&amp;quot;CaseStatusID&amp;quot; type=&amp;quot;xs:int&amp;quot; /&amp;gt;_x000d__x000a_                &amp;lt;xs:element name=&amp;quot;ProceedingID&amp;quot; type=&amp;quot;xs:int&amp;quot; /&amp;gt;_x000d__x000a_                &amp;lt;xs:element name=&amp;quot;IsCaseLinked&amp;quot; type=&amp;quot;xs:boolean&amp;quot; /&amp;gt;_x000d__x000a_                &amp;lt;xs:element name=&amp;quot;IsCaseConverted&amp;quot; type=&amp;quot;xs:boolean&amp;quot; minOccurs=&amp;quot;0&amp;quot; /&amp;gt;_x000d__x000a_                &amp;lt;xs:element name=&amp;quot;PrivilegeID&amp;quot; type=&amp;quot;xs:int&amp;quot; /&amp;gt;_x000d__x000a_                &amp;lt;xs:element name=&amp;quot;IsAppealingCaseExist&amp;quot; type=&amp;quot;xs:boolean&amp;quot; minOccurs=&amp;quot;0&amp;quot; /&amp;gt;_x000d__x000a_                &amp;lt;xs:element name=&amp;quot;CaseDisplayIdentifier&amp;quot; type=&amp;quot;xs:string&amp;quot; minOccurs=&amp;quot;0&amp;quot; /&amp;gt;_x000d__x000a_                &amp;lt;xs:element name=&amp;quot;CaseTypeDesc&amp;quot; type=&amp;quot;xs:string&amp;quot; minOccurs=&amp;quot;0&amp;quot; /&amp;gt;_x000d__x000a_                &amp;lt;xs:element name=&amp;quot;CourtDesc&amp;quot; type=&amp;quot;xs:string&amp;quot; minOccurs=&amp;quot;0&amp;quot; /&amp;gt;_x000d__x000a_                &amp;lt;xs:element name=&amp;quot;CaseStageDesc&amp;quot; type=&amp;quot;xs:string&amp;quot; /&amp;gt;_x000d__x000a_                &amp;lt;xs:element name=&amp;quot;IsPendingExemptionDecision&amp;quot; type=&amp;quot;xs:boolean&amp;quot; minOccurs=&amp;quot;0&amp;quot; /&amp;gt;_x000d__x000a_                &amp;lt;xs:element name=&amp;quot;IsPendingEntitlementDecision&amp;quot; type=&amp;quot;xs:boolean&amp;quot; minOccurs=&amp;quot;0&amp;quot; /&amp;gt;_x000d__x000a_                &amp;lt;xs:element name=&amp;quot;IsPendingDifferentCaseVerdict&amp;quot; type=&amp;quot;xs:boolean&amp;quot; minOccurs=&amp;quot;0&amp;quot; /&amp;gt;_x000d__x000a_                &amp;lt;xs:element name=&amp;quot;IsUnpaidFeeExist&amp;quot; type=&amp;quot;xs:boolean&amp;quot; minOccurs=&amp;quot;0&amp;quot; /&amp;gt;_x000d__x000a_                &amp;lt;xs:element name=&amp;quot;IsExecutionDelayed&amp;quot; type=&amp;quot;xs:boolean&amp;quot; minOccurs=&amp;quot;0&amp;quot; /&amp;gt;_x000d__x000a_                &amp;lt;xs:element name=&amp;quot;CaseEntitiesArrestResult&amp;quot; type=&amp;quot;xs:string&amp;quot; minOccurs=&amp;quot;0&amp;quot; /&amp;gt;_x000d__x000a_                &amp;lt;xs:element name=&amp;quot;CasePreviousSessionDate&amp;quot; type=&amp;quot;xs:dateTime&amp;quot; minOccurs=&amp;quot;0&amp;quot; /&amp;gt;_x000d__x000a_                &amp;lt;xs:element name=&amp;quot;CaseNextSessionDate&amp;quot; type=&amp;quot;xs:dateTime&amp;quot; minOccurs=&amp;quot;0&amp;quot; /&amp;gt;_x000d__x000a_                &amp;lt;xs:element name=&amp;quot;PreviousCaseNumberDesc&amp;quot; type=&amp;quot;xs:string&amp;quot; minOccurs=&amp;quot;0&amp;quot; /&amp;gt;_x000d__x000a_                &amp;lt;xs:element name=&amp;quot;SubCaseNumber&amp;quot; type=&amp;quot;xs:int&amp;quot; minOccurs=&amp;quot;0&amp;quot; /&amp;gt;_x000d__x000a_                &amp;lt;xs:element name=&amp;quot;CaseNextDeterminingTask&amp;quot; type=&amp;quot;xs:int&amp;quot; minOccurs=&amp;quot;0&amp;quot; /&amp;gt;_x000d__x000a_                &amp;lt;xs:element name=&amp;quot;TemporaryAidStatus&amp;quot; type=&amp;quot;xs:string&amp;quot; minOccurs=&amp;quot;0&amp;quot; /&amp;gt;_x000d__x000a_                &amp;lt;xs:element name=&amp;quot;CaseOpenDate&amp;quot; type=&amp;quot;xs:dateTime&amp;quot; /&amp;gt;_x000d__x000a_                &amp;lt;xs:element name=&amp;quot;PleaTypeID&amp;quot; type=&amp;quot;xs:int&amp;quot; minOccurs=&amp;quot;0&amp;quot; /&amp;gt;_x000d__x000a_                &amp;lt;xs:element name=&amp;quot;CourtLevelID&amp;quot; type=&amp;quot;xs:int&amp;quot; minOccurs=&amp;quot;0&amp;quot; /&amp;gt;_x000d__x000a_                &amp;lt;xs:element name=&amp;quot;CourtLevelCaseTypeInterestID&amp;quot; type=&amp;quot;xs:int&amp;quot; minOccurs=&amp;quot;0&amp;quot; /&amp;gt;_x000d__x000a_                &amp;lt;xs:element name=&amp;quot;CaseJudgeFirstName&amp;quot; type=&amp;quot;xs:string&amp;quot; minOccurs=&amp;quot;0&amp;quot; /&amp;gt;_x000d__x000a_                &amp;lt;xs:element name=&amp;quot;CaseJudgeLastName&amp;quot; type=&amp;quot;xs:string&amp;quot; minOccurs=&amp;quot;0&amp;quot; /&amp;gt;_x000d__x000a_                &amp;lt;xs:element name=&amp;quot;JudicalPersonID&amp;quot; type=&amp;quot;xs:string&amp;quot; minOccurs=&amp;quot;0&amp;quot; /&amp;gt;_x000d__x000a_                &amp;lt;xs:element name=&amp;quot;IsJudicalPanel&amp;quot; type=&amp;quot;xs:boolean&amp;quot; minOccurs=&amp;quot;0&amp;quot; /&amp;gt;_x000d__x000a_                &amp;lt;xs:element name=&amp;quot;CourtDisplayName&amp;quot; type=&amp;quot;xs:string&amp;quot; minOccurs=&amp;quot;0&amp;quot; /&amp;gt;_x000d__x000a_                &amp;lt;xs:element name=&amp;quot;IsAllStartDataCollected&amp;quot; type=&amp;quot;xs:boolean&amp;quot; minOccurs=&amp;quot;0&amp;quot; /&amp;gt;_x000d__x000a_                &amp;lt;xs:element name=&amp;quot;IsMainCase&amp;quot; type=&amp;quot;xs:boolean&amp;quot; minOccurs=&amp;quot;0&amp;quot; /&amp;gt;_x000d__x000a_                &amp;lt;xs:element name=&amp;quot;PreviousCourtID&amp;quot; type=&amp;quot;xs:int&amp;quot; minOccurs=&amp;quot;0&amp;quot; /&amp;gt;_x000d__x000a_                &amp;lt;xs:element name=&amp;quot;PreviousCaseTypeID&amp;quot; type=&amp;quot;xs:int&amp;quot; minOccurs=&amp;quot;0&amp;quot; /&amp;gt;_x000d__x000a_                &amp;lt;xs:element name=&amp;quot;CaseDesc&amp;quot; type=&amp;quot;xs:string&amp;quot; minOccurs=&amp;quot;0&amp;quot; /&amp;gt;_x000d__x000a_                &amp;lt;xs:element name=&amp;quot;isExistMinorSide&amp;quot; type=&amp;quot;xs:boolean&amp;quot; minOccurs=&amp;quot;0&amp;quot; /&amp;gt;_x000d__x000a_                &amp;lt;xs:element name=&amp;quot;isExistMinorWitness&amp;quot; type=&amp;quot;xs:boolean&amp;quot; minOccurs=&amp;quot;0&amp;quot; /&amp;gt;_x000d__x000a_                &amp;lt;xs:element name=&amp;quot;CaseNextSessionTypeID&amp;quot; type=&amp;quot;xs:int&amp;quot; minOccurs=&amp;quot;0&amp;quot; /&amp;gt;_x000d__x000a_                &amp;lt;xs:element name=&amp;quot;CasePreviousSessionTypeID&amp;quot; type=&amp;quot;xs:int&amp;quot; minOccurs=&amp;quot;0&amp;quot; /&amp;gt;_x000d__x000a_                &amp;lt;xs:element name=&amp;quot;CasePermitStatus&amp;quot; type=&amp;quot;xs:int&amp;quot; minOccurs=&amp;quot;0&amp;quot; /&amp;gt;_x000d__x000a_                &amp;lt;xs:element name=&amp;quot;InstitutionalPathID&amp;quot; type=&amp;quot;xs:int&amp;quot; minOccurs=&amp;quot;0&amp;quot; /&amp;gt;_x000d__x000a_                &amp;lt;xs:element name=&amp;quot;PreviousCaseIdentifier&amp;quot; type=&amp;quot;xs:string&amp;quot; minOccurs=&amp;quot;0&amp;quot; /&amp;gt;_x000d__x000a_                &amp;lt;xs:element name=&amp;quot;ArchivingActivityID&amp;quot; type=&amp;quot;xs:int&amp;quot; minOccurs=&amp;quot;0&amp;quot; /&amp;gt;_x000d__x000a_                &amp;lt;xs:element name=&amp;quot;GettingReasonID&amp;quot; type=&amp;quot;xs:int&amp;quot; minOccurs=&amp;quot;0&amp;quot; /&amp;gt;_x000d__x000a_                &amp;lt;xs:element name=&amp;quot;StorageDate&amp;quot; type=&amp;quot;xs:dateTime&amp;quot; minOccurs=&amp;quot;0&amp;quot; /&amp;gt;_x000d__x000a_                &amp;lt;xs:element name=&amp;quot;IsArchivingActivityManuallyUpdated&amp;quot; type=&amp;quot;xs:boolean&amp;quot; minOccurs=&amp;quot;0&amp;quot; /&amp;gt;_x000d__x000a_                &amp;lt;xs:element name=&amp;quot;StorageDateRecalculationDate&amp;quot; type=&amp;quot;xs:dateTime&amp;quot; minOccurs=&amp;quot;0&amp;quot; /&amp;gt;_x000d__x000a_                &amp;lt;xs:element name=&amp;quot;IsDecisionTypeZaveElyon&amp;quot; type=&amp;quot;xs:boolean&amp;quot; minOccurs=&amp;quot;0&amp;quot; /&amp;gt;_x000d__x000a_                &amp;lt;xs:element name=&amp;quot;IsGuaranteeDeposit&amp;quot; type=&amp;quot;xs:boolean&amp;quot; minOccurs=&amp;quot;0&amp;quot; /&amp;gt;_x000d__x000a_                &amp;lt;xs:element name=&amp;quot;IsFeePaid&amp;quot; type=&amp;quot;xs:boolean&amp;quot; minOccurs=&amp;quot;0&amp;quot; /&amp;gt;_x000d__x000a_                &amp;lt;xs:element name=&amp;quot;IsExistCancelledArrest&amp;quot; type=&amp;quot;xs:boolean&amp;quot; minOccurs=&amp;quot;0&amp;quot; /&amp;gt;_x000d__x000a_                &amp;lt;xs:element name=&amp;quot;IsExistPrisoner&amp;quot; type=&amp;quot;xs:boolean&amp;quot; minOccurs=&amp;quot;0&amp;quot; /&amp;gt;_x000d__x000a_                &amp;lt;xs:element name=&amp;quot;IsExistDetainee&amp;quot; type=&amp;quot;xs:boolean&amp;quot; minOccurs=&amp;quot;0&amp;quot; /&amp;gt;_x000d__x000a_                &amp;lt;xs:element name=&amp;quot;IsDebitExist&amp;quot; type=&amp;quot;xs:boolean&amp;quot; minOccurs=&amp;quot;0&amp;quot; /&amp;gt;_x000d__x000a_                &amp;lt;xs:element name=&amp;quot;DebitExsitDate&amp;quot; type=&amp;quot;xs:dateTime&amp;quot; minOccurs=&amp;quot;0&amp;quot; /&amp;gt;_x000d__x000a_                &amp;lt;xs:element name=&amp;quot;OpenFeeIndication&amp;quot; type=&amp;quot;xs:int&amp;quot; minOccurs=&amp;quot;0&amp;quot; /&amp;gt;_x000d__x000a_                &amp;lt;xs:element name=&amp;quot;GuaranteeIndication&amp;quot; type=&amp;quot;xs:int&amp;quot; minOccurs=&amp;quot;0&amp;quot; /&amp;gt;_x000d__x000a_                &amp;lt;xs:element name=&amp;quot;DelayedPunishmentDate&amp;quot; type=&amp;quot;xs:dateTime&amp;quot; minOccurs=&amp;quot;0&amp;quot; /&amp;gt;_x000d__x000a_                &amp;lt;xs:element name=&amp;quot;IsExistSeizure&amp;quot; type=&amp;quot;xs:boolean&amp;quot; minOccurs=&amp;quot;0&amp;quot; /&amp;gt;_x000d__x000a_                &amp;lt;xs:element name=&amp;quot;IsExemptionExistInCase&amp;quot; type=&amp;quot;xs:boolean&amp;quot; minOccurs=&amp;quot;0&amp;quot; /&amp;gt;_x000d__x000a_                &amp;lt;xs:element name=&amp;quot;IsDebitTransferedInCase&amp;quot; type=&amp;quot;xs:boolean&amp;quot; minOccurs=&amp;quot;0&amp;quot; /&amp;gt;_x000d__x000a_                &amp;lt;xs:element name=&amp;quot;IsUnconvertedCase&amp;quot; type=&amp;quot;xs:boolean&amp;quot; minOccurs=&amp;quot;0&amp;quot; /&amp;gt;_x000d__x000a_                &amp;lt;xs:element name=&amp;quot;ActiveInCaseSuspendedLawyers&amp;quot; type=&amp;quot;xs:string&amp;quot; minOccurs=&amp;quot;0&amp;quot; /&amp;gt;_x000d__x000a_              &amp;lt;/xs:sequence&amp;gt;_x000d__x000a_            &amp;lt;/xs:complexType&amp;gt;_x000d__x000a_          &amp;lt;/xs:element&amp;gt;_x000d__x000a_        &amp;lt;/xs:choice&amp;gt;_x000d__x000a_      &amp;lt;/xs:complexType&amp;gt;_x000d__x000a_    &amp;lt;/xs:element&amp;gt;_x000d__x000a_  &amp;lt;/xs:schema&amp;gt;_x000d__x000a_  &amp;lt;diffgr:diffgram xmlns:msdata=&amp;quot;urn:schemas-microsoft-com:xml-msdata&amp;quot; xmlns:diffgr=&amp;quot;urn:schemas-microsoft-com:xml-diffgram-v1&amp;quot;&amp;gt;_x000d__x000a_    &amp;lt;CasePresentationDS xmlns=&amp;quot;http://tempuri.org/CasePresentationDS.xsd&amp;quot;&amp;gt;_x000d__x000a_      &amp;lt;CasePresentationDataSet diffgr:id=&amp;quot;CasePresentationDataSet1&amp;quot; msdata:rowOrder=&amp;quot;0&amp;quot; diffgr:hasChanges=&amp;quot;modified&amp;quot;&amp;gt;_x000d__x000a_        &amp;lt;CaseID&amp;gt;71107175&amp;lt;/CaseID&amp;gt;_x000d__x000a_        &amp;lt;CaseMonth&amp;gt;5&amp;lt;/CaseMonth&amp;gt;_x000d__x000a_        &amp;lt;CaseYear&amp;gt;2013&amp;lt;/CaseYear&amp;gt;_x000d__x000a_        &amp;lt;CaseNumber&amp;gt;59171&amp;lt;/CaseNumber&amp;gt;_x000d__x000a_        &amp;lt;NumeratorGroupID&amp;gt;1&amp;lt;/NumeratorGroupID&amp;gt;_x000d__x000a_        &amp;lt;CaseName&amp;gt;îãéðú éùøàì ð&amp;#39; ôåâàõ&amp;lt;/CaseName&amp;gt;_x000d__x000a_        &amp;lt;CourtID&amp;gt;32&amp;lt;/CourtID&amp;gt;_x000d__x000a_        &amp;lt;CaseTypeID&amp;gt;10048&amp;lt;/CaseTypeID&amp;gt;_x000d__x000a_        &amp;lt;CaseJudgeName&amp;gt;òéãå ãøåéàï&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59171-05-13&amp;lt;/CaseDisplayIdentifier&amp;gt;_x000d__x000a_        &amp;lt;CaseTypeDesc&amp;gt;ú&amp;quot;ô&amp;lt;/CaseTypeDesc&amp;gt;_x000d__x000a_        &amp;lt;CourtDesc&amp;gt;ùìåí úì àáéá - éôå&amp;lt;/CourtDesc&amp;gt;_x000d__x000a_        &amp;lt;CaseStageDesc&amp;gt;úé÷ àì÷èøåðé&amp;lt;/CaseStageDesc&amp;gt;_x000d__x000a_        &amp;lt;CaseNextDeterminingTask&amp;gt;150&amp;lt;/CaseNextDeterminingTask&amp;gt;_x000d__x000a_        &amp;lt;CaseOpenDate&amp;gt;2013-05-30T08:26:00+03:00&amp;lt;/CaseOpenDate&amp;gt;_x000d__x000a_        &amp;lt;PleaTypeID&amp;gt;8&amp;lt;/PleaTypeID&amp;gt;_x000d__x000a_        &amp;lt;CourtLevelID&amp;gt;1&amp;lt;/CourtLevelID&amp;gt;_x000d__x000a_        &amp;lt;CaseJudgeFirstName&amp;gt;òéãå&amp;lt;/CaseJudgeFirstName&amp;gt;_x000d__x000a_        &amp;lt;CaseJudgeLastName&amp;gt;ãøåéàï&amp;lt;/CaseJudgeLastName&amp;gt;_x000d__x000a_        &amp;lt;JudicalPersonID&amp;gt;022014427@GOV.IL&amp;lt;/JudicalPersonID&amp;gt;_x000d__x000a_        &amp;lt;IsJudicalPanel&amp;gt;false&amp;lt;/IsJudicalPanel&amp;gt;_x000d__x000a_        &amp;lt;CourtDisplayName&amp;gt;áéú îùôè äùìåí áúì àáéá - éôå&amp;lt;/CourtDisplayName&amp;gt;_x000d__x000a_        &amp;lt;IsAllStartDataCollected&amp;gt;true&amp;lt;/IsAllStartDataCollected&amp;gt;_x000d__x000a_        &amp;lt;IsMainCase&amp;gt;false&amp;lt;/IsMainCase&amp;gt;_x000d__x000a_        &amp;lt;CaseDesc&amp;gt;24.4.14_x000d__x000a__x000d__x000a_ùéîåò äëøòú ãéï - éù èéåèä._x000d__x000a__x000d__x000a_îåãò. îéåöâ (òå&amp;quot;ã éåøé ÷åøðáøâ)_x000d__x000a__x000d__x000a_ëú&amp;quot;à:_x000d__x000a_îòùéí îâåðéí (øéáåé òáéøåú)&amp;lt;/CaseDesc&amp;gt;_x000d__x000a_        &amp;lt;isExistMinorSide&amp;gt;false&amp;lt;/isExistMinorSide&amp;gt;_x000d__x000a_        &amp;lt;isExistMinorWitness&amp;gt;false&amp;lt;/isExistMinorWitness&amp;gt;_x000d__x000a_        &amp;lt;ArchivingActivityID&amp;gt;1&amp;lt;/ArchivingActivityID&amp;gt;_x000d__x000a_        &amp;lt;IsDecisionTypeZaveElyon&amp;gt;false&amp;lt;/IsDecisionTypeZaveElyon&amp;gt;_x000d__x000a_        &amp;lt;IsFeePaid&amp;gt;true&amp;lt;/IsFeePaid&amp;gt;_x000d__x000a_        &amp;lt;IsExistPrisoner&amp;gt;false&amp;lt;/IsExistPrisoner&amp;gt;_x000d__x000a_        &amp;lt;IsExistDetainee&amp;gt;false&amp;lt;/IsExistDetainee&amp;gt;_x000d__x000a_        &amp;lt;IsDebitExist&amp;gt;false&amp;lt;/IsDebitExist&amp;gt;_x000d__x000a_        &amp;lt;DebitExsitDate&amp;gt;2014-04-24T03:00:00+03:00&amp;lt;/DebitExsitDate&amp;gt;_x000d__x000a_        &amp;lt;IsExistSeizure&amp;gt;false&amp;lt;/IsExistSeizure&amp;gt;_x000d__x000a_        &amp;lt;IsExemptionExistInCase&amp;gt;false&amp;lt;/IsExemptionExistInCase&amp;gt;_x000d__x000a_        &amp;lt;IsDebitTransferedInCase&amp;gt;false&amp;lt;/IsDebitTransferedInCase&amp;gt;_x000d__x000a_      &amp;lt;/CasePresentationDataSet&amp;gt;_x000d__x000a_    &amp;lt;/CasePresentationDS&amp;gt;_x000d__x000a_    &amp;lt;diffgr:before&amp;gt;_x000d__x000a_      &amp;lt;CasePresentationDataSet diffgr:id=&amp;quot;CasePresentationDataSet1&amp;quot; msdata:rowOrder=&amp;quot;0&amp;quot; xmlns=&amp;quot;http://tempuri.org/CasePresentationDS.xsd&amp;quot;&amp;gt;_x000d__x000a_        &amp;lt;CaseID&amp;gt;71107175&amp;lt;/CaseID&amp;gt;_x000d__x000a_        &amp;lt;CaseMonth&amp;gt;5&amp;lt;/CaseMonth&amp;gt;_x000d__x000a_        &amp;lt;CaseYear&amp;gt;2013&amp;lt;/CaseYear&amp;gt;_x000d__x000a_        &amp;lt;CaseNumber&amp;gt;59171&amp;lt;/CaseNumber&amp;gt;_x000d__x000a_        &amp;lt;NumeratorGroupID&amp;gt;1&amp;lt;/NumeratorGroupID&amp;gt;_x000d__x000a_        &amp;lt;CaseName&amp;gt;îãéðú éùøàì ð&amp;#39; ôåâàõ&amp;lt;/CaseName&amp;gt;_x000d__x000a_        &amp;lt;CourtID&amp;gt;32&amp;lt;/CourtID&amp;gt;_x000d__x000a_        &amp;lt;CaseTypeID&amp;gt;10048&amp;lt;/CaseTypeID&amp;gt;_x000d__x000a_        &amp;lt;CaseJudgeName&amp;gt;òéãå ãøåéàï&amp;lt;/CaseJudgeName&amp;gt;_x000d__x000a_        &amp;lt;CaseLinkTypeID&amp;gt;10&amp;lt;/CaseLinkTypeID&amp;gt;_x000d__x000a_        &amp;lt;ProcedureID&amp;gt;2&amp;lt;/ProcedureID&amp;gt;_x000d__x000a_        &amp;lt;CaseStatusID&amp;gt;1&amp;lt;/CaseStatusID&amp;gt;_x000d__x000a_        &amp;lt;ProceedingID&amp;gt;2&amp;lt;/ProceedingID&amp;gt;_x000d__x000a_        &amp;lt;IsCaseLinked&amp;gt;true&amp;lt;/IsCaseLinked&amp;gt;_x000d__x000a_        &amp;lt;PrivilegeID&amp;gt;1&amp;lt;/PrivilegeID&amp;gt;_x000d__x000a_        &amp;lt;IsAppealingCaseExist&amp;gt;false&amp;lt;/IsAppealingCaseExist&amp;gt;_x000d__x000a_        &amp;lt;CaseDisplayIdentifier&amp;gt;59171-05-13&amp;lt;/CaseDisplayIdentifier&amp;gt;_x000d__x000a_        &amp;lt;CaseTypeDesc&amp;gt;ú&amp;quot;ô&amp;lt;/CaseTypeDesc&amp;gt;_x000d__x000a_        &amp;lt;CourtDesc&amp;gt;ùìåí úì àáéá - éôå&amp;lt;/CourtDesc&amp;gt;_x000d__x000a_        &amp;lt;CaseStageDesc&amp;gt;úé÷ àì÷èøåðé&amp;lt;/CaseStageDesc&amp;gt;_x000d__x000a_        &amp;lt;CaseNextDeterminingTask&amp;gt;150&amp;lt;/CaseNextDeterminingTask&amp;gt;_x000d__x000a_        &amp;lt;CaseOpenDate&amp;gt;2013-05-30T08:26:00+03:00&amp;lt;/CaseOpenDate&amp;gt;_x000d__x000a_        &amp;lt;PleaTypeID&amp;gt;8&amp;lt;/PleaTypeID&amp;gt;_x000d__x000a_        &amp;lt;CourtLevelID&amp;gt;1&amp;lt;/CourtLevelID&amp;gt;_x000d__x000a_        &amp;lt;CaseJudgeFirstName&amp;gt;òéãå&amp;lt;/CaseJudgeFirstName&amp;gt;_x000d__x000a_        &amp;lt;CaseJudgeLastName&amp;gt;ãøåéàï&amp;lt;/CaseJudgeLastName&amp;gt;_x000d__x000a_        &amp;lt;JudicalPersonID&amp;gt;022014427@GOV.IL&amp;lt;/JudicalPersonID&amp;gt;_x000d__x000a_        &amp;lt;IsJudicalPanel&amp;gt;false&amp;lt;/IsJudicalPanel&amp;gt;_x000d__x000a_        &amp;lt;CourtDisplayName&amp;gt;áéú îùôè äùìåí áúì àáéá - éôå&amp;lt;/CourtDisplayName&amp;gt;_x000d__x000a_        &amp;lt;IsAllStartDataCollected&amp;gt;true&amp;lt;/IsAllStartDataCollected&amp;gt;_x000d__x000a_        &amp;lt;IsMainCase&amp;gt;false&amp;lt;/IsMainCase&amp;gt;_x000d__x000a_        &amp;lt;CaseDesc&amp;gt;24.4.14_x000d__x000a__x000d__x000a_ùéîåò äëøòú ãéï - éù èéåèä._x000d__x000a__x000d__x000a_îåãò. îéåöâ (òå&amp;quot;ã éåøé ÷åøðáøâ)_x000d__x000a__x000d__x000a_ëú&amp;quot;à:_x000d__x000a_îòùéí îâåðéí (øéáåé òáéøåú)&amp;lt;/CaseDesc&amp;gt;_x000d__x000a_        &amp;lt;ArchivingActivityID&amp;gt;1&amp;lt;/ArchivingActivityID&amp;gt;_x000d__x000a_      &amp;lt;/CasePresentationDataSet&amp;gt;_x000d__x000a_    &amp;lt;/diffgr:before&amp;gt;_x000d__x000a_  &amp;lt;/diffgr:diffgram&amp;gt;_x000d__x000a_&amp;lt;/CasePresentationDS&amp;gt;"/>
    <w:docVar w:name="CourtID" w:val="32"/>
    <w:docVar w:name="DecisionDS" w:val="&amp;lt;?xml version=&amp;quot;1.0&amp;quot;?&amp;gt;_x000d__x000a_&amp;lt;DecisionDS&amp;gt;_x000d__x000a_  &amp;lt;xs:schema id=&amp;quot;DecisionDS&amp;quot; targetNamespace=&amp;quot;http://www.tempuri.org/DecisionDS.xsd&amp;quot; xmlns:mstns=&amp;quot;http://www.tempuri.org/DecisionDS.xsd&amp;quot; xmlns=&amp;quot;http://www.tempuri.org/DecisionDS.xsd&amp;quot; xmlns:xs=&amp;quot;http://www.w3.org/2001/XMLSchema&amp;quot; xmlns:msdata=&amp;quot;urn:schemas-microsoft-com:xml-msdata&amp;quot; attributeFormDefault=&amp;quot;qualified&amp;quot; elementFormDefault=&amp;quot;qualified&amp;quot;&amp;gt;_x000d__x000a_    &amp;lt;xs:element name=&amp;quot;DecisionDS&amp;quot; msdata:IsDataSet=&amp;quot;true&amp;quot; msdata:Locale=&amp;quot;he-IL&amp;quot;&amp;gt;_x000d__x000a_      &amp;lt;xs:complexType&amp;gt;_x000d__x000a_        &amp;lt;xs:choice minOccurs=&amp;quot;0&amp;quot; maxOccurs=&amp;quot;unbounded&amp;quot;&amp;gt;_x000d__x000a_          &amp;lt;xs:element name=&amp;quot;dt_Decision&amp;quot;&amp;gt;_x000d__x000a_            &amp;lt;xs:complexType&amp;gt;_x000d__x000a_              &amp;lt;xs:sequence&amp;gt;_x000d__x000a_                &amp;lt;xs:element name=&amp;quot;DecisionID&amp;quot; msdata:ReadOnly=&amp;quot;true&amp;quot; msdata:AutoIncrement=&amp;quot;true&amp;quot; type=&amp;quot;xs:int&amp;quot; /&amp;gt;_x000d__x000a_                &amp;lt;xs:element name=&amp;quot;DecisionNumber&amp;quot; type=&amp;quot;xs:int&amp;quot; minOccurs=&amp;quot;0&amp;quot; /&amp;gt;_x000d__x000a_                &amp;lt;xs:element name=&amp;quot;DecisionName&amp;quot; type=&amp;quot;xs:string&amp;quot; /&amp;gt;_x000d__x000a_                &amp;lt;xs:element name=&amp;quot;DecisionStatusID&amp;quot; type=&amp;quot;xs:int&amp;quot; /&amp;gt;_x000d__x000a_                &amp;lt;xs:element name=&amp;quot;DecisionStatusChangeDate&amp;quot; type=&amp;quot;xs:dateTime&amp;quot; /&amp;gt;_x000d__x000a_                &amp;lt;xs:element name=&amp;quot;DecisionSignatureDate&amp;quot; type=&amp;quot;xs:dateTime&amp;quot; minOccurs=&amp;quot;0&amp;quot; /&amp;gt;_x000d__x000a_                &amp;lt;xs:element name=&amp;quot;DecisionSignatureUserID&amp;quot; type=&amp;quot;xs:string&amp;quot; minOccurs=&amp;quot;0&amp;quot; /&amp;gt;_x000d__x000a_                &amp;lt;xs:element name=&amp;quot;DecisionCreateDate&amp;quot; type=&amp;quot;xs:dateTime&amp;quot; /&amp;gt;_x000d__x000a_                &amp;lt;xs:element name=&amp;quot;DecisionChangeDate&amp;quot; type=&amp;quot;xs:dateTime&amp;quot; minOccurs=&amp;quot;0&amp;quot; /&amp;gt;_x000d__x000a_                &amp;lt;xs:element name=&amp;quot;DecisionChangeUserID&amp;quot; type=&amp;quot;xs:string&amp;quot; minOccurs=&amp;quot;0&amp;quot; /&amp;gt;_x000d__x000a_                &amp;lt;xs:element name=&amp;quot;DecisionDesc&amp;quot; type=&amp;quot;xs:string&amp;quot; minOccurs=&amp;quot;0&amp;quot; /&amp;gt;_x000d__x000a_                &amp;lt;xs:element name=&amp;quot;IsChosenDecision&amp;quot; type=&amp;quot;xs:boolean&amp;quot; default=&amp;quot;false&amp;quot; /&amp;gt;_x000d__x000a_                &amp;lt;xs:element name=&amp;quot;IsDecisionImplementationTask&amp;quot; type=&amp;quot;xs:boolean&amp;quot; default=&amp;quot;false&amp;quot; minOccurs=&amp;quot;0&amp;quot; /&amp;gt;_x000d__x000a_                &amp;lt;xs:element name=&amp;quot;IsDecisionInProtocol&amp;quot; type=&amp;quot;xs:boolean&amp;quot; default=&amp;quot;false&amp;quot; /&amp;gt;_x000d__x000a_                &amp;lt;xs:element name=&amp;quot;DecisionTypeID&amp;quot; type=&amp;quot;xs:int&amp;quot; /&amp;gt;_x000d__x000a_                &amp;lt;xs:element name=&amp;quot;DecisionText&amp;quot; type=&amp;quot;xs:string&amp;quot; minOccurs=&amp;quot;0&amp;quot; /&amp;gt;_x000d__x000a_                &amp;lt;xs:element name=&amp;quot;IsOnlyOneParty&amp;quot; type=&amp;quot;xs:boolean&amp;quot; default=&amp;quot;false&amp;quot; /&amp;gt;_x000d__x000a_                &amp;lt;xs:element name=&amp;quot;IsCanceledDecision&amp;quot; type=&amp;quot;xs:boolean&amp;quot; default=&amp;quot;false&amp;quot; /&amp;gt;_x000d__x000a_                &amp;lt;xs:element name=&amp;quot;DecisionLinkID&amp;quot; type=&amp;quot;xs:int&amp;quot; minOccurs=&amp;quot;0&amp;quot; /&amp;gt;_x000d__x000a_                &amp;lt;xs:element name=&amp;quot;DecisionLinkTypeID&amp;quot; type=&amp;quot;xs:int&amp;quot; minOccurs=&amp;quot;0&amp;quot; /&amp;gt;_x000d__x000a_                &amp;lt;xs:element name=&amp;quot;DocumentID&amp;quot; type=&amp;quot;xs:int&amp;quot; minOccurs=&amp;quot;0&amp;quot; /&amp;gt;_x000d__x000a_                &amp;lt;xs:element name=&amp;quot;PrivilegeID&amp;quot; type=&amp;quot;xs:int&amp;quot; /&amp;gt;_x000d__x000a_                &amp;lt;xs:element name=&amp;quot;IsDecisionConverted&amp;quot; type=&amp;quot;xs:boolean&amp;quot; default=&amp;quot;false&amp;quot; /&amp;gt;_x000d__x000a_                &amp;lt;xs:element name=&amp;quot;SignatureUserTypeID&amp;quot; type=&amp;quot;xs:int&amp;quot; minOccurs=&amp;quot;0&amp;quot; /&amp;gt;_x000d__x000a_                &amp;lt;xs:element name=&amp;quot;IsOpenedToSecondSide&amp;quot; type=&amp;quot;xs:boolean&amp;quot; default=&amp;quot;false&amp;quot; /&amp;gt;_x000d__x000a_                &amp;lt;xs:element name=&amp;quot;IsDecisionAppeled&amp;quot; type=&amp;quot;xs:boolean&amp;quot; default=&amp;quot;false&amp;quot; /&amp;gt;_x000d__x000a_                &amp;lt;xs:element name=&amp;quot;DecisionWriterID&amp;quot; type=&amp;quot;xs:string&amp;quot; minOccurs=&amp;quot;0&amp;quot; /&amp;gt;_x000d__x000a_                &amp;lt;xs:element name=&amp;quot;IsInstruction&amp;quot; type=&amp;quot;xs:boolean&amp;quot; default=&amp;quot;false&amp;quot; /&amp;gt;_x000d__x000a_                &amp;lt;xs:element name=&amp;quot;PreviousCaseID&amp;quot; type=&amp;quot;xs:string&amp;quot; minOccurs=&amp;quot;0&amp;quot; /&amp;gt;_x000d__x000a_                &amp;lt;xs:element name=&amp;quot;IsNeedAllSignatures&amp;quot; type=&amp;quot;xs:boolean&amp;quot; default=&amp;quot;false&amp;quot; minOccurs=&amp;quot;0&amp;quot; /&amp;gt;_x000d__x000a_                &amp;lt;xs:element name=&amp;quot;DecisionAttributeID&amp;quot; type=&amp;quot;xs:int&amp;quot; minOccurs=&amp;quot;0&amp;quot; /&amp;gt;_x000d__x000a_                &amp;lt;xs:element name=&amp;quot;DecisionCreationUserID&amp;quot; type=&amp;quot;xs:string&amp;quot; /&amp;gt;_x000d__x000a_                &amp;lt;xs:element name=&amp;quot;DecisionLinkName&amp;quot; type=&amp;quot;xs:string&amp;quot; minOccurs=&amp;quot;0&amp;quot; /&amp;gt;_x000d__x000a_                &amp;lt;xs:element name=&amp;quot;DecisionLinkCaseID&amp;quot; type=&amp;quot;xs:int&amp;quot; minOccurs=&amp;quot;0&amp;quot; /&amp;gt;_x000d__x000a_                &amp;lt;xs:element name=&amp;quot;DecisionDisplayName&amp;quot; type=&amp;quot;xs:string&amp;quot; minOccurs=&amp;quot;0&amp;quot; /&amp;gt;_x000d__x000a_                &amp;lt;xs:element name=&amp;quot;IsScanned&amp;quot; type=&amp;quot;xs:boolean&amp;quot; minOccurs=&amp;quot;0&amp;quot; /&amp;gt;_x000d__x000a_                &amp;lt;xs:element name=&amp;quot;DecisionSignatureUserName&amp;quot; type=&amp;quot;xs:string&amp;quot; minOccurs=&amp;quot;0&amp;quot; /&amp;gt;_x000d__x000a_                &amp;lt;xs:element name=&amp;quot;ChangePrivilegeUserID&amp;quot; type=&amp;quot;xs:string&amp;quot; minOccurs=&amp;quot;0&amp;quot; /&amp;gt;_x000d__x000a_                &amp;lt;xs:element name=&amp;quot;PublishInWebUserID&amp;quot; type=&amp;quot;xs:string&amp;quot; minOccurs=&amp;quot;0&amp;quot; /&amp;gt;_x000d__x000a_                &amp;lt;xs:element name=&amp;quot;NotificationTypeID&amp;quot; type=&amp;quot;xs:int&amp;quot; default=&amp;quot;1&amp;quot; minOccurs=&amp;quot;0&amp;quot; /&amp;gt;_x000d__x000a_                &amp;lt;xs:element name=&amp;quot;NotificationAuthorizeUserID&amp;quot; type=&amp;quot;xs:string&amp;quot; minOccurs=&amp;quot;0&amp;quot; /&amp;gt;_x000d__x000a_                &amp;lt;xs:element name=&amp;quot;DecisionReleaseDate&amp;quot; type=&amp;quot;xs:dateTime&amp;quot; minOccurs=&amp;quot;0&amp;quot; /&amp;gt;_x000d__x000a_                &amp;lt;xs:element name=&amp;quot;IsDecisionInNote&amp;quot; type=&amp;quot;xs:boolean&amp;quot; default=&amp;quot;false&amp;quot; /&amp;gt;_x000d__x000a_                &amp;lt;xs:element name=&amp;quot;IsDecisionUrgency&amp;quot; type=&amp;quot;xs:boolean&amp;quot; default=&amp;quot;false&amp;quot; /&amp;gt;_x000d__x000a_                &amp;lt;xs:element name=&amp;quot;IsOriginal&amp;quot; type=&amp;quot;xs:boolean&amp;quot; minOccurs=&amp;quot;0&amp;quot; /&amp;gt;_x000d__x000a_              &amp;lt;/xs:sequence&amp;gt;_x000d__x000a_            &amp;lt;/xs:complexType&amp;gt;_x000d__x000a_          &amp;lt;/xs:element&amp;gt;_x000d__x000a_          &amp;lt;xs:element name=&amp;quot;dt_DecisionCase&amp;quot;&amp;gt;_x000d__x000a_            &amp;lt;xs:complexType&amp;gt;_x000d__x000a_              &amp;lt;xs:sequence&amp;gt;_x000d__x000a_                &amp;lt;xs:element name=&amp;quot;DecisionID&amp;quot; type=&amp;quot;xs:int&amp;quot; /&amp;gt;_x000d__x000a_                &amp;lt;xs:element name=&amp;quot;CaseID&amp;quot; type=&amp;quot;xs:int&amp;quot; /&amp;gt;_x000d__x000a_                &amp;lt;xs:element name=&amp;quot;IsOriginal&amp;quot; type=&amp;quot;xs:boolean&amp;quot; default=&amp;quot;false&amp;quot; minOccurs=&amp;quot;0&amp;quot; /&amp;gt;_x000d__x000a_                &amp;lt;xs:element name=&amp;quot;IsDeleted&amp;quot; type=&amp;quot;xs:boolean&amp;quot; default=&amp;quot;false&amp;quot; /&amp;gt;_x000d__x000a_                &amp;lt;xs:element name=&amp;quot;CaseLinkTypeID&amp;quot; type=&amp;quot;xs:int&amp;quot; minOccurs=&amp;quot;0&amp;quot; /&amp;gt;_x000d__x000a_                &amp;lt;xs:element name=&amp;quot;CaseName&amp;quot; type=&amp;quot;xs:string&amp;quot; minOccurs=&amp;quot;0&amp;quot; /&amp;gt;_x000d__x000a_                &amp;lt;xs:element name=&amp;quot;CaseDisplayIdentifier&amp;quot; type=&amp;quot;xs:string&amp;quot; minOccurs=&amp;quot;0&amp;quot; /&amp;gt;_x000d__x000a_              &amp;lt;/xs:sequence&amp;gt;_x000d__x000a_            &amp;lt;/xs:complexType&amp;gt;_x000d__x000a_          &amp;lt;/xs:element&amp;gt;_x000d__x000a_          &amp;lt;xs:element name=&amp;quot;dt_DecisionMotion&amp;quot;&amp;gt;_x000d__x000a_            &amp;lt;xs:complexType&amp;gt;_x000d__x000a_              &amp;lt;xs:sequence&amp;gt;_x000d__x000a_                &amp;lt;xs:element name=&amp;quot;DecisionID&amp;quot; type=&amp;quot;xs:int&amp;quot; /&amp;gt;_x000d__x000a_                &amp;lt;xs:element name=&amp;quot;MotionID&amp;quot; type=&amp;quot;xs:int&amp;quot; /&amp;gt;_x000d__x000a_                &amp;lt;xs:element name=&amp;quot;DecisionResultID&amp;quot; type=&amp;quot;xs:int&amp;quot; minOccurs=&amp;quot;0&amp;quot; /&amp;gt;_x000d__x000a_                &amp;lt;xs:element name=&amp;quot;IsOriginalMotion&amp;quot; type=&amp;quot;xs:boolean&amp;quot; default=&amp;quot;false&amp;quot; minOccurs=&amp;quot;0&amp;quot; /&amp;gt;_x000d__x000a_                &amp;lt;xs:element name=&amp;quot;MotionName&amp;quot; type=&amp;quot;xs:string&amp;quot; minOccurs=&amp;quot;0&amp;quot; /&amp;gt;_x000d__x000a_                &amp;lt;xs:element name=&amp;quot;MotionOpenDate&amp;quot; type=&amp;quot;xs:dateTime&amp;quot; minOccurs=&amp;quot;0&amp;quot; /&amp;gt;_x000d__x000a_                &amp;lt;xs:element name=&amp;quot;CaseID&amp;quot; type=&amp;quot;xs:int&amp;quot; minOccurs=&amp;quot;0&amp;quot; /&amp;gt;_x000d__x000a_                &amp;lt;xs:element name=&amp;quot;CaseDisplayIdentifier&amp;quot; type=&amp;quot;xs:string&amp;quot; minOccurs=&amp;quot;0&amp;quot; /&amp;gt;_x000d__x000a_                &amp;lt;xs:element name=&amp;quot;ProcessNumber&amp;quot; type=&amp;quot;xs:int&amp;quot; minOccurs=&amp;quot;0&amp;quot; /&amp;gt;_x000d__x000a_              &amp;lt;/xs:sequence&amp;gt;_x000d__x000a_            &amp;lt;/xs:complexType&amp;gt;_x000d__x000a_          &amp;lt;/xs:element&amp;gt;_x000d__x000a_          &amp;lt;xs:element name=&amp;quot;dt_DecisionProtocol&amp;quot;&amp;gt;_x000d__x000a_            &amp;lt;xs:complexType&amp;gt;_x000d__x000a_              &amp;lt;xs:sequence&amp;gt;_x000d__x000a_                &amp;lt;xs:element name=&amp;quot;DecisionID&amp;quot; type=&amp;quot;xs:int&amp;quot; /&amp;gt;_x000d__x000a_                &amp;lt;xs:element name=&amp;quot;ProtocolID&amp;quot; type=&amp;quot;xs:int&amp;quot; /&amp;gt;_x000d__x000a_                &amp;lt;xs:element name=&amp;quot;ProtocolEventID&amp;quot; type=&amp;quot;xs:int&amp;quot; /&amp;gt;_x000d__x000a_              &amp;lt;/xs:sequence&amp;gt;_x000d__x000a_            &amp;lt;/xs:complexType&amp;gt;_x000d__x000a_          &amp;lt;/xs:element&amp;gt;_x000d__x000a_          &amp;lt;xs:element name=&amp;quot;dt_DecisionJudgePanel&amp;quot;&amp;gt;_x000d__x000a_            &amp;lt;xs:complexType&amp;gt;_x000d__x000a_              &amp;lt;xs:sequence&amp;gt;_x000d__x000a_                &amp;lt;xs:element name=&amp;quot;DecisionID&amp;quot; type=&amp;quot;xs:int&amp;quot; /&amp;gt;_x000d__x000a_                &amp;lt;xs:element name=&amp;quot;JudgeID&amp;quot; type=&amp;quot;xs:string&amp;quot; /&amp;gt;_x000d__x000a_                &amp;lt;xs:element name=&amp;quot;DocumentSendDate&amp;quot; type=&amp;quot;xs:dateTime&amp;quot; minOccurs=&amp;quot;0&amp;quot; /&amp;gt;_x000d__x000a_                &amp;lt;xs:element name=&amp;quot;FinalDate&amp;quot; type=&amp;quot;xs:dateTime&amp;quot; minOccurs=&amp;quot;0&amp;quot; /&amp;gt;_x000d__x000a_                &amp;lt;xs:element name=&amp;quot;SignatureDate&amp;quot; type=&amp;quot;xs:dateTime&amp;quot; minOccurs=&amp;quot;0&amp;quot; /&amp;gt;_x000d__x000a_                &amp;lt;xs:element name=&amp;quot;DocumentID&amp;quot; type=&amp;quot;xs:int&amp;quot; minOccurs=&amp;quot;0&amp;quot; /&amp;gt;_x000d__x000a_                &amp;lt;xs:element name=&amp;quot;DecisionOpinionDate&amp;quot; type=&amp;quot;xs:dateTime&amp;quot; minOccurs=&amp;quot;0&amp;quot; /&amp;gt;_x000d__x000a_                &amp;lt;xs:element name=&amp;quot;WriterViewedDraftDate&amp;quot; type=&amp;quot;xs:dateTime&amp;quot; minOccurs=&amp;quot;0&amp;quot; /&amp;gt;_x000d__x000a_                &amp;lt;xs:element name=&amp;quot;IsNeedAllSignatures&amp;quot; type=&amp;quot;xs:boolean&amp;quot; minOccurs=&amp;quot;0&amp;quot; /&amp;gt;_x000d__x000a_                &amp;lt;xs:element name=&amp;quot;DocumentIDNotes&amp;quot; type=&amp;quot;xs:int&amp;quot; minOccurs=&amp;quot;0&amp;quot; /&amp;gt;_x000d__x000a_                &amp;lt;xs:element name=&amp;quot;OrdinalNumber&amp;quot; type=&amp;quot;xs:int&amp;quot; minOccurs=&amp;quot;0&amp;quot; /&amp;gt;_x000d__x000a_              &amp;lt;/xs:sequence&amp;gt;_x000d__x000a_            &amp;lt;/xs:complexType&amp;gt;_x000d__x000a_          &amp;lt;/xs:element&amp;gt;_x000d__x000a_          &amp;lt;xs:element name=&amp;quot;dt_Attachments&amp;quot;&amp;gt;_x000d__x000a_            &amp;lt;xs:complexType&amp;gt;_x000d__x000a_              &amp;lt;xs:sequence&amp;gt;_x000d__x000a_                &amp;lt;xs:element name=&amp;quot;DocumentID&amp;quot; type=&amp;quot;xs:int&amp;quot; minOccurs=&amp;quot;0&amp;quot; /&amp;gt;_x000d__x000a_                &amp;lt;xs:element name=&amp;quot;DocumentStatusChangeDate&amp;quot; type=&amp;quot;xs:dateTime&amp;quot; minOccurs=&amp;quot;0&amp;quot; /&amp;gt;_x000d__x000a_                &amp;lt;xs:element name=&amp;quot;DocumentDesc&amp;quot; type=&amp;quot;xs:string&amp;quot; minOccurs=&amp;quot;0&amp;quot; /&amp;gt;_x000d__x000a_                &amp;lt;xs:element name=&amp;quot;DocumentMainID&amp;quot; type=&amp;quot;xs:int&amp;quot; minOccurs=&amp;quot;0&amp;quot; /&amp;gt;_x000d__x000a_              &amp;lt;/xs:sequence&amp;gt;_x000d__x000a_            &amp;lt;/xs:complexType&amp;gt;_x000d__x000a_          &amp;lt;/xs:element&amp;gt;_x000d__x000a_        &amp;lt;/xs:choice&amp;gt;_x000d__x000a_      &amp;lt;/xs:complexType&amp;gt;_x000d__x000a_      &amp;lt;xs:unique name=&amp;quot;DecisionDSKey1&amp;quot; msdata:PrimaryKey=&amp;quot;true&amp;quot;&amp;gt;_x000d__x000a_        &amp;lt;xs:selector xpath=&amp;quot;.//mstns:dt_Decision&amp;quot; /&amp;gt;_x000d__x000a_        &amp;lt;xs:field xpath=&amp;quot;mstns:DecisionID&amp;quot; /&amp;gt;_x000d__x000a_      &amp;lt;/xs:unique&amp;gt;_x000d__x000a_      &amp;lt;xs:unique name=&amp;quot;DecisionDSKey2&amp;quot; msdata:PrimaryKey=&amp;quot;true&amp;quot;&amp;gt;_x000d__x000a_        &amp;lt;xs:selector xpath=&amp;quot;.//mstns:dt_DecisionCase&amp;quot; /&amp;gt;_x000d__x000a_        &amp;lt;xs:field xpath=&amp;quot;mstns:DecisionID&amp;quot; /&amp;gt;_x000d__x000a_        &amp;lt;xs:field xpath=&amp;quot;mstns:CaseID&amp;quot; /&amp;gt;_x000d__x000a_      &amp;lt;/xs:unique&amp;gt;_x000d__x000a_      &amp;lt;xs:unique name=&amp;quot;DecisionDSKey3&amp;quot; msdata:PrimaryKey=&amp;quot;true&amp;quot;&amp;gt;_x000d__x000a_        &amp;lt;xs:selector xpath=&amp;quot;.//mstns:dt_DecisionMotion&amp;quot; /&amp;gt;_x000d__x000a_        &amp;lt;xs:field xpath=&amp;quot;mstns:DecisionID&amp;quot; /&amp;gt;_x000d__x000a_        &amp;lt;xs:field xpath=&amp;quot;mstns:MotionID&amp;quot; /&amp;gt;_x000d__x000a_      &amp;lt;/xs:unique&amp;gt;_x000d__x000a_      &amp;lt;xs:unique name=&amp;quot;DecisionDSKey4&amp;quot; msdata:PrimaryKey=&amp;quot;true&amp;quot;&amp;gt;_x000d__x000a_        &amp;lt;xs:selector xpath=&amp;quot;.//mstns:dt_DecisionProtocol&amp;quot; /&amp;gt;_x000d__x000a_        &amp;lt;xs:field xpath=&amp;quot;mstns:DecisionID&amp;quot; /&amp;gt;_x000d__x000a_        &amp;lt;xs:field xpath=&amp;quot;mstns:ProtocolID&amp;quot; /&amp;gt;_x000d__x000a_        &amp;lt;xs:field xpath=&amp;quot;mstns:ProtocolEventID&amp;quot; /&amp;gt;_x000d__x000a_      &amp;lt;/xs:unique&amp;gt;_x000d__x000a_      &amp;lt;xs:unique name=&amp;quot;DecisionDSKey10&amp;quot; msdata:PrimaryKey=&amp;quot;true&amp;quot;&amp;gt;_x000d__x000a_        &amp;lt;xs:selector xpath=&amp;quot;.//mstns:dt_DecisionJudgePanel&amp;quot; /&amp;gt;_x000d__x000a_        &amp;lt;xs:field xpath=&amp;quot;mstns:DecisionID&amp;quot; /&amp;gt;_x000d__x000a_        &amp;lt;xs:field xpath=&amp;quot;mstns:JudgeID&amp;quot; /&amp;gt;_x000d__x000a_      &amp;lt;/xs:unique&amp;gt;_x000d__x000a_      &amp;lt;xs:keyref name=&amp;quot;dt_Decisiondt_DecisionJudgePanel&amp;quot; refer=&amp;quot;DecisionDSKey1&amp;quot;&amp;gt;_x000d__x000a_        &amp;lt;xs:selector xpath=&amp;quot;.//mstns:dt_DecisionJudgePanel&amp;quot; /&amp;gt;_x000d__x000a_        &amp;lt;xs:field xpath=&amp;quot;mstns:DecisionID&amp;quot; /&amp;gt;_x000d__x000a_      &amp;lt;/xs:keyref&amp;gt;_x000d__x000a_      &amp;lt;xs:keyref name=&amp;quot;dt_Decisiondt_DecisionProtocol&amp;quot; refer=&amp;quot;DecisionDSKey1&amp;quot;&amp;gt;_x000d__x000a_        &amp;lt;xs:selector xpath=&amp;quot;.//mstns:dt_DecisionProtocol&amp;quot; /&amp;gt;_x000d__x000a_        &amp;lt;xs:field xpath=&amp;quot;mstns:DecisionID&amp;quot; /&amp;gt;_x000d__x000a_      &amp;lt;/xs:keyref&amp;gt;_x000d__x000a_      &amp;lt;xs:keyref name=&amp;quot;dt_Decisiondt_DecisionMotion&amp;quot; refer=&amp;quot;DecisionDSKey1&amp;quot;&amp;gt;_x000d__x000a_        &amp;lt;xs:selector xpath=&amp;quot;.//mstns:dt_DecisionMotion&amp;quot; /&amp;gt;_x000d__x000a_        &amp;lt;xs:field xpath=&amp;quot;mstns:DecisionID&amp;quot; /&amp;gt;_x000d__x000a_      &amp;lt;/xs:keyref&amp;gt;_x000d__x000a_      &amp;lt;xs:keyref name=&amp;quot;dt_Decisiondt_DecisionCase&amp;quot; refer=&amp;quot;DecisionDSKey1&amp;quot;&amp;gt;_x000d__x000a_        &amp;lt;xs:selector xpath=&amp;quot;.//mstns:dt_DecisionCase&amp;quot; /&amp;gt;_x000d__x000a_        &amp;lt;xs:field xpath=&amp;quot;mstns:DecisionID&amp;quot; /&amp;gt;_x000d__x000a_      &amp;lt;/xs:keyref&amp;gt;_x000d__x000a_    &amp;lt;/xs:element&amp;gt;_x000d__x000a_  &amp;lt;/xs:schema&amp;gt;_x000d__x000a_  &amp;lt;diffgr:diffgram xmlns:msdata=&amp;quot;urn:schemas-microsoft-com:xml-msdata&amp;quot; xmlns:diffgr=&amp;quot;urn:schemas-microsoft-com:xml-diffgram-v1&amp;quot;&amp;gt;_x000d__x000a_    &amp;lt;DecisionDS xmlns=&amp;quot;http://www.tempuri.org/DecisionDS.xsd&amp;quot;&amp;gt;_x000d__x000a_      &amp;lt;dt_Decision diffgr:id=&amp;quot;dt_Decision1&amp;quot; msdata:rowOrder=&amp;quot;0&amp;quot;&amp;gt;_x000d__x000a_        &amp;lt;DecisionID&amp;gt;89729127&amp;lt;/DecisionID&amp;gt;_x000d__x000a_        &amp;lt;DecisionName&amp;gt;äëøòú ãéï  îúàøéê  30/03/14  ùðéúðä ò&amp;quot;é  òéãå ãøåéàï&amp;lt;/DecisionName&amp;gt;_x000d__x000a_        &amp;lt;DecisionStatusID&amp;gt;1&amp;lt;/DecisionStatusID&amp;gt;_x000d__x000a_        &amp;lt;DecisionStatusChangeDate&amp;gt;2014-04-09T12:29:13.31+03:00&amp;lt;/DecisionStatusChangeDate&amp;gt;_x000d__x000a_        &amp;lt;DecisionSignatureDate&amp;gt;2014-03-30T17:04:16.907+03:00&amp;lt;/DecisionSignatureDate&amp;gt;_x000d__x000a_        &amp;lt;DecisionSignatureUserID&amp;gt;022014427@GOV.IL&amp;lt;/DecisionSignatureUserID&amp;gt;_x000d__x000a_        &amp;lt;DecisionCreateDate&amp;gt;2014-03-30T17:09:23.553+03:00&amp;lt;/DecisionCreateDate&amp;gt;_x000d__x000a_        &amp;lt;DecisionChangeDate&amp;gt;2014-04-09T12:29:13.57+03:00&amp;lt;/DecisionChangeDate&amp;gt;_x000d__x000a_        &amp;lt;DecisionChangeUserID&amp;gt;022014427@GOV.IL&amp;lt;/DecisionChangeUserID&amp;gt;_x000d__x000a_        &amp;lt;IsChosenDecision&amp;gt;false&amp;lt;/IsChosenDecision&amp;gt;_x000d__x000a_        &amp;lt;IsDecisionImplementationTask&amp;gt;true&amp;lt;/IsDecisionImplementationTask&amp;gt;_x000d__x000a_        &amp;lt;IsDecisionInProtocol&amp;gt;false&amp;lt;/IsDecisionInProtocol&amp;gt;_x000d__x000a_        &amp;lt;DecisionTypeID&amp;gt;3&amp;lt;/DecisionTypeID&amp;gt;_x000d__x000a_        &amp;lt;IsOnlyOneParty&amp;gt;false&amp;lt;/IsOnlyOneParty&amp;gt;_x000d__x000a_        &amp;lt;IsCanceledDecision&amp;gt;false&amp;lt;/IsCanceledDecision&amp;gt;_x000d__x000a_        &amp;lt;DocumentID&amp;gt;178711688&amp;lt;/DocumentID&amp;gt;_x000d__x000a_        &amp;lt;PrivilegeID&amp;gt;1&amp;lt;/PrivilegeID&amp;gt;_x000d__x000a_        &amp;lt;IsDecisionConverted&amp;gt;false&amp;lt;/IsDecisionConverted&amp;gt;_x000d__x000a_        &amp;lt;IsOpenedToSecondSide&amp;gt;false&amp;lt;/IsOpenedToSecondSide&amp;gt;_x000d__x000a_        &amp;lt;IsDecisionAppeled&amp;gt;false&amp;lt;/IsDecisionAppeled&amp;gt;_x000d__x000a_        &amp;lt;DecisionWriterID&amp;gt;022014427@GOV.IL&amp;lt;/DecisionWriterID&amp;gt;_x000d__x000a_        &amp;lt;IsInstruction&amp;gt;false&amp;lt;/IsInstruction&amp;gt;_x000d__x000a_        &amp;lt;IsNeedAllSignatures&amp;gt;false&amp;lt;/IsNeedAllSignatures&amp;gt;_x000d__x000a_        &amp;lt;DecisionAttributeID&amp;gt;1&amp;lt;/DecisionAttributeID&amp;gt;_x000d__x000a_        &amp;lt;DecisionCreationUserID&amp;gt;022014427@GOV.IL&amp;lt;/DecisionCreationUserID&amp;gt;_x000d__x000a_        &amp;lt;DecisionDisplayName&amp;gt;äëøòú ãéï  îúàøéê  30/03/14  ùðéúðä ò&amp;quot;é  òéãå ãøåéàï&amp;lt;/DecisionDisplayName&amp;gt;_x000d__x000a_        &amp;lt;IsScanned&amp;gt;false&amp;lt;/IsScanned&amp;gt;_x000d__x000a_        &amp;lt;DecisionSignatureUserName&amp;gt;òéãå ãøåéàï&amp;lt;/DecisionSignatureUserName&amp;gt;_x000d__x000a_        &amp;lt;NotificationTypeID&amp;gt;1&amp;lt;/NotificationTypeID&amp;gt;_x000d__x000a_        &amp;lt;IsDecisionInNote&amp;gt;false&amp;lt;/IsDecisionInNote&amp;gt;_x000d__x000a_        &amp;lt;IsDecisionUrgency&amp;gt;false&amp;lt;/IsDecisionUrgency&amp;gt;_x000d__x000a_      &amp;lt;/dt_Decision&amp;gt;_x000d__x000a_      &amp;lt;dt_DecisionCase diffgr:id=&amp;quot;dt_DecisionCase1&amp;quot; msdata:rowOrder=&amp;quot;0&amp;quot;&amp;gt;_x000d__x000a_        &amp;lt;DecisionID&amp;gt;89729127&amp;lt;/DecisionID&amp;gt;_x000d__x000a_        &amp;lt;CaseID&amp;gt;71107175&amp;lt;/CaseID&amp;gt;_x000d__x000a_        &amp;lt;IsOriginal&amp;gt;true&amp;lt;/IsOriginal&amp;gt;_x000d__x000a_        &amp;lt;IsDeleted&amp;gt;false&amp;lt;/IsDeleted&amp;gt;_x000d__x000a_        &amp;lt;CaseName&amp;gt;îãéðú éùøàì ð&amp;#39; ôåâàõ&amp;lt;/CaseName&amp;gt;_x000d__x000a_        &amp;lt;CaseDisplayIdentifier&amp;gt;59171-05-13 ú&amp;quot;ô&amp;lt;/CaseDisplayIdentifier&amp;gt;_x000d__x000a_      &amp;lt;/dt_DecisionCase&amp;gt;_x000d__x000a_    &amp;lt;/DecisionDS&amp;gt;_x000d__x000a_  &amp;lt;/diffgr:diffgram&amp;gt;_x000d__x000a_&amp;lt;/DecisionDS&amp;gt;"/>
    <w:docVar w:name="DecisionID" w:val="89729127"/>
    <w:docVar w:name="MyInfo" w:val="This document was extracted from Nevo's site"/>
    <w:docVar w:name="WordClientAssemblyName" w:val="NGCS.Decision.ClientWordBL"/>
    <w:docVar w:name="WordClientClassName" w:val="NGCS.Decision.ClientWordBL.DecisionClient"/>
  </w:docVars>
  <w:rsids>
    <w:rsidRoot w:val="00870F64"/>
    <w:rsid w:val="0000757F"/>
    <w:rsid w:val="000335C8"/>
    <w:rsid w:val="00044912"/>
    <w:rsid w:val="00097955"/>
    <w:rsid w:val="00097BFF"/>
    <w:rsid w:val="000D676C"/>
    <w:rsid w:val="000E7280"/>
    <w:rsid w:val="0012376E"/>
    <w:rsid w:val="00137B49"/>
    <w:rsid w:val="00143932"/>
    <w:rsid w:val="00186BCB"/>
    <w:rsid w:val="0019122B"/>
    <w:rsid w:val="001A6FCE"/>
    <w:rsid w:val="00223B3C"/>
    <w:rsid w:val="002318CB"/>
    <w:rsid w:val="00245EDE"/>
    <w:rsid w:val="002D68F5"/>
    <w:rsid w:val="002F3E29"/>
    <w:rsid w:val="00323373"/>
    <w:rsid w:val="00334A35"/>
    <w:rsid w:val="00337463"/>
    <w:rsid w:val="00390A85"/>
    <w:rsid w:val="003B7CD7"/>
    <w:rsid w:val="003C74D6"/>
    <w:rsid w:val="00420630"/>
    <w:rsid w:val="00453E3F"/>
    <w:rsid w:val="004D553F"/>
    <w:rsid w:val="0051562C"/>
    <w:rsid w:val="0052227C"/>
    <w:rsid w:val="005244EF"/>
    <w:rsid w:val="005263D5"/>
    <w:rsid w:val="00541E5D"/>
    <w:rsid w:val="005627F4"/>
    <w:rsid w:val="00572082"/>
    <w:rsid w:val="005815C4"/>
    <w:rsid w:val="0059243D"/>
    <w:rsid w:val="00594888"/>
    <w:rsid w:val="005C3A98"/>
    <w:rsid w:val="00632475"/>
    <w:rsid w:val="00641C5A"/>
    <w:rsid w:val="0064690D"/>
    <w:rsid w:val="0066130C"/>
    <w:rsid w:val="0069237B"/>
    <w:rsid w:val="006958A7"/>
    <w:rsid w:val="006C5620"/>
    <w:rsid w:val="006E4954"/>
    <w:rsid w:val="006F3585"/>
    <w:rsid w:val="0074601F"/>
    <w:rsid w:val="00746347"/>
    <w:rsid w:val="00746CBA"/>
    <w:rsid w:val="00751387"/>
    <w:rsid w:val="00777D96"/>
    <w:rsid w:val="007804F7"/>
    <w:rsid w:val="00795199"/>
    <w:rsid w:val="007C40F8"/>
    <w:rsid w:val="007C7991"/>
    <w:rsid w:val="00810372"/>
    <w:rsid w:val="00812747"/>
    <w:rsid w:val="00827C07"/>
    <w:rsid w:val="00833BD0"/>
    <w:rsid w:val="00834D17"/>
    <w:rsid w:val="00870F64"/>
    <w:rsid w:val="008862B1"/>
    <w:rsid w:val="008A24D7"/>
    <w:rsid w:val="008F742D"/>
    <w:rsid w:val="00901179"/>
    <w:rsid w:val="00901D60"/>
    <w:rsid w:val="00906FA8"/>
    <w:rsid w:val="0091545B"/>
    <w:rsid w:val="00954549"/>
    <w:rsid w:val="00975954"/>
    <w:rsid w:val="009E1F6D"/>
    <w:rsid w:val="009E7892"/>
    <w:rsid w:val="00A71352"/>
    <w:rsid w:val="00A93854"/>
    <w:rsid w:val="00AF0F26"/>
    <w:rsid w:val="00B131F2"/>
    <w:rsid w:val="00B20868"/>
    <w:rsid w:val="00B2265D"/>
    <w:rsid w:val="00B62B47"/>
    <w:rsid w:val="00B82C14"/>
    <w:rsid w:val="00B949CB"/>
    <w:rsid w:val="00BD4C76"/>
    <w:rsid w:val="00BF0FEA"/>
    <w:rsid w:val="00C04720"/>
    <w:rsid w:val="00C51FF2"/>
    <w:rsid w:val="00C71C93"/>
    <w:rsid w:val="00C842D3"/>
    <w:rsid w:val="00C863A8"/>
    <w:rsid w:val="00C909F9"/>
    <w:rsid w:val="00CA4D42"/>
    <w:rsid w:val="00CB63B6"/>
    <w:rsid w:val="00CD6633"/>
    <w:rsid w:val="00CF3CB4"/>
    <w:rsid w:val="00D115C4"/>
    <w:rsid w:val="00D63841"/>
    <w:rsid w:val="00D928B8"/>
    <w:rsid w:val="00D95324"/>
    <w:rsid w:val="00DC081D"/>
    <w:rsid w:val="00DC1E51"/>
    <w:rsid w:val="00DC57DF"/>
    <w:rsid w:val="00DE790B"/>
    <w:rsid w:val="00E01E81"/>
    <w:rsid w:val="00E20138"/>
    <w:rsid w:val="00E42530"/>
    <w:rsid w:val="00E44EEB"/>
    <w:rsid w:val="00E838F7"/>
    <w:rsid w:val="00E92233"/>
    <w:rsid w:val="00EA352A"/>
    <w:rsid w:val="00EA6034"/>
    <w:rsid w:val="00EE1AFA"/>
    <w:rsid w:val="00F010A5"/>
    <w:rsid w:val="00F34602"/>
    <w:rsid w:val="00F428BE"/>
    <w:rsid w:val="00F470DB"/>
    <w:rsid w:val="00F61193"/>
    <w:rsid w:val="00F96CE7"/>
    <w:rsid w:val="00FD608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FD7E41F"/>
  <w15:chartTrackingRefBased/>
  <w15:docId w15:val="{162ADD26-488A-410A-A6C1-798C71DD7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Strong" w:locked="1" w:qFormat="1"/>
    <w:lsdException w:name="Emphasis" w:locked="1"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pPr>
    <w:rPr>
      <w:rFonts w:ascii="Arial (W1)" w:hAnsi="Arial (W1)" w:cs="David"/>
      <w:sz w:val="24"/>
      <w:szCs w:val="24"/>
    </w:rPr>
  </w:style>
  <w:style w:type="paragraph" w:styleId="Heading4">
    <w:name w:val="heading 4"/>
    <w:basedOn w:val="Normal"/>
    <w:next w:val="Normal"/>
    <w:qFormat/>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table" w:styleId="TableGrid">
    <w:name w:val="Table Grid"/>
    <w:basedOn w:val="TableNormal"/>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Pr>
      <w:rFonts w:cs="Times New Roman"/>
      <w:sz w:val="16"/>
      <w:szCs w:val="16"/>
    </w:rPr>
  </w:style>
  <w:style w:type="paragraph" w:styleId="CommentText">
    <w:name w:val="annotation text"/>
    <w:basedOn w:val="Normal"/>
    <w:semiHidden/>
    <w:rPr>
      <w:rFonts w:cs="Times New Roman"/>
    </w:rPr>
  </w:style>
  <w:style w:type="paragraph" w:styleId="BalloonText">
    <w:name w:val="Balloon Text"/>
    <w:basedOn w:val="Normal"/>
    <w:semiHidden/>
    <w:rPr>
      <w:rFonts w:ascii="Tahoma" w:hAnsi="Tahoma" w:cs="Tahoma"/>
      <w:sz w:val="16"/>
      <w:szCs w:val="16"/>
    </w:rPr>
  </w:style>
  <w:style w:type="paragraph" w:styleId="ListParagraph">
    <w:name w:val="List Paragraph"/>
    <w:basedOn w:val="Normal"/>
    <w:qFormat/>
    <w:rsid w:val="00F34602"/>
    <w:pPr>
      <w:ind w:left="720"/>
      <w:contextualSpacing/>
    </w:pPr>
  </w:style>
  <w:style w:type="paragraph" w:styleId="FootnoteText">
    <w:name w:val="footnote text"/>
    <w:basedOn w:val="Normal"/>
    <w:link w:val="FootnoteTextChar"/>
    <w:rsid w:val="00CB63B6"/>
    <w:rPr>
      <w:sz w:val="20"/>
      <w:szCs w:val="20"/>
    </w:rPr>
  </w:style>
  <w:style w:type="character" w:customStyle="1" w:styleId="FootnoteTextChar">
    <w:name w:val="Footnote Text Char"/>
    <w:basedOn w:val="DefaultParagraphFont"/>
    <w:link w:val="FootnoteText"/>
    <w:locked/>
    <w:rsid w:val="00CB63B6"/>
    <w:rPr>
      <w:rFonts w:ascii="Arial (W1)" w:hAnsi="Arial (W1)" w:cs="David"/>
      <w:lang w:bidi="he-IL"/>
    </w:rPr>
  </w:style>
  <w:style w:type="character" w:styleId="FootnoteReference">
    <w:name w:val="footnote reference"/>
    <w:basedOn w:val="DefaultParagraphFont"/>
    <w:rsid w:val="00CB63B6"/>
    <w:rPr>
      <w:rFonts w:cs="Times New Roman"/>
      <w:vertAlign w:val="superscript"/>
    </w:rPr>
  </w:style>
  <w:style w:type="paragraph" w:customStyle="1" w:styleId="a">
    <w:name w:val="ציטוטעד"/>
    <w:basedOn w:val="Normal"/>
    <w:link w:val="a0"/>
    <w:rsid w:val="00F010A5"/>
    <w:pPr>
      <w:spacing w:line="360" w:lineRule="auto"/>
      <w:ind w:left="708" w:right="567"/>
      <w:jc w:val="both"/>
    </w:pPr>
    <w:rPr>
      <w:rFonts w:ascii="Times New Roman" w:hAnsi="Times New Roman"/>
      <w:b/>
      <w:bCs/>
    </w:rPr>
  </w:style>
  <w:style w:type="character" w:customStyle="1" w:styleId="a0">
    <w:name w:val="ציטוטעד תו"/>
    <w:basedOn w:val="DefaultParagraphFont"/>
    <w:link w:val="a"/>
    <w:locked/>
    <w:rsid w:val="00F010A5"/>
    <w:rPr>
      <w:rFonts w:cs="David"/>
      <w:b/>
      <w:bCs/>
      <w:sz w:val="24"/>
      <w:szCs w:val="24"/>
      <w:lang w:bidi="he-IL"/>
    </w:rPr>
  </w:style>
  <w:style w:type="character" w:styleId="PageNumber">
    <w:name w:val="page number"/>
    <w:basedOn w:val="DefaultParagraphFont"/>
    <w:rsid w:val="0000757F"/>
  </w:style>
  <w:style w:type="character" w:styleId="Hyperlink">
    <w:name w:val="Hyperlink"/>
    <w:basedOn w:val="DefaultParagraphFont"/>
    <w:rsid w:val="000075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inks/psika/?link=&#1506;&#1508;%20265/64" TargetMode="External"/><Relationship Id="rId18" Type="http://schemas.openxmlformats.org/officeDocument/2006/relationships/hyperlink" Target="http://www.nevo.co.il/case/6195748" TargetMode="External"/><Relationship Id="rId26" Type="http://schemas.openxmlformats.org/officeDocument/2006/relationships/hyperlink" Target="http://www.nevo.co.il/case/5816303" TargetMode="External"/><Relationship Id="rId21" Type="http://schemas.openxmlformats.org/officeDocument/2006/relationships/hyperlink" Target="http://www.nevo.co.il/links/psika/?link=&#1506;&#1508;%203049/94"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nevo.co.il/case/5605914" TargetMode="External"/><Relationship Id="rId17" Type="http://schemas.openxmlformats.org/officeDocument/2006/relationships/hyperlink" Target="http://www.nevo.co.il/links/psika/?link=&#1506;&#1508;%209657/05" TargetMode="External"/><Relationship Id="rId25" Type="http://schemas.openxmlformats.org/officeDocument/2006/relationships/hyperlink" Target="http://www.nevo.co.il/links/psika/?link=&#1506;&#1508;%20993/00" TargetMode="Externa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nevo.co.il/case/10442611" TargetMode="External"/><Relationship Id="rId20" Type="http://schemas.openxmlformats.org/officeDocument/2006/relationships/hyperlink" Target="http://www.nevo.co.il/case/6222386" TargetMode="External"/><Relationship Id="rId29" Type="http://schemas.openxmlformats.org/officeDocument/2006/relationships/hyperlink" Target="http://www.nevo.co.il/case/6249234"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0301" TargetMode="External"/><Relationship Id="rId24" Type="http://schemas.openxmlformats.org/officeDocument/2006/relationships/hyperlink" Target="http://www.nevo.co.il/case/5603199" TargetMode="External"/><Relationship Id="rId32" Type="http://schemas.openxmlformats.org/officeDocument/2006/relationships/hyperlink" Target="http://www.nevo.co.il/advertisements/nevo-100.doc"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nevo.co.il/case/6093371" TargetMode="External"/><Relationship Id="rId23" Type="http://schemas.openxmlformats.org/officeDocument/2006/relationships/hyperlink" Target="http://www.nevo.co.il/case/2847392" TargetMode="External"/><Relationship Id="rId28" Type="http://schemas.openxmlformats.org/officeDocument/2006/relationships/hyperlink" Target="http://www.nevo.co.il/case/6232497" TargetMode="External"/><Relationship Id="rId36" Type="http://schemas.openxmlformats.org/officeDocument/2006/relationships/footer" Target="footer2.xml"/><Relationship Id="rId10" Type="http://schemas.openxmlformats.org/officeDocument/2006/relationships/hyperlink" Target="http://www.nevo.co.il/law/70301/348.c" TargetMode="External"/><Relationship Id="rId19" Type="http://schemas.openxmlformats.org/officeDocument/2006/relationships/hyperlink" Target="http://www.nevo.co.il/case/6232618" TargetMode="External"/><Relationship Id="rId31" Type="http://schemas.openxmlformats.org/officeDocument/2006/relationships/hyperlink" Target="http://www.nevo.co.il/law/70301" TargetMode="External"/><Relationship Id="rId4" Type="http://schemas.openxmlformats.org/officeDocument/2006/relationships/settings" Target="settings.xml"/><Relationship Id="rId9" Type="http://schemas.openxmlformats.org/officeDocument/2006/relationships/hyperlink" Target="http://www.nevo.co.il/law/70301/348.c" TargetMode="External"/><Relationship Id="rId14" Type="http://schemas.openxmlformats.org/officeDocument/2006/relationships/hyperlink" Target="http://www.nevo.co.il/case/5699682" TargetMode="External"/><Relationship Id="rId22" Type="http://schemas.openxmlformats.org/officeDocument/2006/relationships/hyperlink" Target="http://www.nevo.co.il/links/psika/?link=&#1506;&#1508;%204009/90" TargetMode="External"/><Relationship Id="rId27" Type="http://schemas.openxmlformats.org/officeDocument/2006/relationships/hyperlink" Target="http://www.nevo.co.il/case/5676920" TargetMode="External"/><Relationship Id="rId30" Type="http://schemas.openxmlformats.org/officeDocument/2006/relationships/hyperlink" Target="http://www.nevo.co.il/law/70301/348.c" TargetMode="External"/><Relationship Id="rId35" Type="http://schemas.openxmlformats.org/officeDocument/2006/relationships/footer" Target="footer1.xml"/><Relationship Id="rId8" Type="http://schemas.openxmlformats.org/officeDocument/2006/relationships/hyperlink" Target="http://www.nevo.co.il/law/7030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1546</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10344</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7995492</vt:i4>
      </vt:variant>
      <vt:variant>
        <vt:i4>69</vt:i4>
      </vt:variant>
      <vt:variant>
        <vt:i4>0</vt:i4>
      </vt:variant>
      <vt:variant>
        <vt:i4>5</vt:i4>
      </vt:variant>
      <vt:variant>
        <vt:lpwstr>http://www.nevo.co.il/law/70301</vt:lpwstr>
      </vt:variant>
      <vt:variant>
        <vt:lpwstr/>
      </vt:variant>
      <vt:variant>
        <vt:i4>5177438</vt:i4>
      </vt:variant>
      <vt:variant>
        <vt:i4>66</vt:i4>
      </vt:variant>
      <vt:variant>
        <vt:i4>0</vt:i4>
      </vt:variant>
      <vt:variant>
        <vt:i4>5</vt:i4>
      </vt:variant>
      <vt:variant>
        <vt:lpwstr>http://www.nevo.co.il/law/70301/348.c</vt:lpwstr>
      </vt:variant>
      <vt:variant>
        <vt:lpwstr/>
      </vt:variant>
      <vt:variant>
        <vt:i4>3407996</vt:i4>
      </vt:variant>
      <vt:variant>
        <vt:i4>63</vt:i4>
      </vt:variant>
      <vt:variant>
        <vt:i4>0</vt:i4>
      </vt:variant>
      <vt:variant>
        <vt:i4>5</vt:i4>
      </vt:variant>
      <vt:variant>
        <vt:lpwstr>http://www.nevo.co.il/case/6249234</vt:lpwstr>
      </vt:variant>
      <vt:variant>
        <vt:lpwstr/>
      </vt:variant>
      <vt:variant>
        <vt:i4>3539069</vt:i4>
      </vt:variant>
      <vt:variant>
        <vt:i4>60</vt:i4>
      </vt:variant>
      <vt:variant>
        <vt:i4>0</vt:i4>
      </vt:variant>
      <vt:variant>
        <vt:i4>5</vt:i4>
      </vt:variant>
      <vt:variant>
        <vt:lpwstr>http://www.nevo.co.il/case/6232497</vt:lpwstr>
      </vt:variant>
      <vt:variant>
        <vt:lpwstr/>
      </vt:variant>
      <vt:variant>
        <vt:i4>3866742</vt:i4>
      </vt:variant>
      <vt:variant>
        <vt:i4>57</vt:i4>
      </vt:variant>
      <vt:variant>
        <vt:i4>0</vt:i4>
      </vt:variant>
      <vt:variant>
        <vt:i4>5</vt:i4>
      </vt:variant>
      <vt:variant>
        <vt:lpwstr>http://www.nevo.co.il/case/5676920</vt:lpwstr>
      </vt:variant>
      <vt:variant>
        <vt:lpwstr/>
      </vt:variant>
      <vt:variant>
        <vt:i4>3407994</vt:i4>
      </vt:variant>
      <vt:variant>
        <vt:i4>54</vt:i4>
      </vt:variant>
      <vt:variant>
        <vt:i4>0</vt:i4>
      </vt:variant>
      <vt:variant>
        <vt:i4>5</vt:i4>
      </vt:variant>
      <vt:variant>
        <vt:lpwstr>http://www.nevo.co.il/case/5816303</vt:lpwstr>
      </vt:variant>
      <vt:variant>
        <vt:lpwstr/>
      </vt:variant>
      <vt:variant>
        <vt:i4>97453467</vt:i4>
      </vt:variant>
      <vt:variant>
        <vt:i4>51</vt:i4>
      </vt:variant>
      <vt:variant>
        <vt:i4>0</vt:i4>
      </vt:variant>
      <vt:variant>
        <vt:i4>5</vt:i4>
      </vt:variant>
      <vt:variant>
        <vt:lpwstr>http://www.nevo.co.il/links/psika/?link=עפ 993/00</vt:lpwstr>
      </vt:variant>
      <vt:variant>
        <vt:lpwstr/>
      </vt:variant>
      <vt:variant>
        <vt:i4>3997816</vt:i4>
      </vt:variant>
      <vt:variant>
        <vt:i4>48</vt:i4>
      </vt:variant>
      <vt:variant>
        <vt:i4>0</vt:i4>
      </vt:variant>
      <vt:variant>
        <vt:i4>5</vt:i4>
      </vt:variant>
      <vt:variant>
        <vt:lpwstr>http://www.nevo.co.il/case/5603199</vt:lpwstr>
      </vt:variant>
      <vt:variant>
        <vt:lpwstr/>
      </vt:variant>
      <vt:variant>
        <vt:i4>3604594</vt:i4>
      </vt:variant>
      <vt:variant>
        <vt:i4>45</vt:i4>
      </vt:variant>
      <vt:variant>
        <vt:i4>0</vt:i4>
      </vt:variant>
      <vt:variant>
        <vt:i4>5</vt:i4>
      </vt:variant>
      <vt:variant>
        <vt:lpwstr>http://www.nevo.co.il/case/2847392</vt:lpwstr>
      </vt:variant>
      <vt:variant>
        <vt:lpwstr/>
      </vt:variant>
      <vt:variant>
        <vt:i4>99485117</vt:i4>
      </vt:variant>
      <vt:variant>
        <vt:i4>42</vt:i4>
      </vt:variant>
      <vt:variant>
        <vt:i4>0</vt:i4>
      </vt:variant>
      <vt:variant>
        <vt:i4>5</vt:i4>
      </vt:variant>
      <vt:variant>
        <vt:lpwstr>http://www.nevo.co.il/links/psika/?link=עפ 4009/90</vt:lpwstr>
      </vt:variant>
      <vt:variant>
        <vt:lpwstr/>
      </vt:variant>
      <vt:variant>
        <vt:i4>99157437</vt:i4>
      </vt:variant>
      <vt:variant>
        <vt:i4>39</vt:i4>
      </vt:variant>
      <vt:variant>
        <vt:i4>0</vt:i4>
      </vt:variant>
      <vt:variant>
        <vt:i4>5</vt:i4>
      </vt:variant>
      <vt:variant>
        <vt:lpwstr>http://www.nevo.co.il/links/psika/?link=עפ 3049/94</vt:lpwstr>
      </vt:variant>
      <vt:variant>
        <vt:lpwstr/>
      </vt:variant>
      <vt:variant>
        <vt:i4>3211388</vt:i4>
      </vt:variant>
      <vt:variant>
        <vt:i4>36</vt:i4>
      </vt:variant>
      <vt:variant>
        <vt:i4>0</vt:i4>
      </vt:variant>
      <vt:variant>
        <vt:i4>5</vt:i4>
      </vt:variant>
      <vt:variant>
        <vt:lpwstr>http://www.nevo.co.il/case/6222386</vt:lpwstr>
      </vt:variant>
      <vt:variant>
        <vt:lpwstr/>
      </vt:variant>
      <vt:variant>
        <vt:i4>3866741</vt:i4>
      </vt:variant>
      <vt:variant>
        <vt:i4>33</vt:i4>
      </vt:variant>
      <vt:variant>
        <vt:i4>0</vt:i4>
      </vt:variant>
      <vt:variant>
        <vt:i4>5</vt:i4>
      </vt:variant>
      <vt:variant>
        <vt:lpwstr>http://www.nevo.co.il/case/6232618</vt:lpwstr>
      </vt:variant>
      <vt:variant>
        <vt:lpwstr/>
      </vt:variant>
      <vt:variant>
        <vt:i4>3145844</vt:i4>
      </vt:variant>
      <vt:variant>
        <vt:i4>30</vt:i4>
      </vt:variant>
      <vt:variant>
        <vt:i4>0</vt:i4>
      </vt:variant>
      <vt:variant>
        <vt:i4>5</vt:i4>
      </vt:variant>
      <vt:variant>
        <vt:lpwstr>http://www.nevo.co.il/case/6195748</vt:lpwstr>
      </vt:variant>
      <vt:variant>
        <vt:lpwstr/>
      </vt:variant>
      <vt:variant>
        <vt:i4>98764220</vt:i4>
      </vt:variant>
      <vt:variant>
        <vt:i4>27</vt:i4>
      </vt:variant>
      <vt:variant>
        <vt:i4>0</vt:i4>
      </vt:variant>
      <vt:variant>
        <vt:i4>5</vt:i4>
      </vt:variant>
      <vt:variant>
        <vt:lpwstr>http://www.nevo.co.il/links/psika/?link=עפ 9657/05</vt:lpwstr>
      </vt:variant>
      <vt:variant>
        <vt:lpwstr/>
      </vt:variant>
      <vt:variant>
        <vt:i4>3539062</vt:i4>
      </vt:variant>
      <vt:variant>
        <vt:i4>24</vt:i4>
      </vt:variant>
      <vt:variant>
        <vt:i4>0</vt:i4>
      </vt:variant>
      <vt:variant>
        <vt:i4>5</vt:i4>
      </vt:variant>
      <vt:variant>
        <vt:lpwstr>http://www.nevo.co.il/case/10442611</vt:lpwstr>
      </vt:variant>
      <vt:variant>
        <vt:lpwstr/>
      </vt:variant>
      <vt:variant>
        <vt:i4>3997808</vt:i4>
      </vt:variant>
      <vt:variant>
        <vt:i4>21</vt:i4>
      </vt:variant>
      <vt:variant>
        <vt:i4>0</vt:i4>
      </vt:variant>
      <vt:variant>
        <vt:i4>5</vt:i4>
      </vt:variant>
      <vt:variant>
        <vt:lpwstr>http://www.nevo.co.il/case/6093371</vt:lpwstr>
      </vt:variant>
      <vt:variant>
        <vt:lpwstr/>
      </vt:variant>
      <vt:variant>
        <vt:i4>3670131</vt:i4>
      </vt:variant>
      <vt:variant>
        <vt:i4>18</vt:i4>
      </vt:variant>
      <vt:variant>
        <vt:i4>0</vt:i4>
      </vt:variant>
      <vt:variant>
        <vt:i4>5</vt:i4>
      </vt:variant>
      <vt:variant>
        <vt:lpwstr>http://www.nevo.co.il/case/5699682</vt:lpwstr>
      </vt:variant>
      <vt:variant>
        <vt:lpwstr/>
      </vt:variant>
      <vt:variant>
        <vt:i4>96732564</vt:i4>
      </vt:variant>
      <vt:variant>
        <vt:i4>15</vt:i4>
      </vt:variant>
      <vt:variant>
        <vt:i4>0</vt:i4>
      </vt:variant>
      <vt:variant>
        <vt:i4>5</vt:i4>
      </vt:variant>
      <vt:variant>
        <vt:lpwstr>http://www.nevo.co.il/links/psika/?link=עפ 265/64</vt:lpwstr>
      </vt:variant>
      <vt:variant>
        <vt:lpwstr/>
      </vt:variant>
      <vt:variant>
        <vt:i4>3670134</vt:i4>
      </vt:variant>
      <vt:variant>
        <vt:i4>12</vt:i4>
      </vt:variant>
      <vt:variant>
        <vt:i4>0</vt:i4>
      </vt:variant>
      <vt:variant>
        <vt:i4>5</vt:i4>
      </vt:variant>
      <vt:variant>
        <vt:lpwstr>http://www.nevo.co.il/case/5605914</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2022-05-24T10:44:00Z</dcterms:created>
  <dcterms:modified xsi:type="dcterms:W3CDTF">2022-05-24T10:44:00Z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59171</vt:lpwstr>
  </property>
  <property fmtid="{D5CDD505-2E9C-101B-9397-08002B2CF9AE}" pid="6" name="NEWPARTB">
    <vt:lpwstr>05</vt:lpwstr>
  </property>
  <property fmtid="{D5CDD505-2E9C-101B-9397-08002B2CF9AE}" pid="7" name="NEWPARTC">
    <vt:lpwstr>13</vt:lpwstr>
  </property>
  <property fmtid="{D5CDD505-2E9C-101B-9397-08002B2CF9AE}" pid="8" name="APPELLEE">
    <vt:lpwstr>אליהו פוגאץ</vt:lpwstr>
  </property>
  <property fmtid="{D5CDD505-2E9C-101B-9397-08002B2CF9AE}" pid="9" name="LAWYER">
    <vt:lpwstr>ביאלין;קורנברג</vt:lpwstr>
  </property>
  <property fmtid="{D5CDD505-2E9C-101B-9397-08002B2CF9AE}" pid="10" name="JUDGE">
    <vt:lpwstr>עידו דרויאן</vt:lpwstr>
  </property>
  <property fmtid="{D5CDD505-2E9C-101B-9397-08002B2CF9AE}" pid="11" name="CITY">
    <vt:lpwstr>ת"א</vt:lpwstr>
  </property>
  <property fmtid="{D5CDD505-2E9C-101B-9397-08002B2CF9AE}" pid="12" name="DATE">
    <vt:lpwstr>20140424</vt:lpwstr>
  </property>
  <property fmtid="{D5CDD505-2E9C-101B-9397-08002B2CF9AE}" pid="13" name="TYPE_N_DATE">
    <vt:lpwstr>38020140424</vt:lpwstr>
  </property>
  <property fmtid="{D5CDD505-2E9C-101B-9397-08002B2CF9AE}" pid="14" name="CASESLISTTMP1">
    <vt:lpwstr>5605914;5699682;6093371;10442611;6195748;6232618;6222386;2847392;5603199;5816303;5676920;6232497;6249234</vt:lpwstr>
  </property>
  <property fmtid="{D5CDD505-2E9C-101B-9397-08002B2CF9AE}" pid="15" name="CASENOTES1">
    <vt:lpwstr>ProcID=133;209&amp;PartA=265&amp;PartC=64</vt:lpwstr>
  </property>
  <property fmtid="{D5CDD505-2E9C-101B-9397-08002B2CF9AE}" pid="16" name="CASENOTES2">
    <vt:lpwstr>ProcID=133&amp;PartA=9657&amp;PartC=05</vt:lpwstr>
  </property>
  <property fmtid="{D5CDD505-2E9C-101B-9397-08002B2CF9AE}" pid="17" name="CASENOTES3">
    <vt:lpwstr>ProcID=133;209&amp;PartA=3049&amp;PartC=94</vt:lpwstr>
  </property>
  <property fmtid="{D5CDD505-2E9C-101B-9397-08002B2CF9AE}" pid="18" name="CASENOTES4">
    <vt:lpwstr>ProcID=133;209&amp;PartA=4009&amp;PartC=90</vt:lpwstr>
  </property>
  <property fmtid="{D5CDD505-2E9C-101B-9397-08002B2CF9AE}" pid="19" name="CASENOTES5">
    <vt:lpwstr>ProcID=133;209&amp;PartA=993&amp;PartC=00</vt:lpwstr>
  </property>
  <property fmtid="{D5CDD505-2E9C-101B-9397-08002B2CF9AE}" pid="20" name="WORDNUMPAGES">
    <vt:lpwstr>5</vt:lpwstr>
  </property>
  <property fmtid="{D5CDD505-2E9C-101B-9397-08002B2CF9AE}" pid="21" name="TYPE_ABS_DATE">
    <vt:lpwstr>380020140424</vt:lpwstr>
  </property>
  <property fmtid="{D5CDD505-2E9C-101B-9397-08002B2CF9AE}" pid="22" name="APPELLANT">
    <vt:lpwstr>מדינת ישראל</vt:lpwstr>
  </property>
  <property fmtid="{D5CDD505-2E9C-101B-9397-08002B2CF9AE}" pid="23" name="ISABSTRACT">
    <vt:lpwstr>Y</vt:lpwstr>
  </property>
  <property fmtid="{D5CDD505-2E9C-101B-9397-08002B2CF9AE}" pid="24" name="APPELLANT1">
    <vt:lpwstr/>
  </property>
  <property fmtid="{D5CDD505-2E9C-101B-9397-08002B2CF9AE}" pid="25" name="APPELLANT2">
    <vt:lpwstr/>
  </property>
  <property fmtid="{D5CDD505-2E9C-101B-9397-08002B2CF9AE}" pid="26" name="APPELLEE1">
    <vt:lpwstr/>
  </property>
  <property fmtid="{D5CDD505-2E9C-101B-9397-08002B2CF9AE}" pid="27" name="APPELLEE2">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VOLUME">
    <vt:lpwstr/>
  </property>
  <property fmtid="{D5CDD505-2E9C-101B-9397-08002B2CF9AE}" pid="32" name="PART">
    <vt:lpwstr/>
  </property>
  <property fmtid="{D5CDD505-2E9C-101B-9397-08002B2CF9AE}" pid="33" name="PAGE">
    <vt:lpwstr/>
  </property>
  <property fmtid="{D5CDD505-2E9C-101B-9397-08002B2CF9AE}" pid="34" name="PADIMAIL">
    <vt:lpwstr/>
  </property>
  <property fmtid="{D5CDD505-2E9C-101B-9397-08002B2CF9AE}" pid="35" name="DELEMATA">
    <vt:lpwstr/>
  </property>
  <property fmtid="{D5CDD505-2E9C-101B-9397-08002B2CF9AE}" pid="36" name="LINKK1">
    <vt:lpwstr/>
  </property>
  <property fmtid="{D5CDD505-2E9C-101B-9397-08002B2CF9AE}" pid="37" name="LINKK2">
    <vt:lpwstr/>
  </property>
  <property fmtid="{D5CDD505-2E9C-101B-9397-08002B2CF9AE}" pid="38" name="LINKK3">
    <vt:lpwstr/>
  </property>
  <property fmtid="{D5CDD505-2E9C-101B-9397-08002B2CF9AE}" pid="39" name="LINKK4">
    <vt:lpwstr/>
  </property>
  <property fmtid="{D5CDD505-2E9C-101B-9397-08002B2CF9AE}" pid="40" name="LINKK5">
    <vt:lpwstr/>
  </property>
  <property fmtid="{D5CDD505-2E9C-101B-9397-08002B2CF9AE}" pid="41" name="LAWLISTTMP1">
    <vt:lpwstr>70301/348.c:2</vt:lpwstr>
  </property>
</Properties>
</file>