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9E2E95" w:rsidRPr="009E2E95" w14:paraId="4F5A9174" w14:textId="77777777">
        <w:trPr>
          <w:trHeight w:hRule="exact" w:val="418"/>
          <w:jc w:val="center"/>
        </w:trPr>
        <w:tc>
          <w:tcPr>
            <w:tcW w:w="8721" w:type="dxa"/>
            <w:gridSpan w:val="2"/>
          </w:tcPr>
          <w:p w14:paraId="517D4F5D" w14:textId="77777777" w:rsidR="009E2E95" w:rsidRPr="009E2E95" w:rsidRDefault="009E2E95" w:rsidP="009E2E95">
            <w:pPr>
              <w:pStyle w:val="Header"/>
              <w:jc w:val="center"/>
              <w:rPr>
                <w:rFonts w:ascii="Tahoma" w:hAnsi="Tahoma" w:cs="Tahoma"/>
                <w:color w:val="000080"/>
                <w:rtl/>
              </w:rPr>
            </w:pPr>
            <w:bookmarkStart w:id="0" w:name="FirstLawyer"/>
            <w:bookmarkStart w:id="1" w:name="LastJudge"/>
            <w:r w:rsidRPr="009E2E95">
              <w:rPr>
                <w:rFonts w:ascii="Tahoma" w:hAnsi="Tahoma" w:cs="Tahoma"/>
                <w:b/>
                <w:bCs/>
                <w:color w:val="000080"/>
                <w:rtl/>
              </w:rPr>
              <w:t>בית משפט השלום בכפר סבא</w:t>
            </w:r>
          </w:p>
        </w:tc>
      </w:tr>
      <w:tr w:rsidR="009E2E95" w:rsidRPr="009E2E95" w14:paraId="610DC318" w14:textId="77777777">
        <w:trPr>
          <w:trHeight w:val="337"/>
          <w:jc w:val="center"/>
        </w:trPr>
        <w:tc>
          <w:tcPr>
            <w:tcW w:w="5047" w:type="dxa"/>
          </w:tcPr>
          <w:p w14:paraId="608AF3D8" w14:textId="77777777" w:rsidR="009E2E95" w:rsidRPr="009E2E95" w:rsidRDefault="009E2E95" w:rsidP="009E2E95">
            <w:pPr>
              <w:pStyle w:val="Header"/>
              <w:rPr>
                <w:rFonts w:cs="FrankRuehl"/>
                <w:sz w:val="28"/>
                <w:szCs w:val="28"/>
                <w:rtl/>
              </w:rPr>
            </w:pPr>
          </w:p>
        </w:tc>
        <w:tc>
          <w:tcPr>
            <w:tcW w:w="3674" w:type="dxa"/>
          </w:tcPr>
          <w:p w14:paraId="4DB9841A" w14:textId="77777777" w:rsidR="009E2E95" w:rsidRPr="009E2E95" w:rsidRDefault="009E2E95" w:rsidP="009E2E95">
            <w:pPr>
              <w:pStyle w:val="Header"/>
              <w:jc w:val="right"/>
              <w:rPr>
                <w:rFonts w:cs="FrankRuehl"/>
                <w:sz w:val="28"/>
                <w:szCs w:val="28"/>
                <w:rtl/>
              </w:rPr>
            </w:pPr>
            <w:r w:rsidRPr="009E2E95">
              <w:rPr>
                <w:rFonts w:cs="FrankRuehl"/>
                <w:sz w:val="28"/>
                <w:szCs w:val="28"/>
                <w:rtl/>
              </w:rPr>
              <w:t xml:space="preserve">30 </w:t>
            </w:r>
            <w:r w:rsidRPr="009E2E95">
              <w:rPr>
                <w:rFonts w:cs="FrankRuehl" w:hint="eastAsia"/>
                <w:sz w:val="28"/>
                <w:szCs w:val="28"/>
                <w:rtl/>
              </w:rPr>
              <w:t>באוקטובר</w:t>
            </w:r>
            <w:r w:rsidRPr="009E2E95">
              <w:rPr>
                <w:rFonts w:cs="FrankRuehl"/>
                <w:sz w:val="28"/>
                <w:szCs w:val="28"/>
                <w:rtl/>
              </w:rPr>
              <w:t xml:space="preserve"> 2016</w:t>
            </w:r>
          </w:p>
        </w:tc>
      </w:tr>
      <w:tr w:rsidR="009E2E95" w:rsidRPr="009E2E95" w14:paraId="5893DECF" w14:textId="77777777">
        <w:trPr>
          <w:trHeight w:val="337"/>
          <w:jc w:val="center"/>
        </w:trPr>
        <w:tc>
          <w:tcPr>
            <w:tcW w:w="8721" w:type="dxa"/>
            <w:gridSpan w:val="2"/>
          </w:tcPr>
          <w:p w14:paraId="68024DE7" w14:textId="77777777" w:rsidR="009E2E95" w:rsidRPr="009E2E95" w:rsidRDefault="009E2E95" w:rsidP="009E2E95">
            <w:pPr>
              <w:rPr>
                <w:rFonts w:cs="FrankRuehl"/>
                <w:sz w:val="28"/>
                <w:szCs w:val="28"/>
                <w:rtl/>
              </w:rPr>
            </w:pPr>
            <w:r w:rsidRPr="009E2E95">
              <w:rPr>
                <w:rFonts w:cs="FrankRuehl" w:hint="eastAsia"/>
                <w:sz w:val="28"/>
                <w:szCs w:val="28"/>
                <w:rtl/>
              </w:rPr>
              <w:t>ת</w:t>
            </w:r>
            <w:r w:rsidRPr="009E2E95">
              <w:rPr>
                <w:rFonts w:cs="FrankRuehl"/>
                <w:sz w:val="28"/>
                <w:szCs w:val="28"/>
                <w:rtl/>
              </w:rPr>
              <w:t>"</w:t>
            </w:r>
            <w:r w:rsidRPr="009E2E95">
              <w:rPr>
                <w:rFonts w:cs="FrankRuehl" w:hint="eastAsia"/>
                <w:sz w:val="28"/>
                <w:szCs w:val="28"/>
                <w:rtl/>
              </w:rPr>
              <w:t>פ</w:t>
            </w:r>
            <w:r w:rsidRPr="009E2E95">
              <w:rPr>
                <w:rFonts w:cs="FrankRuehl"/>
                <w:sz w:val="28"/>
                <w:szCs w:val="28"/>
                <w:rtl/>
              </w:rPr>
              <w:t xml:space="preserve"> 10401-08-15 </w:t>
            </w:r>
            <w:r w:rsidRPr="009E2E95">
              <w:rPr>
                <w:rFonts w:cs="FrankRuehl" w:hint="eastAsia"/>
                <w:sz w:val="28"/>
                <w:szCs w:val="28"/>
                <w:rtl/>
              </w:rPr>
              <w:t>מדינת</w:t>
            </w:r>
            <w:r w:rsidRPr="009E2E95">
              <w:rPr>
                <w:rFonts w:cs="FrankRuehl"/>
                <w:sz w:val="28"/>
                <w:szCs w:val="28"/>
                <w:rtl/>
              </w:rPr>
              <w:t xml:space="preserve"> </w:t>
            </w:r>
            <w:r w:rsidRPr="009E2E95">
              <w:rPr>
                <w:rFonts w:cs="FrankRuehl" w:hint="eastAsia"/>
                <w:sz w:val="28"/>
                <w:szCs w:val="28"/>
                <w:rtl/>
              </w:rPr>
              <w:t>ישראל</w:t>
            </w:r>
            <w:r w:rsidRPr="009E2E95">
              <w:rPr>
                <w:rFonts w:cs="FrankRuehl"/>
                <w:sz w:val="28"/>
                <w:szCs w:val="28"/>
                <w:rtl/>
              </w:rPr>
              <w:t xml:space="preserve"> </w:t>
            </w:r>
            <w:r w:rsidRPr="009E2E95">
              <w:rPr>
                <w:rFonts w:cs="FrankRuehl" w:hint="eastAsia"/>
                <w:sz w:val="28"/>
                <w:szCs w:val="28"/>
                <w:rtl/>
              </w:rPr>
              <w:t>נ</w:t>
            </w:r>
            <w:r w:rsidRPr="009E2E95">
              <w:rPr>
                <w:rFonts w:cs="FrankRuehl"/>
                <w:sz w:val="28"/>
                <w:szCs w:val="28"/>
                <w:rtl/>
              </w:rPr>
              <w:t xml:space="preserve">' </w:t>
            </w:r>
            <w:r w:rsidRPr="009E2E95">
              <w:rPr>
                <w:rFonts w:cs="FrankRuehl" w:hint="eastAsia"/>
                <w:sz w:val="28"/>
                <w:szCs w:val="28"/>
                <w:rtl/>
              </w:rPr>
              <w:t>בולקון</w:t>
            </w:r>
          </w:p>
          <w:p w14:paraId="3B737D1F" w14:textId="77777777" w:rsidR="009E2E95" w:rsidRPr="009E2E95" w:rsidRDefault="009E2E95" w:rsidP="009E2E95">
            <w:pPr>
              <w:pStyle w:val="Header"/>
              <w:rPr>
                <w:rtl/>
              </w:rPr>
            </w:pPr>
          </w:p>
        </w:tc>
      </w:tr>
    </w:tbl>
    <w:p w14:paraId="3BD78F27" w14:textId="77777777" w:rsidR="009E2E95" w:rsidRPr="009E2E95" w:rsidRDefault="009E2E95" w:rsidP="00B5166C">
      <w:pPr>
        <w:pStyle w:val="Header"/>
        <w:rPr>
          <w:rtl/>
        </w:rPr>
      </w:pPr>
      <w:r w:rsidRPr="009E2E95">
        <w:rPr>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9E2E95" w:rsidRPr="009E2E95" w14:paraId="3DCEF02B" w14:textId="77777777">
        <w:trPr>
          <w:trHeight w:val="295"/>
          <w:jc w:val="center"/>
        </w:trPr>
        <w:tc>
          <w:tcPr>
            <w:tcW w:w="743" w:type="dxa"/>
            <w:tcBorders>
              <w:top w:val="nil"/>
              <w:left w:val="nil"/>
              <w:bottom w:val="nil"/>
              <w:right w:val="nil"/>
            </w:tcBorders>
          </w:tcPr>
          <w:p w14:paraId="579BB0D8" w14:textId="77777777" w:rsidR="009E2E95" w:rsidRPr="009E2E95" w:rsidRDefault="009E2E95" w:rsidP="009E2E95">
            <w:pPr>
              <w:jc w:val="both"/>
              <w:rPr>
                <w:rFonts w:ascii="Arial" w:hAnsi="Arial"/>
                <w:b/>
                <w:bCs/>
              </w:rPr>
            </w:pPr>
            <w:bookmarkStart w:id="2" w:name="_GoBack"/>
            <w:bookmarkEnd w:id="2"/>
            <w:r w:rsidRPr="009E2E95">
              <w:rPr>
                <w:rFonts w:ascii="Arial" w:hAnsi="Arial"/>
                <w:b/>
                <w:bCs/>
                <w:rtl/>
              </w:rPr>
              <w:t xml:space="preserve">לפני </w:t>
            </w:r>
          </w:p>
        </w:tc>
        <w:tc>
          <w:tcPr>
            <w:tcW w:w="8077" w:type="dxa"/>
            <w:tcBorders>
              <w:top w:val="nil"/>
              <w:left w:val="nil"/>
              <w:bottom w:val="nil"/>
              <w:right w:val="nil"/>
            </w:tcBorders>
          </w:tcPr>
          <w:p w14:paraId="0ADC3AF8" w14:textId="77777777" w:rsidR="009E2E95" w:rsidRPr="009E2E95" w:rsidRDefault="009E2E95" w:rsidP="009E2E95">
            <w:pPr>
              <w:rPr>
                <w:rFonts w:ascii="Arial" w:hAnsi="Arial"/>
                <w:b/>
                <w:bCs/>
                <w:highlight w:val="yellow"/>
              </w:rPr>
            </w:pPr>
            <w:r w:rsidRPr="009E2E95">
              <w:rPr>
                <w:rFonts w:ascii="Arial" w:hAnsi="Arial"/>
                <w:b/>
                <w:bCs/>
                <w:rtl/>
              </w:rPr>
              <w:t>כב' השופט מיכאל קרשן</w:t>
            </w:r>
          </w:p>
        </w:tc>
      </w:tr>
    </w:tbl>
    <w:p w14:paraId="46E084AD" w14:textId="77777777" w:rsidR="00A93F28" w:rsidRPr="009E2E95" w:rsidRDefault="00A93F2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9E2E95" w:rsidRPr="009E2E95" w14:paraId="384D0E6C" w14:textId="77777777" w:rsidTr="00B5166C">
        <w:trPr>
          <w:trHeight w:val="355"/>
          <w:jc w:val="center"/>
        </w:trPr>
        <w:tc>
          <w:tcPr>
            <w:tcW w:w="853" w:type="dxa"/>
            <w:tcBorders>
              <w:top w:val="nil"/>
              <w:left w:val="nil"/>
              <w:bottom w:val="nil"/>
              <w:right w:val="nil"/>
            </w:tcBorders>
          </w:tcPr>
          <w:p w14:paraId="2E4EBFA2" w14:textId="77777777" w:rsidR="009E2E95" w:rsidRPr="00B5166C" w:rsidRDefault="009E2E95" w:rsidP="009E2E95">
            <w:pPr>
              <w:rPr>
                <w:rFonts w:ascii="Arial" w:hAnsi="Arial" w:cs="FrankRuehl"/>
                <w:b/>
                <w:bCs/>
                <w:sz w:val="28"/>
                <w:szCs w:val="28"/>
              </w:rPr>
            </w:pPr>
            <w:bookmarkStart w:id="3" w:name="FirstAppellant"/>
            <w:r w:rsidRPr="00B5166C">
              <w:rPr>
                <w:rFonts w:ascii="Arial" w:hAnsi="Arial" w:cs="FrankRuehl"/>
                <w:b/>
                <w:bCs/>
                <w:sz w:val="28"/>
                <w:szCs w:val="28"/>
                <w:rtl/>
              </w:rPr>
              <w:t>בעניין:</w:t>
            </w:r>
          </w:p>
        </w:tc>
        <w:tc>
          <w:tcPr>
            <w:tcW w:w="4240" w:type="dxa"/>
            <w:tcBorders>
              <w:top w:val="nil"/>
              <w:left w:val="nil"/>
              <w:bottom w:val="nil"/>
              <w:right w:val="nil"/>
            </w:tcBorders>
          </w:tcPr>
          <w:p w14:paraId="1E1A7B14" w14:textId="77777777" w:rsidR="009E2E95" w:rsidRPr="00B5166C" w:rsidRDefault="009E2E95" w:rsidP="009E2E95">
            <w:pPr>
              <w:rPr>
                <w:rFonts w:ascii="Arial" w:hAnsi="Arial"/>
                <w:b/>
                <w:bCs/>
                <w:sz w:val="26"/>
                <w:szCs w:val="26"/>
              </w:rPr>
            </w:pPr>
            <w:r w:rsidRPr="00B5166C">
              <w:rPr>
                <w:rFonts w:ascii="Arial" w:hAnsi="Arial"/>
                <w:b/>
                <w:bCs/>
                <w:sz w:val="26"/>
                <w:szCs w:val="26"/>
                <w:rtl/>
              </w:rPr>
              <w:t>מדינת ישראל</w:t>
            </w:r>
            <w:r w:rsidRPr="00B5166C">
              <w:rPr>
                <w:b/>
                <w:bCs/>
                <w:rtl/>
              </w:rPr>
              <w:br/>
            </w:r>
            <w:r w:rsidRPr="00B5166C">
              <w:rPr>
                <w:b/>
                <w:bCs/>
                <w:rtl/>
              </w:rPr>
              <w:br/>
            </w:r>
            <w:r w:rsidRPr="00B5166C">
              <w:rPr>
                <w:rFonts w:hint="eastAsia"/>
                <w:b/>
                <w:bCs/>
                <w:rtl/>
              </w:rPr>
              <w:t>ע</w:t>
            </w:r>
            <w:r w:rsidRPr="00B5166C">
              <w:rPr>
                <w:b/>
                <w:bCs/>
                <w:rtl/>
              </w:rPr>
              <w:t>"</w:t>
            </w:r>
            <w:r w:rsidRPr="00B5166C">
              <w:rPr>
                <w:rFonts w:hint="eastAsia"/>
                <w:b/>
                <w:bCs/>
                <w:rtl/>
              </w:rPr>
              <w:t>י</w:t>
            </w:r>
            <w:r w:rsidRPr="00B5166C">
              <w:rPr>
                <w:b/>
                <w:bCs/>
                <w:rtl/>
              </w:rPr>
              <w:t xml:space="preserve"> </w:t>
            </w:r>
            <w:r w:rsidRPr="00B5166C">
              <w:rPr>
                <w:rFonts w:hint="eastAsia"/>
                <w:b/>
                <w:bCs/>
                <w:rtl/>
              </w:rPr>
              <w:t>ב</w:t>
            </w:r>
            <w:r w:rsidRPr="00B5166C">
              <w:rPr>
                <w:b/>
                <w:bCs/>
                <w:rtl/>
              </w:rPr>
              <w:t>"</w:t>
            </w:r>
            <w:r w:rsidRPr="00B5166C">
              <w:rPr>
                <w:rFonts w:hint="eastAsia"/>
                <w:b/>
                <w:bCs/>
                <w:rtl/>
              </w:rPr>
              <w:t>כ</w:t>
            </w:r>
            <w:r w:rsidRPr="00B5166C">
              <w:rPr>
                <w:b/>
                <w:bCs/>
                <w:rtl/>
              </w:rPr>
              <w:t xml:space="preserve"> </w:t>
            </w:r>
            <w:r w:rsidRPr="00B5166C">
              <w:rPr>
                <w:rFonts w:hint="eastAsia"/>
                <w:b/>
                <w:bCs/>
                <w:rtl/>
              </w:rPr>
              <w:t>עו</w:t>
            </w:r>
            <w:r w:rsidRPr="00B5166C">
              <w:rPr>
                <w:b/>
                <w:bCs/>
                <w:rtl/>
              </w:rPr>
              <w:t>"</w:t>
            </w:r>
            <w:r w:rsidRPr="00B5166C">
              <w:rPr>
                <w:rFonts w:hint="eastAsia"/>
                <w:b/>
                <w:bCs/>
                <w:rtl/>
              </w:rPr>
              <w:t>ד</w:t>
            </w:r>
            <w:r w:rsidRPr="00B5166C">
              <w:rPr>
                <w:b/>
                <w:bCs/>
                <w:rtl/>
              </w:rPr>
              <w:t xml:space="preserve"> </w:t>
            </w:r>
            <w:r w:rsidRPr="00B5166C">
              <w:rPr>
                <w:rFonts w:hint="eastAsia"/>
                <w:b/>
                <w:bCs/>
                <w:rtl/>
              </w:rPr>
              <w:t>פאדי</w:t>
            </w:r>
            <w:r w:rsidRPr="00B5166C">
              <w:rPr>
                <w:b/>
                <w:bCs/>
                <w:rtl/>
              </w:rPr>
              <w:t xml:space="preserve"> </w:t>
            </w:r>
            <w:r w:rsidRPr="00B5166C">
              <w:rPr>
                <w:rFonts w:hint="eastAsia"/>
                <w:b/>
                <w:bCs/>
                <w:rtl/>
              </w:rPr>
              <w:t>אסעד</w:t>
            </w:r>
          </w:p>
        </w:tc>
        <w:tc>
          <w:tcPr>
            <w:tcW w:w="3727" w:type="dxa"/>
            <w:tcBorders>
              <w:top w:val="nil"/>
              <w:left w:val="nil"/>
              <w:bottom w:val="nil"/>
              <w:right w:val="nil"/>
            </w:tcBorders>
          </w:tcPr>
          <w:p w14:paraId="78F05DD8" w14:textId="77777777" w:rsidR="009E2E95" w:rsidRPr="00B5166C" w:rsidRDefault="009E2E95" w:rsidP="009E2E95">
            <w:pPr>
              <w:rPr>
                <w:rFonts w:ascii="Arial" w:hAnsi="Arial"/>
                <w:b/>
                <w:bCs/>
                <w:sz w:val="26"/>
                <w:szCs w:val="26"/>
              </w:rPr>
            </w:pPr>
          </w:p>
        </w:tc>
      </w:tr>
      <w:bookmarkEnd w:id="3"/>
      <w:tr w:rsidR="009E2E95" w:rsidRPr="009E2E95" w14:paraId="5AAAC2EA" w14:textId="77777777" w:rsidTr="00B5166C">
        <w:trPr>
          <w:trHeight w:val="355"/>
          <w:jc w:val="center"/>
        </w:trPr>
        <w:tc>
          <w:tcPr>
            <w:tcW w:w="853" w:type="dxa"/>
            <w:tcBorders>
              <w:top w:val="nil"/>
              <w:left w:val="nil"/>
              <w:bottom w:val="nil"/>
              <w:right w:val="nil"/>
            </w:tcBorders>
          </w:tcPr>
          <w:p w14:paraId="7F2F0EE3" w14:textId="77777777" w:rsidR="009E2E95" w:rsidRPr="00B5166C" w:rsidRDefault="009E2E95" w:rsidP="009E2E95">
            <w:pPr>
              <w:jc w:val="both"/>
              <w:rPr>
                <w:rFonts w:ascii="Arial" w:hAnsi="Arial" w:cs="FrankRuehl"/>
                <w:b/>
                <w:bCs/>
                <w:sz w:val="28"/>
                <w:szCs w:val="28"/>
                <w:rtl/>
              </w:rPr>
            </w:pPr>
          </w:p>
        </w:tc>
        <w:tc>
          <w:tcPr>
            <w:tcW w:w="4240" w:type="dxa"/>
            <w:tcBorders>
              <w:top w:val="nil"/>
              <w:left w:val="nil"/>
              <w:bottom w:val="nil"/>
              <w:right w:val="nil"/>
            </w:tcBorders>
          </w:tcPr>
          <w:p w14:paraId="4B5B0982" w14:textId="77777777" w:rsidR="009E2E95" w:rsidRPr="00B5166C" w:rsidRDefault="009E2E95" w:rsidP="009E2E95">
            <w:pPr>
              <w:jc w:val="both"/>
              <w:rPr>
                <w:b/>
                <w:bCs/>
                <w:sz w:val="26"/>
                <w:szCs w:val="26"/>
                <w:rtl/>
              </w:rPr>
            </w:pPr>
          </w:p>
        </w:tc>
        <w:tc>
          <w:tcPr>
            <w:tcW w:w="3727" w:type="dxa"/>
            <w:tcBorders>
              <w:top w:val="nil"/>
              <w:left w:val="nil"/>
              <w:bottom w:val="nil"/>
              <w:right w:val="nil"/>
            </w:tcBorders>
          </w:tcPr>
          <w:p w14:paraId="7E88A18E" w14:textId="77777777" w:rsidR="009E2E95" w:rsidRPr="00B5166C" w:rsidRDefault="009E2E95" w:rsidP="009E2E95">
            <w:pPr>
              <w:jc w:val="right"/>
              <w:rPr>
                <w:rFonts w:ascii="Arial" w:hAnsi="Arial"/>
                <w:b/>
                <w:bCs/>
                <w:sz w:val="26"/>
                <w:szCs w:val="26"/>
                <w:rtl/>
              </w:rPr>
            </w:pPr>
            <w:r w:rsidRPr="00B5166C">
              <w:rPr>
                <w:rFonts w:ascii="Arial" w:hAnsi="Arial"/>
                <w:b/>
                <w:bCs/>
                <w:sz w:val="26"/>
                <w:szCs w:val="26"/>
                <w:rtl/>
              </w:rPr>
              <w:t>המאשימה</w:t>
            </w:r>
          </w:p>
        </w:tc>
      </w:tr>
      <w:tr w:rsidR="009E2E95" w:rsidRPr="009E2E95" w14:paraId="3C89A217" w14:textId="77777777" w:rsidTr="00B5166C">
        <w:trPr>
          <w:trHeight w:val="355"/>
          <w:jc w:val="center"/>
        </w:trPr>
        <w:tc>
          <w:tcPr>
            <w:tcW w:w="853" w:type="dxa"/>
            <w:tcBorders>
              <w:top w:val="nil"/>
              <w:left w:val="nil"/>
              <w:bottom w:val="nil"/>
              <w:right w:val="nil"/>
            </w:tcBorders>
          </w:tcPr>
          <w:p w14:paraId="64046E70" w14:textId="77777777" w:rsidR="009E2E95" w:rsidRPr="00B5166C" w:rsidRDefault="009E2E95" w:rsidP="009E2E95">
            <w:pPr>
              <w:jc w:val="both"/>
              <w:rPr>
                <w:rFonts w:ascii="Arial" w:hAnsi="Arial" w:cs="FrankRuehl"/>
                <w:b/>
                <w:bCs/>
                <w:sz w:val="28"/>
                <w:szCs w:val="28"/>
                <w:rtl/>
              </w:rPr>
            </w:pPr>
          </w:p>
        </w:tc>
        <w:tc>
          <w:tcPr>
            <w:tcW w:w="7967" w:type="dxa"/>
            <w:gridSpan w:val="2"/>
            <w:tcBorders>
              <w:top w:val="nil"/>
              <w:left w:val="nil"/>
              <w:bottom w:val="nil"/>
              <w:right w:val="nil"/>
            </w:tcBorders>
          </w:tcPr>
          <w:p w14:paraId="190D99F4" w14:textId="77777777" w:rsidR="009E2E95" w:rsidRPr="00B5166C" w:rsidRDefault="009E2E95" w:rsidP="009E2E95">
            <w:pPr>
              <w:jc w:val="center"/>
              <w:rPr>
                <w:rFonts w:ascii="Arial" w:hAnsi="Arial"/>
                <w:b/>
                <w:bCs/>
                <w:sz w:val="26"/>
                <w:szCs w:val="26"/>
                <w:rtl/>
              </w:rPr>
            </w:pPr>
          </w:p>
          <w:p w14:paraId="39D7E242" w14:textId="77777777" w:rsidR="009E2E95" w:rsidRPr="00B5166C" w:rsidRDefault="009E2E95" w:rsidP="009E2E95">
            <w:pPr>
              <w:jc w:val="center"/>
              <w:rPr>
                <w:rFonts w:ascii="Arial" w:hAnsi="Arial"/>
                <w:b/>
                <w:bCs/>
                <w:sz w:val="26"/>
                <w:szCs w:val="26"/>
                <w:rtl/>
              </w:rPr>
            </w:pPr>
            <w:r w:rsidRPr="00B5166C">
              <w:rPr>
                <w:rFonts w:ascii="Arial" w:hAnsi="Arial"/>
                <w:b/>
                <w:bCs/>
                <w:sz w:val="26"/>
                <w:szCs w:val="26"/>
                <w:rtl/>
              </w:rPr>
              <w:t>נגד</w:t>
            </w:r>
          </w:p>
          <w:p w14:paraId="2A0FD5CB" w14:textId="77777777" w:rsidR="009E2E95" w:rsidRPr="00B5166C" w:rsidRDefault="009E2E95" w:rsidP="009E2E95">
            <w:pPr>
              <w:jc w:val="both"/>
              <w:rPr>
                <w:rFonts w:ascii="Arial" w:hAnsi="Arial"/>
                <w:b/>
                <w:bCs/>
                <w:sz w:val="26"/>
                <w:szCs w:val="26"/>
              </w:rPr>
            </w:pPr>
          </w:p>
        </w:tc>
      </w:tr>
      <w:tr w:rsidR="009E2E95" w:rsidRPr="009E2E95" w14:paraId="0EC92F06" w14:textId="77777777" w:rsidTr="00B5166C">
        <w:trPr>
          <w:trHeight w:val="355"/>
          <w:jc w:val="center"/>
        </w:trPr>
        <w:tc>
          <w:tcPr>
            <w:tcW w:w="853" w:type="dxa"/>
            <w:tcBorders>
              <w:top w:val="nil"/>
              <w:left w:val="nil"/>
              <w:bottom w:val="nil"/>
              <w:right w:val="nil"/>
            </w:tcBorders>
          </w:tcPr>
          <w:p w14:paraId="071C21ED" w14:textId="77777777" w:rsidR="009E2E95" w:rsidRPr="00B5166C" w:rsidRDefault="009E2E95" w:rsidP="009E2E95">
            <w:pPr>
              <w:rPr>
                <w:rFonts w:ascii="Arial" w:hAnsi="Arial" w:cs="FrankRuehl"/>
                <w:b/>
                <w:bCs/>
                <w:sz w:val="28"/>
                <w:szCs w:val="28"/>
                <w:rtl/>
              </w:rPr>
            </w:pPr>
          </w:p>
        </w:tc>
        <w:tc>
          <w:tcPr>
            <w:tcW w:w="4240" w:type="dxa"/>
            <w:tcBorders>
              <w:top w:val="nil"/>
              <w:left w:val="nil"/>
              <w:bottom w:val="nil"/>
              <w:right w:val="nil"/>
            </w:tcBorders>
          </w:tcPr>
          <w:p w14:paraId="5D4E4535" w14:textId="77777777" w:rsidR="009E2E95" w:rsidRPr="00B5166C" w:rsidRDefault="009E2E95" w:rsidP="009E2E95">
            <w:pPr>
              <w:rPr>
                <w:b/>
                <w:bCs/>
                <w:sz w:val="26"/>
                <w:szCs w:val="26"/>
                <w:rtl/>
              </w:rPr>
            </w:pPr>
            <w:r w:rsidRPr="00B5166C">
              <w:rPr>
                <w:rFonts w:ascii="Arial" w:hAnsi="Arial"/>
                <w:b/>
                <w:bCs/>
                <w:sz w:val="26"/>
                <w:szCs w:val="26"/>
                <w:rtl/>
              </w:rPr>
              <w:t>גנאדי בולקון</w:t>
            </w:r>
            <w:r w:rsidRPr="00B5166C">
              <w:rPr>
                <w:rFonts w:ascii="Arial" w:hAnsi="Arial"/>
                <w:b/>
                <w:bCs/>
                <w:sz w:val="26"/>
                <w:szCs w:val="26"/>
                <w:rtl/>
              </w:rPr>
              <w:br/>
            </w:r>
            <w:r w:rsidRPr="00B5166C">
              <w:rPr>
                <w:b/>
                <w:bCs/>
                <w:rtl/>
              </w:rPr>
              <w:br/>
            </w:r>
            <w:r w:rsidRPr="00B5166C">
              <w:rPr>
                <w:rFonts w:hint="eastAsia"/>
                <w:b/>
                <w:bCs/>
                <w:rtl/>
              </w:rPr>
              <w:t>ע</w:t>
            </w:r>
            <w:r w:rsidRPr="00B5166C">
              <w:rPr>
                <w:b/>
                <w:bCs/>
                <w:rtl/>
              </w:rPr>
              <w:t>"</w:t>
            </w:r>
            <w:r w:rsidRPr="00B5166C">
              <w:rPr>
                <w:rFonts w:hint="eastAsia"/>
                <w:b/>
                <w:bCs/>
                <w:rtl/>
              </w:rPr>
              <w:t>י</w:t>
            </w:r>
            <w:r w:rsidRPr="00B5166C">
              <w:rPr>
                <w:b/>
                <w:bCs/>
                <w:rtl/>
              </w:rPr>
              <w:t xml:space="preserve"> </w:t>
            </w:r>
            <w:r w:rsidRPr="00B5166C">
              <w:rPr>
                <w:rFonts w:hint="eastAsia"/>
                <w:b/>
                <w:bCs/>
                <w:rtl/>
              </w:rPr>
              <w:t>ב</w:t>
            </w:r>
            <w:r w:rsidRPr="00B5166C">
              <w:rPr>
                <w:b/>
                <w:bCs/>
                <w:rtl/>
              </w:rPr>
              <w:t>"</w:t>
            </w:r>
            <w:r w:rsidRPr="00B5166C">
              <w:rPr>
                <w:rFonts w:hint="eastAsia"/>
                <w:b/>
                <w:bCs/>
                <w:rtl/>
              </w:rPr>
              <w:t>כ</w:t>
            </w:r>
            <w:r w:rsidRPr="00B5166C">
              <w:rPr>
                <w:b/>
                <w:bCs/>
                <w:rtl/>
              </w:rPr>
              <w:t xml:space="preserve"> </w:t>
            </w:r>
            <w:r w:rsidRPr="00B5166C">
              <w:rPr>
                <w:rFonts w:hint="eastAsia"/>
                <w:b/>
                <w:bCs/>
                <w:rtl/>
              </w:rPr>
              <w:t>עו</w:t>
            </w:r>
            <w:r w:rsidRPr="00B5166C">
              <w:rPr>
                <w:b/>
                <w:bCs/>
                <w:rtl/>
              </w:rPr>
              <w:t>"</w:t>
            </w:r>
            <w:r w:rsidRPr="00B5166C">
              <w:rPr>
                <w:rFonts w:hint="eastAsia"/>
                <w:b/>
                <w:bCs/>
                <w:rtl/>
              </w:rPr>
              <w:t>ד</w:t>
            </w:r>
            <w:r w:rsidRPr="00B5166C">
              <w:rPr>
                <w:b/>
                <w:bCs/>
                <w:rtl/>
              </w:rPr>
              <w:t xml:space="preserve"> </w:t>
            </w:r>
            <w:r w:rsidRPr="00B5166C">
              <w:rPr>
                <w:rFonts w:hint="eastAsia"/>
                <w:b/>
                <w:bCs/>
                <w:rtl/>
              </w:rPr>
              <w:t>אלי</w:t>
            </w:r>
            <w:r w:rsidRPr="00B5166C">
              <w:rPr>
                <w:b/>
                <w:bCs/>
                <w:rtl/>
              </w:rPr>
              <w:t xml:space="preserve"> </w:t>
            </w:r>
            <w:r w:rsidRPr="00B5166C">
              <w:rPr>
                <w:rFonts w:hint="eastAsia"/>
                <w:b/>
                <w:bCs/>
                <w:rtl/>
              </w:rPr>
              <w:t>מסטרמן</w:t>
            </w:r>
          </w:p>
        </w:tc>
        <w:tc>
          <w:tcPr>
            <w:tcW w:w="3727" w:type="dxa"/>
            <w:tcBorders>
              <w:top w:val="nil"/>
              <w:left w:val="nil"/>
              <w:bottom w:val="nil"/>
              <w:right w:val="nil"/>
            </w:tcBorders>
          </w:tcPr>
          <w:p w14:paraId="1EC1E05E" w14:textId="77777777" w:rsidR="009E2E95" w:rsidRPr="00B5166C" w:rsidRDefault="009E2E95" w:rsidP="009E2E95">
            <w:pPr>
              <w:rPr>
                <w:rFonts w:ascii="Arial" w:hAnsi="Arial"/>
                <w:b/>
                <w:bCs/>
                <w:sz w:val="26"/>
                <w:szCs w:val="26"/>
              </w:rPr>
            </w:pPr>
          </w:p>
        </w:tc>
      </w:tr>
      <w:tr w:rsidR="009E2E95" w:rsidRPr="009E2E95" w14:paraId="038B3CE5" w14:textId="77777777" w:rsidTr="00B5166C">
        <w:trPr>
          <w:trHeight w:val="355"/>
          <w:jc w:val="center"/>
        </w:trPr>
        <w:tc>
          <w:tcPr>
            <w:tcW w:w="853" w:type="dxa"/>
            <w:tcBorders>
              <w:top w:val="nil"/>
              <w:left w:val="nil"/>
              <w:bottom w:val="nil"/>
              <w:right w:val="nil"/>
            </w:tcBorders>
          </w:tcPr>
          <w:p w14:paraId="571DA77C" w14:textId="77777777" w:rsidR="009E2E95" w:rsidRPr="00B5166C" w:rsidRDefault="009E2E95" w:rsidP="009E2E95">
            <w:pPr>
              <w:jc w:val="both"/>
              <w:rPr>
                <w:rFonts w:ascii="Arial" w:hAnsi="Arial" w:cs="FrankRuehl"/>
                <w:b/>
                <w:bCs/>
                <w:sz w:val="28"/>
                <w:szCs w:val="28"/>
                <w:rtl/>
              </w:rPr>
            </w:pPr>
          </w:p>
        </w:tc>
        <w:tc>
          <w:tcPr>
            <w:tcW w:w="4240" w:type="dxa"/>
            <w:tcBorders>
              <w:top w:val="nil"/>
              <w:left w:val="nil"/>
              <w:bottom w:val="nil"/>
              <w:right w:val="nil"/>
            </w:tcBorders>
          </w:tcPr>
          <w:p w14:paraId="27AF23A1" w14:textId="77777777" w:rsidR="009E2E95" w:rsidRPr="00B5166C" w:rsidRDefault="009E2E95" w:rsidP="009E2E95">
            <w:pPr>
              <w:jc w:val="both"/>
              <w:rPr>
                <w:b/>
                <w:bCs/>
                <w:sz w:val="26"/>
                <w:szCs w:val="26"/>
                <w:rtl/>
              </w:rPr>
            </w:pPr>
          </w:p>
        </w:tc>
        <w:tc>
          <w:tcPr>
            <w:tcW w:w="3727" w:type="dxa"/>
            <w:tcBorders>
              <w:top w:val="nil"/>
              <w:left w:val="nil"/>
              <w:bottom w:val="nil"/>
              <w:right w:val="nil"/>
            </w:tcBorders>
          </w:tcPr>
          <w:p w14:paraId="04F69A54" w14:textId="77777777" w:rsidR="009E2E95" w:rsidRPr="00B5166C" w:rsidRDefault="009E2E95" w:rsidP="009E2E95">
            <w:pPr>
              <w:jc w:val="right"/>
              <w:rPr>
                <w:rFonts w:ascii="Arial" w:hAnsi="Arial"/>
                <w:b/>
                <w:bCs/>
                <w:sz w:val="26"/>
                <w:szCs w:val="26"/>
              </w:rPr>
            </w:pPr>
            <w:r w:rsidRPr="00B5166C">
              <w:rPr>
                <w:rFonts w:ascii="Arial" w:hAnsi="Arial"/>
                <w:b/>
                <w:bCs/>
                <w:sz w:val="26"/>
                <w:szCs w:val="26"/>
                <w:rtl/>
              </w:rPr>
              <w:t>הנאשמים</w:t>
            </w:r>
          </w:p>
        </w:tc>
      </w:tr>
    </w:tbl>
    <w:p w14:paraId="0FABCF66" w14:textId="77777777" w:rsidR="00A93F28" w:rsidRPr="009E2E95" w:rsidRDefault="00A93F28" w:rsidP="00F03F2F">
      <w:pPr>
        <w:rPr>
          <w:rtl/>
        </w:rPr>
      </w:pPr>
      <w:r w:rsidRPr="009E2E95">
        <w:rPr>
          <w:rFonts w:hint="eastAsia"/>
          <w:rtl/>
        </w:rPr>
        <w:t>נוכחים</w:t>
      </w:r>
      <w:r w:rsidRPr="009E2E95">
        <w:rPr>
          <w:rtl/>
        </w:rPr>
        <w:t>:</w:t>
      </w:r>
    </w:p>
    <w:p w14:paraId="4D4023FE" w14:textId="77777777" w:rsidR="00A93F28" w:rsidRPr="009E2E95" w:rsidRDefault="00A93F28" w:rsidP="00F03F2F">
      <w:pPr>
        <w:rPr>
          <w:rtl/>
        </w:rPr>
      </w:pPr>
      <w:r w:rsidRPr="009E2E95">
        <w:rPr>
          <w:rFonts w:hint="eastAsia"/>
          <w:rtl/>
        </w:rPr>
        <w:t>ב</w:t>
      </w:r>
      <w:r w:rsidRPr="009E2E95">
        <w:rPr>
          <w:rtl/>
        </w:rPr>
        <w:t>"</w:t>
      </w:r>
      <w:r w:rsidRPr="009E2E95">
        <w:rPr>
          <w:rFonts w:hint="eastAsia"/>
          <w:rtl/>
        </w:rPr>
        <w:t>כ</w:t>
      </w:r>
      <w:r w:rsidRPr="009E2E95">
        <w:rPr>
          <w:rtl/>
        </w:rPr>
        <w:t xml:space="preserve"> </w:t>
      </w:r>
      <w:r w:rsidRPr="009E2E95">
        <w:rPr>
          <w:rFonts w:hint="eastAsia"/>
          <w:rtl/>
        </w:rPr>
        <w:t>המאשימה</w:t>
      </w:r>
      <w:r w:rsidRPr="009E2E95">
        <w:rPr>
          <w:rtl/>
        </w:rPr>
        <w:t xml:space="preserve"> </w:t>
      </w:r>
      <w:r w:rsidRPr="009E2E95">
        <w:rPr>
          <w:rFonts w:hint="eastAsia"/>
          <w:rtl/>
        </w:rPr>
        <w:t>עו</w:t>
      </w:r>
      <w:r w:rsidRPr="009E2E95">
        <w:rPr>
          <w:rtl/>
        </w:rPr>
        <w:t>"</w:t>
      </w:r>
      <w:r w:rsidRPr="009E2E95">
        <w:rPr>
          <w:rFonts w:hint="eastAsia"/>
          <w:rtl/>
        </w:rPr>
        <w:t>ד</w:t>
      </w:r>
      <w:r w:rsidRPr="009E2E95">
        <w:rPr>
          <w:rtl/>
        </w:rPr>
        <w:t xml:space="preserve"> </w:t>
      </w:r>
      <w:r w:rsidRPr="009E2E95">
        <w:rPr>
          <w:rFonts w:hint="eastAsia"/>
          <w:rtl/>
        </w:rPr>
        <w:t>נעמי</w:t>
      </w:r>
      <w:r w:rsidRPr="009E2E95">
        <w:rPr>
          <w:rtl/>
        </w:rPr>
        <w:t xml:space="preserve"> </w:t>
      </w:r>
      <w:r w:rsidRPr="009E2E95">
        <w:rPr>
          <w:rFonts w:hint="eastAsia"/>
          <w:rtl/>
        </w:rPr>
        <w:t>מששה</w:t>
      </w:r>
      <w:r w:rsidRPr="009E2E95">
        <w:rPr>
          <w:rtl/>
        </w:rPr>
        <w:t xml:space="preserve"> </w:t>
      </w:r>
      <w:r w:rsidRPr="009E2E95">
        <w:rPr>
          <w:rFonts w:hint="eastAsia"/>
          <w:rtl/>
        </w:rPr>
        <w:t>ועו</w:t>
      </w:r>
      <w:r w:rsidRPr="009E2E95">
        <w:rPr>
          <w:rtl/>
        </w:rPr>
        <w:t>"</w:t>
      </w:r>
      <w:r w:rsidRPr="009E2E95">
        <w:rPr>
          <w:rFonts w:hint="eastAsia"/>
          <w:rtl/>
        </w:rPr>
        <w:t>ד</w:t>
      </w:r>
      <w:r w:rsidRPr="009E2E95">
        <w:rPr>
          <w:rtl/>
        </w:rPr>
        <w:t xml:space="preserve"> </w:t>
      </w:r>
      <w:r w:rsidRPr="009E2E95">
        <w:rPr>
          <w:rFonts w:hint="eastAsia"/>
          <w:rtl/>
        </w:rPr>
        <w:t>שירה</w:t>
      </w:r>
      <w:r w:rsidRPr="009E2E95">
        <w:rPr>
          <w:rtl/>
        </w:rPr>
        <w:t xml:space="preserve"> </w:t>
      </w:r>
      <w:r w:rsidRPr="009E2E95">
        <w:rPr>
          <w:rFonts w:hint="eastAsia"/>
          <w:rtl/>
        </w:rPr>
        <w:t>סוכצקי</w:t>
      </w:r>
    </w:p>
    <w:p w14:paraId="30B199FF" w14:textId="77777777" w:rsidR="00A93F28" w:rsidRPr="009E2E95" w:rsidRDefault="00A93F28" w:rsidP="00F03F2F">
      <w:pPr>
        <w:rPr>
          <w:rFonts w:hint="cs"/>
          <w:rtl/>
        </w:rPr>
      </w:pPr>
      <w:r w:rsidRPr="009E2E95">
        <w:rPr>
          <w:rFonts w:hint="eastAsia"/>
          <w:rtl/>
        </w:rPr>
        <w:t>הנאשם</w:t>
      </w:r>
      <w:r w:rsidRPr="009E2E95">
        <w:rPr>
          <w:rtl/>
        </w:rPr>
        <w:t xml:space="preserve"> </w:t>
      </w:r>
      <w:r w:rsidRPr="009E2E95">
        <w:rPr>
          <w:rFonts w:hint="eastAsia"/>
          <w:rtl/>
        </w:rPr>
        <w:t>בעצמו</w:t>
      </w:r>
      <w:r w:rsidRPr="009E2E95">
        <w:rPr>
          <w:rtl/>
        </w:rPr>
        <w:t xml:space="preserve"> </w:t>
      </w:r>
      <w:r w:rsidRPr="009E2E95">
        <w:rPr>
          <w:rFonts w:hint="eastAsia"/>
          <w:rtl/>
        </w:rPr>
        <w:t>וב</w:t>
      </w:r>
      <w:r w:rsidRPr="009E2E95">
        <w:rPr>
          <w:rtl/>
        </w:rPr>
        <w:t>"</w:t>
      </w:r>
      <w:r w:rsidRPr="009E2E95">
        <w:rPr>
          <w:rFonts w:hint="eastAsia"/>
          <w:rtl/>
        </w:rPr>
        <w:t>כ</w:t>
      </w:r>
      <w:r w:rsidRPr="009E2E95">
        <w:rPr>
          <w:rtl/>
        </w:rPr>
        <w:t xml:space="preserve"> </w:t>
      </w:r>
      <w:r w:rsidRPr="009E2E95">
        <w:rPr>
          <w:rFonts w:hint="eastAsia"/>
          <w:rtl/>
        </w:rPr>
        <w:t>עו</w:t>
      </w:r>
      <w:r w:rsidRPr="009E2E95">
        <w:rPr>
          <w:rtl/>
        </w:rPr>
        <w:t>"</w:t>
      </w:r>
      <w:r w:rsidRPr="009E2E95">
        <w:rPr>
          <w:rFonts w:hint="eastAsia"/>
          <w:rtl/>
        </w:rPr>
        <w:t>ד</w:t>
      </w:r>
      <w:r w:rsidRPr="009E2E95">
        <w:rPr>
          <w:rtl/>
        </w:rPr>
        <w:t xml:space="preserve"> </w:t>
      </w:r>
      <w:r w:rsidRPr="009E2E95">
        <w:rPr>
          <w:rFonts w:hint="eastAsia"/>
          <w:rtl/>
        </w:rPr>
        <w:t>אלי</w:t>
      </w:r>
      <w:r w:rsidRPr="009E2E95">
        <w:rPr>
          <w:rtl/>
        </w:rPr>
        <w:t xml:space="preserve"> </w:t>
      </w:r>
      <w:r w:rsidRPr="009E2E95">
        <w:rPr>
          <w:rFonts w:hint="eastAsia"/>
          <w:rtl/>
        </w:rPr>
        <w:t>מסטרמן</w:t>
      </w:r>
    </w:p>
    <w:p w14:paraId="286D937F" w14:textId="77777777" w:rsidR="009545FC" w:rsidRPr="009E2E95" w:rsidRDefault="009545FC" w:rsidP="00F03F2F">
      <w:pPr>
        <w:rPr>
          <w:rFonts w:hint="cs"/>
        </w:rPr>
      </w:pPr>
    </w:p>
    <w:p w14:paraId="0EC02A09" w14:textId="77777777" w:rsidR="00EA7FFC" w:rsidRDefault="00EA7FFC" w:rsidP="00F03F2F">
      <w:pPr>
        <w:rPr>
          <w:rtl/>
        </w:rPr>
      </w:pPr>
      <w:bookmarkStart w:id="4" w:name="LawTable"/>
      <w:bookmarkEnd w:id="4"/>
    </w:p>
    <w:p w14:paraId="7D1945E6" w14:textId="77777777" w:rsidR="00EA7FFC" w:rsidRPr="00EA7FFC" w:rsidRDefault="00EA7FFC" w:rsidP="00EA7FFC">
      <w:pPr>
        <w:spacing w:after="120" w:line="240" w:lineRule="exact"/>
        <w:ind w:left="283" w:hanging="283"/>
        <w:jc w:val="both"/>
        <w:rPr>
          <w:rFonts w:ascii="FrankRuehl" w:hAnsi="FrankRuehl" w:cs="FrankRuehl"/>
          <w:rtl/>
        </w:rPr>
      </w:pPr>
    </w:p>
    <w:p w14:paraId="4D9B9652" w14:textId="77777777" w:rsidR="00EA7FFC" w:rsidRPr="00EA7FFC" w:rsidRDefault="00EA7FFC" w:rsidP="00EA7FFC">
      <w:pPr>
        <w:spacing w:after="120" w:line="240" w:lineRule="exact"/>
        <w:ind w:left="283" w:hanging="283"/>
        <w:jc w:val="both"/>
        <w:rPr>
          <w:rFonts w:ascii="FrankRuehl" w:hAnsi="FrankRuehl" w:cs="FrankRuehl"/>
          <w:rtl/>
        </w:rPr>
      </w:pPr>
      <w:r w:rsidRPr="00EA7FFC">
        <w:rPr>
          <w:rFonts w:ascii="FrankRuehl" w:hAnsi="FrankRuehl" w:cs="FrankRuehl" w:hint="eastAsia"/>
          <w:rtl/>
        </w:rPr>
        <w:t>חקיקה</w:t>
      </w:r>
      <w:r w:rsidRPr="00EA7FFC">
        <w:rPr>
          <w:rFonts w:ascii="FrankRuehl" w:hAnsi="FrankRuehl" w:cs="FrankRuehl"/>
          <w:rtl/>
        </w:rPr>
        <w:t xml:space="preserve"> </w:t>
      </w:r>
      <w:r w:rsidRPr="00EA7FFC">
        <w:rPr>
          <w:rFonts w:ascii="FrankRuehl" w:hAnsi="FrankRuehl" w:cs="FrankRuehl" w:hint="eastAsia"/>
          <w:rtl/>
        </w:rPr>
        <w:t>שאוזכרה</w:t>
      </w:r>
      <w:r w:rsidRPr="00EA7FFC">
        <w:rPr>
          <w:rFonts w:ascii="FrankRuehl" w:hAnsi="FrankRuehl" w:cs="FrankRuehl"/>
          <w:rtl/>
        </w:rPr>
        <w:t xml:space="preserve">: </w:t>
      </w:r>
    </w:p>
    <w:p w14:paraId="64E294BD" w14:textId="77777777" w:rsidR="00EA7FFC" w:rsidRPr="00EA7FFC" w:rsidRDefault="00EA7FFC" w:rsidP="00EA7FFC">
      <w:pPr>
        <w:spacing w:after="120" w:line="240" w:lineRule="exact"/>
        <w:ind w:left="283" w:hanging="283"/>
        <w:jc w:val="both"/>
        <w:rPr>
          <w:rFonts w:ascii="FrankRuehl" w:hAnsi="FrankRuehl" w:cs="FrankRuehl"/>
          <w:rtl/>
        </w:rPr>
      </w:pPr>
      <w:hyperlink r:id="rId8" w:history="1">
        <w:r w:rsidRPr="00EA7FFC">
          <w:rPr>
            <w:rFonts w:ascii="FrankRuehl" w:hAnsi="FrankRuehl" w:cs="FrankRuehl" w:hint="eastAsia"/>
            <w:color w:val="0000FF"/>
            <w:u w:val="single"/>
            <w:rtl/>
          </w:rPr>
          <w:t>חוק</w:t>
        </w:r>
        <w:r w:rsidRPr="00EA7FFC">
          <w:rPr>
            <w:rFonts w:ascii="FrankRuehl" w:hAnsi="FrankRuehl" w:cs="FrankRuehl"/>
            <w:color w:val="0000FF"/>
            <w:u w:val="single"/>
            <w:rtl/>
          </w:rPr>
          <w:t xml:space="preserve"> </w:t>
        </w:r>
        <w:r w:rsidRPr="00EA7FFC">
          <w:rPr>
            <w:rFonts w:ascii="FrankRuehl" w:hAnsi="FrankRuehl" w:cs="FrankRuehl" w:hint="eastAsia"/>
            <w:color w:val="0000FF"/>
            <w:u w:val="single"/>
            <w:rtl/>
          </w:rPr>
          <w:t>העונשין</w:t>
        </w:r>
        <w:r w:rsidRPr="00EA7FFC">
          <w:rPr>
            <w:rFonts w:ascii="FrankRuehl" w:hAnsi="FrankRuehl" w:cs="FrankRuehl"/>
            <w:color w:val="0000FF"/>
            <w:u w:val="single"/>
            <w:rtl/>
          </w:rPr>
          <w:t xml:space="preserve">, </w:t>
        </w:r>
        <w:r w:rsidRPr="00EA7FFC">
          <w:rPr>
            <w:rFonts w:ascii="FrankRuehl" w:hAnsi="FrankRuehl" w:cs="FrankRuehl" w:hint="eastAsia"/>
            <w:color w:val="0000FF"/>
            <w:u w:val="single"/>
            <w:rtl/>
          </w:rPr>
          <w:t>תשל</w:t>
        </w:r>
        <w:r w:rsidRPr="00EA7FFC">
          <w:rPr>
            <w:rFonts w:ascii="FrankRuehl" w:hAnsi="FrankRuehl" w:cs="FrankRuehl"/>
            <w:color w:val="0000FF"/>
            <w:u w:val="single"/>
            <w:rtl/>
          </w:rPr>
          <w:t>"</w:t>
        </w:r>
        <w:r w:rsidRPr="00EA7FFC">
          <w:rPr>
            <w:rFonts w:ascii="FrankRuehl" w:hAnsi="FrankRuehl" w:cs="FrankRuehl" w:hint="eastAsia"/>
            <w:color w:val="0000FF"/>
            <w:u w:val="single"/>
            <w:rtl/>
          </w:rPr>
          <w:t>ז</w:t>
        </w:r>
        <w:r w:rsidRPr="00EA7FFC">
          <w:rPr>
            <w:rFonts w:ascii="FrankRuehl" w:hAnsi="FrankRuehl" w:cs="FrankRuehl"/>
            <w:color w:val="0000FF"/>
            <w:u w:val="single"/>
            <w:rtl/>
          </w:rPr>
          <w:t>-1977</w:t>
        </w:r>
      </w:hyperlink>
      <w:r w:rsidRPr="00EA7FFC">
        <w:rPr>
          <w:rFonts w:ascii="FrankRuehl" w:hAnsi="FrankRuehl" w:cs="FrankRuehl"/>
          <w:rtl/>
        </w:rPr>
        <w:t xml:space="preserve">: </w:t>
      </w:r>
      <w:r w:rsidRPr="00EA7FFC">
        <w:rPr>
          <w:rFonts w:ascii="FrankRuehl" w:hAnsi="FrankRuehl" w:cs="FrankRuehl" w:hint="eastAsia"/>
          <w:rtl/>
        </w:rPr>
        <w:t>סע</w:t>
      </w:r>
      <w:r w:rsidRPr="00EA7FFC">
        <w:rPr>
          <w:rFonts w:ascii="FrankRuehl" w:hAnsi="FrankRuehl" w:cs="FrankRuehl"/>
          <w:rtl/>
        </w:rPr>
        <w:t xml:space="preserve">'  </w:t>
      </w:r>
      <w:hyperlink r:id="rId9" w:history="1">
        <w:r w:rsidRPr="00EA7FFC">
          <w:rPr>
            <w:rFonts w:ascii="FrankRuehl" w:hAnsi="FrankRuehl" w:cs="FrankRuehl"/>
            <w:color w:val="0000FF"/>
            <w:u w:val="single"/>
            <w:rtl/>
          </w:rPr>
          <w:t>348(</w:t>
        </w:r>
        <w:r w:rsidRPr="00EA7FFC">
          <w:rPr>
            <w:rFonts w:ascii="FrankRuehl" w:hAnsi="FrankRuehl" w:cs="FrankRuehl" w:hint="eastAsia"/>
            <w:color w:val="0000FF"/>
            <w:u w:val="single"/>
            <w:rtl/>
          </w:rPr>
          <w:t>א</w:t>
        </w:r>
        <w:r w:rsidRPr="00EA7FFC">
          <w:rPr>
            <w:rFonts w:ascii="FrankRuehl" w:hAnsi="FrankRuehl" w:cs="FrankRuehl"/>
            <w:color w:val="0000FF"/>
            <w:u w:val="single"/>
            <w:rtl/>
          </w:rPr>
          <w:t>)</w:t>
        </w:r>
      </w:hyperlink>
      <w:r w:rsidRPr="00EA7FFC">
        <w:rPr>
          <w:rFonts w:ascii="FrankRuehl" w:hAnsi="FrankRuehl" w:cs="FrankRuehl"/>
          <w:rtl/>
        </w:rPr>
        <w:t xml:space="preserve">, </w:t>
      </w:r>
      <w:hyperlink r:id="rId10" w:history="1">
        <w:r w:rsidRPr="00EA7FFC">
          <w:rPr>
            <w:rFonts w:ascii="FrankRuehl" w:hAnsi="FrankRuehl" w:cs="FrankRuehl"/>
            <w:color w:val="0000FF"/>
            <w:u w:val="single"/>
            <w:rtl/>
          </w:rPr>
          <w:t>348(</w:t>
        </w:r>
        <w:r w:rsidRPr="00EA7FFC">
          <w:rPr>
            <w:rFonts w:ascii="FrankRuehl" w:hAnsi="FrankRuehl" w:cs="FrankRuehl" w:hint="eastAsia"/>
            <w:color w:val="0000FF"/>
            <w:u w:val="single"/>
            <w:rtl/>
          </w:rPr>
          <w:t>ג</w:t>
        </w:r>
        <w:r w:rsidRPr="00EA7FFC">
          <w:rPr>
            <w:rFonts w:ascii="FrankRuehl" w:hAnsi="FrankRuehl" w:cs="FrankRuehl"/>
            <w:color w:val="0000FF"/>
            <w:u w:val="single"/>
            <w:rtl/>
          </w:rPr>
          <w:t>)</w:t>
        </w:r>
      </w:hyperlink>
      <w:r w:rsidRPr="00EA7FFC">
        <w:rPr>
          <w:rFonts w:ascii="FrankRuehl" w:hAnsi="FrankRuehl" w:cs="FrankRuehl"/>
          <w:rtl/>
        </w:rPr>
        <w:t xml:space="preserve">, </w:t>
      </w:r>
      <w:hyperlink r:id="rId11" w:history="1">
        <w:r w:rsidRPr="00EA7FFC">
          <w:rPr>
            <w:rFonts w:ascii="FrankRuehl" w:hAnsi="FrankRuehl" w:cs="FrankRuehl"/>
            <w:color w:val="0000FF"/>
            <w:u w:val="single"/>
            <w:rtl/>
          </w:rPr>
          <w:t>349(</w:t>
        </w:r>
        <w:r w:rsidRPr="00EA7FFC">
          <w:rPr>
            <w:rFonts w:ascii="FrankRuehl" w:hAnsi="FrankRuehl" w:cs="FrankRuehl" w:hint="eastAsia"/>
            <w:color w:val="0000FF"/>
            <w:u w:val="single"/>
            <w:rtl/>
          </w:rPr>
          <w:t>א</w:t>
        </w:r>
        <w:r w:rsidRPr="00EA7FFC">
          <w:rPr>
            <w:rFonts w:ascii="FrankRuehl" w:hAnsi="FrankRuehl" w:cs="FrankRuehl"/>
            <w:color w:val="0000FF"/>
            <w:u w:val="single"/>
            <w:rtl/>
          </w:rPr>
          <w:t>)</w:t>
        </w:r>
      </w:hyperlink>
      <w:r w:rsidRPr="00EA7FFC">
        <w:rPr>
          <w:rFonts w:ascii="FrankRuehl" w:hAnsi="FrankRuehl" w:cs="FrankRuehl"/>
          <w:rtl/>
        </w:rPr>
        <w:t xml:space="preserve">, </w:t>
      </w:r>
      <w:hyperlink r:id="rId12" w:history="1">
        <w:r w:rsidRPr="00EA7FFC">
          <w:rPr>
            <w:rFonts w:ascii="FrankRuehl" w:hAnsi="FrankRuehl" w:cs="FrankRuehl"/>
            <w:color w:val="0000FF"/>
            <w:u w:val="single"/>
            <w:rtl/>
          </w:rPr>
          <w:t>34</w:t>
        </w:r>
        <w:r w:rsidRPr="00EA7FFC">
          <w:rPr>
            <w:rFonts w:ascii="FrankRuehl" w:hAnsi="FrankRuehl" w:cs="FrankRuehl" w:hint="eastAsia"/>
            <w:color w:val="0000FF"/>
            <w:u w:val="single"/>
            <w:rtl/>
          </w:rPr>
          <w:t>כא</w:t>
        </w:r>
      </w:hyperlink>
    </w:p>
    <w:p w14:paraId="63710567" w14:textId="77777777" w:rsidR="00EA7FFC" w:rsidRPr="00EA7FFC" w:rsidRDefault="00EA7FFC" w:rsidP="00EA7FFC">
      <w:pPr>
        <w:spacing w:after="120" w:line="240" w:lineRule="exact"/>
        <w:ind w:left="283" w:hanging="283"/>
        <w:jc w:val="both"/>
        <w:rPr>
          <w:rFonts w:ascii="FrankRuehl" w:hAnsi="FrankRuehl" w:cs="FrankRuehl"/>
          <w:rtl/>
        </w:rPr>
      </w:pPr>
    </w:p>
    <w:p w14:paraId="01E92C18" w14:textId="77777777" w:rsidR="00FF4892" w:rsidRPr="00FF4892" w:rsidRDefault="00FF4892" w:rsidP="00FF4892">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LawTable_End"/>
      <w:bookmarkStart w:id="6" w:name="ABSTRACT_START"/>
      <w:bookmarkEnd w:id="5"/>
      <w:bookmarkEnd w:id="6"/>
      <w:r w:rsidRPr="00FF4892">
        <w:rPr>
          <w:rFonts w:ascii="Times New Roman" w:hAnsi="Times New Roman" w:cs="FrankRuehl" w:hint="cs"/>
          <w:szCs w:val="26"/>
          <w:rtl/>
        </w:rPr>
        <w:t>מיני-רציו:</w:t>
      </w:r>
    </w:p>
    <w:p w14:paraId="694D48DE" w14:textId="77777777" w:rsidR="00FF4892" w:rsidRPr="00FF4892" w:rsidRDefault="00FF4892" w:rsidP="00FF4892">
      <w:pPr>
        <w:pBdr>
          <w:top w:val="single" w:sz="4" w:space="1" w:color="auto"/>
          <w:bottom w:val="single" w:sz="4" w:space="1" w:color="auto"/>
        </w:pBdr>
        <w:spacing w:after="120" w:line="320" w:lineRule="exact"/>
        <w:jc w:val="both"/>
        <w:rPr>
          <w:rFonts w:ascii="Times New Roman" w:hAnsi="Times New Roman" w:cs="FrankRuehl" w:hint="cs"/>
          <w:szCs w:val="26"/>
          <w:rtl/>
        </w:rPr>
      </w:pPr>
      <w:r w:rsidRPr="00FF4892">
        <w:rPr>
          <w:rFonts w:ascii="Times New Roman" w:hAnsi="Times New Roman" w:cs="FrankRuehl" w:hint="cs"/>
          <w:szCs w:val="26"/>
          <w:rtl/>
        </w:rPr>
        <w:t>* ביהמ"ש הרשיע את הנאשם בעבירה של מעשה מגונה ובעבירה של מעשה מגונה בפומבי.</w:t>
      </w:r>
    </w:p>
    <w:p w14:paraId="54F156AC" w14:textId="77777777" w:rsidR="00FF4892" w:rsidRPr="00FF4892" w:rsidRDefault="00FF4892" w:rsidP="00FF4892">
      <w:pPr>
        <w:pBdr>
          <w:top w:val="single" w:sz="4" w:space="1" w:color="auto"/>
          <w:bottom w:val="single" w:sz="4" w:space="1" w:color="auto"/>
        </w:pBdr>
        <w:spacing w:after="120" w:line="320" w:lineRule="exact"/>
        <w:jc w:val="both"/>
        <w:rPr>
          <w:rFonts w:ascii="Times New Roman" w:hAnsi="Times New Roman" w:cs="FrankRuehl" w:hint="cs"/>
          <w:szCs w:val="26"/>
          <w:rtl/>
        </w:rPr>
      </w:pPr>
      <w:r w:rsidRPr="00FF4892">
        <w:rPr>
          <w:rFonts w:ascii="Times New Roman" w:hAnsi="Times New Roman" w:cs="FrankRuehl" w:hint="cs"/>
          <w:szCs w:val="26"/>
          <w:rtl/>
        </w:rPr>
        <w:t xml:space="preserve">* </w:t>
      </w:r>
      <w:r w:rsidRPr="00FF4892">
        <w:rPr>
          <w:rFonts w:ascii="Times New Roman" w:hAnsi="Times New Roman" w:cs="FrankRuehl"/>
          <w:szCs w:val="26"/>
          <w:rtl/>
        </w:rPr>
        <w:t>עונשין – עבירות – מעשה מגונה</w:t>
      </w:r>
    </w:p>
    <w:p w14:paraId="4996F626" w14:textId="77777777" w:rsidR="00FF4892" w:rsidRPr="00FF4892" w:rsidRDefault="00FF4892" w:rsidP="00FF4892">
      <w:pPr>
        <w:pBdr>
          <w:top w:val="single" w:sz="4" w:space="1" w:color="auto"/>
          <w:bottom w:val="single" w:sz="4" w:space="1" w:color="auto"/>
        </w:pBdr>
        <w:spacing w:after="120" w:line="320" w:lineRule="exact"/>
        <w:jc w:val="both"/>
        <w:rPr>
          <w:rFonts w:ascii="Times New Roman" w:hAnsi="Times New Roman" w:cs="FrankRuehl" w:hint="cs"/>
          <w:szCs w:val="26"/>
          <w:rtl/>
        </w:rPr>
      </w:pPr>
      <w:r w:rsidRPr="00FF4892">
        <w:rPr>
          <w:rFonts w:ascii="Times New Roman" w:hAnsi="Times New Roman" w:cs="FrankRuehl" w:hint="cs"/>
          <w:szCs w:val="26"/>
          <w:rtl/>
        </w:rPr>
        <w:t xml:space="preserve">* </w:t>
      </w:r>
      <w:r w:rsidRPr="00FF4892">
        <w:rPr>
          <w:rFonts w:ascii="Times New Roman" w:hAnsi="Times New Roman" w:cs="FrankRuehl"/>
          <w:szCs w:val="26"/>
          <w:rtl/>
        </w:rPr>
        <w:t>עונשין – עבירות – מעשה מגונה בפומבי</w:t>
      </w:r>
    </w:p>
    <w:p w14:paraId="3F6DFEB3" w14:textId="77777777" w:rsidR="00FF4892" w:rsidRPr="00FF4892" w:rsidRDefault="00FF4892" w:rsidP="00FF4892">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79D0EC45" w14:textId="77777777" w:rsidR="00FF4892" w:rsidRPr="00FF4892" w:rsidRDefault="00FF4892" w:rsidP="00FF4892">
      <w:pPr>
        <w:pBdr>
          <w:top w:val="single" w:sz="4" w:space="1" w:color="auto"/>
          <w:bottom w:val="single" w:sz="4" w:space="1" w:color="auto"/>
        </w:pBdr>
        <w:spacing w:after="120" w:line="320" w:lineRule="exact"/>
        <w:jc w:val="both"/>
        <w:rPr>
          <w:rFonts w:ascii="Times New Roman" w:hAnsi="Times New Roman" w:cs="FrankRuehl"/>
          <w:szCs w:val="26"/>
          <w:rtl/>
        </w:rPr>
      </w:pPr>
      <w:r w:rsidRPr="00FF4892">
        <w:rPr>
          <w:rFonts w:ascii="Times New Roman" w:hAnsi="Times New Roman" w:cs="FrankRuehl" w:hint="cs"/>
          <w:szCs w:val="26"/>
          <w:rtl/>
        </w:rPr>
        <w:t xml:space="preserve">כתב האישום מייחס לנאשם </w:t>
      </w:r>
      <w:r w:rsidRPr="00FF4892">
        <w:rPr>
          <w:rFonts w:ascii="Times New Roman" w:hAnsi="Times New Roman" w:cs="FrankRuehl"/>
          <w:szCs w:val="26"/>
          <w:rtl/>
        </w:rPr>
        <w:t xml:space="preserve">ביצוע שתי עבירות של מעשה מגונה לפי </w:t>
      </w:r>
      <w:hyperlink r:id="rId13" w:history="1">
        <w:r w:rsidRPr="00FF4892">
          <w:rPr>
            <w:rFonts w:ascii="Times New Roman" w:hAnsi="Times New Roman" w:cs="FrankRuehl"/>
            <w:szCs w:val="26"/>
            <w:rtl/>
          </w:rPr>
          <w:t>סעיף 348(ג)</w:t>
        </w:r>
      </w:hyperlink>
      <w:r w:rsidRPr="00FF4892">
        <w:rPr>
          <w:rFonts w:ascii="Times New Roman" w:hAnsi="Times New Roman" w:cs="FrankRuehl"/>
          <w:szCs w:val="26"/>
          <w:rtl/>
        </w:rPr>
        <w:t xml:space="preserve"> ל</w:t>
      </w:r>
      <w:hyperlink r:id="rId14" w:history="1">
        <w:r w:rsidRPr="00FF4892">
          <w:rPr>
            <w:rFonts w:ascii="Times New Roman" w:hAnsi="Times New Roman" w:cs="FrankRuehl"/>
            <w:szCs w:val="26"/>
            <w:rtl/>
          </w:rPr>
          <w:t>חוק העונשין</w:t>
        </w:r>
      </w:hyperlink>
      <w:r w:rsidRPr="00FF4892">
        <w:rPr>
          <w:rFonts w:ascii="Times New Roman" w:hAnsi="Times New Roman" w:cs="FrankRuehl"/>
          <w:szCs w:val="26"/>
          <w:rtl/>
        </w:rPr>
        <w:t xml:space="preserve">. </w:t>
      </w:r>
    </w:p>
    <w:p w14:paraId="5F050BB3" w14:textId="77777777" w:rsidR="00FF4892" w:rsidRPr="00FF4892" w:rsidRDefault="00FF4892" w:rsidP="00FF4892">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5F9EBCF3" w14:textId="77777777" w:rsidR="00FF4892" w:rsidRPr="00FF4892" w:rsidRDefault="00FF4892" w:rsidP="00FF4892">
      <w:pPr>
        <w:pBdr>
          <w:top w:val="single" w:sz="4" w:space="1" w:color="auto"/>
          <w:bottom w:val="single" w:sz="4" w:space="1" w:color="auto"/>
        </w:pBdr>
        <w:spacing w:after="120" w:line="320" w:lineRule="exact"/>
        <w:jc w:val="both"/>
        <w:rPr>
          <w:rFonts w:ascii="Times New Roman" w:hAnsi="Times New Roman" w:cs="FrankRuehl" w:hint="cs"/>
          <w:szCs w:val="26"/>
          <w:rtl/>
        </w:rPr>
      </w:pPr>
      <w:r w:rsidRPr="00FF4892">
        <w:rPr>
          <w:rFonts w:ascii="Times New Roman" w:hAnsi="Times New Roman" w:cs="FrankRuehl" w:hint="cs"/>
          <w:szCs w:val="26"/>
          <w:rtl/>
        </w:rPr>
        <w:t>בית המשפט הכריע את דינו של הנאשם, ופסק כלהלן:</w:t>
      </w:r>
    </w:p>
    <w:p w14:paraId="67C397D5" w14:textId="77777777" w:rsidR="00FF4892" w:rsidRPr="00FF4892" w:rsidRDefault="00FF4892" w:rsidP="00FF4892">
      <w:pPr>
        <w:pBdr>
          <w:top w:val="single" w:sz="4" w:space="1" w:color="auto"/>
          <w:bottom w:val="single" w:sz="4" w:space="1" w:color="auto"/>
        </w:pBdr>
        <w:spacing w:after="120" w:line="320" w:lineRule="exact"/>
        <w:jc w:val="both"/>
        <w:rPr>
          <w:rFonts w:ascii="Times New Roman" w:hAnsi="Times New Roman" w:cs="FrankRuehl"/>
          <w:szCs w:val="26"/>
          <w:rtl/>
        </w:rPr>
      </w:pPr>
      <w:r w:rsidRPr="00FF4892">
        <w:rPr>
          <w:rFonts w:ascii="Times New Roman" w:hAnsi="Times New Roman" w:cs="FrankRuehl"/>
          <w:szCs w:val="26"/>
          <w:rtl/>
        </w:rPr>
        <w:t>בכל הקשור לאישום הראשון אין בעמדת המדינה כל קושי. אדם שחופן ביד אחת את ישבן זולתו, ובידו השני</w:t>
      </w:r>
      <w:r>
        <w:rPr>
          <w:rFonts w:ascii="Times New Roman" w:hAnsi="Times New Roman" w:cs="FrankRuehl" w:hint="cs"/>
          <w:szCs w:val="26"/>
          <w:rtl/>
        </w:rPr>
        <w:t>י</w:t>
      </w:r>
      <w:r w:rsidRPr="00FF4892">
        <w:rPr>
          <w:rFonts w:ascii="Times New Roman" w:hAnsi="Times New Roman" w:cs="FrankRuehl"/>
          <w:szCs w:val="26"/>
          <w:rtl/>
        </w:rPr>
        <w:t xml:space="preserve">ה משפשף את איבר מינו לא לצרכי מניעת בריחת שתן, חזקה שעושה כן "לשם גירוי, סיפוק או ביזוי מיניים" ועליו נטל הראיה להפריך חזקה עובדתית זו. הנאשם לא הציג כל תרחיש חליפי שיסביר מדוע עשה כפי שעשה לגב' וינשטיין באוטובוס, ועל כן יש לקבוע כי זו הייתה מטרת המגע שנגע בגופה </w:t>
      </w:r>
      <w:r w:rsidRPr="00FF4892">
        <w:rPr>
          <w:rFonts w:ascii="Times New Roman" w:hAnsi="Times New Roman" w:cs="FrankRuehl"/>
          <w:szCs w:val="26"/>
          <w:rtl/>
        </w:rPr>
        <w:lastRenderedPageBreak/>
        <w:t>של גב' וינשטיין – שלא בהסכמתה.</w:t>
      </w:r>
      <w:r w:rsidRPr="00FF4892">
        <w:rPr>
          <w:rFonts w:ascii="Times New Roman" w:hAnsi="Times New Roman" w:cs="FrankRuehl" w:hint="cs"/>
          <w:szCs w:val="26"/>
          <w:rtl/>
        </w:rPr>
        <w:t xml:space="preserve"> </w:t>
      </w:r>
      <w:r w:rsidRPr="00FF4892">
        <w:rPr>
          <w:rFonts w:ascii="Times New Roman" w:hAnsi="Times New Roman" w:cs="FrankRuehl"/>
          <w:szCs w:val="26"/>
          <w:rtl/>
        </w:rPr>
        <w:t xml:space="preserve">הנאשם מורשע אפוא בביצוע עבירה של מעשה מגונה, לפי </w:t>
      </w:r>
      <w:hyperlink r:id="rId15" w:history="1">
        <w:r w:rsidRPr="00FF4892">
          <w:rPr>
            <w:rFonts w:ascii="Times New Roman" w:hAnsi="Times New Roman" w:cs="FrankRuehl"/>
            <w:szCs w:val="26"/>
            <w:rtl/>
          </w:rPr>
          <w:t>סעיף 348(ג)</w:t>
        </w:r>
      </w:hyperlink>
      <w:r w:rsidRPr="00FF4892">
        <w:rPr>
          <w:rFonts w:ascii="Times New Roman" w:hAnsi="Times New Roman" w:cs="FrankRuehl"/>
          <w:szCs w:val="26"/>
          <w:rtl/>
        </w:rPr>
        <w:t xml:space="preserve"> לחוק</w:t>
      </w:r>
      <w:r w:rsidRPr="00FF4892">
        <w:rPr>
          <w:rFonts w:ascii="Times New Roman" w:hAnsi="Times New Roman" w:cs="FrankRuehl" w:hint="cs"/>
          <w:szCs w:val="26"/>
          <w:rtl/>
        </w:rPr>
        <w:t xml:space="preserve"> העונשין</w:t>
      </w:r>
      <w:r w:rsidRPr="00FF4892">
        <w:rPr>
          <w:rFonts w:ascii="Times New Roman" w:hAnsi="Times New Roman" w:cs="FrankRuehl"/>
          <w:szCs w:val="26"/>
          <w:rtl/>
        </w:rPr>
        <w:t>.</w:t>
      </w:r>
    </w:p>
    <w:p w14:paraId="55A4B340" w14:textId="77777777" w:rsidR="00FF4892" w:rsidRPr="00FF4892" w:rsidRDefault="00FF4892" w:rsidP="00FF4892">
      <w:pPr>
        <w:pBdr>
          <w:top w:val="single" w:sz="4" w:space="1" w:color="auto"/>
          <w:bottom w:val="single" w:sz="4" w:space="1" w:color="auto"/>
        </w:pBdr>
        <w:spacing w:after="120" w:line="320" w:lineRule="exact"/>
        <w:jc w:val="both"/>
        <w:rPr>
          <w:rFonts w:ascii="Times New Roman" w:hAnsi="Times New Roman" w:cs="FrankRuehl" w:hint="cs"/>
          <w:szCs w:val="26"/>
          <w:rtl/>
        </w:rPr>
      </w:pPr>
      <w:r w:rsidRPr="00FF4892">
        <w:rPr>
          <w:rFonts w:ascii="Times New Roman" w:hAnsi="Times New Roman" w:cs="FrankRuehl" w:hint="cs"/>
          <w:szCs w:val="26"/>
          <w:rtl/>
        </w:rPr>
        <w:t>אין</w:t>
      </w:r>
      <w:r w:rsidRPr="00FF4892">
        <w:rPr>
          <w:rFonts w:ascii="Times New Roman" w:hAnsi="Times New Roman" w:cs="FrankRuehl"/>
          <w:szCs w:val="26"/>
          <w:rtl/>
        </w:rPr>
        <w:t xml:space="preserve"> להרשיע את הנאשם בביצוע עבירה של מעשה מגונה בנוגע למעשיו מושא האישום השני. הנאשם אונן באוטובוס ובו נוסעים, תוך שקיים מגע עין בלבד עם גב' פוגי'. </w:t>
      </w:r>
      <w:r w:rsidRPr="00FF4892">
        <w:rPr>
          <w:rFonts w:ascii="Times New Roman" w:hAnsi="Times New Roman" w:cs="FrankRuehl" w:hint="cs"/>
          <w:szCs w:val="26"/>
          <w:rtl/>
        </w:rPr>
        <w:t>נדחתה</w:t>
      </w:r>
      <w:r w:rsidRPr="00FF4892">
        <w:rPr>
          <w:rFonts w:ascii="Times New Roman" w:hAnsi="Times New Roman" w:cs="FrankRuehl"/>
          <w:szCs w:val="26"/>
          <w:rtl/>
        </w:rPr>
        <w:t xml:space="preserve"> גרסתו כי נגע באיבר מינו משום שניסה לעצור בריחת שתן. ברור אפוא כי המעשה בוצע לצורך גירוי מיני. ועם זה, לא נתלווה למעשה האוננות של הנאשם מגע כלשהו בינו לבין גב' פוג'י. מכאן עולה כי מעשהו של הנאשם משתבץ במובהק לעבירה פלילית אחרת, קלה יותר – מעשה מגונה בפומבי, לפי </w:t>
      </w:r>
      <w:hyperlink r:id="rId16" w:history="1">
        <w:r w:rsidRPr="00FF4892">
          <w:rPr>
            <w:rFonts w:ascii="Times New Roman" w:hAnsi="Times New Roman" w:cs="FrankRuehl"/>
            <w:szCs w:val="26"/>
            <w:rtl/>
          </w:rPr>
          <w:t>סעיף 349(א)</w:t>
        </w:r>
      </w:hyperlink>
      <w:r w:rsidRPr="00FF4892">
        <w:rPr>
          <w:rFonts w:ascii="Times New Roman" w:hAnsi="Times New Roman" w:cs="FrankRuehl"/>
          <w:szCs w:val="26"/>
          <w:rtl/>
        </w:rPr>
        <w:t xml:space="preserve"> לחוק</w:t>
      </w:r>
      <w:r w:rsidRPr="00FF4892">
        <w:rPr>
          <w:rFonts w:ascii="Times New Roman" w:hAnsi="Times New Roman" w:cs="FrankRuehl" w:hint="cs"/>
          <w:szCs w:val="26"/>
          <w:rtl/>
        </w:rPr>
        <w:t xml:space="preserve"> העונשין.</w:t>
      </w:r>
    </w:p>
    <w:p w14:paraId="2A7D752B" w14:textId="77777777" w:rsidR="00FF4892" w:rsidRPr="00FF4892" w:rsidRDefault="00FF4892" w:rsidP="00FF4892">
      <w:pPr>
        <w:pBdr>
          <w:top w:val="single" w:sz="4" w:space="1" w:color="auto"/>
          <w:bottom w:val="single" w:sz="4" w:space="1" w:color="auto"/>
        </w:pBdr>
        <w:spacing w:after="120" w:line="320" w:lineRule="exact"/>
        <w:jc w:val="both"/>
        <w:rPr>
          <w:rFonts w:ascii="Times New Roman" w:hAnsi="Times New Roman" w:cs="FrankRuehl"/>
          <w:szCs w:val="26"/>
          <w:rtl/>
        </w:rPr>
      </w:pPr>
      <w:r w:rsidRPr="00FF4892">
        <w:rPr>
          <w:rFonts w:ascii="Times New Roman" w:hAnsi="Times New Roman" w:cs="FrankRuehl"/>
          <w:szCs w:val="26"/>
          <w:rtl/>
        </w:rPr>
        <w:t>מעשה שאדם עושה בעצמו, ללא זיקה ברורה לזולת, לא ייחשב מעשה מגונה. אין לקבל את טענת המדינה כי קשר העין שנוצר בין הנאשם לבין גב' פוג'י מבסס באופן מספק את הדרישה כי המעשה המגונה יבוצע באדם. אם תתקבל גישה זו כמעט כל מעשה מגונה בפומבי יהווה גם מעשה מגונה באדם. לכך לא ניתן להסכים, ומכאן שמעשהו של הנאשם אינו יכול להשתבץ להגדרת העבירה.</w:t>
      </w:r>
    </w:p>
    <w:p w14:paraId="2A04C113" w14:textId="77777777" w:rsidR="009545FC" w:rsidRPr="009E2E95" w:rsidRDefault="009545FC" w:rsidP="00F03F2F">
      <w:pPr>
        <w:rPr>
          <w:rFonts w:hint="cs"/>
          <w:rtl/>
        </w:rPr>
      </w:pPr>
      <w:bookmarkStart w:id="7" w:name="ABSTRACT_END"/>
      <w:bookmarkEnd w:id="7"/>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93F28" w14:paraId="7FF3CB15" w14:textId="77777777">
        <w:trPr>
          <w:trHeight w:val="355"/>
          <w:jc w:val="center"/>
        </w:trPr>
        <w:tc>
          <w:tcPr>
            <w:tcW w:w="8820" w:type="dxa"/>
            <w:tcBorders>
              <w:top w:val="nil"/>
              <w:left w:val="nil"/>
              <w:bottom w:val="nil"/>
              <w:right w:val="nil"/>
            </w:tcBorders>
          </w:tcPr>
          <w:p w14:paraId="136FB033" w14:textId="77777777" w:rsidR="009E2E95" w:rsidRPr="009E2E95" w:rsidRDefault="009E2E95" w:rsidP="009E2E95">
            <w:pPr>
              <w:jc w:val="center"/>
              <w:rPr>
                <w:rFonts w:ascii="Arial" w:hAnsi="Arial"/>
                <w:b/>
                <w:bCs/>
                <w:sz w:val="28"/>
                <w:szCs w:val="28"/>
                <w:u w:val="single"/>
                <w:rtl/>
              </w:rPr>
            </w:pPr>
            <w:bookmarkStart w:id="8" w:name="PsakDin" w:colFirst="0" w:colLast="0"/>
            <w:bookmarkEnd w:id="0"/>
            <w:bookmarkEnd w:id="1"/>
            <w:r w:rsidRPr="009E2E95">
              <w:rPr>
                <w:rFonts w:ascii="Arial" w:hAnsi="Arial"/>
                <w:b/>
                <w:bCs/>
                <w:sz w:val="28"/>
                <w:szCs w:val="28"/>
                <w:u w:val="single"/>
                <w:rtl/>
              </w:rPr>
              <w:t>הכרעת דין</w:t>
            </w:r>
          </w:p>
          <w:p w14:paraId="3EC75424" w14:textId="77777777" w:rsidR="00A93F28" w:rsidRPr="009E2E95" w:rsidRDefault="00A93F28" w:rsidP="009E2E95">
            <w:pPr>
              <w:jc w:val="center"/>
              <w:rPr>
                <w:rFonts w:ascii="Arial" w:hAnsi="Arial"/>
                <w:bCs/>
                <w:sz w:val="28"/>
                <w:szCs w:val="28"/>
                <w:u w:val="single"/>
                <w:rtl/>
              </w:rPr>
            </w:pPr>
          </w:p>
        </w:tc>
      </w:tr>
      <w:bookmarkEnd w:id="8"/>
    </w:tbl>
    <w:p w14:paraId="46C2D4F2" w14:textId="77777777" w:rsidR="00A93F28" w:rsidRDefault="00A93F28">
      <w:pPr>
        <w:rPr>
          <w:rFonts w:ascii="Arial" w:hAnsi="Arial" w:cs="FrankRuehl"/>
          <w:sz w:val="28"/>
          <w:szCs w:val="28"/>
          <w:rtl/>
        </w:rPr>
      </w:pPr>
    </w:p>
    <w:p w14:paraId="3B702C8B" w14:textId="77777777" w:rsidR="00A93F28" w:rsidRDefault="00A93F28" w:rsidP="00856D72">
      <w:pPr>
        <w:spacing w:line="360" w:lineRule="auto"/>
        <w:jc w:val="both"/>
        <w:rPr>
          <w:rFonts w:ascii="Arial" w:hAnsi="Arial"/>
          <w:rtl/>
        </w:rPr>
      </w:pPr>
    </w:p>
    <w:p w14:paraId="5969A829" w14:textId="77777777" w:rsidR="00A93F28" w:rsidRPr="00856D72" w:rsidRDefault="00A93F28" w:rsidP="00F11D9E">
      <w:pPr>
        <w:spacing w:line="360" w:lineRule="auto"/>
        <w:ind w:firstLine="720"/>
        <w:jc w:val="both"/>
        <w:rPr>
          <w:rFonts w:ascii="Arial" w:hAnsi="Arial"/>
          <w:rtl/>
        </w:rPr>
      </w:pPr>
      <w:r>
        <w:rPr>
          <w:rFonts w:ascii="Arial" w:hAnsi="Arial"/>
          <w:rtl/>
        </w:rPr>
        <w:t xml:space="preserve">כמצוות המחוקק אני מודיע על זיכוי הנאשם מאחת העבירות של מעשה מגונה, לפי </w:t>
      </w:r>
      <w:hyperlink r:id="rId17" w:history="1">
        <w:r w:rsidR="00EA7FFC" w:rsidRPr="00EA7FFC">
          <w:rPr>
            <w:rFonts w:ascii="Arial" w:hAnsi="Arial"/>
            <w:color w:val="0000FF"/>
            <w:u w:val="single"/>
            <w:rtl/>
          </w:rPr>
          <w:t>סעיף 348(ג)</w:t>
        </w:r>
      </w:hyperlink>
      <w:r>
        <w:rPr>
          <w:rFonts w:ascii="Arial" w:hAnsi="Arial"/>
          <w:rtl/>
        </w:rPr>
        <w:t xml:space="preserve"> ל</w:t>
      </w:r>
      <w:hyperlink r:id="rId18" w:history="1">
        <w:r w:rsidR="009E2E95" w:rsidRPr="009E2E95">
          <w:rPr>
            <w:rFonts w:ascii="Arial" w:hAnsi="Arial"/>
            <w:color w:val="0000FF"/>
            <w:u w:val="single"/>
            <w:rtl/>
          </w:rPr>
          <w:t>חוק העונשין</w:t>
        </w:r>
      </w:hyperlink>
      <w:r>
        <w:rPr>
          <w:rFonts w:ascii="Arial" w:hAnsi="Arial"/>
          <w:rtl/>
        </w:rPr>
        <w:t>, התשל"ז-1977 (להלן – "</w:t>
      </w:r>
      <w:r>
        <w:rPr>
          <w:rFonts w:ascii="Arial" w:hAnsi="Arial"/>
          <w:b/>
          <w:bCs/>
          <w:rtl/>
        </w:rPr>
        <w:t>החוק</w:t>
      </w:r>
      <w:r>
        <w:rPr>
          <w:rFonts w:ascii="Arial" w:hAnsi="Arial"/>
          <w:rtl/>
        </w:rPr>
        <w:t>"), אשר יוחסה לו בכתב האישום.</w:t>
      </w:r>
    </w:p>
    <w:p w14:paraId="45651AAA" w14:textId="77777777" w:rsidR="00A93F28" w:rsidRPr="00856D72" w:rsidRDefault="00A93F28" w:rsidP="00856D72">
      <w:pPr>
        <w:spacing w:line="360" w:lineRule="auto"/>
        <w:jc w:val="both"/>
        <w:rPr>
          <w:rFonts w:ascii="Arial" w:hAnsi="Arial"/>
          <w:rtl/>
        </w:rPr>
      </w:pPr>
    </w:p>
    <w:p w14:paraId="52BCC991" w14:textId="77777777" w:rsidR="00A93F28" w:rsidRDefault="00A93F28" w:rsidP="00856D72">
      <w:pPr>
        <w:pStyle w:val="ListParagraph"/>
        <w:numPr>
          <w:ilvl w:val="0"/>
          <w:numId w:val="7"/>
        </w:numPr>
        <w:spacing w:line="360" w:lineRule="auto"/>
        <w:ind w:left="0" w:hanging="12"/>
        <w:jc w:val="both"/>
        <w:rPr>
          <w:rFonts w:ascii="Arial" w:hAnsi="Arial"/>
        </w:rPr>
      </w:pPr>
      <w:r w:rsidRPr="00856D72">
        <w:rPr>
          <w:rFonts w:ascii="Arial" w:hAnsi="Arial"/>
          <w:rtl/>
        </w:rPr>
        <w:t xml:space="preserve">הנאשם, </w:t>
      </w:r>
      <w:r>
        <w:rPr>
          <w:rFonts w:ascii="Arial" w:hAnsi="Arial"/>
          <w:rtl/>
        </w:rPr>
        <w:t xml:space="preserve">גנאדי בולקון, הואשם על ידי המדינה בביצוע שתי עבירות של מעשה מגונה, לפי </w:t>
      </w:r>
      <w:hyperlink r:id="rId19" w:history="1">
        <w:r w:rsidR="00EA7FFC" w:rsidRPr="00EA7FFC">
          <w:rPr>
            <w:rFonts w:ascii="Arial" w:hAnsi="Arial"/>
            <w:color w:val="0000FF"/>
            <w:u w:val="single"/>
            <w:rtl/>
          </w:rPr>
          <w:t>סעיף 348(ג)</w:t>
        </w:r>
      </w:hyperlink>
      <w:r>
        <w:rPr>
          <w:rFonts w:ascii="Arial" w:hAnsi="Arial"/>
          <w:rtl/>
        </w:rPr>
        <w:t xml:space="preserve"> לחוק. </w:t>
      </w:r>
    </w:p>
    <w:p w14:paraId="2F8DA967" w14:textId="77777777" w:rsidR="00A93F28" w:rsidRDefault="00A93F28" w:rsidP="00856D72">
      <w:pPr>
        <w:pStyle w:val="ListParagraph"/>
        <w:spacing w:line="360" w:lineRule="auto"/>
        <w:ind w:left="0"/>
        <w:jc w:val="both"/>
        <w:rPr>
          <w:rFonts w:ascii="Arial" w:hAnsi="Arial"/>
          <w:rtl/>
        </w:rPr>
      </w:pPr>
    </w:p>
    <w:p w14:paraId="68A89335" w14:textId="77777777" w:rsidR="00A93F28" w:rsidRDefault="00A93F28" w:rsidP="00856D72">
      <w:pPr>
        <w:pStyle w:val="ListParagraph"/>
        <w:numPr>
          <w:ilvl w:val="0"/>
          <w:numId w:val="7"/>
        </w:numPr>
        <w:spacing w:line="360" w:lineRule="auto"/>
        <w:ind w:left="0" w:hanging="12"/>
        <w:jc w:val="both"/>
        <w:rPr>
          <w:rFonts w:ascii="Arial" w:hAnsi="Arial"/>
          <w:rtl/>
        </w:rPr>
      </w:pPr>
      <w:r>
        <w:rPr>
          <w:rFonts w:ascii="Arial" w:hAnsi="Arial"/>
          <w:rtl/>
        </w:rPr>
        <w:t xml:space="preserve">כתב האישום מחזיק שני אישומים. </w:t>
      </w:r>
    </w:p>
    <w:p w14:paraId="26243A56" w14:textId="77777777" w:rsidR="00A93F28" w:rsidRDefault="00A93F28" w:rsidP="00856D72">
      <w:pPr>
        <w:pStyle w:val="ListParagraph"/>
        <w:spacing w:line="360" w:lineRule="auto"/>
        <w:ind w:left="0" w:firstLine="720"/>
        <w:jc w:val="both"/>
        <w:rPr>
          <w:rFonts w:ascii="Arial" w:hAnsi="Arial"/>
          <w:rtl/>
        </w:rPr>
      </w:pPr>
    </w:p>
    <w:p w14:paraId="56DEC62A" w14:textId="77777777" w:rsidR="00A93F28" w:rsidRDefault="00A93F28" w:rsidP="00856D72">
      <w:pPr>
        <w:pStyle w:val="ListParagraph"/>
        <w:spacing w:line="360" w:lineRule="auto"/>
        <w:ind w:left="0" w:firstLine="720"/>
        <w:jc w:val="both"/>
        <w:rPr>
          <w:rFonts w:ascii="Arial" w:hAnsi="Arial"/>
          <w:rtl/>
        </w:rPr>
      </w:pPr>
      <w:r>
        <w:rPr>
          <w:rFonts w:ascii="Arial" w:hAnsi="Arial"/>
          <w:rtl/>
        </w:rPr>
        <w:t xml:space="preserve">לפי עובדות האישום </w:t>
      </w:r>
      <w:r w:rsidRPr="00856D72">
        <w:rPr>
          <w:rFonts w:ascii="Arial" w:hAnsi="Arial"/>
          <w:u w:val="single"/>
          <w:rtl/>
        </w:rPr>
        <w:t>הראשון</w:t>
      </w:r>
      <w:r>
        <w:rPr>
          <w:rFonts w:ascii="Arial" w:hAnsi="Arial"/>
          <w:rtl/>
        </w:rPr>
        <w:t>, ביום 1.4.2015, סמוך לשעה 23:00, נסע הנאשם באוטובוס אגד מס' 561 מתל אביב לכפר סבא. במהלך הנסיעה עמד הנאשם מאחורי גב' ליאור וינשטיין (להלן – "</w:t>
      </w:r>
      <w:r>
        <w:rPr>
          <w:rFonts w:ascii="Arial" w:hAnsi="Arial"/>
          <w:b/>
          <w:bCs/>
          <w:rtl/>
        </w:rPr>
        <w:t>גב' וינשטיין</w:t>
      </w:r>
      <w:r>
        <w:rPr>
          <w:rFonts w:ascii="Arial" w:hAnsi="Arial"/>
          <w:rtl/>
        </w:rPr>
        <w:t>"). תוך כדי הנסיעה נגע הנאשם בידו בישבנה של גב' וינשטיין, ללא הסכמתה, מספר פעמים. במקביל לכך, נגע הנאשם בידו השניה באיבר מינו מעל למכנסיו, ושפשף אותו – הכול לשם גירוי וסיפור מיני.</w:t>
      </w:r>
    </w:p>
    <w:p w14:paraId="3B6519B1" w14:textId="77777777" w:rsidR="00A93F28" w:rsidRDefault="00A93F28" w:rsidP="00856D72">
      <w:pPr>
        <w:pStyle w:val="ListParagraph"/>
        <w:spacing w:line="360" w:lineRule="auto"/>
        <w:ind w:left="0" w:firstLine="720"/>
        <w:jc w:val="both"/>
        <w:rPr>
          <w:rFonts w:ascii="Arial" w:hAnsi="Arial"/>
          <w:rtl/>
        </w:rPr>
      </w:pPr>
    </w:p>
    <w:p w14:paraId="30976C60" w14:textId="77777777" w:rsidR="00A93F28" w:rsidRDefault="00A93F28" w:rsidP="00855D17">
      <w:pPr>
        <w:pStyle w:val="ListParagraph"/>
        <w:spacing w:line="360" w:lineRule="auto"/>
        <w:ind w:left="0" w:firstLine="720"/>
        <w:jc w:val="both"/>
        <w:rPr>
          <w:rFonts w:ascii="Arial" w:hAnsi="Arial"/>
          <w:rtl/>
        </w:rPr>
      </w:pPr>
      <w:r>
        <w:rPr>
          <w:rFonts w:ascii="Arial" w:hAnsi="Arial"/>
          <w:rtl/>
        </w:rPr>
        <w:t xml:space="preserve">לפי עובדות האישום </w:t>
      </w:r>
      <w:r w:rsidRPr="00855D17">
        <w:rPr>
          <w:rFonts w:ascii="Arial" w:hAnsi="Arial"/>
          <w:u w:val="single"/>
          <w:rtl/>
        </w:rPr>
        <w:t>השני</w:t>
      </w:r>
      <w:r>
        <w:rPr>
          <w:rFonts w:ascii="Arial" w:hAnsi="Arial"/>
          <w:rtl/>
        </w:rPr>
        <w:t>, ביום 6.6.2014, סמוך לשעה 17:00, נסע הנאשם באוטובוס אגד מס' 561 מתל אביב לכפר סבא. במהלך הנסיעה הסתכל הנאשם על גב' פוג'י חולייטה (להלן – "</w:t>
      </w:r>
      <w:r>
        <w:rPr>
          <w:rFonts w:ascii="Arial" w:hAnsi="Arial"/>
          <w:b/>
          <w:bCs/>
          <w:rtl/>
        </w:rPr>
        <w:t>גב' פוגי'</w:t>
      </w:r>
      <w:r>
        <w:rPr>
          <w:rFonts w:ascii="Arial" w:hAnsi="Arial"/>
          <w:rtl/>
        </w:rPr>
        <w:t>"), אשר נסעה אף היא באוטובוס. בעודו מסתכל על גב' פוג'י, נגע הנאשם בידו באזור איבר מינו מעל מכנסיו, תוך שהוא מלטף את איבר מינו. גב' פוג'י פנתה לנאשם ובקשה כי יחדול ממעשיו משום שחשה מוטרדת מהם. הנאשם התעלם מבקשה זו והמשיך לבחון אותה במבטיו תוך שנגע באיבר מינו וליטף אותו – הכול לשם גירוי וסיפוק מיני.</w:t>
      </w:r>
    </w:p>
    <w:p w14:paraId="3C2566E2" w14:textId="77777777" w:rsidR="00A93F28" w:rsidRDefault="00A93F28" w:rsidP="00855D17">
      <w:pPr>
        <w:pStyle w:val="ListParagraph"/>
        <w:spacing w:line="360" w:lineRule="auto"/>
        <w:ind w:left="0" w:firstLine="720"/>
        <w:jc w:val="both"/>
        <w:rPr>
          <w:rFonts w:ascii="Arial" w:hAnsi="Arial"/>
          <w:rtl/>
        </w:rPr>
      </w:pPr>
    </w:p>
    <w:p w14:paraId="01E8B4F0" w14:textId="77777777" w:rsidR="00A93F28" w:rsidRDefault="00A93F28" w:rsidP="00855D17">
      <w:pPr>
        <w:pStyle w:val="ListParagraph"/>
        <w:numPr>
          <w:ilvl w:val="0"/>
          <w:numId w:val="7"/>
        </w:numPr>
        <w:spacing w:line="360" w:lineRule="auto"/>
        <w:ind w:left="0" w:hanging="12"/>
        <w:jc w:val="both"/>
        <w:rPr>
          <w:rFonts w:ascii="Arial" w:hAnsi="Arial"/>
          <w:rtl/>
        </w:rPr>
      </w:pPr>
      <w:r>
        <w:rPr>
          <w:rFonts w:ascii="Arial" w:hAnsi="Arial"/>
          <w:rtl/>
        </w:rPr>
        <w:t>הנאשם הודה בנוכחות בשני האירועים ואף הודה בכך שבשניהם נגע באיבר מינו מעל מכנסיו. טענתו המרכזית של הנאשם היא שעשה כן בשל לחץ בדרכי השתן, ללא הקשר מיני כלשהו. הנאשם כפר בכך ששפשף את איבר מינו באיזה מין האירועים. לדבריו יתכן שנגע בגב' וינשטיין במהלך הנסיעה, אך זאת רק בשל תנועת האוטובוס ולא משום סיבה אחרת. הנאשם כפר בכך שהבין אל נכון כי גב' פוג'י פנתה אליו ובקשה שיחדל ממעשיו. טענתו בעניין אחרון זה היא שהיה מכונס בעצמו ובכל מקרה לא הבין היטב את השפה העברית בה ככל הנראה פנתה אליו גב' פוג'י.</w:t>
      </w:r>
    </w:p>
    <w:p w14:paraId="5771FD94" w14:textId="77777777" w:rsidR="00A93F28" w:rsidRDefault="00A93F28" w:rsidP="00855D17">
      <w:pPr>
        <w:pStyle w:val="ListParagraph"/>
        <w:spacing w:line="360" w:lineRule="auto"/>
        <w:ind w:left="0" w:firstLine="720"/>
        <w:jc w:val="both"/>
        <w:rPr>
          <w:rFonts w:ascii="Arial" w:hAnsi="Arial"/>
          <w:rtl/>
        </w:rPr>
      </w:pPr>
    </w:p>
    <w:p w14:paraId="4B19FEEB" w14:textId="77777777" w:rsidR="00A93F28" w:rsidRDefault="00A93F28" w:rsidP="008A0F6C">
      <w:pPr>
        <w:pStyle w:val="ListParagraph"/>
        <w:numPr>
          <w:ilvl w:val="0"/>
          <w:numId w:val="7"/>
        </w:numPr>
        <w:spacing w:line="360" w:lineRule="auto"/>
        <w:ind w:left="0" w:hanging="12"/>
        <w:jc w:val="both"/>
        <w:rPr>
          <w:rFonts w:ascii="Arial" w:hAnsi="Arial"/>
          <w:rtl/>
        </w:rPr>
      </w:pPr>
      <w:r>
        <w:rPr>
          <w:rFonts w:ascii="Arial" w:hAnsi="Arial"/>
          <w:rtl/>
        </w:rPr>
        <w:t>בפרשת התביעה העידו גב' וינשטיין וגב' פוג'י. כן העידו מספר שוטרים ונהג אוטובוס. הנאשם העיד להגנתו.</w:t>
      </w:r>
    </w:p>
    <w:p w14:paraId="3F555A48" w14:textId="77777777" w:rsidR="00A93F28" w:rsidRDefault="00A93F28" w:rsidP="00855D17">
      <w:pPr>
        <w:pStyle w:val="ListParagraph"/>
        <w:spacing w:line="360" w:lineRule="auto"/>
        <w:ind w:left="0" w:firstLine="720"/>
        <w:jc w:val="both"/>
        <w:rPr>
          <w:rFonts w:ascii="Arial" w:hAnsi="Arial"/>
          <w:rtl/>
        </w:rPr>
      </w:pPr>
    </w:p>
    <w:p w14:paraId="48755EFD" w14:textId="77777777" w:rsidR="00A93F28" w:rsidRDefault="00A93F28" w:rsidP="006E0155">
      <w:pPr>
        <w:pStyle w:val="ListParagraph"/>
        <w:numPr>
          <w:ilvl w:val="0"/>
          <w:numId w:val="7"/>
        </w:numPr>
        <w:spacing w:line="360" w:lineRule="auto"/>
        <w:ind w:left="0" w:hanging="12"/>
        <w:jc w:val="both"/>
        <w:rPr>
          <w:rFonts w:ascii="Arial" w:hAnsi="Arial"/>
        </w:rPr>
      </w:pPr>
      <w:r>
        <w:rPr>
          <w:rFonts w:ascii="Arial" w:hAnsi="Arial"/>
          <w:rtl/>
        </w:rPr>
        <w:t xml:space="preserve">המחלוקת העובדתית בין הצדדים – מצומצמת ביותר, ולאחר שמיעת העדויות לא נותר בלבי ספק סביר שמא הנאשם לא ביצע את שייחסו לו שתי המתלוננות. </w:t>
      </w:r>
    </w:p>
    <w:p w14:paraId="59C9D9CA" w14:textId="77777777" w:rsidR="00A93F28" w:rsidRDefault="00A93F28" w:rsidP="006E0155">
      <w:pPr>
        <w:pStyle w:val="ListParagraph"/>
        <w:spacing w:line="360" w:lineRule="auto"/>
        <w:ind w:left="0"/>
        <w:jc w:val="both"/>
        <w:rPr>
          <w:rFonts w:ascii="Arial" w:hAnsi="Arial"/>
          <w:rtl/>
        </w:rPr>
      </w:pPr>
    </w:p>
    <w:p w14:paraId="2FB4F7F8" w14:textId="77777777" w:rsidR="00A93F28" w:rsidRDefault="00A93F28" w:rsidP="00597479">
      <w:pPr>
        <w:pStyle w:val="ListParagraph"/>
        <w:numPr>
          <w:ilvl w:val="0"/>
          <w:numId w:val="7"/>
        </w:numPr>
        <w:spacing w:line="360" w:lineRule="auto"/>
        <w:ind w:left="0" w:hanging="12"/>
        <w:jc w:val="both"/>
        <w:rPr>
          <w:rFonts w:ascii="Arial" w:hAnsi="Arial"/>
        </w:rPr>
      </w:pPr>
      <w:r>
        <w:rPr>
          <w:rFonts w:ascii="Arial" w:hAnsi="Arial"/>
          <w:rtl/>
        </w:rPr>
        <w:t xml:space="preserve">גב' וינשטיין העידה לפני באופן משכנע ביותר כיצד, בזמן הנסיעה, הרגישה נגיעה בישבנה, חשבה כי היה זה תיק הצד שלה ולכן הזיזה אותו קדימה, ושוב הרגישה נגיעה בישבן. גב' וינשטיין סובבה את ראשה מעבר לכתפה וראתה את הנאשם חופן את ישבנה ונוגע בעצמו ביד השניה. בשלב זה נגשה גב' וינשטיין לנהג האוטובוס. מגרסה פשוטה ובהירה זו, שנמסרה על מי שאינו בעל עניין, לא משה גב' וינשטיין גם בחקירה הנגדית. אין גם יסוד לסברת ההגנה (שעלתה הן בחקירה הנגדית של העדה הן בסיכומים) כי אדם אינו יכול לסובב את ראשו שמאלה לאחור, באופן שיאפשר לו לראות אדם אחר נוגע ביד ימין בישבנו של המתבונן. סברה זו הופרכה אף בהדגמה הפשוטה שערכה העדה לבקשת הסנגור המלומד (עמ' 6 לפרוטוקול). </w:t>
      </w:r>
    </w:p>
    <w:p w14:paraId="4C99B9EA" w14:textId="77777777" w:rsidR="00A93F28" w:rsidRDefault="00A93F28" w:rsidP="0095394B">
      <w:pPr>
        <w:pStyle w:val="ListParagraph"/>
        <w:spacing w:line="360" w:lineRule="auto"/>
        <w:ind w:left="0"/>
        <w:jc w:val="both"/>
        <w:rPr>
          <w:rFonts w:ascii="Arial" w:hAnsi="Arial"/>
          <w:rtl/>
        </w:rPr>
      </w:pPr>
    </w:p>
    <w:p w14:paraId="407E1129" w14:textId="77777777" w:rsidR="00A93F28" w:rsidRDefault="00A93F28" w:rsidP="00597479">
      <w:pPr>
        <w:pStyle w:val="ListParagraph"/>
        <w:spacing w:line="360" w:lineRule="auto"/>
        <w:ind w:left="0" w:firstLine="720"/>
        <w:jc w:val="both"/>
        <w:rPr>
          <w:rFonts w:ascii="Arial" w:hAnsi="Arial"/>
          <w:rtl/>
        </w:rPr>
      </w:pPr>
      <w:r>
        <w:rPr>
          <w:rFonts w:ascii="Arial" w:hAnsi="Arial"/>
          <w:rtl/>
        </w:rPr>
        <w:t xml:space="preserve">אין כל סיבה לא ליתן אמון בגרסה הנוספת של העדה, כי הנאשם לא רק נגע באיבר מינו באותה עת, אלא </w:t>
      </w:r>
      <w:r w:rsidRPr="0095394B">
        <w:rPr>
          <w:rFonts w:ascii="Arial" w:hAnsi="Arial"/>
          <w:b/>
          <w:bCs/>
          <w:rtl/>
        </w:rPr>
        <w:t>שפשף</w:t>
      </w:r>
      <w:r>
        <w:rPr>
          <w:rFonts w:ascii="Arial" w:hAnsi="Arial"/>
          <w:rtl/>
        </w:rPr>
        <w:t xml:space="preserve"> את איבר המין (עמ' 6 שורה 30 לפרוטוקול).</w:t>
      </w:r>
    </w:p>
    <w:p w14:paraId="3F6532DA" w14:textId="77777777" w:rsidR="00A93F28" w:rsidRDefault="00A93F28" w:rsidP="0095394B">
      <w:pPr>
        <w:pStyle w:val="ListParagraph"/>
        <w:spacing w:line="360" w:lineRule="auto"/>
        <w:ind w:left="0" w:firstLine="720"/>
        <w:jc w:val="both"/>
        <w:rPr>
          <w:rFonts w:ascii="Arial" w:hAnsi="Arial"/>
          <w:rtl/>
        </w:rPr>
      </w:pPr>
    </w:p>
    <w:p w14:paraId="285CB0AF" w14:textId="77777777" w:rsidR="00A93F28" w:rsidRDefault="00A93F28" w:rsidP="00DE5926">
      <w:pPr>
        <w:pStyle w:val="ListParagraph"/>
        <w:spacing w:line="360" w:lineRule="auto"/>
        <w:ind w:left="0" w:firstLine="720"/>
        <w:jc w:val="both"/>
        <w:rPr>
          <w:rFonts w:ascii="Arial" w:hAnsi="Arial"/>
          <w:rtl/>
        </w:rPr>
      </w:pPr>
      <w:r>
        <w:rPr>
          <w:rFonts w:ascii="Arial" w:hAnsi="Arial"/>
          <w:rtl/>
        </w:rPr>
        <w:t xml:space="preserve">את גרסת הנאשם כי נגע באיבר מינו בשל לחץ לעשות את צרכיו אני דוחה בשתי ידיים גם מתוכה. </w:t>
      </w:r>
      <w:r w:rsidRPr="00DE5926">
        <w:rPr>
          <w:rFonts w:ascii="Arial" w:hAnsi="Arial"/>
          <w:b/>
          <w:bCs/>
          <w:rtl/>
        </w:rPr>
        <w:t>ניסיון לעצור בריחת שתן אינו עולה בקנה אחד עם תנועות השפשוף שתיארה העדה</w:t>
      </w:r>
      <w:r>
        <w:rPr>
          <w:rFonts w:ascii="Arial" w:hAnsi="Arial"/>
          <w:rtl/>
        </w:rPr>
        <w:t xml:space="preserve">. באותו אופן יש לדחות את טענת ההגנה כי יתכן שנגע בעדה באקראי. לא זו בלבד שטענה זו סותרת את עדות הנאשם (ראו דבריו בעמ' 21 שורה 29, עמ' 22 שורות 16-12),  אמנם הנאשם עמד בסמוך לעדה, ותנועת האוטובוס יכולה הייתה לגרום למגע אקראי ביניהם, אולם </w:t>
      </w:r>
      <w:r w:rsidRPr="00DE5926">
        <w:rPr>
          <w:rFonts w:ascii="Arial" w:hAnsi="Arial"/>
          <w:b/>
          <w:bCs/>
          <w:rtl/>
        </w:rPr>
        <w:t>מעשה חפינת הישבן אותו תארה העדה אינו הולם מגע אקראי</w:t>
      </w:r>
      <w:r>
        <w:rPr>
          <w:rFonts w:ascii="Arial" w:hAnsi="Arial"/>
          <w:rtl/>
        </w:rPr>
        <w:t>.</w:t>
      </w:r>
    </w:p>
    <w:p w14:paraId="06F2FB1A" w14:textId="77777777" w:rsidR="00A93F28" w:rsidRDefault="00A93F28" w:rsidP="00525354">
      <w:pPr>
        <w:pStyle w:val="ListParagraph"/>
        <w:spacing w:line="360" w:lineRule="auto"/>
        <w:ind w:left="0" w:firstLine="720"/>
        <w:jc w:val="both"/>
        <w:rPr>
          <w:rFonts w:ascii="Arial" w:hAnsi="Arial"/>
          <w:rtl/>
        </w:rPr>
      </w:pPr>
    </w:p>
    <w:p w14:paraId="3297B989" w14:textId="77777777" w:rsidR="00A93F28" w:rsidRDefault="00A93F28" w:rsidP="00751FE9">
      <w:pPr>
        <w:pStyle w:val="ListParagraph"/>
        <w:numPr>
          <w:ilvl w:val="0"/>
          <w:numId w:val="7"/>
        </w:numPr>
        <w:spacing w:line="360" w:lineRule="auto"/>
        <w:ind w:left="0" w:hanging="12"/>
        <w:jc w:val="both"/>
        <w:rPr>
          <w:rFonts w:ascii="Arial" w:hAnsi="Arial"/>
        </w:rPr>
      </w:pPr>
      <w:r>
        <w:rPr>
          <w:rFonts w:ascii="Arial" w:hAnsi="Arial"/>
          <w:rtl/>
        </w:rPr>
        <w:t xml:space="preserve">גב' פוג'י ישבה על מקומה באוטובוס סמוך מאוד לנאשם ויכלה להבחין בנקל במעשיו. העדה מסרה כי הנאשם הכניס את ידו לתוך המכנס </w:t>
      </w:r>
      <w:r w:rsidRPr="00597479">
        <w:rPr>
          <w:rFonts w:ascii="Arial" w:hAnsi="Arial" w:cs="Miriam"/>
          <w:rtl/>
        </w:rPr>
        <w:t>"באזור שם למטה"</w:t>
      </w:r>
      <w:r>
        <w:rPr>
          <w:rFonts w:ascii="Arial" w:hAnsi="Arial"/>
          <w:rtl/>
        </w:rPr>
        <w:t xml:space="preserve"> ונגע באיבר מינו בתנועות </w:t>
      </w:r>
      <w:r>
        <w:rPr>
          <w:rFonts w:ascii="Arial" w:hAnsi="Arial"/>
          <w:rtl/>
        </w:rPr>
        <w:lastRenderedPageBreak/>
        <w:t>אלכסוניות עולות ויורדות (עמ' 9 שורות 12-11 לפרוטוקול), לאורך זמן (עמ' 10 שורה 1 לפרוטוקול). לסברתה של העדה היה לנאשם חור במכנס שאפשר את המגע, שכן ידו של הנאשם היתה עמוק בתוך המכנס – הרבה מעבר למקום שמאפשר כיס (עמ' 10 לפרוטוקול). סברה זו של העדה נתאשרה באופן מלא במראה עיניהן של שתי שוטרות (ת/6 וכן הודעת הנאשם ת/1 שורות 71-67) העדה בקשה מהנאשם להפסיק את מעשיו כי הדבר אינו לרוחה, אך הוא בשלו.</w:t>
      </w:r>
    </w:p>
    <w:p w14:paraId="01B5933E" w14:textId="77777777" w:rsidR="00A93F28" w:rsidRDefault="00A93F28" w:rsidP="00597479">
      <w:pPr>
        <w:pStyle w:val="ListParagraph"/>
        <w:spacing w:line="360" w:lineRule="auto"/>
        <w:ind w:left="0"/>
        <w:jc w:val="both"/>
        <w:rPr>
          <w:rFonts w:ascii="Arial" w:hAnsi="Arial"/>
          <w:rtl/>
        </w:rPr>
      </w:pPr>
    </w:p>
    <w:p w14:paraId="2DDE562A" w14:textId="77777777" w:rsidR="00A93F28" w:rsidRDefault="00A93F28" w:rsidP="00104301">
      <w:pPr>
        <w:pStyle w:val="ListParagraph"/>
        <w:spacing w:line="360" w:lineRule="auto"/>
        <w:ind w:left="0" w:firstLine="720"/>
        <w:jc w:val="both"/>
        <w:rPr>
          <w:rFonts w:ascii="Arial" w:hAnsi="Arial"/>
          <w:rtl/>
        </w:rPr>
      </w:pPr>
      <w:r>
        <w:rPr>
          <w:rFonts w:ascii="Arial" w:hAnsi="Arial"/>
          <w:rtl/>
        </w:rPr>
        <w:t>גרסה בסיסית זו, שנמסרה אף היא מפי מי שאינו בעל עניין, יש לקבל</w:t>
      </w:r>
      <w:r>
        <w:rPr>
          <w:rStyle w:val="FootnoteReference"/>
          <w:rFonts w:ascii="Arial" w:hAnsi="Arial" w:cs="David"/>
          <w:rtl/>
        </w:rPr>
        <w:footnoteReference w:id="1"/>
      </w:r>
      <w:r>
        <w:rPr>
          <w:rFonts w:ascii="Arial" w:hAnsi="Arial"/>
          <w:rtl/>
        </w:rPr>
        <w:t xml:space="preserve">. הנאשם לא כפר שנגע באיבר מינו, ושוב טען כי ביקש לעצור בריחת שתן צפויה. אלא שגם הפעם </w:t>
      </w:r>
      <w:r w:rsidRPr="00DE5926">
        <w:rPr>
          <w:rFonts w:ascii="Arial" w:hAnsi="Arial"/>
          <w:b/>
          <w:bCs/>
          <w:rtl/>
        </w:rPr>
        <w:t>מעשה האוננות הברור שעשה הנאשם אינו עולה בקנה אחד עם ניסיון לעצור בריחת שתן</w:t>
      </w:r>
      <w:r>
        <w:rPr>
          <w:rFonts w:ascii="Arial" w:hAnsi="Arial"/>
          <w:rtl/>
        </w:rPr>
        <w:t xml:space="preserve">. יצוין כי הנאשם אישר בעדותו כי גב' פוג'י בקשה ממנו להפסיק את מעשיו (אם כי, לדבריו, לא הבין את המילה "הטרדה" בה נעשה שימוש). </w:t>
      </w:r>
    </w:p>
    <w:p w14:paraId="459C5C48" w14:textId="77777777" w:rsidR="00A93F28" w:rsidRDefault="00A93F28" w:rsidP="00104301">
      <w:pPr>
        <w:pStyle w:val="ListParagraph"/>
        <w:spacing w:line="360" w:lineRule="auto"/>
        <w:ind w:left="0" w:firstLine="720"/>
        <w:jc w:val="both"/>
        <w:rPr>
          <w:rFonts w:ascii="Arial" w:hAnsi="Arial"/>
          <w:rtl/>
        </w:rPr>
      </w:pPr>
    </w:p>
    <w:p w14:paraId="1A8D0A87" w14:textId="77777777" w:rsidR="00A93F28" w:rsidRDefault="00A93F28" w:rsidP="00F67136">
      <w:pPr>
        <w:pStyle w:val="ListParagraph"/>
        <w:spacing w:line="360" w:lineRule="auto"/>
        <w:ind w:left="0" w:firstLine="720"/>
        <w:jc w:val="both"/>
        <w:rPr>
          <w:rFonts w:ascii="Arial" w:hAnsi="Arial"/>
          <w:rtl/>
        </w:rPr>
      </w:pPr>
      <w:r>
        <w:rPr>
          <w:rFonts w:ascii="Arial" w:hAnsi="Arial"/>
          <w:rtl/>
        </w:rPr>
        <w:t xml:space="preserve">כאן המקום לציין כי הנאשם נשאל במסגרת החקירה הנגדית בנוגע לאופי המגע שלו באיבר מינו כשהוא רוצה לשירותים, ותשובתו הייתה: </w:t>
      </w:r>
      <w:r w:rsidRPr="00B73DA0">
        <w:rPr>
          <w:rFonts w:ascii="Arial" w:hAnsi="Arial" w:cs="Miriam"/>
          <w:rtl/>
        </w:rPr>
        <w:t>"בכל מיני צורות"</w:t>
      </w:r>
      <w:r>
        <w:rPr>
          <w:rFonts w:ascii="Arial" w:hAnsi="Arial"/>
          <w:rtl/>
        </w:rPr>
        <w:t xml:space="preserve"> (עמ' 24 שורות 14-13 לפרוטוקול). כאשר נתבקשה עמדתו לגרסת המתלוננות כי שפשף את איבר מינו השיב: </w:t>
      </w:r>
      <w:r w:rsidRPr="00B73DA0">
        <w:rPr>
          <w:rFonts w:ascii="Arial" w:hAnsi="Arial" w:cs="Miriam"/>
          <w:rtl/>
        </w:rPr>
        <w:t>"לא זוכר"</w:t>
      </w:r>
      <w:r>
        <w:rPr>
          <w:rFonts w:ascii="Arial" w:hAnsi="Arial"/>
          <w:rtl/>
        </w:rPr>
        <w:t xml:space="preserve"> (עמ' 24 שורות 16-15 לפרוטוקול).</w:t>
      </w:r>
    </w:p>
    <w:p w14:paraId="2FD9A4C0" w14:textId="77777777" w:rsidR="00A93F28" w:rsidRDefault="00A93F28" w:rsidP="00104301">
      <w:pPr>
        <w:pStyle w:val="ListParagraph"/>
        <w:spacing w:line="360" w:lineRule="auto"/>
        <w:ind w:left="0" w:firstLine="720"/>
        <w:jc w:val="both"/>
        <w:rPr>
          <w:rFonts w:ascii="Arial" w:hAnsi="Arial"/>
          <w:rtl/>
        </w:rPr>
      </w:pPr>
    </w:p>
    <w:p w14:paraId="4B922D12" w14:textId="77777777" w:rsidR="00A93F28" w:rsidRDefault="00A93F28" w:rsidP="00283C42">
      <w:pPr>
        <w:pStyle w:val="ListParagraph"/>
        <w:numPr>
          <w:ilvl w:val="0"/>
          <w:numId w:val="7"/>
        </w:numPr>
        <w:spacing w:line="360" w:lineRule="auto"/>
        <w:ind w:left="0" w:hanging="12"/>
        <w:jc w:val="both"/>
        <w:rPr>
          <w:rFonts w:ascii="Arial" w:hAnsi="Arial"/>
          <w:rtl/>
        </w:rPr>
      </w:pPr>
      <w:r>
        <w:rPr>
          <w:rFonts w:ascii="Arial" w:hAnsi="Arial"/>
          <w:rtl/>
        </w:rPr>
        <w:t>חשוב לציין כי את גרסת הנאשם שנגע באיבר מינו על מנת לעצור בריחת שתן צפויה יש לדחות לא רק משום שהיא סותרת עדויות מהימנות של עדות שאינן בעלות עניין, ולא רק משום חוסר סבירותה. גרסה זו יש לדחות משום שלמעשה המאוחר בזמן (המפורט באישום הראשון) נתלווה מעשה של חפינת ישבנה של אישה – שהוא בעל קונוטציה מינית ברורה. הנה כי כן, דחיית גרסתו התמוהה של הנאשם ביחס לאישום הראשון משליכה על האפשרות לקבלה באישום השני.</w:t>
      </w:r>
    </w:p>
    <w:p w14:paraId="41D7E4C7" w14:textId="77777777" w:rsidR="00A93F28" w:rsidRDefault="00A93F28" w:rsidP="00104301">
      <w:pPr>
        <w:pStyle w:val="ListParagraph"/>
        <w:spacing w:line="360" w:lineRule="auto"/>
        <w:ind w:left="0" w:firstLine="720"/>
        <w:jc w:val="both"/>
        <w:rPr>
          <w:rFonts w:ascii="Arial" w:hAnsi="Arial"/>
          <w:rtl/>
        </w:rPr>
      </w:pPr>
    </w:p>
    <w:p w14:paraId="12708CF3" w14:textId="77777777" w:rsidR="00A93F28" w:rsidRDefault="00A93F28" w:rsidP="001E3B27">
      <w:pPr>
        <w:pStyle w:val="ListParagraph"/>
        <w:numPr>
          <w:ilvl w:val="0"/>
          <w:numId w:val="7"/>
        </w:numPr>
        <w:spacing w:line="360" w:lineRule="auto"/>
        <w:ind w:left="0" w:hanging="12"/>
        <w:jc w:val="both"/>
        <w:rPr>
          <w:rFonts w:ascii="Arial" w:hAnsi="Arial"/>
          <w:rtl/>
        </w:rPr>
      </w:pPr>
      <w:r>
        <w:rPr>
          <w:rFonts w:ascii="Arial" w:hAnsi="Arial"/>
          <w:rtl/>
        </w:rPr>
        <w:t>נוכח דלותו של הנאשם ושליטתו המוגבלת של הנאשם בשפה העברית, לא מצאתי לנכון להסיק מסקנות לחובתו מהתנהגותו לאחר האירועים המתוארים בכתב האישום (ת/3, ת/5). נוכח פגמי חקירתו השנייה של הנאשם (ת/7 והתיעוד החזותי ת/9) הסכים ב"כ המאשימה כי משקל הדברים שאמר הנאשם שם שואף לאפס (עמ' 19 שורה 15 לפרוטוקול), ואף אני לא ראיתי להיזקק לה. די בממצאים עד כה כדי לקבוע את אשמת הנאשם.</w:t>
      </w:r>
    </w:p>
    <w:p w14:paraId="02DBF3EA" w14:textId="77777777" w:rsidR="00A93F28" w:rsidRDefault="00A93F28" w:rsidP="00104301">
      <w:pPr>
        <w:pStyle w:val="ListParagraph"/>
        <w:spacing w:line="360" w:lineRule="auto"/>
        <w:ind w:left="0" w:firstLine="720"/>
        <w:jc w:val="both"/>
        <w:rPr>
          <w:rFonts w:ascii="Arial" w:hAnsi="Arial"/>
          <w:rtl/>
        </w:rPr>
      </w:pPr>
    </w:p>
    <w:p w14:paraId="4B28FCDF" w14:textId="77777777" w:rsidR="00A93F28" w:rsidRDefault="00A93F28" w:rsidP="001E3B27">
      <w:pPr>
        <w:pStyle w:val="ListParagraph"/>
        <w:numPr>
          <w:ilvl w:val="0"/>
          <w:numId w:val="7"/>
        </w:numPr>
        <w:spacing w:line="360" w:lineRule="auto"/>
        <w:ind w:left="0" w:hanging="12"/>
        <w:jc w:val="both"/>
        <w:rPr>
          <w:rFonts w:ascii="Arial" w:hAnsi="Arial"/>
          <w:rtl/>
        </w:rPr>
      </w:pPr>
      <w:r>
        <w:rPr>
          <w:rFonts w:ascii="Arial" w:hAnsi="Arial"/>
          <w:rtl/>
        </w:rPr>
        <w:t>מבחינת עובדתית ניתן לסכם ולומר כי הנאשם ביצע את כל המיוחס לו בכתב האישום, ובמהלך שמיעת הראיות הוכח בנוסף כי הנאשם לא רק נגע בידו בישבנה של גב' וינשטיין, אלא ממש חפן אותו.</w:t>
      </w:r>
    </w:p>
    <w:p w14:paraId="7E79DEF0" w14:textId="77777777" w:rsidR="00A93F28" w:rsidRDefault="00A93F28" w:rsidP="00104301">
      <w:pPr>
        <w:pStyle w:val="ListParagraph"/>
        <w:spacing w:line="360" w:lineRule="auto"/>
        <w:ind w:left="0" w:firstLine="720"/>
        <w:jc w:val="both"/>
        <w:rPr>
          <w:rFonts w:ascii="Arial" w:hAnsi="Arial"/>
          <w:rtl/>
        </w:rPr>
      </w:pPr>
    </w:p>
    <w:p w14:paraId="246A8B8F" w14:textId="77777777" w:rsidR="00A93F28" w:rsidRPr="000652BF" w:rsidRDefault="00A93F28" w:rsidP="000652BF">
      <w:pPr>
        <w:spacing w:line="360" w:lineRule="auto"/>
        <w:jc w:val="both"/>
        <w:rPr>
          <w:rFonts w:ascii="Arial" w:hAnsi="Arial"/>
          <w:b/>
          <w:bCs/>
          <w:u w:val="single"/>
          <w:rtl/>
        </w:rPr>
      </w:pPr>
      <w:r>
        <w:rPr>
          <w:rFonts w:ascii="Arial" w:hAnsi="Arial"/>
          <w:b/>
          <w:bCs/>
          <w:u w:val="single"/>
          <w:rtl/>
        </w:rPr>
        <w:t>מסקנות</w:t>
      </w:r>
      <w:r w:rsidRPr="000652BF">
        <w:rPr>
          <w:rFonts w:ascii="Arial" w:hAnsi="Arial"/>
          <w:b/>
          <w:bCs/>
          <w:u w:val="single"/>
          <w:rtl/>
        </w:rPr>
        <w:t xml:space="preserve"> משפטי</w:t>
      </w:r>
      <w:r>
        <w:rPr>
          <w:rFonts w:ascii="Arial" w:hAnsi="Arial"/>
          <w:b/>
          <w:bCs/>
          <w:u w:val="single"/>
          <w:rtl/>
        </w:rPr>
        <w:t>ות</w:t>
      </w:r>
    </w:p>
    <w:p w14:paraId="2678B5DB" w14:textId="77777777" w:rsidR="00A93F28" w:rsidRDefault="00A93F28" w:rsidP="000652BF">
      <w:pPr>
        <w:pStyle w:val="ListParagraph"/>
        <w:numPr>
          <w:ilvl w:val="0"/>
          <w:numId w:val="7"/>
        </w:numPr>
        <w:spacing w:line="360" w:lineRule="auto"/>
        <w:ind w:left="0" w:hanging="12"/>
        <w:jc w:val="both"/>
        <w:rPr>
          <w:rFonts w:ascii="Arial" w:hAnsi="Arial"/>
          <w:rtl/>
        </w:rPr>
      </w:pPr>
      <w:r>
        <w:rPr>
          <w:rFonts w:ascii="Arial" w:hAnsi="Arial"/>
          <w:rtl/>
        </w:rPr>
        <w:t xml:space="preserve">המדינה האשימה את הנאשם בגין המעשים שיוחסו לו בכתב האישום בביצוע שתי עבירות של מעשה מגונה לפי </w:t>
      </w:r>
      <w:hyperlink r:id="rId20" w:history="1">
        <w:r w:rsidR="00EA7FFC" w:rsidRPr="00EA7FFC">
          <w:rPr>
            <w:rFonts w:ascii="Arial" w:hAnsi="Arial"/>
            <w:color w:val="0000FF"/>
            <w:u w:val="single"/>
            <w:rtl/>
          </w:rPr>
          <w:t>סעיף 348(ג)</w:t>
        </w:r>
      </w:hyperlink>
      <w:r>
        <w:rPr>
          <w:rFonts w:ascii="Arial" w:hAnsi="Arial"/>
          <w:rtl/>
        </w:rPr>
        <w:t xml:space="preserve"> ל</w:t>
      </w:r>
      <w:hyperlink r:id="rId21" w:history="1">
        <w:r w:rsidR="009E2E95" w:rsidRPr="009E2E95">
          <w:rPr>
            <w:rFonts w:ascii="Arial" w:hAnsi="Arial"/>
            <w:color w:val="0000FF"/>
            <w:u w:val="single"/>
            <w:rtl/>
          </w:rPr>
          <w:t>חוק העונשין</w:t>
        </w:r>
      </w:hyperlink>
      <w:r>
        <w:rPr>
          <w:rFonts w:ascii="Arial" w:hAnsi="Arial"/>
          <w:rtl/>
        </w:rPr>
        <w:t xml:space="preserve">. </w:t>
      </w:r>
    </w:p>
    <w:p w14:paraId="7FE56247" w14:textId="77777777" w:rsidR="00A93F28" w:rsidRDefault="00A93F28" w:rsidP="001E3B27">
      <w:pPr>
        <w:spacing w:line="360" w:lineRule="auto"/>
        <w:jc w:val="both"/>
        <w:rPr>
          <w:rFonts w:ascii="Arial" w:hAnsi="Arial"/>
          <w:rtl/>
        </w:rPr>
      </w:pPr>
    </w:p>
    <w:p w14:paraId="1DF84830" w14:textId="77777777" w:rsidR="00A93F28" w:rsidRPr="001E3B27" w:rsidRDefault="00A93F28" w:rsidP="001E3B27">
      <w:pPr>
        <w:spacing w:line="360" w:lineRule="auto"/>
        <w:jc w:val="both"/>
        <w:rPr>
          <w:rFonts w:ascii="Arial" w:hAnsi="Arial"/>
          <w:u w:val="single"/>
          <w:rtl/>
        </w:rPr>
      </w:pPr>
      <w:r>
        <w:rPr>
          <w:rFonts w:ascii="Arial" w:hAnsi="Arial"/>
          <w:u w:val="single"/>
          <w:rtl/>
        </w:rPr>
        <w:t>האישום הראשון</w:t>
      </w:r>
    </w:p>
    <w:p w14:paraId="58F61FCB" w14:textId="77777777" w:rsidR="00A93F28" w:rsidRDefault="00A93F28" w:rsidP="00B85315">
      <w:pPr>
        <w:pStyle w:val="ListParagraph"/>
        <w:numPr>
          <w:ilvl w:val="0"/>
          <w:numId w:val="7"/>
        </w:numPr>
        <w:spacing w:line="360" w:lineRule="auto"/>
        <w:ind w:left="0" w:hanging="12"/>
        <w:jc w:val="both"/>
        <w:rPr>
          <w:rFonts w:ascii="Arial" w:hAnsi="Arial"/>
        </w:rPr>
      </w:pPr>
      <w:r>
        <w:rPr>
          <w:rFonts w:ascii="Arial" w:hAnsi="Arial"/>
          <w:rtl/>
        </w:rPr>
        <w:t xml:space="preserve">בכל הקשור לאישום הראשון אין בעמדת המדינה כל קושי. אדם שחופן ביד אחת את ישבן זולתו, ובידו השניה משפשף את איבר מינו לא לצרכי מניעת בריחת שתן, חזקה שעושה כן </w:t>
      </w:r>
      <w:r w:rsidRPr="001501CD">
        <w:rPr>
          <w:rFonts w:ascii="Arial" w:hAnsi="Arial" w:cs="Miriam"/>
          <w:rtl/>
        </w:rPr>
        <w:t>"לשם גירוי, סיפוק או ביזוי מיניים</w:t>
      </w:r>
      <w:r>
        <w:rPr>
          <w:rFonts w:ascii="Arial" w:hAnsi="Arial"/>
          <w:rtl/>
        </w:rPr>
        <w:t>" ועליו נטל הראיה להפריך חזקה עובדתית זו. הנאשם לא הציג כל תרחיש חליפי שיסביר מדוע עשה כפי שעשה לגב' וינשטיין באוטובוס, ועל כן יש לקבוע כי זו הייתה מטרת המגע שנגע בגופה של גב' וינשטיין – שלא בהסכמתה.</w:t>
      </w:r>
    </w:p>
    <w:p w14:paraId="752E9E16" w14:textId="77777777" w:rsidR="00A93F28" w:rsidRDefault="00A93F28" w:rsidP="00B85315">
      <w:pPr>
        <w:pStyle w:val="ListParagraph"/>
        <w:spacing w:line="360" w:lineRule="auto"/>
        <w:ind w:left="0"/>
        <w:jc w:val="both"/>
        <w:rPr>
          <w:rFonts w:ascii="Arial" w:hAnsi="Arial"/>
          <w:rtl/>
        </w:rPr>
      </w:pPr>
    </w:p>
    <w:p w14:paraId="1873AF0D" w14:textId="77777777" w:rsidR="00A93F28" w:rsidRDefault="00A93F28" w:rsidP="00B85315">
      <w:pPr>
        <w:pStyle w:val="ListParagraph"/>
        <w:spacing w:line="360" w:lineRule="auto"/>
        <w:ind w:left="0" w:firstLine="720"/>
        <w:jc w:val="both"/>
        <w:rPr>
          <w:rFonts w:ascii="Arial" w:hAnsi="Arial"/>
          <w:rtl/>
        </w:rPr>
      </w:pPr>
      <w:r>
        <w:rPr>
          <w:rFonts w:ascii="Arial" w:hAnsi="Arial"/>
          <w:rtl/>
        </w:rPr>
        <w:t xml:space="preserve">הנאשם מורשע אפוא בביצוע עבירה של מעשה מגונה, לפי </w:t>
      </w:r>
      <w:hyperlink r:id="rId22" w:history="1">
        <w:r w:rsidR="00EA7FFC" w:rsidRPr="00EA7FFC">
          <w:rPr>
            <w:rFonts w:ascii="Arial" w:hAnsi="Arial"/>
            <w:color w:val="0000FF"/>
            <w:u w:val="single"/>
            <w:rtl/>
          </w:rPr>
          <w:t>סעיף 348(ג)</w:t>
        </w:r>
      </w:hyperlink>
      <w:r>
        <w:rPr>
          <w:rFonts w:ascii="Arial" w:hAnsi="Arial"/>
          <w:rtl/>
        </w:rPr>
        <w:t xml:space="preserve"> לחוק.</w:t>
      </w:r>
    </w:p>
    <w:p w14:paraId="290F3F58" w14:textId="77777777" w:rsidR="00A93F28" w:rsidRDefault="00A93F28" w:rsidP="00B85315">
      <w:pPr>
        <w:pStyle w:val="ListParagraph"/>
        <w:spacing w:line="360" w:lineRule="auto"/>
        <w:ind w:left="0"/>
        <w:jc w:val="both"/>
        <w:rPr>
          <w:rFonts w:ascii="Arial" w:hAnsi="Arial"/>
          <w:rtl/>
        </w:rPr>
      </w:pPr>
    </w:p>
    <w:p w14:paraId="48FDE098" w14:textId="77777777" w:rsidR="00A93F28" w:rsidRPr="001E3B27" w:rsidRDefault="00A93F28" w:rsidP="001E3B27">
      <w:pPr>
        <w:spacing w:line="360" w:lineRule="auto"/>
        <w:jc w:val="both"/>
        <w:rPr>
          <w:rFonts w:ascii="Arial" w:hAnsi="Arial"/>
          <w:u w:val="single"/>
          <w:rtl/>
        </w:rPr>
      </w:pPr>
      <w:r>
        <w:rPr>
          <w:rFonts w:ascii="Arial" w:hAnsi="Arial"/>
          <w:u w:val="single"/>
          <w:rtl/>
        </w:rPr>
        <w:t>האישום השני</w:t>
      </w:r>
    </w:p>
    <w:p w14:paraId="4E9E07F3" w14:textId="77777777" w:rsidR="00A93F28" w:rsidRDefault="00A93F28" w:rsidP="00B85315">
      <w:pPr>
        <w:pStyle w:val="ListParagraph"/>
        <w:numPr>
          <w:ilvl w:val="0"/>
          <w:numId w:val="7"/>
        </w:numPr>
        <w:spacing w:line="360" w:lineRule="auto"/>
        <w:ind w:left="0" w:hanging="12"/>
        <w:jc w:val="both"/>
        <w:rPr>
          <w:rFonts w:ascii="Arial" w:hAnsi="Arial"/>
        </w:rPr>
      </w:pPr>
      <w:r>
        <w:rPr>
          <w:rFonts w:ascii="Arial" w:hAnsi="Arial"/>
          <w:rtl/>
        </w:rPr>
        <w:t xml:space="preserve">לא ראיתי אפשרות להרשיע את הנאשם בביצוע עבירה של מעשה מגונה בנוגע למעשיו מושא האישום השני. </w:t>
      </w:r>
    </w:p>
    <w:p w14:paraId="1FA3E23A" w14:textId="77777777" w:rsidR="00A93F28" w:rsidRDefault="00A93F28" w:rsidP="007061D7">
      <w:pPr>
        <w:pStyle w:val="ListParagraph"/>
        <w:spacing w:line="360" w:lineRule="auto"/>
        <w:ind w:left="0"/>
        <w:jc w:val="both"/>
        <w:rPr>
          <w:rFonts w:ascii="Arial" w:hAnsi="Arial"/>
          <w:rtl/>
        </w:rPr>
      </w:pPr>
    </w:p>
    <w:p w14:paraId="6D2A8297" w14:textId="77777777" w:rsidR="00A93F28" w:rsidRDefault="00A93F28" w:rsidP="00BD38C3">
      <w:pPr>
        <w:pStyle w:val="ListParagraph"/>
        <w:numPr>
          <w:ilvl w:val="0"/>
          <w:numId w:val="7"/>
        </w:numPr>
        <w:spacing w:line="360" w:lineRule="auto"/>
        <w:ind w:left="0" w:hanging="12"/>
        <w:jc w:val="both"/>
        <w:rPr>
          <w:rFonts w:ascii="Arial" w:hAnsi="Arial"/>
          <w:rtl/>
        </w:rPr>
      </w:pPr>
      <w:r>
        <w:rPr>
          <w:rFonts w:ascii="Arial" w:hAnsi="Arial"/>
          <w:rtl/>
        </w:rPr>
        <w:t>הנאשם אונן באוטובוס ובו נוסעים, תוך שקיים מגע עין בלבד עם גב' פוגי'. דחיתי את גרסתו כי נגע באיבר מינו משום שניסה לעצור בריחת שתן. ברור אפוא כי המעשה בוצע לצורך גירוי מיני. ועם זה, לא נתלווה למעשה האוננות של הנאשם מגע כלשהו בינו ל</w:t>
      </w:r>
      <w:r w:rsidRPr="001E3B27">
        <w:rPr>
          <w:rFonts w:ascii="Arial" w:hAnsi="Arial"/>
          <w:rtl/>
        </w:rPr>
        <w:t>בין גב' פוג'י. מכאן עולה כי מעשהו של הנאשם משתבץ במובהק לעבירה פלילית אחרת, קלה יותר</w:t>
      </w:r>
      <w:r w:rsidRPr="001E3B27">
        <w:rPr>
          <w:rFonts w:ascii="Arial" w:hAnsi="Arial"/>
          <w:b/>
          <w:bCs/>
          <w:rtl/>
        </w:rPr>
        <w:t xml:space="preserve"> </w:t>
      </w:r>
      <w:r>
        <w:rPr>
          <w:rFonts w:ascii="Arial" w:hAnsi="Arial"/>
          <w:rtl/>
        </w:rPr>
        <w:t xml:space="preserve">– מעשה מגונה </w:t>
      </w:r>
      <w:r w:rsidRPr="001E3B27">
        <w:rPr>
          <w:rFonts w:ascii="Arial" w:hAnsi="Arial"/>
          <w:b/>
          <w:bCs/>
          <w:rtl/>
        </w:rPr>
        <w:t>בפומבי</w:t>
      </w:r>
      <w:r>
        <w:rPr>
          <w:rFonts w:ascii="Arial" w:hAnsi="Arial"/>
          <w:rtl/>
        </w:rPr>
        <w:t xml:space="preserve">, לפי </w:t>
      </w:r>
      <w:hyperlink r:id="rId23" w:history="1">
        <w:r w:rsidR="00EA7FFC" w:rsidRPr="00EA7FFC">
          <w:rPr>
            <w:rFonts w:ascii="Arial" w:hAnsi="Arial"/>
            <w:color w:val="0000FF"/>
            <w:u w:val="single"/>
            <w:rtl/>
          </w:rPr>
          <w:t>סעיף 349(א)</w:t>
        </w:r>
      </w:hyperlink>
      <w:r>
        <w:rPr>
          <w:rFonts w:ascii="Arial" w:hAnsi="Arial"/>
          <w:rtl/>
        </w:rPr>
        <w:t xml:space="preserve"> לחוק, שזה נוסחו: </w:t>
      </w:r>
    </w:p>
    <w:p w14:paraId="12E0CB8D" w14:textId="77777777" w:rsidR="00A93F28" w:rsidRDefault="00A93F28" w:rsidP="00F67136">
      <w:pPr>
        <w:pStyle w:val="ListParagraph"/>
        <w:spacing w:line="360" w:lineRule="auto"/>
        <w:ind w:left="0" w:firstLine="720"/>
        <w:jc w:val="both"/>
        <w:rPr>
          <w:rFonts w:ascii="Arial" w:hAnsi="Arial"/>
          <w:rtl/>
        </w:rPr>
      </w:pPr>
    </w:p>
    <w:p w14:paraId="54ED9AE4" w14:textId="77777777" w:rsidR="00A93F28" w:rsidRPr="001E3B27" w:rsidRDefault="00A93F28" w:rsidP="001E3B27">
      <w:pPr>
        <w:pStyle w:val="ListParagraph"/>
        <w:spacing w:line="360" w:lineRule="auto"/>
        <w:ind w:left="1440" w:right="993"/>
        <w:jc w:val="both"/>
        <w:rPr>
          <w:rFonts w:ascii="Arial" w:hAnsi="Arial"/>
          <w:rtl/>
        </w:rPr>
      </w:pPr>
      <w:r>
        <w:rPr>
          <w:rStyle w:val="default"/>
          <w:rFonts w:cs="FrankRuehl"/>
          <w:sz w:val="24"/>
          <w:szCs w:val="24"/>
          <w:rtl/>
        </w:rPr>
        <w:t>"</w:t>
      </w:r>
      <w:r w:rsidRPr="001E3B27">
        <w:rPr>
          <w:rStyle w:val="default"/>
          <w:rFonts w:cs="FrankRuehl"/>
          <w:sz w:val="24"/>
          <w:szCs w:val="24"/>
          <w:rtl/>
        </w:rPr>
        <w:t>העושה מעשה מגונה בפומבי בפני אדם אחר, ללא הסכמתו, או העושה מעשה כאמור בכל מקום שהוא תוך ניצול יחסי תלות, מרות, חינוך, השגחה, עבודה או שירות, דינו - מאסר שנה.</w:t>
      </w:r>
      <w:r>
        <w:rPr>
          <w:rStyle w:val="default"/>
          <w:rFonts w:cs="FrankRuehl"/>
          <w:sz w:val="24"/>
          <w:szCs w:val="24"/>
          <w:rtl/>
        </w:rPr>
        <w:t>"</w:t>
      </w:r>
    </w:p>
    <w:p w14:paraId="3A5BFF49" w14:textId="77777777" w:rsidR="00A93F28" w:rsidRDefault="00A93F28" w:rsidP="00F67136">
      <w:pPr>
        <w:pStyle w:val="ListParagraph"/>
        <w:spacing w:line="360" w:lineRule="auto"/>
        <w:ind w:left="0" w:firstLine="720"/>
        <w:jc w:val="both"/>
        <w:rPr>
          <w:rFonts w:ascii="Arial" w:hAnsi="Arial"/>
          <w:rtl/>
        </w:rPr>
      </w:pPr>
    </w:p>
    <w:p w14:paraId="765D60EB" w14:textId="77777777" w:rsidR="00A93F28" w:rsidRDefault="00A93F28" w:rsidP="001E3B27">
      <w:pPr>
        <w:pStyle w:val="ListParagraph"/>
        <w:numPr>
          <w:ilvl w:val="0"/>
          <w:numId w:val="7"/>
        </w:numPr>
        <w:spacing w:line="360" w:lineRule="auto"/>
        <w:ind w:left="0" w:hanging="12"/>
        <w:jc w:val="both"/>
        <w:rPr>
          <w:rFonts w:ascii="Arial" w:hAnsi="Arial"/>
        </w:rPr>
      </w:pPr>
      <w:r>
        <w:rPr>
          <w:rFonts w:ascii="Arial" w:hAnsi="Arial"/>
          <w:rtl/>
        </w:rPr>
        <w:t xml:space="preserve">המדינה בקשה לשכנעני כי, נוכח פסיקת בית המשפט העליון שהחילה, במקרים מסוימים,  את העבירה של מעשה מגונה באדם על מעשים מיניים וירטואליים, יש לקבוע כי גם במקרה זה נעברה עבירה של מעשה מגונה. לדעתי גישתה הפרשנית של המדינה אינה עולה בקנה אחד עם הוראות החוק וכללי הפרשנות המקובלים. </w:t>
      </w:r>
    </w:p>
    <w:p w14:paraId="775C098F" w14:textId="77777777" w:rsidR="00A93F28" w:rsidRDefault="00A93F28" w:rsidP="001501CD">
      <w:pPr>
        <w:pStyle w:val="ListParagraph"/>
        <w:spacing w:line="360" w:lineRule="auto"/>
        <w:ind w:left="0"/>
        <w:jc w:val="both"/>
        <w:rPr>
          <w:rFonts w:ascii="Arial" w:hAnsi="Arial"/>
          <w:rtl/>
        </w:rPr>
      </w:pPr>
    </w:p>
    <w:p w14:paraId="20E7AC43" w14:textId="77777777" w:rsidR="00A93F28" w:rsidRDefault="00A93F28" w:rsidP="000B5BA8">
      <w:pPr>
        <w:pStyle w:val="ListParagraph"/>
        <w:spacing w:line="360" w:lineRule="auto"/>
        <w:ind w:left="0" w:firstLine="720"/>
        <w:jc w:val="both"/>
        <w:rPr>
          <w:rFonts w:ascii="Arial" w:hAnsi="Arial"/>
          <w:rtl/>
        </w:rPr>
      </w:pPr>
      <w:r w:rsidRPr="000E205D">
        <w:rPr>
          <w:rFonts w:ascii="Arial" w:hAnsi="Arial"/>
          <w:u w:val="single"/>
          <w:rtl/>
        </w:rPr>
        <w:t>ראשית</w:t>
      </w:r>
      <w:r>
        <w:rPr>
          <w:rFonts w:ascii="Arial" w:hAnsi="Arial"/>
          <w:rtl/>
        </w:rPr>
        <w:t xml:space="preserve">, משום שלטעמי העבירה של מעשה מגונה באדם אינה יכולה לכלול מעשים שלא בוצעו באדם אחר, ולוּ באופן וירטואלי. </w:t>
      </w:r>
    </w:p>
    <w:p w14:paraId="72C83CCF" w14:textId="77777777" w:rsidR="00A93F28" w:rsidRDefault="00A93F28" w:rsidP="000B5BA8">
      <w:pPr>
        <w:pStyle w:val="ListParagraph"/>
        <w:spacing w:line="360" w:lineRule="auto"/>
        <w:ind w:left="0" w:firstLine="720"/>
        <w:jc w:val="both"/>
        <w:rPr>
          <w:rFonts w:ascii="Arial" w:hAnsi="Arial"/>
          <w:rtl/>
        </w:rPr>
      </w:pPr>
    </w:p>
    <w:p w14:paraId="06D1D36E" w14:textId="77777777" w:rsidR="00A93F28" w:rsidRDefault="00A93F28" w:rsidP="00B5166C">
      <w:pPr>
        <w:pStyle w:val="ListParagraph"/>
        <w:spacing w:line="360" w:lineRule="auto"/>
        <w:ind w:left="0" w:firstLine="720"/>
        <w:jc w:val="both"/>
        <w:rPr>
          <w:rFonts w:ascii="Arial" w:hAnsi="Arial"/>
          <w:rtl/>
        </w:rPr>
      </w:pPr>
      <w:r>
        <w:rPr>
          <w:rFonts w:ascii="Arial" w:hAnsi="Arial"/>
          <w:rtl/>
        </w:rPr>
        <w:t xml:space="preserve">פסיקת בית המשפט העליון שהרחיבה את תחולת העבירה, במקרים מסוימים, על מעשים שאינם כוללים מגע פיזי בזולת, עדיין דורשת כי המעשה המגונה יבוצע </w:t>
      </w:r>
      <w:r w:rsidRPr="001E3B27">
        <w:rPr>
          <w:rFonts w:ascii="Arial" w:hAnsi="Arial"/>
          <w:b/>
          <w:bCs/>
          <w:rtl/>
        </w:rPr>
        <w:t>באדם</w:t>
      </w:r>
      <w:r>
        <w:rPr>
          <w:rFonts w:ascii="Arial" w:hAnsi="Arial"/>
          <w:b/>
          <w:bCs/>
          <w:rtl/>
        </w:rPr>
        <w:t>, תוך שמתקיימת זיקה בין אותו מעשה לאדם ספציפי</w:t>
      </w:r>
      <w:r>
        <w:rPr>
          <w:rFonts w:ascii="Arial" w:hAnsi="Arial"/>
          <w:rtl/>
        </w:rPr>
        <w:t xml:space="preserve">. כך, </w:t>
      </w:r>
      <w:hyperlink r:id="rId24" w:history="1">
        <w:r w:rsidR="009E2E95" w:rsidRPr="009E2E95">
          <w:rPr>
            <w:rFonts w:ascii="Arial" w:hAnsi="Arial"/>
            <w:color w:val="0000FF"/>
            <w:u w:val="single"/>
            <w:rtl/>
          </w:rPr>
          <w:t>ע"פ 9603/09</w:t>
        </w:r>
      </w:hyperlink>
      <w:r>
        <w:rPr>
          <w:rFonts w:ascii="Arial" w:hAnsi="Arial"/>
          <w:rtl/>
        </w:rPr>
        <w:t xml:space="preserve"> </w:t>
      </w:r>
      <w:r>
        <w:rPr>
          <w:rFonts w:ascii="Arial" w:hAnsi="Arial"/>
          <w:b/>
          <w:bCs/>
          <w:rtl/>
        </w:rPr>
        <w:t>פלוני נ' מדינת ישראל</w:t>
      </w:r>
      <w:r>
        <w:rPr>
          <w:rFonts w:ascii="Arial" w:hAnsi="Arial"/>
          <w:rtl/>
        </w:rPr>
        <w:t xml:space="preserve"> </w:t>
      </w:r>
      <w:r w:rsidR="00B5166C" w:rsidRPr="00B5166C">
        <w:rPr>
          <w:rFonts w:ascii="Times New Roman" w:hAnsi="Times New Roman"/>
          <w:sz w:val="22"/>
          <w:rtl/>
        </w:rPr>
        <w:t xml:space="preserve">[פורסם בנבו] </w:t>
      </w:r>
      <w:r>
        <w:rPr>
          <w:rFonts w:ascii="Arial" w:hAnsi="Arial"/>
          <w:rtl/>
        </w:rPr>
        <w:t xml:space="preserve">(27.9.2011), שהגישה המדינה בתמיכה לטיעוניה, עסק במערער שצילם את אבריהן המוצנעים של צעירות על מנת להשתמש בתמונותיהן </w:t>
      </w:r>
      <w:r>
        <w:rPr>
          <w:rFonts w:ascii="Arial" w:hAnsi="Arial"/>
          <w:b/>
          <w:bCs/>
          <w:rtl/>
        </w:rPr>
        <w:t>לצורך אוננות</w:t>
      </w:r>
      <w:r>
        <w:rPr>
          <w:rFonts w:ascii="Arial" w:hAnsi="Arial"/>
          <w:rtl/>
        </w:rPr>
        <w:t xml:space="preserve">. וכך, </w:t>
      </w:r>
      <w:hyperlink r:id="rId25" w:history="1">
        <w:r w:rsidR="009E2E95" w:rsidRPr="009E2E95">
          <w:rPr>
            <w:rFonts w:ascii="Arial" w:hAnsi="Arial"/>
            <w:color w:val="0000FF"/>
            <w:u w:val="single"/>
            <w:rtl/>
          </w:rPr>
          <w:t>ע"פ 7725/11</w:t>
        </w:r>
      </w:hyperlink>
      <w:r>
        <w:rPr>
          <w:rFonts w:ascii="Arial" w:hAnsi="Arial"/>
          <w:rtl/>
        </w:rPr>
        <w:t xml:space="preserve"> </w:t>
      </w:r>
      <w:r>
        <w:rPr>
          <w:rFonts w:ascii="Arial" w:hAnsi="Arial"/>
          <w:b/>
          <w:bCs/>
          <w:rtl/>
        </w:rPr>
        <w:t>פלוני נ' מדינת ישראל</w:t>
      </w:r>
      <w:r w:rsidR="00B5166C">
        <w:rPr>
          <w:rFonts w:ascii="Arial" w:hAnsi="Arial" w:hint="cs"/>
          <w:b/>
          <w:bCs/>
          <w:rtl/>
        </w:rPr>
        <w:t xml:space="preserve">, </w:t>
      </w:r>
      <w:r w:rsidR="00B5166C" w:rsidRPr="00B5166C">
        <w:rPr>
          <w:rFonts w:ascii="Times New Roman" w:hAnsi="Times New Roman"/>
          <w:sz w:val="22"/>
          <w:rtl/>
        </w:rPr>
        <w:t>[פורסם בנבו]</w:t>
      </w:r>
      <w:r>
        <w:rPr>
          <w:rFonts w:ascii="Arial" w:hAnsi="Arial"/>
          <w:rtl/>
        </w:rPr>
        <w:t xml:space="preserve">, 24.1.2013), עסק במערער שחשף את איבר מינו לפני בת משפחה ובאחד המקרים ביקש שתיגע בו (וראו דברי כב' השופטת ברק-ארז, פסקה 3 סיפא). </w:t>
      </w:r>
    </w:p>
    <w:p w14:paraId="3AA8CAC0" w14:textId="77777777" w:rsidR="00A93F28" w:rsidRDefault="00A93F28" w:rsidP="000E205D">
      <w:pPr>
        <w:pStyle w:val="ListParagraph"/>
        <w:spacing w:line="360" w:lineRule="auto"/>
        <w:ind w:left="0" w:firstLine="720"/>
        <w:jc w:val="both"/>
        <w:rPr>
          <w:rFonts w:ascii="Arial" w:hAnsi="Arial"/>
          <w:rtl/>
        </w:rPr>
      </w:pPr>
    </w:p>
    <w:p w14:paraId="7876EC88" w14:textId="77777777" w:rsidR="00A93F28" w:rsidRDefault="00A93F28" w:rsidP="000E205D">
      <w:pPr>
        <w:pStyle w:val="ListParagraph"/>
        <w:spacing w:line="360" w:lineRule="auto"/>
        <w:ind w:left="0" w:firstLine="720"/>
        <w:jc w:val="both"/>
        <w:rPr>
          <w:rFonts w:ascii="Arial" w:hAnsi="Arial"/>
          <w:rtl/>
        </w:rPr>
      </w:pPr>
      <w:r>
        <w:rPr>
          <w:rFonts w:ascii="Arial" w:hAnsi="Arial"/>
          <w:rtl/>
        </w:rPr>
        <w:t xml:space="preserve">מעשה שאדם עושה בעצמו, </w:t>
      </w:r>
      <w:r w:rsidRPr="000B5BA8">
        <w:rPr>
          <w:rFonts w:ascii="Arial" w:hAnsi="Arial"/>
          <w:b/>
          <w:bCs/>
          <w:rtl/>
        </w:rPr>
        <w:t>ללא זיקה ברורה לזולת</w:t>
      </w:r>
      <w:r>
        <w:rPr>
          <w:rFonts w:ascii="Arial" w:hAnsi="Arial"/>
          <w:rtl/>
        </w:rPr>
        <w:t>, לא ייחשב מעשה מגונה. אין לקבל את טענת המדינה כי קשר העין שנוצר בין הנאשם לבין גב' פוג'י מבסס באופן מספק את הדרישה כי המעשה המגונה יבוצע באדם. אם תתקבל גישה זו כמעט כל מעשה מגונה בפומבי יהווה גם מעשה מגונה באדם. לכך לא ניתן להסכים, ומכאן שמעשהו של הנאשם אינו יכול להשתבץ להגדרת העבירה.</w:t>
      </w:r>
    </w:p>
    <w:p w14:paraId="055D13DF" w14:textId="77777777" w:rsidR="00A93F28" w:rsidRDefault="00A93F28" w:rsidP="001E3B27">
      <w:pPr>
        <w:pStyle w:val="ListParagraph"/>
        <w:spacing w:line="360" w:lineRule="auto"/>
        <w:ind w:left="0" w:firstLine="720"/>
        <w:jc w:val="both"/>
        <w:rPr>
          <w:rFonts w:ascii="Arial" w:hAnsi="Arial"/>
          <w:rtl/>
        </w:rPr>
      </w:pPr>
    </w:p>
    <w:p w14:paraId="5ED00C3B" w14:textId="77777777" w:rsidR="00A93F28" w:rsidRDefault="00A93F28" w:rsidP="00BD38C3">
      <w:pPr>
        <w:pStyle w:val="ListParagraph"/>
        <w:spacing w:line="360" w:lineRule="auto"/>
        <w:ind w:left="0" w:firstLine="720"/>
        <w:jc w:val="both"/>
        <w:rPr>
          <w:rFonts w:ascii="Arial" w:hAnsi="Arial"/>
          <w:rtl/>
        </w:rPr>
      </w:pPr>
      <w:r w:rsidRPr="000E205D">
        <w:rPr>
          <w:rFonts w:ascii="Arial" w:hAnsi="Arial"/>
          <w:u w:val="single"/>
          <w:rtl/>
        </w:rPr>
        <w:t>שנית</w:t>
      </w:r>
      <w:r>
        <w:rPr>
          <w:rFonts w:ascii="Arial" w:hAnsi="Arial"/>
          <w:rtl/>
        </w:rPr>
        <w:t xml:space="preserve">, גם אם הייתי סובר שהעבירה של מעשה מגונה באדם יכולה לסבול פרשנות לפיה יכללו בה גם מעשי אוננות, הא ותו לא, עדיין היתה עומדת למדינה לרועץ הוראת </w:t>
      </w:r>
      <w:hyperlink r:id="rId26" w:history="1">
        <w:r w:rsidR="00EA7FFC" w:rsidRPr="00EA7FFC">
          <w:rPr>
            <w:rFonts w:ascii="Arial" w:hAnsi="Arial"/>
            <w:color w:val="0000FF"/>
            <w:u w:val="single"/>
            <w:rtl/>
          </w:rPr>
          <w:t>סעיף 34כא</w:t>
        </w:r>
      </w:hyperlink>
      <w:r>
        <w:rPr>
          <w:rFonts w:ascii="Arial" w:hAnsi="Arial"/>
          <w:rtl/>
        </w:rPr>
        <w:t xml:space="preserve"> לחוק, המעגנת חלק מן הנורמות הנובעות מעקרון החוקיות, הקובעת כי אם </w:t>
      </w:r>
      <w:r w:rsidRPr="00DB7E53">
        <w:rPr>
          <w:rFonts w:ascii="Arial" w:hAnsi="Arial" w:cs="FrankRuehl"/>
          <w:rtl/>
        </w:rPr>
        <w:t>"ניתן דין לפירושים סבירים אחדים לפי תכליתו, יוכרע הענין לפי הפירוש המקל ביותר עם מי שאמור לשאת באחריות פלילית לפי אותו דין"</w:t>
      </w:r>
      <w:r>
        <w:rPr>
          <w:rFonts w:ascii="Arial" w:hAnsi="Arial"/>
          <w:rtl/>
        </w:rPr>
        <w:t xml:space="preserve">. הפירוש המקל מוציא מתחולת העבירה של מעשה מגונה באדם מעשי אוננות פומביים גרידא, בוודאי בהתחשב בכך שמעשים מעין אלה משתבצים לנורמה פלילית חמורה פחות (העונש המרבי על ביצוע עבירה של מעשה מגונה בפומבי הוא שנת מאסר, בעוד שהעונש המרבי בגין מעשה מגונה לפי </w:t>
      </w:r>
      <w:hyperlink r:id="rId27" w:history="1">
        <w:r w:rsidR="00EA7FFC" w:rsidRPr="00EA7FFC">
          <w:rPr>
            <w:rFonts w:ascii="Arial" w:hAnsi="Arial"/>
            <w:color w:val="0000FF"/>
            <w:u w:val="single"/>
            <w:rtl/>
          </w:rPr>
          <w:t>סעיף 348(א)</w:t>
        </w:r>
      </w:hyperlink>
      <w:r>
        <w:rPr>
          <w:rFonts w:ascii="Arial" w:hAnsi="Arial"/>
          <w:rtl/>
        </w:rPr>
        <w:t xml:space="preserve"> לחוק עומד כל שלוש שנות מאסר).</w:t>
      </w:r>
    </w:p>
    <w:p w14:paraId="6E721271" w14:textId="77777777" w:rsidR="00A93F28" w:rsidRDefault="00A93F28" w:rsidP="001E3B27">
      <w:pPr>
        <w:pStyle w:val="ListParagraph"/>
        <w:spacing w:line="360" w:lineRule="auto"/>
        <w:ind w:left="0" w:firstLine="720"/>
        <w:jc w:val="both"/>
        <w:rPr>
          <w:rFonts w:ascii="Arial" w:hAnsi="Arial"/>
          <w:rtl/>
        </w:rPr>
      </w:pPr>
    </w:p>
    <w:p w14:paraId="293A5F2E" w14:textId="77777777" w:rsidR="00A93F28" w:rsidRDefault="009E2E95" w:rsidP="006F01B2">
      <w:pPr>
        <w:pStyle w:val="ListParagraph"/>
        <w:spacing w:line="360" w:lineRule="auto"/>
        <w:ind w:left="0" w:firstLine="720"/>
        <w:jc w:val="both"/>
        <w:rPr>
          <w:rFonts w:ascii="Arial" w:hAnsi="Arial"/>
          <w:rtl/>
        </w:rPr>
      </w:pPr>
      <w:r w:rsidRPr="009E2E95">
        <w:rPr>
          <w:rFonts w:ascii="Arial" w:hAnsi="Arial"/>
          <w:color w:val="FFFFFF"/>
          <w:sz w:val="2"/>
          <w:szCs w:val="2"/>
          <w:rtl/>
        </w:rPr>
        <w:t>5129371</w:t>
      </w:r>
      <w:r w:rsidR="00A93F28">
        <w:rPr>
          <w:rFonts w:ascii="Arial" w:hAnsi="Arial"/>
          <w:rtl/>
        </w:rPr>
        <w:t>זה גם המקום לציין כי ב</w:t>
      </w:r>
      <w:hyperlink r:id="rId28" w:history="1">
        <w:r w:rsidRPr="009E2E95">
          <w:rPr>
            <w:rFonts w:ascii="Arial" w:hAnsi="Arial"/>
            <w:color w:val="0000FF"/>
            <w:u w:val="single"/>
            <w:rtl/>
          </w:rPr>
          <w:t>ע"פ 9603/09</w:t>
        </w:r>
      </w:hyperlink>
      <w:r w:rsidR="00A93F28">
        <w:rPr>
          <w:rFonts w:ascii="Arial" w:hAnsi="Arial"/>
          <w:rtl/>
        </w:rPr>
        <w:t>, הנזכר לעיל, לא הייתה אפשרות להרשיע את המערער בעבירת מין אחרת, ונראה שהפסיקה המרחיבה שם הושפעה מכך.</w:t>
      </w:r>
    </w:p>
    <w:p w14:paraId="3F62315E" w14:textId="77777777" w:rsidR="00A93F28" w:rsidRPr="009E2E95" w:rsidRDefault="009E2E95" w:rsidP="001E3B27">
      <w:pPr>
        <w:pStyle w:val="ListParagraph"/>
        <w:spacing w:line="360" w:lineRule="auto"/>
        <w:ind w:left="0" w:firstLine="720"/>
        <w:jc w:val="both"/>
        <w:rPr>
          <w:rFonts w:ascii="Arial" w:hAnsi="Arial"/>
          <w:color w:val="FFFFFF"/>
          <w:sz w:val="2"/>
          <w:szCs w:val="2"/>
          <w:rtl/>
        </w:rPr>
      </w:pPr>
      <w:r w:rsidRPr="009E2E95">
        <w:rPr>
          <w:rFonts w:ascii="Arial" w:hAnsi="Arial"/>
          <w:color w:val="FFFFFF"/>
          <w:sz w:val="2"/>
          <w:szCs w:val="2"/>
          <w:rtl/>
        </w:rPr>
        <w:t>54678313</w:t>
      </w:r>
    </w:p>
    <w:p w14:paraId="350CABD4" w14:textId="77777777" w:rsidR="00A93F28" w:rsidRDefault="00A93F28" w:rsidP="005232EE">
      <w:pPr>
        <w:pStyle w:val="ListParagraph"/>
        <w:numPr>
          <w:ilvl w:val="0"/>
          <w:numId w:val="7"/>
        </w:numPr>
        <w:spacing w:line="360" w:lineRule="auto"/>
        <w:ind w:left="0" w:hanging="12"/>
        <w:jc w:val="both"/>
        <w:rPr>
          <w:rFonts w:ascii="Arial" w:hAnsi="Arial"/>
          <w:rtl/>
        </w:rPr>
      </w:pPr>
      <w:r>
        <w:rPr>
          <w:rFonts w:ascii="Arial" w:hAnsi="Arial"/>
          <w:rtl/>
        </w:rPr>
        <w:t xml:space="preserve">אשר על כן יורשע הנאשם בעבירה של מעשה מגונה בפומבי, לפי </w:t>
      </w:r>
      <w:hyperlink r:id="rId29" w:history="1">
        <w:r w:rsidR="00EA7FFC" w:rsidRPr="00EA7FFC">
          <w:rPr>
            <w:rFonts w:ascii="Arial" w:hAnsi="Arial"/>
            <w:color w:val="0000FF"/>
            <w:u w:val="single"/>
            <w:rtl/>
          </w:rPr>
          <w:t>סעיף 349(א)</w:t>
        </w:r>
      </w:hyperlink>
      <w:r>
        <w:rPr>
          <w:rFonts w:ascii="Arial" w:hAnsi="Arial"/>
          <w:rtl/>
        </w:rPr>
        <w:t xml:space="preserve"> לחוק, בגין האמור באישום השני.</w:t>
      </w:r>
    </w:p>
    <w:p w14:paraId="4228C533" w14:textId="77777777" w:rsidR="00A93F28" w:rsidRDefault="00A93F28" w:rsidP="00855D17">
      <w:pPr>
        <w:pStyle w:val="ListParagraph"/>
        <w:spacing w:line="360" w:lineRule="auto"/>
        <w:ind w:left="0" w:firstLine="720"/>
        <w:jc w:val="both"/>
        <w:rPr>
          <w:rFonts w:ascii="Arial" w:hAnsi="Arial"/>
          <w:rtl/>
        </w:rPr>
      </w:pPr>
    </w:p>
    <w:p w14:paraId="3121FF8F" w14:textId="77777777" w:rsidR="00A93F28" w:rsidRPr="00B5166C" w:rsidRDefault="009E2E95">
      <w:pPr>
        <w:rPr>
          <w:rFonts w:ascii="Arial" w:hAnsi="Arial"/>
          <w:b/>
          <w:bCs/>
          <w:rtl/>
        </w:rPr>
      </w:pPr>
      <w:r w:rsidRPr="00B5166C">
        <w:rPr>
          <w:rFonts w:ascii="Arial" w:hAnsi="Arial"/>
          <w:b/>
          <w:bCs/>
          <w:rtl/>
        </w:rPr>
        <w:t xml:space="preserve">ניתנה היום,  כ"ח תשרי תשע"ז , 30 אוקטובר 2016, במעמד הנוכחים.  </w:t>
      </w:r>
    </w:p>
    <w:p w14:paraId="0055D61D" w14:textId="77777777" w:rsidR="00A93F28" w:rsidRDefault="00A93F28" w:rsidP="00E20138">
      <w:pPr>
        <w:tabs>
          <w:tab w:val="left" w:pos="1625"/>
        </w:tabs>
        <w:jc w:val="right"/>
      </w:pPr>
    </w:p>
    <w:p w14:paraId="7803BCBF" w14:textId="77777777" w:rsidR="009E2E95" w:rsidRPr="009E2E95" w:rsidRDefault="009E2E95" w:rsidP="009E2E95">
      <w:pPr>
        <w:keepNext/>
        <w:tabs>
          <w:tab w:val="left" w:pos="1625"/>
        </w:tabs>
        <w:rPr>
          <w:rFonts w:ascii="David" w:hAnsi="David"/>
          <w:color w:val="000000"/>
          <w:sz w:val="22"/>
          <w:szCs w:val="22"/>
          <w:rtl/>
        </w:rPr>
      </w:pPr>
    </w:p>
    <w:p w14:paraId="426CDDA7" w14:textId="77777777" w:rsidR="009E2E95" w:rsidRPr="009E2E95" w:rsidRDefault="009E2E95" w:rsidP="009E2E95">
      <w:pPr>
        <w:keepNext/>
        <w:tabs>
          <w:tab w:val="left" w:pos="1625"/>
        </w:tabs>
        <w:rPr>
          <w:rFonts w:ascii="David" w:hAnsi="David"/>
          <w:color w:val="000000"/>
          <w:sz w:val="22"/>
          <w:szCs w:val="22"/>
          <w:rtl/>
        </w:rPr>
      </w:pPr>
      <w:r w:rsidRPr="009E2E95">
        <w:rPr>
          <w:rFonts w:ascii="David" w:hAnsi="David" w:hint="eastAsia"/>
          <w:color w:val="000000"/>
          <w:sz w:val="22"/>
          <w:szCs w:val="22"/>
          <w:rtl/>
        </w:rPr>
        <w:t>מיכאל</w:t>
      </w:r>
      <w:r w:rsidRPr="009E2E95">
        <w:rPr>
          <w:rFonts w:ascii="David" w:hAnsi="David"/>
          <w:color w:val="000000"/>
          <w:sz w:val="22"/>
          <w:szCs w:val="22"/>
          <w:rtl/>
        </w:rPr>
        <w:t xml:space="preserve"> </w:t>
      </w:r>
      <w:r w:rsidRPr="009E2E95">
        <w:rPr>
          <w:rFonts w:ascii="David" w:hAnsi="David" w:hint="eastAsia"/>
          <w:color w:val="000000"/>
          <w:sz w:val="22"/>
          <w:szCs w:val="22"/>
          <w:rtl/>
        </w:rPr>
        <w:t>קרשן</w:t>
      </w:r>
      <w:r w:rsidRPr="009E2E95">
        <w:rPr>
          <w:rFonts w:ascii="David" w:hAnsi="David"/>
          <w:color w:val="000000"/>
          <w:sz w:val="22"/>
          <w:szCs w:val="22"/>
          <w:rtl/>
        </w:rPr>
        <w:t xml:space="preserve"> 54678313</w:t>
      </w:r>
    </w:p>
    <w:p w14:paraId="6580380B" w14:textId="77777777" w:rsidR="009E2E95" w:rsidRDefault="009E2E95" w:rsidP="009E2E95">
      <w:pPr>
        <w:tabs>
          <w:tab w:val="left" w:pos="1625"/>
        </w:tabs>
        <w:rPr>
          <w:rFonts w:cs="FrankRuehl"/>
          <w:sz w:val="28"/>
          <w:szCs w:val="28"/>
          <w:rtl/>
        </w:rPr>
      </w:pPr>
      <w:r w:rsidRPr="009E2E95">
        <w:rPr>
          <w:rFonts w:cs="FrankRuehl" w:hint="eastAsia"/>
          <w:color w:val="000000"/>
          <w:sz w:val="28"/>
          <w:szCs w:val="28"/>
          <w:rtl/>
        </w:rPr>
        <w:t>נוסח</w:t>
      </w:r>
      <w:r w:rsidRPr="009E2E95">
        <w:rPr>
          <w:rFonts w:cs="FrankRuehl"/>
          <w:color w:val="000000"/>
          <w:sz w:val="28"/>
          <w:szCs w:val="28"/>
          <w:rtl/>
        </w:rPr>
        <w:t xml:space="preserve"> </w:t>
      </w:r>
      <w:r w:rsidRPr="009E2E95">
        <w:rPr>
          <w:rFonts w:cs="FrankRuehl" w:hint="eastAsia"/>
          <w:color w:val="000000"/>
          <w:sz w:val="28"/>
          <w:szCs w:val="28"/>
          <w:rtl/>
        </w:rPr>
        <w:t>מסמך</w:t>
      </w:r>
      <w:r w:rsidRPr="009E2E95">
        <w:rPr>
          <w:rFonts w:cs="FrankRuehl"/>
          <w:color w:val="000000"/>
          <w:sz w:val="28"/>
          <w:szCs w:val="28"/>
          <w:rtl/>
        </w:rPr>
        <w:t xml:space="preserve"> </w:t>
      </w:r>
      <w:r w:rsidRPr="009E2E95">
        <w:rPr>
          <w:rFonts w:cs="FrankRuehl" w:hint="eastAsia"/>
          <w:color w:val="000000"/>
          <w:sz w:val="28"/>
          <w:szCs w:val="28"/>
          <w:rtl/>
        </w:rPr>
        <w:t>זה</w:t>
      </w:r>
      <w:r w:rsidRPr="009E2E95">
        <w:rPr>
          <w:rFonts w:cs="FrankRuehl"/>
          <w:color w:val="000000"/>
          <w:sz w:val="28"/>
          <w:szCs w:val="28"/>
          <w:rtl/>
        </w:rPr>
        <w:t xml:space="preserve"> </w:t>
      </w:r>
      <w:r w:rsidRPr="009E2E95">
        <w:rPr>
          <w:rFonts w:cs="FrankRuehl" w:hint="eastAsia"/>
          <w:color w:val="000000"/>
          <w:sz w:val="28"/>
          <w:szCs w:val="28"/>
          <w:rtl/>
        </w:rPr>
        <w:t>כפוף</w:t>
      </w:r>
      <w:r w:rsidRPr="009E2E95">
        <w:rPr>
          <w:rFonts w:cs="FrankRuehl"/>
          <w:color w:val="000000"/>
          <w:sz w:val="28"/>
          <w:szCs w:val="28"/>
          <w:rtl/>
        </w:rPr>
        <w:t xml:space="preserve"> </w:t>
      </w:r>
      <w:r w:rsidRPr="009E2E95">
        <w:rPr>
          <w:rFonts w:cs="FrankRuehl" w:hint="eastAsia"/>
          <w:color w:val="000000"/>
          <w:sz w:val="28"/>
          <w:szCs w:val="28"/>
          <w:rtl/>
        </w:rPr>
        <w:t>לשינויי</w:t>
      </w:r>
      <w:r w:rsidRPr="009E2E95">
        <w:rPr>
          <w:rFonts w:cs="FrankRuehl"/>
          <w:color w:val="000000"/>
          <w:sz w:val="28"/>
          <w:szCs w:val="28"/>
          <w:rtl/>
        </w:rPr>
        <w:t xml:space="preserve"> </w:t>
      </w:r>
      <w:r w:rsidRPr="009E2E95">
        <w:rPr>
          <w:rFonts w:cs="FrankRuehl" w:hint="eastAsia"/>
          <w:color w:val="000000"/>
          <w:sz w:val="28"/>
          <w:szCs w:val="28"/>
          <w:rtl/>
        </w:rPr>
        <w:t>ניסוח</w:t>
      </w:r>
      <w:r w:rsidRPr="009E2E95">
        <w:rPr>
          <w:rFonts w:cs="FrankRuehl"/>
          <w:color w:val="000000"/>
          <w:sz w:val="28"/>
          <w:szCs w:val="28"/>
          <w:rtl/>
        </w:rPr>
        <w:t xml:space="preserve"> </w:t>
      </w:r>
      <w:r w:rsidRPr="009E2E95">
        <w:rPr>
          <w:rFonts w:cs="FrankRuehl" w:hint="eastAsia"/>
          <w:color w:val="000000"/>
          <w:sz w:val="28"/>
          <w:szCs w:val="28"/>
          <w:rtl/>
        </w:rPr>
        <w:t>ועריכה</w:t>
      </w:r>
    </w:p>
    <w:p w14:paraId="02F2D8D0" w14:textId="77777777" w:rsidR="009E2E95" w:rsidRDefault="009E2E95" w:rsidP="009E2E95">
      <w:pPr>
        <w:tabs>
          <w:tab w:val="left" w:pos="1625"/>
        </w:tabs>
        <w:rPr>
          <w:rFonts w:cs="FrankRuehl"/>
          <w:sz w:val="28"/>
          <w:szCs w:val="28"/>
          <w:rtl/>
        </w:rPr>
      </w:pPr>
    </w:p>
    <w:p w14:paraId="39745CBC" w14:textId="77777777" w:rsidR="009E2E95" w:rsidRDefault="009E2E95" w:rsidP="009E2E95">
      <w:pPr>
        <w:tabs>
          <w:tab w:val="left" w:pos="1625"/>
        </w:tabs>
        <w:jc w:val="center"/>
        <w:rPr>
          <w:color w:val="0000FF"/>
          <w:sz w:val="28"/>
          <w:u w:val="single"/>
          <w:rtl/>
        </w:rPr>
      </w:pPr>
      <w:hyperlink r:id="rId30" w:history="1">
        <w:r>
          <w:rPr>
            <w:rFonts w:hint="eastAsia"/>
            <w:color w:val="0000FF"/>
            <w:sz w:val="28"/>
            <w:u w:val="single"/>
            <w:rtl/>
          </w:rPr>
          <w:t>בעניין</w:t>
        </w:r>
        <w:r>
          <w:rPr>
            <w:color w:val="0000FF"/>
            <w:sz w:val="28"/>
            <w:u w:val="single"/>
            <w:rtl/>
          </w:rPr>
          <w:t xml:space="preserve"> </w:t>
        </w:r>
        <w:r>
          <w:rPr>
            <w:rFonts w:hint="eastAsia"/>
            <w:color w:val="0000FF"/>
            <w:sz w:val="28"/>
            <w:u w:val="single"/>
            <w:rtl/>
          </w:rPr>
          <w:t>עריכה</w:t>
        </w:r>
        <w:r>
          <w:rPr>
            <w:color w:val="0000FF"/>
            <w:sz w:val="28"/>
            <w:u w:val="single"/>
            <w:rtl/>
          </w:rPr>
          <w:t xml:space="preserve"> </w:t>
        </w:r>
        <w:r>
          <w:rPr>
            <w:rFonts w:hint="eastAsia"/>
            <w:color w:val="0000FF"/>
            <w:sz w:val="28"/>
            <w:u w:val="single"/>
            <w:rtl/>
          </w:rPr>
          <w:t>ושינויים</w:t>
        </w:r>
        <w:r>
          <w:rPr>
            <w:color w:val="0000FF"/>
            <w:sz w:val="28"/>
            <w:u w:val="single"/>
            <w:rtl/>
          </w:rPr>
          <w:t xml:space="preserve"> </w:t>
        </w:r>
        <w:r>
          <w:rPr>
            <w:rFonts w:hint="eastAsia"/>
            <w:color w:val="0000FF"/>
            <w:sz w:val="28"/>
            <w:u w:val="single"/>
            <w:rtl/>
          </w:rPr>
          <w:t>במסמכי</w:t>
        </w:r>
        <w:r>
          <w:rPr>
            <w:color w:val="0000FF"/>
            <w:sz w:val="28"/>
            <w:u w:val="single"/>
            <w:rtl/>
          </w:rPr>
          <w:t xml:space="preserve"> </w:t>
        </w:r>
        <w:r>
          <w:rPr>
            <w:rFonts w:hint="eastAsia"/>
            <w:color w:val="0000FF"/>
            <w:sz w:val="28"/>
            <w:u w:val="single"/>
            <w:rtl/>
          </w:rPr>
          <w:t>פסיקה</w:t>
        </w:r>
        <w:r>
          <w:rPr>
            <w:color w:val="0000FF"/>
            <w:sz w:val="28"/>
            <w:u w:val="single"/>
            <w:rtl/>
          </w:rPr>
          <w:t xml:space="preserve">, </w:t>
        </w:r>
        <w:r>
          <w:rPr>
            <w:rFonts w:hint="eastAsia"/>
            <w:color w:val="0000FF"/>
            <w:sz w:val="28"/>
            <w:u w:val="single"/>
            <w:rtl/>
          </w:rPr>
          <w:t>חקיקה</w:t>
        </w:r>
        <w:r>
          <w:rPr>
            <w:color w:val="0000FF"/>
            <w:sz w:val="28"/>
            <w:u w:val="single"/>
            <w:rtl/>
          </w:rPr>
          <w:t xml:space="preserve"> </w:t>
        </w:r>
        <w:r>
          <w:rPr>
            <w:rFonts w:hint="eastAsia"/>
            <w:color w:val="0000FF"/>
            <w:sz w:val="28"/>
            <w:u w:val="single"/>
            <w:rtl/>
          </w:rPr>
          <w:t>ועוד</w:t>
        </w:r>
        <w:r>
          <w:rPr>
            <w:color w:val="0000FF"/>
            <w:sz w:val="28"/>
            <w:u w:val="single"/>
            <w:rtl/>
          </w:rPr>
          <w:t xml:space="preserve"> </w:t>
        </w:r>
        <w:r>
          <w:rPr>
            <w:rFonts w:hint="eastAsia"/>
            <w:color w:val="0000FF"/>
            <w:sz w:val="28"/>
            <w:u w:val="single"/>
            <w:rtl/>
          </w:rPr>
          <w:t>באתר</w:t>
        </w:r>
        <w:r>
          <w:rPr>
            <w:color w:val="0000FF"/>
            <w:sz w:val="28"/>
            <w:u w:val="single"/>
            <w:rtl/>
          </w:rPr>
          <w:t xml:space="preserve"> </w:t>
        </w:r>
        <w:r>
          <w:rPr>
            <w:rFonts w:hint="eastAsia"/>
            <w:color w:val="0000FF"/>
            <w:sz w:val="28"/>
            <w:u w:val="single"/>
            <w:rtl/>
          </w:rPr>
          <w:t>נבו</w:t>
        </w:r>
        <w:r>
          <w:rPr>
            <w:color w:val="0000FF"/>
            <w:sz w:val="28"/>
            <w:u w:val="single"/>
            <w:rtl/>
          </w:rPr>
          <w:t xml:space="preserve"> – </w:t>
        </w:r>
        <w:r>
          <w:rPr>
            <w:rFonts w:hint="eastAsia"/>
            <w:color w:val="0000FF"/>
            <w:sz w:val="28"/>
            <w:u w:val="single"/>
            <w:rtl/>
          </w:rPr>
          <w:t>הקש</w:t>
        </w:r>
        <w:r>
          <w:rPr>
            <w:color w:val="0000FF"/>
            <w:sz w:val="28"/>
            <w:u w:val="single"/>
            <w:rtl/>
          </w:rPr>
          <w:t xml:space="preserve"> </w:t>
        </w:r>
        <w:r>
          <w:rPr>
            <w:rFonts w:hint="eastAsia"/>
            <w:color w:val="0000FF"/>
            <w:sz w:val="28"/>
            <w:u w:val="single"/>
            <w:rtl/>
          </w:rPr>
          <w:t>כאן</w:t>
        </w:r>
      </w:hyperlink>
    </w:p>
    <w:p w14:paraId="4016627B" w14:textId="77777777" w:rsidR="00A93F28" w:rsidRPr="009E2E95" w:rsidRDefault="00A93F28" w:rsidP="009E2E95">
      <w:pPr>
        <w:tabs>
          <w:tab w:val="left" w:pos="1625"/>
        </w:tabs>
        <w:jc w:val="center"/>
        <w:rPr>
          <w:color w:val="0000FF"/>
          <w:sz w:val="28"/>
          <w:u w:val="single"/>
          <w:rtl/>
        </w:rPr>
      </w:pPr>
    </w:p>
    <w:sectPr w:rsidR="00A93F28" w:rsidRPr="009E2E95" w:rsidSect="009E2E95">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4FA3D" w14:textId="77777777" w:rsidR="00AC0848" w:rsidRDefault="00AC0848">
      <w:r>
        <w:separator/>
      </w:r>
    </w:p>
  </w:endnote>
  <w:endnote w:type="continuationSeparator" w:id="0">
    <w:p w14:paraId="079699D8" w14:textId="77777777" w:rsidR="00AC0848" w:rsidRDefault="00AC0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18ECF" w14:textId="77777777" w:rsidR="009E2E95" w:rsidRDefault="009E2E95" w:rsidP="009E2E9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88058F0" w14:textId="77777777" w:rsidR="009E2E95" w:rsidRPr="009E2E95" w:rsidRDefault="009E2E95" w:rsidP="009E2E95">
    <w:pPr>
      <w:pStyle w:val="Footer"/>
      <w:pBdr>
        <w:top w:val="single" w:sz="4" w:space="1" w:color="auto"/>
        <w:between w:val="single" w:sz="4" w:space="0" w:color="auto"/>
      </w:pBdr>
      <w:spacing w:after="60"/>
      <w:jc w:val="center"/>
      <w:rPr>
        <w:rFonts w:ascii="FrankRuehl" w:hAnsi="FrankRuehl" w:cs="FrankRuehl"/>
        <w:color w:val="000000"/>
      </w:rPr>
    </w:pPr>
    <w:r w:rsidRPr="009E2E9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9B6BB" w14:textId="77777777" w:rsidR="009E2E95" w:rsidRDefault="009E2E95" w:rsidP="009E2E9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E271DB">
      <w:rPr>
        <w:rFonts w:ascii="FrankRuehl" w:hAnsi="FrankRuehl" w:cs="FrankRuehl"/>
        <w:noProof/>
        <w:rtl/>
      </w:rPr>
      <w:t>1</w:t>
    </w:r>
    <w:r>
      <w:rPr>
        <w:rFonts w:ascii="FrankRuehl" w:hAnsi="FrankRuehl" w:cs="FrankRuehl"/>
        <w:rtl/>
      </w:rPr>
      <w:fldChar w:fldCharType="end"/>
    </w:r>
  </w:p>
  <w:p w14:paraId="0693D8C3" w14:textId="77777777" w:rsidR="00A93F28" w:rsidRPr="009E2E95" w:rsidRDefault="009E2E95" w:rsidP="009E2E95">
    <w:pPr>
      <w:pStyle w:val="Footer"/>
      <w:pBdr>
        <w:top w:val="single" w:sz="4" w:space="1" w:color="auto"/>
        <w:between w:val="single" w:sz="4" w:space="0" w:color="auto"/>
      </w:pBdr>
      <w:spacing w:after="60"/>
      <w:jc w:val="center"/>
      <w:rPr>
        <w:rFonts w:ascii="FrankRuehl" w:hAnsi="FrankRuehl" w:cs="FrankRuehl" w:hint="cs"/>
        <w:color w:val="000000"/>
      </w:rPr>
    </w:pPr>
    <w:r w:rsidRPr="009E2E95">
      <w:rPr>
        <w:rFonts w:ascii="FrankRuehl" w:hAnsi="FrankRuehl" w:cs="FrankRuehl" w:hint="cs"/>
        <w:color w:val="000000"/>
      </w:rPr>
      <w:pict w14:anchorId="2A431C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CCC6B" w14:textId="77777777" w:rsidR="00AC0848" w:rsidRDefault="00AC0848">
      <w:r>
        <w:separator/>
      </w:r>
    </w:p>
  </w:footnote>
  <w:footnote w:type="continuationSeparator" w:id="0">
    <w:p w14:paraId="63C55056" w14:textId="77777777" w:rsidR="00AC0848" w:rsidRDefault="00AC0848">
      <w:r>
        <w:continuationSeparator/>
      </w:r>
    </w:p>
  </w:footnote>
  <w:footnote w:id="1">
    <w:p w14:paraId="6BA46EEE" w14:textId="77777777" w:rsidR="00A93F28" w:rsidRDefault="00A93F28">
      <w:pPr>
        <w:pStyle w:val="FootnoteText"/>
      </w:pPr>
      <w:r>
        <w:rPr>
          <w:rStyle w:val="FootnoteReference"/>
          <w:rFonts w:cs="David"/>
        </w:rPr>
        <w:footnoteRef/>
      </w:r>
      <w:r>
        <w:rPr>
          <w:rtl/>
        </w:rPr>
        <w:t xml:space="preserve"> </w:t>
      </w:r>
      <w:r>
        <w:rPr>
          <w:rFonts w:hint="eastAsia"/>
          <w:rtl/>
        </w:rPr>
        <w:t>לא</w:t>
      </w:r>
      <w:r>
        <w:rPr>
          <w:rtl/>
        </w:rPr>
        <w:t xml:space="preserve"> </w:t>
      </w:r>
      <w:r>
        <w:rPr>
          <w:rFonts w:hint="eastAsia"/>
          <w:rtl/>
        </w:rPr>
        <w:t>מצאתי</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לתת</w:t>
      </w:r>
      <w:r>
        <w:rPr>
          <w:rtl/>
        </w:rPr>
        <w:t xml:space="preserve"> </w:t>
      </w:r>
      <w:r>
        <w:rPr>
          <w:rFonts w:hint="eastAsia"/>
          <w:rtl/>
        </w:rPr>
        <w:t>משקל</w:t>
      </w:r>
      <w:r>
        <w:rPr>
          <w:rtl/>
        </w:rPr>
        <w:t xml:space="preserve"> </w:t>
      </w:r>
      <w:r>
        <w:rPr>
          <w:rFonts w:hint="eastAsia"/>
          <w:rtl/>
        </w:rPr>
        <w:t>להודעת</w:t>
      </w:r>
      <w:r>
        <w:rPr>
          <w:rtl/>
        </w:rPr>
        <w:t xml:space="preserve"> </w:t>
      </w:r>
      <w:r>
        <w:rPr>
          <w:rFonts w:hint="eastAsia"/>
          <w:rtl/>
        </w:rPr>
        <w:t>העדה</w:t>
      </w:r>
      <w:r>
        <w:rPr>
          <w:rtl/>
        </w:rPr>
        <w:t xml:space="preserve"> </w:t>
      </w:r>
      <w:r>
        <w:rPr>
          <w:rFonts w:hint="eastAsia"/>
          <w:rtl/>
        </w:rPr>
        <w:t>נ</w:t>
      </w:r>
      <w:r>
        <w:rPr>
          <w:rtl/>
        </w:rPr>
        <w:t xml:space="preserve">/1, </w:t>
      </w:r>
      <w:r>
        <w:rPr>
          <w:rFonts w:hint="eastAsia"/>
          <w:rtl/>
        </w:rPr>
        <w:t>אשר</w:t>
      </w:r>
      <w:r>
        <w:rPr>
          <w:rtl/>
        </w:rPr>
        <w:t xml:space="preserve"> </w:t>
      </w:r>
      <w:r>
        <w:rPr>
          <w:rFonts w:hint="eastAsia"/>
          <w:rtl/>
        </w:rPr>
        <w:t>הוגשה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ההגנה</w:t>
      </w:r>
      <w:r>
        <w:rPr>
          <w:rtl/>
        </w:rPr>
        <w:t xml:space="preserve"> </w:t>
      </w:r>
      <w:r>
        <w:rPr>
          <w:rFonts w:hint="eastAsia"/>
          <w:rtl/>
        </w:rPr>
        <w:t>בשלב</w:t>
      </w:r>
      <w:r>
        <w:rPr>
          <w:rtl/>
        </w:rPr>
        <w:t xml:space="preserve"> </w:t>
      </w:r>
      <w:r>
        <w:rPr>
          <w:rFonts w:hint="eastAsia"/>
          <w:rtl/>
        </w:rPr>
        <w:t>הסיכומים</w:t>
      </w:r>
      <w:r>
        <w:rPr>
          <w:rtl/>
        </w:rPr>
        <w:t xml:space="preserve">, </w:t>
      </w:r>
      <w:r>
        <w:rPr>
          <w:rFonts w:hint="eastAsia"/>
          <w:rtl/>
        </w:rPr>
        <w:t>מבלי</w:t>
      </w:r>
      <w:r>
        <w:rPr>
          <w:rtl/>
        </w:rPr>
        <w:t xml:space="preserve"> </w:t>
      </w:r>
      <w:r>
        <w:rPr>
          <w:rFonts w:hint="eastAsia"/>
          <w:rtl/>
        </w:rPr>
        <w:t>שהעדה</w:t>
      </w:r>
      <w:r>
        <w:rPr>
          <w:rtl/>
        </w:rPr>
        <w:t xml:space="preserve"> </w:t>
      </w:r>
      <w:r>
        <w:rPr>
          <w:rFonts w:hint="eastAsia"/>
          <w:rtl/>
        </w:rPr>
        <w:t>עומתה</w:t>
      </w:r>
      <w:r>
        <w:rPr>
          <w:rtl/>
        </w:rPr>
        <w:t xml:space="preserve"> </w:t>
      </w:r>
      <w:r>
        <w:rPr>
          <w:rFonts w:hint="eastAsia"/>
          <w:rtl/>
        </w:rPr>
        <w:t>עמה</w:t>
      </w:r>
      <w:r>
        <w:rPr>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5E63A" w14:textId="77777777" w:rsidR="009E2E95" w:rsidRPr="009E2E95" w:rsidRDefault="009E2E95" w:rsidP="009E2E9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10401-08-15</w:t>
    </w:r>
    <w:r>
      <w:rPr>
        <w:rFonts w:ascii="David" w:hAnsi="David"/>
        <w:color w:val="000000"/>
        <w:sz w:val="22"/>
        <w:szCs w:val="22"/>
        <w:rtl/>
      </w:rPr>
      <w:tab/>
      <w:t xml:space="preserve"> מדינת ישראל נ' גנאדי בולקון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6AC5C" w14:textId="77777777" w:rsidR="00A93F28" w:rsidRPr="009E2E95" w:rsidRDefault="009E2E95" w:rsidP="009E2E9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10401-08-15</w:t>
    </w:r>
    <w:r>
      <w:rPr>
        <w:rFonts w:ascii="David" w:hAnsi="David"/>
        <w:color w:val="000000"/>
        <w:sz w:val="22"/>
        <w:szCs w:val="22"/>
        <w:rtl/>
      </w:rPr>
      <w:tab/>
      <w:t xml:space="preserve"> מדינת ישראל נ' גנאדי בולקון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4EF30098"/>
    <w:multiLevelType w:val="hybridMultilevel"/>
    <w:tmpl w:val="0720CF7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227033748">
    <w:abstractNumId w:val="5"/>
  </w:num>
  <w:num w:numId="2" w16cid:durableId="1660110735">
    <w:abstractNumId w:val="1"/>
  </w:num>
  <w:num w:numId="3" w16cid:durableId="1982225598">
    <w:abstractNumId w:val="2"/>
  </w:num>
  <w:num w:numId="4" w16cid:durableId="1025909525">
    <w:abstractNumId w:val="0"/>
  </w:num>
  <w:num w:numId="5" w16cid:durableId="594829827">
    <w:abstractNumId w:val="4"/>
  </w:num>
  <w:num w:numId="6" w16cid:durableId="1508596269">
    <w:abstractNumId w:val="6"/>
  </w:num>
  <w:num w:numId="7" w16cid:durableId="8161443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0F64"/>
    <w:rsid w:val="000652BF"/>
    <w:rsid w:val="00071375"/>
    <w:rsid w:val="00097BFF"/>
    <w:rsid w:val="000B5BA8"/>
    <w:rsid w:val="000D676C"/>
    <w:rsid w:val="000E205D"/>
    <w:rsid w:val="00104301"/>
    <w:rsid w:val="001501CD"/>
    <w:rsid w:val="00186BCB"/>
    <w:rsid w:val="001E3B27"/>
    <w:rsid w:val="00283C42"/>
    <w:rsid w:val="002D6789"/>
    <w:rsid w:val="002D68F5"/>
    <w:rsid w:val="002E1588"/>
    <w:rsid w:val="00334A35"/>
    <w:rsid w:val="00337463"/>
    <w:rsid w:val="003C74D6"/>
    <w:rsid w:val="0044673E"/>
    <w:rsid w:val="00446863"/>
    <w:rsid w:val="004659A7"/>
    <w:rsid w:val="0051562C"/>
    <w:rsid w:val="0052227C"/>
    <w:rsid w:val="005232EE"/>
    <w:rsid w:val="00525354"/>
    <w:rsid w:val="00531ED0"/>
    <w:rsid w:val="00537080"/>
    <w:rsid w:val="00572FAC"/>
    <w:rsid w:val="00597479"/>
    <w:rsid w:val="005C3A98"/>
    <w:rsid w:val="0064690D"/>
    <w:rsid w:val="00661AA0"/>
    <w:rsid w:val="00676BFD"/>
    <w:rsid w:val="0069242F"/>
    <w:rsid w:val="006958A7"/>
    <w:rsid w:val="006E0155"/>
    <w:rsid w:val="006F01B2"/>
    <w:rsid w:val="006F7CCD"/>
    <w:rsid w:val="007061D7"/>
    <w:rsid w:val="00751FE9"/>
    <w:rsid w:val="00753F87"/>
    <w:rsid w:val="007C40F8"/>
    <w:rsid w:val="007C7991"/>
    <w:rsid w:val="00810372"/>
    <w:rsid w:val="00834D17"/>
    <w:rsid w:val="00855D17"/>
    <w:rsid w:val="00856D72"/>
    <w:rsid w:val="00870F64"/>
    <w:rsid w:val="00872497"/>
    <w:rsid w:val="008A0F6C"/>
    <w:rsid w:val="0095394B"/>
    <w:rsid w:val="009545FC"/>
    <w:rsid w:val="009C6974"/>
    <w:rsid w:val="009D059D"/>
    <w:rsid w:val="009E2E95"/>
    <w:rsid w:val="00A93F28"/>
    <w:rsid w:val="00AC0848"/>
    <w:rsid w:val="00B20868"/>
    <w:rsid w:val="00B5166C"/>
    <w:rsid w:val="00B73DA0"/>
    <w:rsid w:val="00B85315"/>
    <w:rsid w:val="00B949CB"/>
    <w:rsid w:val="00BD38C3"/>
    <w:rsid w:val="00BE13AA"/>
    <w:rsid w:val="00BF0FEA"/>
    <w:rsid w:val="00C6453B"/>
    <w:rsid w:val="00C842D3"/>
    <w:rsid w:val="00C863A8"/>
    <w:rsid w:val="00CC0D6D"/>
    <w:rsid w:val="00D1577B"/>
    <w:rsid w:val="00D63841"/>
    <w:rsid w:val="00DB7E53"/>
    <w:rsid w:val="00DC081D"/>
    <w:rsid w:val="00DE5926"/>
    <w:rsid w:val="00E168B5"/>
    <w:rsid w:val="00E20138"/>
    <w:rsid w:val="00E271DB"/>
    <w:rsid w:val="00E92233"/>
    <w:rsid w:val="00E97695"/>
    <w:rsid w:val="00EA352A"/>
    <w:rsid w:val="00EA48B1"/>
    <w:rsid w:val="00EA7FFC"/>
    <w:rsid w:val="00EB385F"/>
    <w:rsid w:val="00EB5301"/>
    <w:rsid w:val="00EE1AFA"/>
    <w:rsid w:val="00F03F2F"/>
    <w:rsid w:val="00F114FA"/>
    <w:rsid w:val="00F11D9E"/>
    <w:rsid w:val="00F470DB"/>
    <w:rsid w:val="00F563B7"/>
    <w:rsid w:val="00F61193"/>
    <w:rsid w:val="00F67136"/>
    <w:rsid w:val="00FF3F8B"/>
    <w:rsid w:val="00FF4892"/>
    <w:rsid w:val="00FF608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6C81FE0"/>
  <w15:chartTrackingRefBased/>
  <w15:docId w15:val="{E6B732E9-ADE1-4C64-8197-6C17E1BB0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ascii="Arial (W1)" w:hAnsi="Arial (W1)" w:cs="David"/>
      <w:sz w:val="24"/>
      <w:szCs w:val="24"/>
    </w:rPr>
  </w:style>
  <w:style w:type="paragraph" w:styleId="Heading4">
    <w:name w:val="heading 4"/>
    <w:basedOn w:val="Normal"/>
    <w:next w:val="Normal"/>
    <w:qFormat/>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link w:val="CommentTextChar"/>
    <w:semiHidden/>
    <w:rPr>
      <w:rFonts w:cs="Times New Roman"/>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qFormat/>
    <w:rsid w:val="00856D72"/>
    <w:pPr>
      <w:ind w:left="720"/>
      <w:contextualSpacing/>
    </w:pPr>
  </w:style>
  <w:style w:type="character" w:customStyle="1" w:styleId="default">
    <w:name w:val="default"/>
    <w:basedOn w:val="DefaultParagraphFont"/>
    <w:rsid w:val="001501CD"/>
    <w:rPr>
      <w:rFonts w:ascii="Times New Roman" w:hAnsi="Times New Roman" w:cs="Times New Roman"/>
      <w:sz w:val="26"/>
      <w:szCs w:val="26"/>
    </w:rPr>
  </w:style>
  <w:style w:type="paragraph" w:customStyle="1" w:styleId="P00">
    <w:name w:val="P00"/>
    <w:rsid w:val="001501CD"/>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big-number">
    <w:name w:val="big-number"/>
    <w:basedOn w:val="default"/>
    <w:rsid w:val="001501CD"/>
    <w:rPr>
      <w:rFonts w:ascii="Times New Roman" w:hAnsi="Times New Roman" w:cs="Times New Roman"/>
      <w:sz w:val="32"/>
      <w:szCs w:val="32"/>
    </w:rPr>
  </w:style>
  <w:style w:type="paragraph" w:styleId="CommentSubject">
    <w:name w:val="annotation subject"/>
    <w:basedOn w:val="CommentText"/>
    <w:next w:val="CommentText"/>
    <w:link w:val="CommentSubjectChar"/>
    <w:semiHidden/>
    <w:rsid w:val="00D1577B"/>
    <w:rPr>
      <w:rFonts w:cs="David"/>
      <w:b/>
      <w:bCs/>
      <w:sz w:val="20"/>
      <w:szCs w:val="20"/>
    </w:rPr>
  </w:style>
  <w:style w:type="character" w:customStyle="1" w:styleId="CommentTextChar">
    <w:name w:val="Comment Text Char"/>
    <w:basedOn w:val="DefaultParagraphFont"/>
    <w:link w:val="CommentText"/>
    <w:semiHidden/>
    <w:locked/>
    <w:rsid w:val="00D1577B"/>
    <w:rPr>
      <w:rFonts w:ascii="Arial (W1)" w:hAnsi="Arial (W1)" w:cs="Times New Roman"/>
      <w:sz w:val="24"/>
      <w:szCs w:val="24"/>
    </w:rPr>
  </w:style>
  <w:style w:type="character" w:customStyle="1" w:styleId="CommentSubjectChar">
    <w:name w:val="Comment Subject Char"/>
    <w:basedOn w:val="CommentTextChar"/>
    <w:link w:val="CommentSubject"/>
    <w:semiHidden/>
    <w:locked/>
    <w:rsid w:val="00D1577B"/>
    <w:rPr>
      <w:rFonts w:ascii="Arial (W1)" w:hAnsi="Arial (W1)" w:cs="David"/>
      <w:b/>
      <w:bCs/>
      <w:sz w:val="24"/>
      <w:szCs w:val="24"/>
      <w:lang w:bidi="he-IL"/>
    </w:rPr>
  </w:style>
  <w:style w:type="paragraph" w:styleId="FootnoteText">
    <w:name w:val="footnote text"/>
    <w:basedOn w:val="Normal"/>
    <w:link w:val="FootnoteTextChar"/>
    <w:semiHidden/>
    <w:rsid w:val="00D1577B"/>
    <w:rPr>
      <w:sz w:val="20"/>
      <w:szCs w:val="20"/>
    </w:rPr>
  </w:style>
  <w:style w:type="character" w:customStyle="1" w:styleId="FootnoteTextChar">
    <w:name w:val="Footnote Text Char"/>
    <w:basedOn w:val="DefaultParagraphFont"/>
    <w:link w:val="FootnoteText"/>
    <w:semiHidden/>
    <w:locked/>
    <w:rsid w:val="00D1577B"/>
    <w:rPr>
      <w:rFonts w:ascii="Arial (W1)" w:hAnsi="Arial (W1)" w:cs="David"/>
      <w:lang w:bidi="he-IL"/>
    </w:rPr>
  </w:style>
  <w:style w:type="character" w:styleId="FootnoteReference">
    <w:name w:val="footnote reference"/>
    <w:basedOn w:val="DefaultParagraphFont"/>
    <w:semiHidden/>
    <w:rsid w:val="00D1577B"/>
    <w:rPr>
      <w:rFonts w:cs="Times New Roman"/>
      <w:vertAlign w:val="superscript"/>
    </w:rPr>
  </w:style>
  <w:style w:type="character" w:styleId="PageNumber">
    <w:name w:val="page number"/>
    <w:basedOn w:val="DefaultParagraphFont"/>
    <w:rsid w:val="009E2E95"/>
  </w:style>
  <w:style w:type="character" w:styleId="Hyperlink">
    <w:name w:val="Hyperlink"/>
    <w:basedOn w:val="DefaultParagraphFont"/>
    <w:rsid w:val="009E2E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348.c"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34ka" TargetMode="External"/><Relationship Id="rId3" Type="http://schemas.openxmlformats.org/officeDocument/2006/relationships/styles" Target="styles.xml"/><Relationship Id="rId21" Type="http://schemas.openxmlformats.org/officeDocument/2006/relationships/hyperlink" Target="http://www.nevo.co.il/law/70301"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nevo.co.il/law/70301/34ka" TargetMode="External"/><Relationship Id="rId17" Type="http://schemas.openxmlformats.org/officeDocument/2006/relationships/hyperlink" Target="http://www.nevo.co.il/law/70301/348.c" TargetMode="External"/><Relationship Id="rId25" Type="http://schemas.openxmlformats.org/officeDocument/2006/relationships/hyperlink" Target="http://www.nevo.co.il/case/6247986"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nevo.co.il/law/70301/349.a" TargetMode="External"/><Relationship Id="rId20" Type="http://schemas.openxmlformats.org/officeDocument/2006/relationships/hyperlink" Target="http://www.nevo.co.il/law/70301/348.c" TargetMode="External"/><Relationship Id="rId29" Type="http://schemas.openxmlformats.org/officeDocument/2006/relationships/hyperlink" Target="http://www.nevo.co.il/law/70301/349.a"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349.a" TargetMode="External"/><Relationship Id="rId24" Type="http://schemas.openxmlformats.org/officeDocument/2006/relationships/hyperlink" Target="http://www.nevo.co.il/case/6249234"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nevo.co.il/law/70301/348.c" TargetMode="External"/><Relationship Id="rId23" Type="http://schemas.openxmlformats.org/officeDocument/2006/relationships/hyperlink" Target="http://www.nevo.co.il/law/70301/349.a" TargetMode="External"/><Relationship Id="rId28" Type="http://schemas.openxmlformats.org/officeDocument/2006/relationships/hyperlink" Target="http://www.nevo.co.il/case/6249234" TargetMode="External"/><Relationship Id="rId36" Type="http://schemas.openxmlformats.org/officeDocument/2006/relationships/theme" Target="theme/theme1.xml"/><Relationship Id="rId10" Type="http://schemas.openxmlformats.org/officeDocument/2006/relationships/hyperlink" Target="http://www.nevo.co.il/law/70301/348.c" TargetMode="External"/><Relationship Id="rId19" Type="http://schemas.openxmlformats.org/officeDocument/2006/relationships/hyperlink" Target="http://www.nevo.co.il/law/70301/348.c"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evo.co.il/law/70301/348.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348.c" TargetMode="External"/><Relationship Id="rId27" Type="http://schemas.openxmlformats.org/officeDocument/2006/relationships/hyperlink" Target="http://www.nevo.co.il/law/70301/348.a"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11901</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5177439</vt:i4>
      </vt:variant>
      <vt:variant>
        <vt:i4>63</vt:i4>
      </vt:variant>
      <vt:variant>
        <vt:i4>0</vt:i4>
      </vt:variant>
      <vt:variant>
        <vt:i4>5</vt:i4>
      </vt:variant>
      <vt:variant>
        <vt:lpwstr>http://www.nevo.co.il/law/70301/349.a</vt:lpwstr>
      </vt:variant>
      <vt:variant>
        <vt:lpwstr/>
      </vt:variant>
      <vt:variant>
        <vt:i4>3407996</vt:i4>
      </vt:variant>
      <vt:variant>
        <vt:i4>60</vt:i4>
      </vt:variant>
      <vt:variant>
        <vt:i4>0</vt:i4>
      </vt:variant>
      <vt:variant>
        <vt:i4>5</vt:i4>
      </vt:variant>
      <vt:variant>
        <vt:lpwstr>http://www.nevo.co.il/case/6249234</vt:lpwstr>
      </vt:variant>
      <vt:variant>
        <vt:lpwstr/>
      </vt:variant>
      <vt:variant>
        <vt:i4>5177438</vt:i4>
      </vt:variant>
      <vt:variant>
        <vt:i4>57</vt:i4>
      </vt:variant>
      <vt:variant>
        <vt:i4>0</vt:i4>
      </vt:variant>
      <vt:variant>
        <vt:i4>5</vt:i4>
      </vt:variant>
      <vt:variant>
        <vt:lpwstr>http://www.nevo.co.il/law/70301/348.a</vt:lpwstr>
      </vt:variant>
      <vt:variant>
        <vt:lpwstr/>
      </vt:variant>
      <vt:variant>
        <vt:i4>13</vt:i4>
      </vt:variant>
      <vt:variant>
        <vt:i4>54</vt:i4>
      </vt:variant>
      <vt:variant>
        <vt:i4>0</vt:i4>
      </vt:variant>
      <vt:variant>
        <vt:i4>5</vt:i4>
      </vt:variant>
      <vt:variant>
        <vt:lpwstr>http://www.nevo.co.il/law/70301/34ka</vt:lpwstr>
      </vt:variant>
      <vt:variant>
        <vt:lpwstr/>
      </vt:variant>
      <vt:variant>
        <vt:i4>3997817</vt:i4>
      </vt:variant>
      <vt:variant>
        <vt:i4>51</vt:i4>
      </vt:variant>
      <vt:variant>
        <vt:i4>0</vt:i4>
      </vt:variant>
      <vt:variant>
        <vt:i4>5</vt:i4>
      </vt:variant>
      <vt:variant>
        <vt:lpwstr>http://www.nevo.co.il/case/6247986</vt:lpwstr>
      </vt:variant>
      <vt:variant>
        <vt:lpwstr/>
      </vt:variant>
      <vt:variant>
        <vt:i4>3407996</vt:i4>
      </vt:variant>
      <vt:variant>
        <vt:i4>48</vt:i4>
      </vt:variant>
      <vt:variant>
        <vt:i4>0</vt:i4>
      </vt:variant>
      <vt:variant>
        <vt:i4>5</vt:i4>
      </vt:variant>
      <vt:variant>
        <vt:lpwstr>http://www.nevo.co.il/case/6249234</vt:lpwstr>
      </vt:variant>
      <vt:variant>
        <vt:lpwstr/>
      </vt:variant>
      <vt:variant>
        <vt:i4>5177439</vt:i4>
      </vt:variant>
      <vt:variant>
        <vt:i4>45</vt:i4>
      </vt:variant>
      <vt:variant>
        <vt:i4>0</vt:i4>
      </vt:variant>
      <vt:variant>
        <vt:i4>5</vt:i4>
      </vt:variant>
      <vt:variant>
        <vt:lpwstr>http://www.nevo.co.il/law/70301/349.a</vt:lpwstr>
      </vt:variant>
      <vt:variant>
        <vt:lpwstr/>
      </vt:variant>
      <vt:variant>
        <vt:i4>5177438</vt:i4>
      </vt:variant>
      <vt:variant>
        <vt:i4>42</vt:i4>
      </vt:variant>
      <vt:variant>
        <vt:i4>0</vt:i4>
      </vt:variant>
      <vt:variant>
        <vt:i4>5</vt:i4>
      </vt:variant>
      <vt:variant>
        <vt:lpwstr>http://www.nevo.co.il/law/70301/348.c</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5177438</vt:i4>
      </vt:variant>
      <vt:variant>
        <vt:i4>36</vt:i4>
      </vt:variant>
      <vt:variant>
        <vt:i4>0</vt:i4>
      </vt:variant>
      <vt:variant>
        <vt:i4>5</vt:i4>
      </vt:variant>
      <vt:variant>
        <vt:lpwstr>http://www.nevo.co.il/law/70301/348.c</vt:lpwstr>
      </vt:variant>
      <vt:variant>
        <vt:lpwstr/>
      </vt:variant>
      <vt:variant>
        <vt:i4>5177438</vt:i4>
      </vt:variant>
      <vt:variant>
        <vt:i4>33</vt:i4>
      </vt:variant>
      <vt:variant>
        <vt:i4>0</vt:i4>
      </vt:variant>
      <vt:variant>
        <vt:i4>5</vt:i4>
      </vt:variant>
      <vt:variant>
        <vt:lpwstr>http://www.nevo.co.il/law/70301/348.c</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5177438</vt:i4>
      </vt:variant>
      <vt:variant>
        <vt:i4>27</vt:i4>
      </vt:variant>
      <vt:variant>
        <vt:i4>0</vt:i4>
      </vt:variant>
      <vt:variant>
        <vt:i4>5</vt:i4>
      </vt:variant>
      <vt:variant>
        <vt:lpwstr>http://www.nevo.co.il/law/70301/348.c</vt:lpwstr>
      </vt:variant>
      <vt:variant>
        <vt:lpwstr/>
      </vt:variant>
      <vt:variant>
        <vt:i4>5177439</vt:i4>
      </vt:variant>
      <vt:variant>
        <vt:i4>24</vt:i4>
      </vt:variant>
      <vt:variant>
        <vt:i4>0</vt:i4>
      </vt:variant>
      <vt:variant>
        <vt:i4>5</vt:i4>
      </vt:variant>
      <vt:variant>
        <vt:lpwstr>http://www.nevo.co.il/law/70301/349.a</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5177438</vt:i4>
      </vt:variant>
      <vt:variant>
        <vt:i4>15</vt:i4>
      </vt:variant>
      <vt:variant>
        <vt:i4>0</vt:i4>
      </vt:variant>
      <vt:variant>
        <vt:i4>5</vt:i4>
      </vt:variant>
      <vt:variant>
        <vt:lpwstr>http://www.nevo.co.il/law/70301/348.c</vt:lpwstr>
      </vt:variant>
      <vt:variant>
        <vt:lpwstr/>
      </vt:variant>
      <vt:variant>
        <vt:i4>13</vt:i4>
      </vt:variant>
      <vt:variant>
        <vt:i4>12</vt:i4>
      </vt:variant>
      <vt:variant>
        <vt:i4>0</vt:i4>
      </vt:variant>
      <vt:variant>
        <vt:i4>5</vt:i4>
      </vt:variant>
      <vt:variant>
        <vt:lpwstr>http://www.nevo.co.il/law/70301/34ka</vt:lpwstr>
      </vt:variant>
      <vt:variant>
        <vt:lpwstr/>
      </vt:variant>
      <vt:variant>
        <vt:i4>5177439</vt:i4>
      </vt:variant>
      <vt:variant>
        <vt:i4>9</vt:i4>
      </vt:variant>
      <vt:variant>
        <vt:i4>0</vt:i4>
      </vt:variant>
      <vt:variant>
        <vt:i4>5</vt:i4>
      </vt:variant>
      <vt:variant>
        <vt:lpwstr>http://www.nevo.co.il/law/70301/349.a</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5177438</vt:i4>
      </vt:variant>
      <vt:variant>
        <vt:i4>3</vt:i4>
      </vt:variant>
      <vt:variant>
        <vt:i4>0</vt:i4>
      </vt:variant>
      <vt:variant>
        <vt:i4>5</vt:i4>
      </vt:variant>
      <vt:variant>
        <vt:lpwstr>http://www.nevo.co.il/law/70301/348.a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2022-05-24T10:46:00Z</dcterms:created>
  <dcterms:modified xsi:type="dcterms:W3CDTF">2022-05-24T10:46:00Z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10401</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גנאדי בולקון</vt:lpwstr>
  </property>
  <property fmtid="{D5CDD505-2E9C-101B-9397-08002B2CF9AE}" pid="10" name="LAWYER">
    <vt:lpwstr>פאדי אסעד;אלי מסטרמן;נעמי מששה;שירה סוכצקי</vt:lpwstr>
  </property>
  <property fmtid="{D5CDD505-2E9C-101B-9397-08002B2CF9AE}" pid="11" name="JUDGE">
    <vt:lpwstr>מיכאל קרשן</vt:lpwstr>
  </property>
  <property fmtid="{D5CDD505-2E9C-101B-9397-08002B2CF9AE}" pid="12" name="CITY">
    <vt:lpwstr>כ"ס</vt:lpwstr>
  </property>
  <property fmtid="{D5CDD505-2E9C-101B-9397-08002B2CF9AE}" pid="13" name="DATE">
    <vt:lpwstr>20161030</vt:lpwstr>
  </property>
  <property fmtid="{D5CDD505-2E9C-101B-9397-08002B2CF9AE}" pid="14" name="TYPE_N_DATE">
    <vt:lpwstr>38020161030</vt:lpwstr>
  </property>
  <property fmtid="{D5CDD505-2E9C-101B-9397-08002B2CF9AE}" pid="15" name="CASESLISTTMP1">
    <vt:lpwstr>6249234:2;6247986</vt:lpwstr>
  </property>
  <property fmtid="{D5CDD505-2E9C-101B-9397-08002B2CF9AE}" pid="16" name="CASENOTES1">
    <vt:lpwstr>ProcID=213&amp;PartA=16&amp;PartC=12</vt:lpwstr>
  </property>
  <property fmtid="{D5CDD505-2E9C-101B-9397-08002B2CF9AE}" pid="17" name="CASENOTES2">
    <vt:lpwstr>ProcID=213&amp;PartA=12&amp;PartC=11</vt:lpwstr>
  </property>
  <property fmtid="{D5CDD505-2E9C-101B-9397-08002B2CF9AE}" pid="18" name="CASENOTES3">
    <vt:lpwstr>ProcID=213&amp;PartA=71&amp;PartC=67</vt:lpwstr>
  </property>
  <property fmtid="{D5CDD505-2E9C-101B-9397-08002B2CF9AE}" pid="19" name="CASENOTES4">
    <vt:lpwstr>ProcID=213&amp;PartA=16&amp;PartC=15</vt:lpwstr>
  </property>
  <property fmtid="{D5CDD505-2E9C-101B-9397-08002B2CF9AE}" pid="20" name="WORDNUMPAGES">
    <vt:lpwstr>7</vt:lpwstr>
  </property>
  <property fmtid="{D5CDD505-2E9C-101B-9397-08002B2CF9AE}" pid="21" name="TYPE_ABS_DATE">
    <vt:lpwstr>380120161030</vt:lpwstr>
  </property>
  <property fmtid="{D5CDD505-2E9C-101B-9397-08002B2CF9AE}" pid="22" name="ISABSTRACT">
    <vt:lpwstr>Y</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YES</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y fmtid="{D5CDD505-2E9C-101B-9397-08002B2CF9AE}" pid="40" name="LAWLISTTMP1">
    <vt:lpwstr>70301/348.c:8;349.a:4;34ka:2;348.a:2</vt:lpwstr>
  </property>
  <property fmtid="{D5CDD505-2E9C-101B-9397-08002B2CF9AE}" pid="41" name="METAKZER">
    <vt:lpwstr>שירי</vt:lpwstr>
  </property>
  <property fmtid="{D5CDD505-2E9C-101B-9397-08002B2CF9AE}" pid="42" name="NOSE1ID">
    <vt:lpwstr>77;77</vt:lpwstr>
  </property>
  <property fmtid="{D5CDD505-2E9C-101B-9397-08002B2CF9AE}" pid="43" name="NOSE2ID">
    <vt:lpwstr>1443;1443</vt:lpwstr>
  </property>
  <property fmtid="{D5CDD505-2E9C-101B-9397-08002B2CF9AE}" pid="44" name="NOSE3ID">
    <vt:lpwstr>8852;11917</vt:lpwstr>
  </property>
  <property fmtid="{D5CDD505-2E9C-101B-9397-08002B2CF9AE}" pid="45" name="NOSE11">
    <vt:lpwstr>עונשין</vt:lpwstr>
  </property>
  <property fmtid="{D5CDD505-2E9C-101B-9397-08002B2CF9AE}" pid="46" name="NOSE21">
    <vt:lpwstr>עבירות</vt:lpwstr>
  </property>
  <property fmtid="{D5CDD505-2E9C-101B-9397-08002B2CF9AE}" pid="47" name="NOSE31">
    <vt:lpwstr>מעשה מגונה</vt:lpwstr>
  </property>
  <property fmtid="{D5CDD505-2E9C-101B-9397-08002B2CF9AE}" pid="48" name="NOSE12">
    <vt:lpwstr>עונשין</vt:lpwstr>
  </property>
  <property fmtid="{D5CDD505-2E9C-101B-9397-08002B2CF9AE}" pid="49" name="NOSE22">
    <vt:lpwstr>עבירות</vt:lpwstr>
  </property>
  <property fmtid="{D5CDD505-2E9C-101B-9397-08002B2CF9AE}" pid="50" name="NOSE32">
    <vt:lpwstr>מעשה מגונה בפומבי</vt:lpwstr>
  </property>
  <property fmtid="{D5CDD505-2E9C-101B-9397-08002B2CF9AE}" pid="51" name="NOSE13">
    <vt:lpwstr/>
  </property>
  <property fmtid="{D5CDD505-2E9C-101B-9397-08002B2CF9AE}" pid="52" name="NOSE23">
    <vt:lpwstr/>
  </property>
  <property fmtid="{D5CDD505-2E9C-101B-9397-08002B2CF9AE}" pid="53" name="NOSE33">
    <vt:lpwstr/>
  </property>
  <property fmtid="{D5CDD505-2E9C-101B-9397-08002B2CF9AE}" pid="54" name="NOSE14">
    <vt:lpwstr/>
  </property>
  <property fmtid="{D5CDD505-2E9C-101B-9397-08002B2CF9AE}" pid="55" name="NOSE24">
    <vt:lpwstr/>
  </property>
  <property fmtid="{D5CDD505-2E9C-101B-9397-08002B2CF9AE}" pid="56" name="NOSE34">
    <vt:lpwstr/>
  </property>
  <property fmtid="{D5CDD505-2E9C-101B-9397-08002B2CF9AE}" pid="57" name="NOSE15">
    <vt:lpwstr/>
  </property>
  <property fmtid="{D5CDD505-2E9C-101B-9397-08002B2CF9AE}" pid="58" name="NOSE25">
    <vt:lpwstr/>
  </property>
  <property fmtid="{D5CDD505-2E9C-101B-9397-08002B2CF9AE}" pid="59" name="NOSE35">
    <vt:lpwstr/>
  </property>
  <property fmtid="{D5CDD505-2E9C-101B-9397-08002B2CF9AE}" pid="60" name="NOSE16">
    <vt:lpwstr/>
  </property>
  <property fmtid="{D5CDD505-2E9C-101B-9397-08002B2CF9AE}" pid="61" name="NOSE26">
    <vt:lpwstr/>
  </property>
  <property fmtid="{D5CDD505-2E9C-101B-9397-08002B2CF9AE}" pid="62" name="NOSE36">
    <vt:lpwstr/>
  </property>
  <property fmtid="{D5CDD505-2E9C-101B-9397-08002B2CF9AE}" pid="63" name="NOSE17">
    <vt:lpwstr/>
  </property>
  <property fmtid="{D5CDD505-2E9C-101B-9397-08002B2CF9AE}" pid="64" name="NOSE27">
    <vt:lpwstr/>
  </property>
  <property fmtid="{D5CDD505-2E9C-101B-9397-08002B2CF9AE}" pid="65" name="NOSE37">
    <vt:lpwstr/>
  </property>
  <property fmtid="{D5CDD505-2E9C-101B-9397-08002B2CF9AE}" pid="66" name="NOSE18">
    <vt:lpwstr/>
  </property>
  <property fmtid="{D5CDD505-2E9C-101B-9397-08002B2CF9AE}" pid="67" name="NOSE28">
    <vt:lpwstr/>
  </property>
  <property fmtid="{D5CDD505-2E9C-101B-9397-08002B2CF9AE}" pid="68" name="NOSE38">
    <vt:lpwstr/>
  </property>
  <property fmtid="{D5CDD505-2E9C-101B-9397-08002B2CF9AE}" pid="69" name="NOSE19">
    <vt:lpwstr/>
  </property>
  <property fmtid="{D5CDD505-2E9C-101B-9397-08002B2CF9AE}" pid="70" name="NOSE29">
    <vt:lpwstr/>
  </property>
  <property fmtid="{D5CDD505-2E9C-101B-9397-08002B2CF9AE}" pid="71" name="NOSE39">
    <vt:lpwstr/>
  </property>
  <property fmtid="{D5CDD505-2E9C-101B-9397-08002B2CF9AE}" pid="72" name="NOSE110">
    <vt:lpwstr/>
  </property>
  <property fmtid="{D5CDD505-2E9C-101B-9397-08002B2CF9AE}" pid="73" name="NOSE210">
    <vt:lpwstr/>
  </property>
  <property fmtid="{D5CDD505-2E9C-101B-9397-08002B2CF9AE}" pid="74" name="NOSE310">
    <vt:lpwstr/>
  </property>
  <property fmtid="{D5CDD505-2E9C-101B-9397-08002B2CF9AE}" pid="75" name="PADIDATE">
    <vt:lpwstr>20161114</vt:lpwstr>
  </property>
</Properties>
</file>