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383730" w:rsidRPr="00383730" w14:paraId="73974CBD" w14:textId="77777777" w:rsidTr="00FA3410">
        <w:trPr>
          <w:trHeight w:hRule="exact" w:val="418"/>
          <w:jc w:val="center"/>
        </w:trPr>
        <w:tc>
          <w:tcPr>
            <w:tcW w:w="8721" w:type="dxa"/>
            <w:gridSpan w:val="2"/>
          </w:tcPr>
          <w:p w14:paraId="679C55DF" w14:textId="77777777" w:rsidR="00383730" w:rsidRPr="00383730" w:rsidRDefault="00383730" w:rsidP="00FA3410">
            <w:pPr>
              <w:pStyle w:val="Header"/>
              <w:jc w:val="center"/>
              <w:rPr>
                <w:rFonts w:ascii="Tahoma" w:hAnsi="Tahoma" w:cs="Tahoma"/>
                <w:color w:val="000080"/>
                <w:rtl/>
              </w:rPr>
            </w:pPr>
            <w:bookmarkStart w:id="0" w:name="LastJudge"/>
            <w:r w:rsidRPr="00383730">
              <w:rPr>
                <w:rFonts w:ascii="Tahoma" w:hAnsi="Tahoma" w:cs="Tahoma"/>
                <w:b/>
                <w:bCs/>
                <w:color w:val="000080"/>
                <w:rtl/>
              </w:rPr>
              <w:t>בית משפט השלום בראשון לציון</w:t>
            </w:r>
          </w:p>
        </w:tc>
      </w:tr>
      <w:tr w:rsidR="00383730" w:rsidRPr="00383730" w14:paraId="3032EB1C" w14:textId="77777777" w:rsidTr="00FA3410">
        <w:trPr>
          <w:trHeight w:val="337"/>
          <w:jc w:val="center"/>
        </w:trPr>
        <w:tc>
          <w:tcPr>
            <w:tcW w:w="5047" w:type="dxa"/>
          </w:tcPr>
          <w:p w14:paraId="0E67D637" w14:textId="77777777" w:rsidR="00383730" w:rsidRPr="00383730" w:rsidRDefault="00383730" w:rsidP="00FA3410">
            <w:pPr>
              <w:pStyle w:val="Header"/>
              <w:rPr>
                <w:rFonts w:cs="FrankRuehl"/>
                <w:sz w:val="28"/>
                <w:szCs w:val="28"/>
                <w:rtl/>
              </w:rPr>
            </w:pPr>
          </w:p>
        </w:tc>
        <w:tc>
          <w:tcPr>
            <w:tcW w:w="3674" w:type="dxa"/>
          </w:tcPr>
          <w:p w14:paraId="4091B0A8" w14:textId="77777777" w:rsidR="00383730" w:rsidRPr="00383730" w:rsidRDefault="00383730" w:rsidP="00FA3410">
            <w:pPr>
              <w:pStyle w:val="Header"/>
              <w:jc w:val="right"/>
              <w:rPr>
                <w:rFonts w:cs="FrankRuehl"/>
                <w:sz w:val="28"/>
                <w:szCs w:val="28"/>
                <w:rtl/>
              </w:rPr>
            </w:pPr>
          </w:p>
        </w:tc>
      </w:tr>
      <w:tr w:rsidR="00383730" w:rsidRPr="00D419E8" w14:paraId="000A1620" w14:textId="77777777" w:rsidTr="00FA3410">
        <w:trPr>
          <w:trHeight w:val="337"/>
          <w:jc w:val="center"/>
        </w:trPr>
        <w:tc>
          <w:tcPr>
            <w:tcW w:w="8721" w:type="dxa"/>
            <w:gridSpan w:val="2"/>
          </w:tcPr>
          <w:p w14:paraId="2C724EFD" w14:textId="77777777" w:rsidR="00383730" w:rsidRPr="00D419E8" w:rsidRDefault="00383730" w:rsidP="00FA3410">
            <w:pPr>
              <w:rPr>
                <w:rFonts w:ascii="David" w:hAnsi="David"/>
                <w:b/>
                <w:bCs/>
                <w:sz w:val="26"/>
                <w:szCs w:val="26"/>
                <w:rtl/>
              </w:rPr>
            </w:pPr>
            <w:r w:rsidRPr="00D419E8">
              <w:rPr>
                <w:rFonts w:ascii="David" w:hAnsi="David"/>
                <w:b/>
                <w:bCs/>
                <w:sz w:val="26"/>
                <w:szCs w:val="26"/>
                <w:rtl/>
              </w:rPr>
              <w:t xml:space="preserve">ת"פ </w:t>
            </w:r>
            <w:bookmarkStart w:id="1" w:name="_GoBack"/>
            <w:r w:rsidRPr="00D419E8">
              <w:rPr>
                <w:rFonts w:ascii="David" w:hAnsi="David"/>
                <w:b/>
                <w:bCs/>
                <w:sz w:val="26"/>
                <w:szCs w:val="26"/>
                <w:rtl/>
              </w:rPr>
              <w:t>14738-01-18</w:t>
            </w:r>
            <w:bookmarkEnd w:id="1"/>
            <w:r w:rsidRPr="00D419E8">
              <w:rPr>
                <w:rFonts w:ascii="David" w:hAnsi="David"/>
                <w:b/>
                <w:bCs/>
                <w:sz w:val="26"/>
                <w:szCs w:val="26"/>
                <w:rtl/>
              </w:rPr>
              <w:t xml:space="preserve"> מדינת ישראל נ' פלוני</w:t>
            </w:r>
          </w:p>
          <w:p w14:paraId="384D1421" w14:textId="77777777" w:rsidR="00383730" w:rsidRPr="00D419E8" w:rsidRDefault="00383730" w:rsidP="00FA3410">
            <w:pPr>
              <w:pStyle w:val="Header"/>
              <w:rPr>
                <w:rFonts w:ascii="David" w:hAnsi="David"/>
                <w:b/>
                <w:bCs/>
                <w:sz w:val="26"/>
                <w:szCs w:val="26"/>
                <w:rtl/>
              </w:rPr>
            </w:pPr>
          </w:p>
        </w:tc>
      </w:tr>
    </w:tbl>
    <w:p w14:paraId="1DFF7ED4" w14:textId="77777777" w:rsidR="00383730" w:rsidRPr="00D419E8" w:rsidRDefault="00383730" w:rsidP="00383730">
      <w:pPr>
        <w:pStyle w:val="Header"/>
        <w:rPr>
          <w:rFonts w:ascii="David" w:hAnsi="David"/>
          <w:b/>
          <w:bCs/>
          <w:sz w:val="26"/>
          <w:szCs w:val="26"/>
        </w:rPr>
      </w:pPr>
      <w:r w:rsidRPr="00D419E8">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383730" w:rsidRPr="00D419E8" w14:paraId="283B5A63" w14:textId="77777777" w:rsidTr="00FA3410">
        <w:trPr>
          <w:trHeight w:val="295"/>
          <w:jc w:val="center"/>
        </w:trPr>
        <w:tc>
          <w:tcPr>
            <w:tcW w:w="743" w:type="dxa"/>
            <w:tcBorders>
              <w:top w:val="nil"/>
              <w:left w:val="nil"/>
              <w:bottom w:val="nil"/>
              <w:right w:val="nil"/>
            </w:tcBorders>
          </w:tcPr>
          <w:p w14:paraId="6DB13D24" w14:textId="77777777" w:rsidR="00383730" w:rsidRPr="00D419E8" w:rsidRDefault="00383730" w:rsidP="00FA3410">
            <w:pPr>
              <w:jc w:val="both"/>
              <w:rPr>
                <w:rFonts w:ascii="David" w:hAnsi="David"/>
                <w:b/>
                <w:bCs/>
                <w:sz w:val="26"/>
                <w:szCs w:val="26"/>
              </w:rPr>
            </w:pPr>
            <w:r w:rsidRPr="00D419E8">
              <w:rPr>
                <w:rFonts w:ascii="David" w:hAnsi="David"/>
                <w:b/>
                <w:bCs/>
                <w:sz w:val="26"/>
                <w:szCs w:val="26"/>
                <w:rtl/>
              </w:rPr>
              <w:t xml:space="preserve">בפני </w:t>
            </w:r>
          </w:p>
        </w:tc>
        <w:tc>
          <w:tcPr>
            <w:tcW w:w="8077" w:type="dxa"/>
            <w:tcBorders>
              <w:top w:val="nil"/>
              <w:left w:val="nil"/>
              <w:bottom w:val="nil"/>
              <w:right w:val="nil"/>
            </w:tcBorders>
          </w:tcPr>
          <w:p w14:paraId="43838969" w14:textId="77777777" w:rsidR="00383730" w:rsidRPr="00D419E8" w:rsidRDefault="00383730" w:rsidP="00FA3410">
            <w:pPr>
              <w:rPr>
                <w:rFonts w:ascii="David" w:hAnsi="David"/>
                <w:b/>
                <w:bCs/>
                <w:sz w:val="26"/>
                <w:szCs w:val="26"/>
                <w:highlight w:val="yellow"/>
              </w:rPr>
            </w:pPr>
            <w:r w:rsidRPr="00D419E8">
              <w:rPr>
                <w:rFonts w:ascii="David" w:hAnsi="David"/>
                <w:b/>
                <w:bCs/>
                <w:sz w:val="26"/>
                <w:szCs w:val="26"/>
                <w:rtl/>
              </w:rPr>
              <w:t>כבוד השופט עמית מיכלס</w:t>
            </w:r>
          </w:p>
        </w:tc>
      </w:tr>
    </w:tbl>
    <w:p w14:paraId="08074842" w14:textId="77777777" w:rsidR="00383730" w:rsidRPr="00D419E8" w:rsidRDefault="00383730">
      <w:pPr>
        <w:rPr>
          <w:rFonts w:ascii="David" w:hAnsi="David"/>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4217"/>
        <w:gridCol w:w="3710"/>
      </w:tblGrid>
      <w:tr w:rsidR="00383730" w:rsidRPr="00D419E8" w14:paraId="796500B1" w14:textId="77777777" w:rsidTr="00D419E8">
        <w:trPr>
          <w:trHeight w:val="355"/>
          <w:jc w:val="center"/>
        </w:trPr>
        <w:tc>
          <w:tcPr>
            <w:tcW w:w="893" w:type="dxa"/>
            <w:tcBorders>
              <w:top w:val="nil"/>
              <w:left w:val="nil"/>
              <w:bottom w:val="nil"/>
              <w:right w:val="nil"/>
            </w:tcBorders>
          </w:tcPr>
          <w:p w14:paraId="1A6BB99C" w14:textId="77777777" w:rsidR="00383730" w:rsidRPr="00D419E8" w:rsidRDefault="00383730" w:rsidP="00FA3410">
            <w:pPr>
              <w:jc w:val="both"/>
              <w:rPr>
                <w:rFonts w:ascii="David" w:hAnsi="David"/>
                <w:b/>
                <w:bCs/>
                <w:sz w:val="26"/>
                <w:szCs w:val="26"/>
                <w:rtl/>
              </w:rPr>
            </w:pPr>
            <w:bookmarkStart w:id="2" w:name="FirstAppellant"/>
          </w:p>
          <w:p w14:paraId="31BC60E7" w14:textId="77777777" w:rsidR="00383730" w:rsidRPr="00D419E8" w:rsidRDefault="00383730" w:rsidP="00FA3410">
            <w:pPr>
              <w:jc w:val="both"/>
              <w:rPr>
                <w:rFonts w:ascii="David" w:hAnsi="David"/>
                <w:b/>
                <w:bCs/>
                <w:sz w:val="26"/>
                <w:szCs w:val="26"/>
              </w:rPr>
            </w:pPr>
            <w:r w:rsidRPr="00D419E8">
              <w:rPr>
                <w:rFonts w:ascii="David" w:hAnsi="David"/>
                <w:b/>
                <w:bCs/>
                <w:sz w:val="26"/>
                <w:szCs w:val="26"/>
                <w:rtl/>
              </w:rPr>
              <w:t>בעניין:</w:t>
            </w:r>
          </w:p>
        </w:tc>
        <w:tc>
          <w:tcPr>
            <w:tcW w:w="4217" w:type="dxa"/>
            <w:tcBorders>
              <w:top w:val="nil"/>
              <w:left w:val="nil"/>
              <w:bottom w:val="nil"/>
              <w:right w:val="nil"/>
            </w:tcBorders>
          </w:tcPr>
          <w:p w14:paraId="22DE3F7B" w14:textId="77777777" w:rsidR="00383730" w:rsidRPr="00D419E8" w:rsidRDefault="00383730" w:rsidP="00FA3410">
            <w:pPr>
              <w:rPr>
                <w:rFonts w:ascii="David" w:hAnsi="David"/>
                <w:b/>
                <w:bCs/>
                <w:sz w:val="26"/>
                <w:szCs w:val="26"/>
                <w:rtl/>
              </w:rPr>
            </w:pPr>
          </w:p>
          <w:p w14:paraId="4336290D" w14:textId="77777777" w:rsidR="00383730" w:rsidRPr="00D419E8" w:rsidRDefault="00383730" w:rsidP="00FA3410">
            <w:pPr>
              <w:rPr>
                <w:rFonts w:ascii="David" w:hAnsi="David"/>
                <w:b/>
                <w:bCs/>
                <w:sz w:val="26"/>
                <w:szCs w:val="26"/>
              </w:rPr>
            </w:pPr>
            <w:r w:rsidRPr="00D419E8">
              <w:rPr>
                <w:rFonts w:ascii="David" w:hAnsi="David"/>
                <w:b/>
                <w:bCs/>
                <w:sz w:val="26"/>
                <w:szCs w:val="26"/>
                <w:rtl/>
              </w:rPr>
              <w:t>מדינת ישראל</w:t>
            </w:r>
          </w:p>
        </w:tc>
        <w:tc>
          <w:tcPr>
            <w:tcW w:w="3710" w:type="dxa"/>
            <w:tcBorders>
              <w:top w:val="nil"/>
              <w:left w:val="nil"/>
              <w:bottom w:val="nil"/>
              <w:right w:val="nil"/>
            </w:tcBorders>
          </w:tcPr>
          <w:p w14:paraId="0FD1A99F" w14:textId="77777777" w:rsidR="00383730" w:rsidRPr="00D419E8" w:rsidRDefault="00383730" w:rsidP="00FA3410">
            <w:pPr>
              <w:jc w:val="both"/>
              <w:rPr>
                <w:rFonts w:ascii="David" w:hAnsi="David"/>
                <w:b/>
                <w:bCs/>
                <w:sz w:val="26"/>
                <w:szCs w:val="26"/>
              </w:rPr>
            </w:pPr>
          </w:p>
        </w:tc>
      </w:tr>
      <w:bookmarkEnd w:id="2"/>
      <w:tr w:rsidR="00383730" w:rsidRPr="00D419E8" w14:paraId="34B1CD20" w14:textId="77777777" w:rsidTr="00D419E8">
        <w:trPr>
          <w:trHeight w:val="355"/>
          <w:jc w:val="center"/>
        </w:trPr>
        <w:tc>
          <w:tcPr>
            <w:tcW w:w="893" w:type="dxa"/>
            <w:tcBorders>
              <w:top w:val="nil"/>
              <w:left w:val="nil"/>
              <w:bottom w:val="nil"/>
              <w:right w:val="nil"/>
            </w:tcBorders>
          </w:tcPr>
          <w:p w14:paraId="32D86E87" w14:textId="77777777" w:rsidR="00383730" w:rsidRPr="00D419E8" w:rsidRDefault="00383730" w:rsidP="00FA3410">
            <w:pPr>
              <w:jc w:val="both"/>
              <w:rPr>
                <w:rFonts w:ascii="David" w:hAnsi="David"/>
                <w:b/>
                <w:bCs/>
                <w:sz w:val="26"/>
                <w:szCs w:val="26"/>
                <w:rtl/>
              </w:rPr>
            </w:pPr>
          </w:p>
        </w:tc>
        <w:tc>
          <w:tcPr>
            <w:tcW w:w="4217" w:type="dxa"/>
            <w:tcBorders>
              <w:top w:val="nil"/>
              <w:left w:val="nil"/>
              <w:bottom w:val="nil"/>
              <w:right w:val="nil"/>
            </w:tcBorders>
          </w:tcPr>
          <w:p w14:paraId="3414FDFF" w14:textId="77777777" w:rsidR="00383730" w:rsidRPr="00D419E8" w:rsidRDefault="00383730" w:rsidP="00FA3410">
            <w:pPr>
              <w:jc w:val="both"/>
              <w:rPr>
                <w:rFonts w:ascii="David" w:hAnsi="David"/>
                <w:b/>
                <w:bCs/>
                <w:sz w:val="26"/>
                <w:szCs w:val="26"/>
                <w:rtl/>
              </w:rPr>
            </w:pPr>
          </w:p>
        </w:tc>
        <w:tc>
          <w:tcPr>
            <w:tcW w:w="3710" w:type="dxa"/>
            <w:tcBorders>
              <w:top w:val="nil"/>
              <w:left w:val="nil"/>
              <w:bottom w:val="nil"/>
              <w:right w:val="nil"/>
            </w:tcBorders>
          </w:tcPr>
          <w:p w14:paraId="2460E805" w14:textId="77777777" w:rsidR="00383730" w:rsidRPr="00D419E8" w:rsidRDefault="00383730" w:rsidP="00D419E8">
            <w:pPr>
              <w:jc w:val="right"/>
              <w:rPr>
                <w:rFonts w:ascii="David" w:hAnsi="David"/>
                <w:b/>
                <w:bCs/>
                <w:sz w:val="26"/>
                <w:szCs w:val="26"/>
                <w:rtl/>
              </w:rPr>
            </w:pPr>
            <w:r w:rsidRPr="00D419E8">
              <w:rPr>
                <w:rFonts w:ascii="David" w:hAnsi="David"/>
                <w:b/>
                <w:bCs/>
                <w:sz w:val="26"/>
                <w:szCs w:val="26"/>
                <w:rtl/>
              </w:rPr>
              <w:t>המאשימה</w:t>
            </w:r>
          </w:p>
        </w:tc>
      </w:tr>
      <w:tr w:rsidR="00D419E8" w:rsidRPr="00D419E8" w14:paraId="68319DBF" w14:textId="77777777" w:rsidTr="00257B7B">
        <w:trPr>
          <w:trHeight w:val="355"/>
          <w:jc w:val="center"/>
        </w:trPr>
        <w:tc>
          <w:tcPr>
            <w:tcW w:w="8820" w:type="dxa"/>
            <w:gridSpan w:val="3"/>
            <w:tcBorders>
              <w:top w:val="nil"/>
              <w:left w:val="nil"/>
              <w:bottom w:val="nil"/>
              <w:right w:val="nil"/>
            </w:tcBorders>
          </w:tcPr>
          <w:p w14:paraId="24171F24" w14:textId="77777777" w:rsidR="00D419E8" w:rsidRPr="00D419E8" w:rsidRDefault="00D419E8" w:rsidP="00FA3410">
            <w:pPr>
              <w:jc w:val="center"/>
              <w:rPr>
                <w:rFonts w:ascii="David" w:hAnsi="David"/>
                <w:b/>
                <w:bCs/>
                <w:sz w:val="26"/>
                <w:szCs w:val="26"/>
                <w:rtl/>
              </w:rPr>
            </w:pPr>
          </w:p>
          <w:p w14:paraId="26126BBE" w14:textId="77777777" w:rsidR="00D419E8" w:rsidRPr="00D419E8" w:rsidRDefault="00D419E8" w:rsidP="00FA3410">
            <w:pPr>
              <w:jc w:val="center"/>
              <w:rPr>
                <w:rFonts w:ascii="David" w:hAnsi="David"/>
                <w:b/>
                <w:bCs/>
                <w:sz w:val="26"/>
                <w:szCs w:val="26"/>
                <w:rtl/>
              </w:rPr>
            </w:pPr>
            <w:r w:rsidRPr="00D419E8">
              <w:rPr>
                <w:rFonts w:ascii="David" w:hAnsi="David"/>
                <w:b/>
                <w:bCs/>
                <w:sz w:val="26"/>
                <w:szCs w:val="26"/>
                <w:rtl/>
              </w:rPr>
              <w:t>נגד</w:t>
            </w:r>
          </w:p>
          <w:p w14:paraId="2BBC0C53" w14:textId="77777777" w:rsidR="00D419E8" w:rsidRPr="00D419E8" w:rsidRDefault="00D419E8" w:rsidP="00FA3410">
            <w:pPr>
              <w:jc w:val="both"/>
              <w:rPr>
                <w:rFonts w:ascii="David" w:hAnsi="David"/>
                <w:b/>
                <w:bCs/>
                <w:sz w:val="26"/>
                <w:szCs w:val="26"/>
              </w:rPr>
            </w:pPr>
          </w:p>
        </w:tc>
      </w:tr>
      <w:tr w:rsidR="00383730" w:rsidRPr="00D419E8" w14:paraId="60497A79" w14:textId="77777777" w:rsidTr="00D419E8">
        <w:trPr>
          <w:trHeight w:val="355"/>
          <w:jc w:val="center"/>
        </w:trPr>
        <w:tc>
          <w:tcPr>
            <w:tcW w:w="893" w:type="dxa"/>
            <w:tcBorders>
              <w:top w:val="nil"/>
              <w:left w:val="nil"/>
              <w:bottom w:val="nil"/>
              <w:right w:val="nil"/>
            </w:tcBorders>
          </w:tcPr>
          <w:p w14:paraId="527DA12C" w14:textId="77777777" w:rsidR="00383730" w:rsidRPr="00D419E8" w:rsidRDefault="00383730" w:rsidP="00FA3410">
            <w:pPr>
              <w:jc w:val="both"/>
              <w:rPr>
                <w:rFonts w:ascii="David" w:hAnsi="David"/>
                <w:b/>
                <w:bCs/>
                <w:sz w:val="26"/>
                <w:szCs w:val="26"/>
                <w:rtl/>
              </w:rPr>
            </w:pPr>
          </w:p>
        </w:tc>
        <w:tc>
          <w:tcPr>
            <w:tcW w:w="4217" w:type="dxa"/>
            <w:tcBorders>
              <w:top w:val="nil"/>
              <w:left w:val="nil"/>
              <w:bottom w:val="nil"/>
              <w:right w:val="nil"/>
            </w:tcBorders>
          </w:tcPr>
          <w:p w14:paraId="389CE755" w14:textId="77777777" w:rsidR="00383730" w:rsidRPr="00D419E8" w:rsidRDefault="00383730" w:rsidP="00FA3410">
            <w:pPr>
              <w:rPr>
                <w:rFonts w:ascii="David" w:hAnsi="David"/>
                <w:b/>
                <w:bCs/>
                <w:sz w:val="26"/>
                <w:szCs w:val="26"/>
                <w:rtl/>
              </w:rPr>
            </w:pPr>
            <w:r w:rsidRPr="00D419E8">
              <w:rPr>
                <w:rFonts w:ascii="David" w:hAnsi="David"/>
                <w:b/>
                <w:bCs/>
                <w:sz w:val="26"/>
                <w:szCs w:val="26"/>
                <w:rtl/>
              </w:rPr>
              <w:t>פלוני</w:t>
            </w:r>
          </w:p>
        </w:tc>
        <w:tc>
          <w:tcPr>
            <w:tcW w:w="3710" w:type="dxa"/>
            <w:tcBorders>
              <w:top w:val="nil"/>
              <w:left w:val="nil"/>
              <w:bottom w:val="nil"/>
              <w:right w:val="nil"/>
            </w:tcBorders>
          </w:tcPr>
          <w:p w14:paraId="76637341" w14:textId="77777777" w:rsidR="00383730" w:rsidRPr="00D419E8" w:rsidRDefault="00383730" w:rsidP="00FA3410">
            <w:pPr>
              <w:jc w:val="right"/>
              <w:rPr>
                <w:rFonts w:ascii="David" w:hAnsi="David"/>
                <w:b/>
                <w:bCs/>
                <w:sz w:val="26"/>
                <w:szCs w:val="26"/>
              </w:rPr>
            </w:pPr>
          </w:p>
        </w:tc>
      </w:tr>
      <w:tr w:rsidR="00383730" w:rsidRPr="00D419E8" w14:paraId="5C020BAE" w14:textId="77777777" w:rsidTr="00D419E8">
        <w:trPr>
          <w:trHeight w:val="355"/>
          <w:jc w:val="center"/>
        </w:trPr>
        <w:tc>
          <w:tcPr>
            <w:tcW w:w="893" w:type="dxa"/>
            <w:tcBorders>
              <w:top w:val="nil"/>
              <w:left w:val="nil"/>
              <w:bottom w:val="nil"/>
              <w:right w:val="nil"/>
            </w:tcBorders>
          </w:tcPr>
          <w:p w14:paraId="7DEC6984" w14:textId="77777777" w:rsidR="00383730" w:rsidRPr="00D419E8" w:rsidRDefault="00383730" w:rsidP="00FA3410">
            <w:pPr>
              <w:jc w:val="both"/>
              <w:rPr>
                <w:rFonts w:ascii="David" w:hAnsi="David"/>
                <w:b/>
                <w:bCs/>
                <w:sz w:val="26"/>
                <w:szCs w:val="26"/>
                <w:rtl/>
              </w:rPr>
            </w:pPr>
          </w:p>
        </w:tc>
        <w:tc>
          <w:tcPr>
            <w:tcW w:w="4217" w:type="dxa"/>
            <w:tcBorders>
              <w:top w:val="nil"/>
              <w:left w:val="nil"/>
              <w:bottom w:val="nil"/>
              <w:right w:val="nil"/>
            </w:tcBorders>
          </w:tcPr>
          <w:p w14:paraId="7198ECEE" w14:textId="77777777" w:rsidR="00383730" w:rsidRPr="00D419E8" w:rsidRDefault="00383730" w:rsidP="00FA3410">
            <w:pPr>
              <w:jc w:val="both"/>
              <w:rPr>
                <w:rFonts w:ascii="David" w:hAnsi="David"/>
                <w:b/>
                <w:bCs/>
                <w:sz w:val="26"/>
                <w:szCs w:val="26"/>
                <w:rtl/>
              </w:rPr>
            </w:pPr>
          </w:p>
        </w:tc>
        <w:tc>
          <w:tcPr>
            <w:tcW w:w="3710" w:type="dxa"/>
            <w:tcBorders>
              <w:top w:val="nil"/>
              <w:left w:val="nil"/>
              <w:bottom w:val="nil"/>
              <w:right w:val="nil"/>
            </w:tcBorders>
          </w:tcPr>
          <w:p w14:paraId="12C64998" w14:textId="77777777" w:rsidR="00383730" w:rsidRPr="00D419E8" w:rsidRDefault="00383730" w:rsidP="00D419E8">
            <w:pPr>
              <w:jc w:val="right"/>
              <w:rPr>
                <w:rFonts w:ascii="David" w:hAnsi="David"/>
                <w:b/>
                <w:bCs/>
                <w:sz w:val="26"/>
                <w:szCs w:val="26"/>
              </w:rPr>
            </w:pPr>
            <w:r w:rsidRPr="00D419E8">
              <w:rPr>
                <w:rFonts w:ascii="David" w:hAnsi="David"/>
                <w:b/>
                <w:bCs/>
                <w:sz w:val="26"/>
                <w:szCs w:val="26"/>
                <w:rtl/>
              </w:rPr>
              <w:t>הנאשם</w:t>
            </w:r>
          </w:p>
        </w:tc>
      </w:tr>
    </w:tbl>
    <w:p w14:paraId="55870CA5" w14:textId="77777777" w:rsidR="00383730" w:rsidRPr="00383730" w:rsidRDefault="00383730">
      <w:pPr>
        <w:rPr>
          <w:rtl/>
        </w:rPr>
      </w:pPr>
    </w:p>
    <w:p w14:paraId="38FCE823" w14:textId="77777777" w:rsidR="00953F88" w:rsidRPr="00383730" w:rsidRDefault="00953F88">
      <w:pPr>
        <w:rPr>
          <w:rtl/>
        </w:rPr>
      </w:pPr>
    </w:p>
    <w:p w14:paraId="59626A85" w14:textId="77777777" w:rsidR="00953F88" w:rsidRPr="00383730" w:rsidRDefault="00953F88">
      <w:pPr>
        <w:rPr>
          <w:rtl/>
        </w:rPr>
      </w:pPr>
      <w:bookmarkStart w:id="3" w:name="FirstLawyer"/>
      <w:r w:rsidRPr="00383730">
        <w:rPr>
          <w:rFonts w:hint="eastAsia"/>
          <w:rtl/>
        </w:rPr>
        <w:t>ב</w:t>
      </w:r>
      <w:r w:rsidRPr="00383730">
        <w:rPr>
          <w:rtl/>
        </w:rPr>
        <w:t>"</w:t>
      </w:r>
      <w:r w:rsidRPr="00383730">
        <w:rPr>
          <w:rFonts w:hint="eastAsia"/>
          <w:rtl/>
        </w:rPr>
        <w:t>כ</w:t>
      </w:r>
      <w:bookmarkEnd w:id="3"/>
      <w:r w:rsidRPr="00383730">
        <w:rPr>
          <w:rtl/>
        </w:rPr>
        <w:t xml:space="preserve"> </w:t>
      </w:r>
      <w:r w:rsidRPr="00383730">
        <w:rPr>
          <w:rFonts w:hint="eastAsia"/>
          <w:rtl/>
        </w:rPr>
        <w:t>המאשימה</w:t>
      </w:r>
      <w:r w:rsidRPr="00383730">
        <w:rPr>
          <w:rtl/>
        </w:rPr>
        <w:t xml:space="preserve">: </w:t>
      </w:r>
      <w:r w:rsidRPr="00383730">
        <w:rPr>
          <w:rFonts w:hint="eastAsia"/>
          <w:rtl/>
        </w:rPr>
        <w:t>עו</w:t>
      </w:r>
      <w:r w:rsidRPr="00383730">
        <w:rPr>
          <w:rtl/>
        </w:rPr>
        <w:t>"</w:t>
      </w:r>
      <w:r w:rsidRPr="00383730">
        <w:rPr>
          <w:rFonts w:hint="eastAsia"/>
          <w:rtl/>
        </w:rPr>
        <w:t>ד</w:t>
      </w:r>
      <w:r w:rsidRPr="00383730">
        <w:rPr>
          <w:rtl/>
        </w:rPr>
        <w:t xml:space="preserve"> </w:t>
      </w:r>
      <w:r w:rsidRPr="00383730">
        <w:rPr>
          <w:rFonts w:hint="eastAsia"/>
          <w:rtl/>
        </w:rPr>
        <w:t>מ</w:t>
      </w:r>
      <w:r w:rsidRPr="00383730">
        <w:rPr>
          <w:rtl/>
        </w:rPr>
        <w:t xml:space="preserve">. </w:t>
      </w:r>
      <w:r w:rsidRPr="00383730">
        <w:rPr>
          <w:rFonts w:hint="eastAsia"/>
          <w:rtl/>
        </w:rPr>
        <w:t>ביטון</w:t>
      </w:r>
      <w:r w:rsidRPr="00383730">
        <w:rPr>
          <w:rtl/>
        </w:rPr>
        <w:t xml:space="preserve"> </w:t>
      </w:r>
      <w:r w:rsidRPr="00383730">
        <w:rPr>
          <w:rFonts w:hint="eastAsia"/>
          <w:rtl/>
        </w:rPr>
        <w:t>הראל</w:t>
      </w:r>
      <w:r w:rsidRPr="00383730">
        <w:rPr>
          <w:rtl/>
        </w:rPr>
        <w:t xml:space="preserve">, </w:t>
      </w:r>
      <w:r w:rsidRPr="00383730">
        <w:rPr>
          <w:rFonts w:hint="eastAsia"/>
          <w:rtl/>
        </w:rPr>
        <w:t>טל</w:t>
      </w:r>
      <w:r w:rsidRPr="00383730">
        <w:rPr>
          <w:rtl/>
        </w:rPr>
        <w:t xml:space="preserve"> </w:t>
      </w:r>
      <w:r w:rsidRPr="00383730">
        <w:rPr>
          <w:rFonts w:hint="eastAsia"/>
          <w:rtl/>
        </w:rPr>
        <w:t>פילברג</w:t>
      </w:r>
      <w:r w:rsidRPr="00383730">
        <w:rPr>
          <w:rtl/>
        </w:rPr>
        <w:t xml:space="preserve"> </w:t>
      </w:r>
      <w:r w:rsidRPr="00383730">
        <w:rPr>
          <w:rFonts w:hint="eastAsia"/>
          <w:rtl/>
        </w:rPr>
        <w:t>קליין</w:t>
      </w:r>
      <w:r w:rsidRPr="00383730">
        <w:rPr>
          <w:rtl/>
        </w:rPr>
        <w:t xml:space="preserve"> </w:t>
      </w:r>
      <w:r w:rsidRPr="00383730">
        <w:rPr>
          <w:rFonts w:hint="eastAsia"/>
          <w:rtl/>
        </w:rPr>
        <w:t>ועו</w:t>
      </w:r>
      <w:r w:rsidRPr="00383730">
        <w:rPr>
          <w:rtl/>
        </w:rPr>
        <w:t>"</w:t>
      </w:r>
      <w:r w:rsidRPr="00383730">
        <w:rPr>
          <w:rFonts w:hint="eastAsia"/>
          <w:rtl/>
        </w:rPr>
        <w:t>ד</w:t>
      </w:r>
      <w:r w:rsidRPr="00383730">
        <w:rPr>
          <w:rtl/>
        </w:rPr>
        <w:t xml:space="preserve"> </w:t>
      </w:r>
      <w:r w:rsidRPr="00383730">
        <w:rPr>
          <w:rFonts w:hint="eastAsia"/>
          <w:rtl/>
        </w:rPr>
        <w:t>י</w:t>
      </w:r>
      <w:r w:rsidRPr="00383730">
        <w:rPr>
          <w:rtl/>
        </w:rPr>
        <w:t xml:space="preserve">. </w:t>
      </w:r>
      <w:r w:rsidRPr="00383730">
        <w:rPr>
          <w:rFonts w:hint="eastAsia"/>
          <w:rtl/>
        </w:rPr>
        <w:t>מורדוך</w:t>
      </w:r>
      <w:r w:rsidRPr="00383730">
        <w:rPr>
          <w:rtl/>
        </w:rPr>
        <w:t xml:space="preserve">, </w:t>
      </w:r>
      <w:r w:rsidRPr="00383730">
        <w:rPr>
          <w:rFonts w:hint="eastAsia"/>
          <w:rtl/>
        </w:rPr>
        <w:t>פרקליטות</w:t>
      </w:r>
      <w:r w:rsidRPr="00383730">
        <w:rPr>
          <w:rtl/>
        </w:rPr>
        <w:t xml:space="preserve"> </w:t>
      </w:r>
      <w:r w:rsidRPr="00383730">
        <w:rPr>
          <w:rFonts w:hint="eastAsia"/>
          <w:rtl/>
        </w:rPr>
        <w:t>מחוז</w:t>
      </w:r>
      <w:r w:rsidRPr="00383730">
        <w:rPr>
          <w:rtl/>
        </w:rPr>
        <w:t xml:space="preserve"> </w:t>
      </w:r>
      <w:r w:rsidRPr="00383730">
        <w:rPr>
          <w:rFonts w:hint="eastAsia"/>
          <w:rtl/>
        </w:rPr>
        <w:t>מרכז</w:t>
      </w:r>
    </w:p>
    <w:p w14:paraId="2F9D480F" w14:textId="77777777" w:rsidR="00953F88" w:rsidRPr="00383730" w:rsidRDefault="00953F88">
      <w:pPr>
        <w:rPr>
          <w:rtl/>
        </w:rPr>
      </w:pPr>
    </w:p>
    <w:p w14:paraId="3FE235D3" w14:textId="77777777" w:rsidR="002C0E92" w:rsidRDefault="00953F88">
      <w:pPr>
        <w:rPr>
          <w:rtl/>
        </w:rPr>
      </w:pPr>
      <w:r w:rsidRPr="00383730">
        <w:rPr>
          <w:rFonts w:hint="eastAsia"/>
          <w:rtl/>
        </w:rPr>
        <w:t>ב</w:t>
      </w:r>
      <w:r w:rsidRPr="00383730">
        <w:rPr>
          <w:rtl/>
        </w:rPr>
        <w:t>"</w:t>
      </w:r>
      <w:r w:rsidRPr="00383730">
        <w:rPr>
          <w:rFonts w:hint="eastAsia"/>
          <w:rtl/>
        </w:rPr>
        <w:t>כ</w:t>
      </w:r>
      <w:r w:rsidRPr="00383730">
        <w:rPr>
          <w:rtl/>
        </w:rPr>
        <w:t xml:space="preserve"> </w:t>
      </w:r>
      <w:r w:rsidRPr="00383730">
        <w:rPr>
          <w:rFonts w:hint="eastAsia"/>
          <w:rtl/>
        </w:rPr>
        <w:t>הנאשם</w:t>
      </w:r>
      <w:r w:rsidRPr="00383730">
        <w:rPr>
          <w:rtl/>
        </w:rPr>
        <w:t xml:space="preserve">: </w:t>
      </w:r>
      <w:r w:rsidRPr="00383730">
        <w:rPr>
          <w:rFonts w:hint="eastAsia"/>
          <w:rtl/>
        </w:rPr>
        <w:t>עו</w:t>
      </w:r>
      <w:r w:rsidRPr="00383730">
        <w:rPr>
          <w:rtl/>
        </w:rPr>
        <w:t>"</w:t>
      </w:r>
      <w:r w:rsidRPr="00383730">
        <w:rPr>
          <w:rFonts w:hint="eastAsia"/>
          <w:rtl/>
        </w:rPr>
        <w:t>ד</w:t>
      </w:r>
      <w:r w:rsidRPr="00383730">
        <w:rPr>
          <w:rtl/>
        </w:rPr>
        <w:t xml:space="preserve"> </w:t>
      </w:r>
      <w:r w:rsidRPr="00383730">
        <w:rPr>
          <w:rFonts w:hint="eastAsia"/>
          <w:rtl/>
        </w:rPr>
        <w:t>דימיטרי</w:t>
      </w:r>
      <w:r w:rsidRPr="00383730">
        <w:rPr>
          <w:rtl/>
        </w:rPr>
        <w:t xml:space="preserve"> </w:t>
      </w:r>
      <w:r w:rsidRPr="00383730">
        <w:rPr>
          <w:rFonts w:hint="eastAsia"/>
          <w:rtl/>
        </w:rPr>
        <w:t>ברנשטיין</w:t>
      </w:r>
      <w:r w:rsidRPr="00383730">
        <w:rPr>
          <w:rtl/>
        </w:rPr>
        <w:t xml:space="preserve">, </w:t>
      </w:r>
      <w:r w:rsidRPr="00383730">
        <w:rPr>
          <w:rFonts w:hint="eastAsia"/>
          <w:rtl/>
        </w:rPr>
        <w:t>הסנגוריה</w:t>
      </w:r>
      <w:r w:rsidRPr="00383730">
        <w:rPr>
          <w:rtl/>
        </w:rPr>
        <w:t xml:space="preserve"> </w:t>
      </w:r>
      <w:r w:rsidRPr="00383730">
        <w:rPr>
          <w:rFonts w:hint="eastAsia"/>
          <w:rtl/>
        </w:rPr>
        <w:t>הציבורית</w:t>
      </w:r>
      <w:bookmarkStart w:id="4" w:name="LawTable"/>
      <w:bookmarkEnd w:id="4"/>
    </w:p>
    <w:p w14:paraId="6437B957" w14:textId="77777777" w:rsidR="002C0E92" w:rsidRPr="002C0E92" w:rsidRDefault="002C0E92" w:rsidP="002C0E92">
      <w:pPr>
        <w:spacing w:after="120" w:line="240" w:lineRule="exact"/>
        <w:ind w:left="283" w:hanging="283"/>
        <w:jc w:val="both"/>
        <w:rPr>
          <w:rFonts w:ascii="FrankRuehl" w:hAnsi="FrankRuehl" w:cs="FrankRuehl"/>
          <w:rtl/>
        </w:rPr>
      </w:pPr>
    </w:p>
    <w:p w14:paraId="48CE28B4" w14:textId="77777777" w:rsidR="002C0E92" w:rsidRPr="002C0E92" w:rsidRDefault="002C0E92" w:rsidP="002C0E92">
      <w:pPr>
        <w:spacing w:after="120" w:line="240" w:lineRule="exact"/>
        <w:ind w:left="283" w:hanging="283"/>
        <w:jc w:val="both"/>
        <w:rPr>
          <w:rFonts w:ascii="FrankRuehl" w:hAnsi="FrankRuehl" w:cs="FrankRuehl"/>
          <w:rtl/>
        </w:rPr>
      </w:pPr>
      <w:r w:rsidRPr="002C0E92">
        <w:rPr>
          <w:rFonts w:ascii="FrankRuehl" w:hAnsi="FrankRuehl" w:cs="FrankRuehl" w:hint="eastAsia"/>
          <w:rtl/>
        </w:rPr>
        <w:t>חקיקה</w:t>
      </w:r>
      <w:r w:rsidRPr="002C0E92">
        <w:rPr>
          <w:rFonts w:ascii="FrankRuehl" w:hAnsi="FrankRuehl" w:cs="FrankRuehl"/>
          <w:rtl/>
        </w:rPr>
        <w:t xml:space="preserve"> </w:t>
      </w:r>
      <w:r w:rsidRPr="002C0E92">
        <w:rPr>
          <w:rFonts w:ascii="FrankRuehl" w:hAnsi="FrankRuehl" w:cs="FrankRuehl" w:hint="eastAsia"/>
          <w:rtl/>
        </w:rPr>
        <w:t>שאוזכרה</w:t>
      </w:r>
      <w:r w:rsidRPr="002C0E92">
        <w:rPr>
          <w:rFonts w:ascii="FrankRuehl" w:hAnsi="FrankRuehl" w:cs="FrankRuehl"/>
          <w:rtl/>
        </w:rPr>
        <w:t xml:space="preserve">: </w:t>
      </w:r>
    </w:p>
    <w:p w14:paraId="27FC6306" w14:textId="77777777" w:rsidR="002C0E92" w:rsidRPr="002C0E92" w:rsidRDefault="002C0E92" w:rsidP="002C0E92">
      <w:pPr>
        <w:spacing w:after="120" w:line="240" w:lineRule="exact"/>
        <w:ind w:left="283" w:hanging="283"/>
        <w:jc w:val="both"/>
        <w:rPr>
          <w:rFonts w:ascii="FrankRuehl" w:hAnsi="FrankRuehl" w:cs="FrankRuehl"/>
          <w:rtl/>
        </w:rPr>
      </w:pPr>
      <w:hyperlink r:id="rId8" w:history="1">
        <w:r w:rsidRPr="002C0E92">
          <w:rPr>
            <w:rFonts w:ascii="FrankRuehl" w:hAnsi="FrankRuehl" w:cs="FrankRuehl" w:hint="eastAsia"/>
            <w:color w:val="0000FF"/>
            <w:u w:val="single"/>
            <w:rtl/>
          </w:rPr>
          <w:t>חוק</w:t>
        </w:r>
        <w:r w:rsidRPr="002C0E92">
          <w:rPr>
            <w:rFonts w:ascii="FrankRuehl" w:hAnsi="FrankRuehl" w:cs="FrankRuehl"/>
            <w:color w:val="0000FF"/>
            <w:u w:val="single"/>
            <w:rtl/>
          </w:rPr>
          <w:t xml:space="preserve"> </w:t>
        </w:r>
        <w:r w:rsidRPr="002C0E92">
          <w:rPr>
            <w:rFonts w:ascii="FrankRuehl" w:hAnsi="FrankRuehl" w:cs="FrankRuehl" w:hint="eastAsia"/>
            <w:color w:val="0000FF"/>
            <w:u w:val="single"/>
            <w:rtl/>
          </w:rPr>
          <w:t>העונשין</w:t>
        </w:r>
        <w:r w:rsidRPr="002C0E92">
          <w:rPr>
            <w:rFonts w:ascii="FrankRuehl" w:hAnsi="FrankRuehl" w:cs="FrankRuehl"/>
            <w:color w:val="0000FF"/>
            <w:u w:val="single"/>
            <w:rtl/>
          </w:rPr>
          <w:t xml:space="preserve">, </w:t>
        </w:r>
        <w:r w:rsidRPr="002C0E92">
          <w:rPr>
            <w:rFonts w:ascii="FrankRuehl" w:hAnsi="FrankRuehl" w:cs="FrankRuehl" w:hint="eastAsia"/>
            <w:color w:val="0000FF"/>
            <w:u w:val="single"/>
            <w:rtl/>
          </w:rPr>
          <w:t>תשל</w:t>
        </w:r>
        <w:r w:rsidRPr="002C0E92">
          <w:rPr>
            <w:rFonts w:ascii="FrankRuehl" w:hAnsi="FrankRuehl" w:cs="FrankRuehl"/>
            <w:color w:val="0000FF"/>
            <w:u w:val="single"/>
            <w:rtl/>
          </w:rPr>
          <w:t>"</w:t>
        </w:r>
        <w:r w:rsidRPr="002C0E92">
          <w:rPr>
            <w:rFonts w:ascii="FrankRuehl" w:hAnsi="FrankRuehl" w:cs="FrankRuehl" w:hint="eastAsia"/>
            <w:color w:val="0000FF"/>
            <w:u w:val="single"/>
            <w:rtl/>
          </w:rPr>
          <w:t>ז</w:t>
        </w:r>
        <w:r w:rsidRPr="002C0E92">
          <w:rPr>
            <w:rFonts w:ascii="FrankRuehl" w:hAnsi="FrankRuehl" w:cs="FrankRuehl"/>
            <w:color w:val="0000FF"/>
            <w:u w:val="single"/>
            <w:rtl/>
          </w:rPr>
          <w:t>-1977</w:t>
        </w:r>
      </w:hyperlink>
      <w:r w:rsidRPr="002C0E92">
        <w:rPr>
          <w:rFonts w:ascii="FrankRuehl" w:hAnsi="FrankRuehl" w:cs="FrankRuehl"/>
          <w:rtl/>
        </w:rPr>
        <w:t xml:space="preserve">: </w:t>
      </w:r>
      <w:r w:rsidRPr="002C0E92">
        <w:rPr>
          <w:rFonts w:ascii="FrankRuehl" w:hAnsi="FrankRuehl" w:cs="FrankRuehl" w:hint="eastAsia"/>
          <w:rtl/>
        </w:rPr>
        <w:t>סע</w:t>
      </w:r>
      <w:r w:rsidRPr="002C0E92">
        <w:rPr>
          <w:rFonts w:ascii="FrankRuehl" w:hAnsi="FrankRuehl" w:cs="FrankRuehl"/>
          <w:rtl/>
        </w:rPr>
        <w:t xml:space="preserve">'  </w:t>
      </w:r>
      <w:hyperlink r:id="rId9" w:history="1">
        <w:r w:rsidRPr="002C0E92">
          <w:rPr>
            <w:rFonts w:ascii="FrankRuehl" w:hAnsi="FrankRuehl" w:cs="FrankRuehl"/>
            <w:color w:val="0000FF"/>
            <w:u w:val="single"/>
            <w:rtl/>
          </w:rPr>
          <w:t>348(</w:t>
        </w:r>
        <w:r w:rsidRPr="002C0E92">
          <w:rPr>
            <w:rFonts w:ascii="FrankRuehl" w:hAnsi="FrankRuehl" w:cs="FrankRuehl" w:hint="eastAsia"/>
            <w:color w:val="0000FF"/>
            <w:u w:val="single"/>
            <w:rtl/>
          </w:rPr>
          <w:t>ג</w:t>
        </w:r>
        <w:r w:rsidRPr="002C0E92">
          <w:rPr>
            <w:rFonts w:ascii="FrankRuehl" w:hAnsi="FrankRuehl" w:cs="FrankRuehl"/>
            <w:color w:val="0000FF"/>
            <w:u w:val="single"/>
            <w:rtl/>
          </w:rPr>
          <w:t>)</w:t>
        </w:r>
      </w:hyperlink>
      <w:r w:rsidRPr="002C0E92">
        <w:rPr>
          <w:rFonts w:ascii="FrankRuehl" w:hAnsi="FrankRuehl" w:cs="FrankRuehl"/>
          <w:rtl/>
        </w:rPr>
        <w:t xml:space="preserve">, </w:t>
      </w:r>
      <w:hyperlink r:id="rId10" w:history="1">
        <w:r w:rsidRPr="002C0E92">
          <w:rPr>
            <w:rFonts w:ascii="FrankRuehl" w:hAnsi="FrankRuehl" w:cs="FrankRuehl"/>
            <w:color w:val="0000FF"/>
            <w:u w:val="single"/>
            <w:rtl/>
          </w:rPr>
          <w:t>348(</w:t>
        </w:r>
        <w:r w:rsidRPr="002C0E92">
          <w:rPr>
            <w:rFonts w:ascii="FrankRuehl" w:hAnsi="FrankRuehl" w:cs="FrankRuehl" w:hint="eastAsia"/>
            <w:color w:val="0000FF"/>
            <w:u w:val="single"/>
            <w:rtl/>
          </w:rPr>
          <w:t>ו</w:t>
        </w:r>
        <w:r w:rsidRPr="002C0E92">
          <w:rPr>
            <w:rFonts w:ascii="FrankRuehl" w:hAnsi="FrankRuehl" w:cs="FrankRuehl"/>
            <w:color w:val="0000FF"/>
            <w:u w:val="single"/>
            <w:rtl/>
          </w:rPr>
          <w:t>)</w:t>
        </w:r>
      </w:hyperlink>
    </w:p>
    <w:p w14:paraId="186FAAA9" w14:textId="77777777" w:rsidR="002C0E92" w:rsidRPr="002C0E92" w:rsidRDefault="002C0E92" w:rsidP="002C0E92">
      <w:pPr>
        <w:spacing w:after="120" w:line="240" w:lineRule="exact"/>
        <w:ind w:left="283" w:hanging="283"/>
        <w:jc w:val="both"/>
        <w:rPr>
          <w:rFonts w:ascii="FrankRuehl" w:hAnsi="FrankRuehl" w:cs="FrankRuehl"/>
          <w:rtl/>
        </w:rPr>
      </w:pPr>
      <w:hyperlink r:id="rId11" w:history="1">
        <w:r w:rsidRPr="002C0E92">
          <w:rPr>
            <w:rFonts w:ascii="FrankRuehl" w:hAnsi="FrankRuehl" w:cs="FrankRuehl" w:hint="eastAsia"/>
            <w:color w:val="0000FF"/>
            <w:u w:val="single"/>
            <w:rtl/>
          </w:rPr>
          <w:t>חוק</w:t>
        </w:r>
        <w:r w:rsidRPr="002C0E92">
          <w:rPr>
            <w:rFonts w:ascii="FrankRuehl" w:hAnsi="FrankRuehl" w:cs="FrankRuehl"/>
            <w:color w:val="0000FF"/>
            <w:u w:val="single"/>
            <w:rtl/>
          </w:rPr>
          <w:t xml:space="preserve"> </w:t>
        </w:r>
        <w:r w:rsidRPr="002C0E92">
          <w:rPr>
            <w:rFonts w:ascii="FrankRuehl" w:hAnsi="FrankRuehl" w:cs="FrankRuehl" w:hint="eastAsia"/>
            <w:color w:val="0000FF"/>
            <w:u w:val="single"/>
            <w:rtl/>
          </w:rPr>
          <w:t>הגנת</w:t>
        </w:r>
        <w:r w:rsidRPr="002C0E92">
          <w:rPr>
            <w:rFonts w:ascii="FrankRuehl" w:hAnsi="FrankRuehl" w:cs="FrankRuehl"/>
            <w:color w:val="0000FF"/>
            <w:u w:val="single"/>
            <w:rtl/>
          </w:rPr>
          <w:t xml:space="preserve"> </w:t>
        </w:r>
        <w:r w:rsidRPr="002C0E92">
          <w:rPr>
            <w:rFonts w:ascii="FrankRuehl" w:hAnsi="FrankRuehl" w:cs="FrankRuehl" w:hint="eastAsia"/>
            <w:color w:val="0000FF"/>
            <w:u w:val="single"/>
            <w:rtl/>
          </w:rPr>
          <w:t>הפרטיות</w:t>
        </w:r>
        <w:r w:rsidRPr="002C0E92">
          <w:rPr>
            <w:rFonts w:ascii="FrankRuehl" w:hAnsi="FrankRuehl" w:cs="FrankRuehl"/>
            <w:color w:val="0000FF"/>
            <w:u w:val="single"/>
            <w:rtl/>
          </w:rPr>
          <w:t xml:space="preserve">, </w:t>
        </w:r>
        <w:r w:rsidRPr="002C0E92">
          <w:rPr>
            <w:rFonts w:ascii="FrankRuehl" w:hAnsi="FrankRuehl" w:cs="FrankRuehl" w:hint="eastAsia"/>
            <w:color w:val="0000FF"/>
            <w:u w:val="single"/>
            <w:rtl/>
          </w:rPr>
          <w:t>תשמ</w:t>
        </w:r>
        <w:r w:rsidRPr="002C0E92">
          <w:rPr>
            <w:rFonts w:ascii="FrankRuehl" w:hAnsi="FrankRuehl" w:cs="FrankRuehl"/>
            <w:color w:val="0000FF"/>
            <w:u w:val="single"/>
            <w:rtl/>
          </w:rPr>
          <w:t>"</w:t>
        </w:r>
        <w:r w:rsidRPr="002C0E92">
          <w:rPr>
            <w:rFonts w:ascii="FrankRuehl" w:hAnsi="FrankRuehl" w:cs="FrankRuehl" w:hint="eastAsia"/>
            <w:color w:val="0000FF"/>
            <w:u w:val="single"/>
            <w:rtl/>
          </w:rPr>
          <w:t>א</w:t>
        </w:r>
        <w:r w:rsidRPr="002C0E92">
          <w:rPr>
            <w:rFonts w:ascii="FrankRuehl" w:hAnsi="FrankRuehl" w:cs="FrankRuehl"/>
            <w:color w:val="0000FF"/>
            <w:u w:val="single"/>
            <w:rtl/>
          </w:rPr>
          <w:t>-1981</w:t>
        </w:r>
      </w:hyperlink>
      <w:r w:rsidRPr="002C0E92">
        <w:rPr>
          <w:rFonts w:ascii="FrankRuehl" w:hAnsi="FrankRuehl" w:cs="FrankRuehl"/>
          <w:rtl/>
        </w:rPr>
        <w:t xml:space="preserve">: </w:t>
      </w:r>
      <w:r w:rsidRPr="002C0E92">
        <w:rPr>
          <w:rFonts w:ascii="FrankRuehl" w:hAnsi="FrankRuehl" w:cs="FrankRuehl" w:hint="eastAsia"/>
          <w:rtl/>
        </w:rPr>
        <w:t>סע</w:t>
      </w:r>
      <w:r w:rsidRPr="002C0E92">
        <w:rPr>
          <w:rFonts w:ascii="FrankRuehl" w:hAnsi="FrankRuehl" w:cs="FrankRuehl"/>
          <w:rtl/>
        </w:rPr>
        <w:t xml:space="preserve">'  </w:t>
      </w:r>
      <w:hyperlink r:id="rId12" w:history="1">
        <w:r w:rsidRPr="002C0E92">
          <w:rPr>
            <w:rFonts w:ascii="FrankRuehl" w:hAnsi="FrankRuehl" w:cs="FrankRuehl"/>
            <w:color w:val="0000FF"/>
            <w:u w:val="single"/>
            <w:rtl/>
          </w:rPr>
          <w:t>2(1)</w:t>
        </w:r>
      </w:hyperlink>
      <w:r w:rsidRPr="002C0E92">
        <w:rPr>
          <w:rFonts w:ascii="FrankRuehl" w:hAnsi="FrankRuehl" w:cs="FrankRuehl"/>
          <w:rtl/>
        </w:rPr>
        <w:t xml:space="preserve">, </w:t>
      </w:r>
      <w:hyperlink r:id="rId13" w:history="1">
        <w:r w:rsidRPr="002C0E92">
          <w:rPr>
            <w:rFonts w:ascii="FrankRuehl" w:hAnsi="FrankRuehl" w:cs="FrankRuehl"/>
            <w:color w:val="0000FF"/>
            <w:u w:val="single"/>
            <w:rtl/>
          </w:rPr>
          <w:t>3</w:t>
        </w:r>
      </w:hyperlink>
      <w:r w:rsidRPr="002C0E92">
        <w:rPr>
          <w:rFonts w:ascii="FrankRuehl" w:hAnsi="FrankRuehl" w:cs="FrankRuehl"/>
          <w:rtl/>
        </w:rPr>
        <w:t xml:space="preserve">, </w:t>
      </w:r>
      <w:hyperlink r:id="rId14" w:history="1">
        <w:r w:rsidRPr="002C0E92">
          <w:rPr>
            <w:rFonts w:ascii="FrankRuehl" w:hAnsi="FrankRuehl" w:cs="FrankRuehl"/>
            <w:color w:val="0000FF"/>
            <w:u w:val="single"/>
            <w:rtl/>
          </w:rPr>
          <w:t>5</w:t>
        </w:r>
      </w:hyperlink>
    </w:p>
    <w:p w14:paraId="0EF2C1D5" w14:textId="77777777" w:rsidR="002C0E92" w:rsidRDefault="002C0E92" w:rsidP="002C0E92">
      <w:pPr>
        <w:spacing w:after="120" w:line="240" w:lineRule="exact"/>
        <w:ind w:left="283" w:hanging="283"/>
        <w:jc w:val="both"/>
        <w:rPr>
          <w:rFonts w:ascii="FrankRuehl" w:hAnsi="FrankRuehl" w:cs="FrankRuehl" w:hint="cs"/>
          <w:rtl/>
        </w:rPr>
      </w:pPr>
    </w:p>
    <w:p w14:paraId="1202B0D8" w14:textId="77777777" w:rsidR="005E139A" w:rsidRDefault="005E139A" w:rsidP="005E139A">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0C47053F" w14:textId="77777777" w:rsidR="005E139A" w:rsidRPr="005E139A" w:rsidRDefault="005E139A" w:rsidP="005E139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5E139A">
        <w:rPr>
          <w:rFonts w:ascii="Times New Roman" w:hAnsi="Times New Roman" w:cs="FrankRuehl"/>
          <w:szCs w:val="26"/>
          <w:rtl/>
        </w:rPr>
        <w:t>נאשם שהורשע בריבוי עבירות של מעשים מגונים וריבוי עבירות של פגיעה בפרטיות.</w:t>
      </w:r>
    </w:p>
    <w:p w14:paraId="1BA0ECE6" w14:textId="77777777" w:rsidR="005E139A" w:rsidRDefault="005E139A" w:rsidP="005E139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מעשה מגונה</w:t>
      </w:r>
    </w:p>
    <w:p w14:paraId="07ACF113" w14:textId="77777777" w:rsidR="005E139A" w:rsidRDefault="005E139A" w:rsidP="005E139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0A91E40" w14:textId="77777777" w:rsidR="005E139A" w:rsidRPr="005E139A" w:rsidRDefault="005E139A" w:rsidP="005E139A">
      <w:pPr>
        <w:pBdr>
          <w:top w:val="single" w:sz="4" w:space="1" w:color="auto"/>
          <w:bottom w:val="single" w:sz="4" w:space="1" w:color="auto"/>
        </w:pBdr>
        <w:spacing w:after="120" w:line="320" w:lineRule="exact"/>
        <w:jc w:val="both"/>
        <w:rPr>
          <w:rFonts w:ascii="Times New Roman" w:hAnsi="Times New Roman" w:cs="FrankRuehl"/>
          <w:szCs w:val="26"/>
          <w:rtl/>
        </w:rPr>
      </w:pPr>
      <w:r w:rsidRPr="005E139A">
        <w:rPr>
          <w:rFonts w:ascii="Times New Roman" w:hAnsi="Times New Roman" w:cs="FrankRuehl"/>
          <w:szCs w:val="26"/>
          <w:rtl/>
        </w:rPr>
        <w:t>נגד הנאשם הוגש כתב אישום המייחס לו ריבוי עבירות של מעשים מגונים, וריבוי עבירות של פגיעה בפרטיות.</w:t>
      </w:r>
    </w:p>
    <w:p w14:paraId="42FA4781" w14:textId="77777777" w:rsidR="005E139A" w:rsidRDefault="005E139A" w:rsidP="005E139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695F9EE" w14:textId="77777777" w:rsidR="005E139A" w:rsidRPr="005E139A" w:rsidRDefault="005E139A" w:rsidP="005E139A">
      <w:pPr>
        <w:pBdr>
          <w:top w:val="single" w:sz="4" w:space="1" w:color="auto"/>
          <w:bottom w:val="single" w:sz="4" w:space="1" w:color="auto"/>
        </w:pBdr>
        <w:spacing w:after="120" w:line="320" w:lineRule="exact"/>
        <w:jc w:val="both"/>
        <w:rPr>
          <w:rFonts w:ascii="Times New Roman" w:hAnsi="Times New Roman" w:cs="FrankRuehl"/>
          <w:szCs w:val="26"/>
          <w:rtl/>
        </w:rPr>
      </w:pPr>
      <w:r w:rsidRPr="005E139A">
        <w:rPr>
          <w:rFonts w:ascii="Times New Roman" w:hAnsi="Times New Roman" w:cs="FrankRuehl"/>
          <w:szCs w:val="26"/>
          <w:rtl/>
        </w:rPr>
        <w:t>בית המשפט הרשיע את הנאשם, בקבעו:</w:t>
      </w:r>
    </w:p>
    <w:p w14:paraId="12A1DFAD" w14:textId="77777777" w:rsidR="005E139A" w:rsidRPr="005E139A" w:rsidRDefault="005E139A" w:rsidP="005E139A">
      <w:pPr>
        <w:pBdr>
          <w:top w:val="single" w:sz="4" w:space="1" w:color="auto"/>
          <w:bottom w:val="single" w:sz="4" w:space="1" w:color="auto"/>
        </w:pBdr>
        <w:spacing w:after="120" w:line="320" w:lineRule="exact"/>
        <w:jc w:val="both"/>
        <w:rPr>
          <w:rFonts w:ascii="Times New Roman" w:hAnsi="Times New Roman" w:cs="FrankRuehl"/>
          <w:szCs w:val="26"/>
          <w:rtl/>
        </w:rPr>
      </w:pPr>
      <w:r w:rsidRPr="005E139A">
        <w:rPr>
          <w:rFonts w:ascii="Times New Roman" w:hAnsi="Times New Roman" w:cs="FrankRuehl"/>
          <w:szCs w:val="26"/>
          <w:rtl/>
        </w:rPr>
        <w:t>יישום מבחני הפסיקה בענייננו מצביע באופן שאינו משתמע לשתי פנים על כך שמעשיו של הנאשם מהווים "מעשה מגונה".</w:t>
      </w:r>
    </w:p>
    <w:p w14:paraId="670EBCDF" w14:textId="77777777" w:rsidR="005E139A" w:rsidRPr="005E139A" w:rsidRDefault="005E139A" w:rsidP="005E139A">
      <w:pPr>
        <w:pBdr>
          <w:top w:val="single" w:sz="4" w:space="1" w:color="auto"/>
          <w:bottom w:val="single" w:sz="4" w:space="1" w:color="auto"/>
        </w:pBdr>
        <w:spacing w:after="120" w:line="320" w:lineRule="exact"/>
        <w:jc w:val="both"/>
        <w:rPr>
          <w:rFonts w:ascii="Times New Roman" w:hAnsi="Times New Roman" w:cs="FrankRuehl"/>
          <w:szCs w:val="26"/>
          <w:rtl/>
        </w:rPr>
      </w:pPr>
      <w:r w:rsidRPr="005E139A">
        <w:rPr>
          <w:rFonts w:ascii="Times New Roman" w:hAnsi="Times New Roman" w:cs="FrankRuehl"/>
          <w:szCs w:val="26"/>
          <w:rtl/>
        </w:rPr>
        <w:t>שריבוי המעשים והחוט המקשר ביניהם, מאפשרים להפעיל את הכלל המשפטי של "עדות בדבר מעשים דומים", באופן המסייע אף הוא בהוכחת היסוד הנפשי של הנאשם ושולל טענת "תום לב" של מעשיו, שכאמור אינם שנויים במחלוקת.</w:t>
      </w:r>
    </w:p>
    <w:p w14:paraId="3B70ACBA" w14:textId="77777777" w:rsidR="005E139A" w:rsidRPr="005E139A" w:rsidRDefault="005E139A" w:rsidP="005E139A">
      <w:pPr>
        <w:pBdr>
          <w:top w:val="single" w:sz="4" w:space="1" w:color="auto"/>
          <w:bottom w:val="single" w:sz="4" w:space="1" w:color="auto"/>
        </w:pBdr>
        <w:spacing w:after="120" w:line="320" w:lineRule="exact"/>
        <w:jc w:val="both"/>
        <w:rPr>
          <w:rFonts w:ascii="Times New Roman" w:hAnsi="Times New Roman" w:cs="FrankRuehl" w:hint="cs"/>
          <w:szCs w:val="26"/>
          <w:rtl/>
        </w:rPr>
      </w:pPr>
      <w:r w:rsidRPr="005E139A">
        <w:rPr>
          <w:rFonts w:ascii="Times New Roman" w:hAnsi="Times New Roman" w:cs="FrankRuehl"/>
          <w:szCs w:val="26"/>
          <w:rtl/>
        </w:rPr>
        <w:lastRenderedPageBreak/>
        <w:t>בענייננו אמנם לא נטען שהנאשם השתמש בתמונות שצילם לצורך אוננות, אולם הודאתו בכך שמעשיו בוצעו "לשם גירוי, סיפוק, או ביזוי מיניים", מספיקים לצורך הוכחת מטרת הצילום.</w:t>
      </w:r>
    </w:p>
    <w:p w14:paraId="6C9F1CC1" w14:textId="77777777" w:rsidR="005E139A" w:rsidRPr="002C0E92" w:rsidRDefault="005E139A" w:rsidP="002C0E92">
      <w:pPr>
        <w:spacing w:after="120" w:line="240" w:lineRule="exact"/>
        <w:ind w:left="283" w:hanging="283"/>
        <w:jc w:val="both"/>
        <w:rPr>
          <w:rFonts w:ascii="FrankRuehl" w:hAnsi="FrankRuehl" w:cs="FrankRuehl" w:hint="cs"/>
          <w:rtl/>
        </w:rPr>
      </w:pPr>
      <w:bookmarkStart w:id="6" w:name="ABSTRACT_END"/>
      <w:bookmarkEnd w:id="6"/>
    </w:p>
    <w:p w14:paraId="2F1F195E" w14:textId="77777777" w:rsidR="00953F88" w:rsidRPr="00383730" w:rsidRDefault="00953F88">
      <w:pPr>
        <w:rPr>
          <w:rtl/>
        </w:rPr>
      </w:pPr>
      <w:bookmarkStart w:id="7" w:name="LawTable_End"/>
      <w:bookmarkEnd w:id="7"/>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3F88" w14:paraId="7FFDC9E8" w14:textId="77777777" w:rsidTr="00683882">
        <w:trPr>
          <w:trHeight w:val="355"/>
          <w:jc w:val="center"/>
        </w:trPr>
        <w:tc>
          <w:tcPr>
            <w:tcW w:w="8820" w:type="dxa"/>
            <w:tcBorders>
              <w:top w:val="nil"/>
              <w:left w:val="nil"/>
              <w:bottom w:val="nil"/>
              <w:right w:val="nil"/>
            </w:tcBorders>
          </w:tcPr>
          <w:p w14:paraId="571CEB5C" w14:textId="77777777" w:rsidR="00383730" w:rsidRPr="00383730" w:rsidRDefault="00383730" w:rsidP="00383730">
            <w:pPr>
              <w:jc w:val="center"/>
              <w:rPr>
                <w:rFonts w:ascii="Arial" w:hAnsi="Arial"/>
                <w:b/>
                <w:bCs/>
                <w:sz w:val="28"/>
                <w:szCs w:val="28"/>
                <w:u w:val="single"/>
                <w:rtl/>
              </w:rPr>
            </w:pPr>
            <w:bookmarkStart w:id="8" w:name="PsakDin" w:colFirst="0" w:colLast="0"/>
            <w:bookmarkEnd w:id="0"/>
            <w:r w:rsidRPr="00383730">
              <w:rPr>
                <w:rFonts w:ascii="Arial" w:hAnsi="Arial"/>
                <w:b/>
                <w:bCs/>
                <w:sz w:val="28"/>
                <w:szCs w:val="28"/>
                <w:u w:val="single"/>
                <w:rtl/>
              </w:rPr>
              <w:t>הכרעת דין</w:t>
            </w:r>
          </w:p>
          <w:p w14:paraId="0B7E1BD1" w14:textId="77777777" w:rsidR="00953F88" w:rsidRPr="00383730" w:rsidRDefault="00953F88" w:rsidP="00383730">
            <w:pPr>
              <w:jc w:val="center"/>
              <w:rPr>
                <w:rFonts w:ascii="Arial" w:hAnsi="Arial"/>
                <w:bCs/>
                <w:sz w:val="28"/>
                <w:szCs w:val="28"/>
                <w:u w:val="single"/>
                <w:rtl/>
              </w:rPr>
            </w:pPr>
          </w:p>
        </w:tc>
      </w:tr>
      <w:bookmarkEnd w:id="8"/>
    </w:tbl>
    <w:p w14:paraId="4637D732" w14:textId="77777777" w:rsidR="00953F88" w:rsidRDefault="00953F88" w:rsidP="00D719F4">
      <w:pPr>
        <w:spacing w:line="360" w:lineRule="auto"/>
        <w:jc w:val="both"/>
        <w:rPr>
          <w:rFonts w:ascii="Arial" w:hAnsi="Arial" w:cs="FrankRuehl"/>
          <w:sz w:val="28"/>
          <w:szCs w:val="28"/>
          <w:rtl/>
        </w:rPr>
      </w:pPr>
    </w:p>
    <w:p w14:paraId="67477433" w14:textId="77777777" w:rsidR="00953F88" w:rsidRDefault="00953F88" w:rsidP="00D719F4">
      <w:pPr>
        <w:spacing w:line="360" w:lineRule="auto"/>
        <w:jc w:val="both"/>
        <w:rPr>
          <w:rFonts w:ascii="Arial" w:hAnsi="Arial" w:cs="Miriam"/>
          <w:sz w:val="28"/>
          <w:szCs w:val="28"/>
          <w:rtl/>
        </w:rPr>
      </w:pPr>
      <w:r w:rsidRPr="00B853D9">
        <w:rPr>
          <w:rFonts w:ascii="Arial" w:hAnsi="Arial" w:cs="Miriam"/>
          <w:sz w:val="28"/>
          <w:szCs w:val="28"/>
          <w:rtl/>
        </w:rPr>
        <w:t xml:space="preserve">רקע ועובדות כתב האישום </w:t>
      </w:r>
    </w:p>
    <w:p w14:paraId="3B41BCF7" w14:textId="77777777" w:rsidR="00953F88" w:rsidRPr="00B853D9" w:rsidRDefault="00953F88" w:rsidP="00D719F4">
      <w:pPr>
        <w:spacing w:line="360" w:lineRule="auto"/>
        <w:jc w:val="both"/>
        <w:rPr>
          <w:rFonts w:ascii="Arial" w:hAnsi="Arial" w:cs="Miriam"/>
          <w:sz w:val="28"/>
          <w:szCs w:val="28"/>
          <w:rtl/>
        </w:rPr>
      </w:pPr>
    </w:p>
    <w:p w14:paraId="63FB33E8" w14:textId="77777777" w:rsidR="00953F88" w:rsidRDefault="00953F88" w:rsidP="00D719F4">
      <w:pPr>
        <w:spacing w:line="360" w:lineRule="auto"/>
        <w:jc w:val="both"/>
        <w:rPr>
          <w:rFonts w:ascii="Arial" w:hAnsi="Arial" w:cs="FrankRuehl"/>
          <w:sz w:val="28"/>
          <w:szCs w:val="28"/>
          <w:rtl/>
        </w:rPr>
      </w:pPr>
      <w:r>
        <w:rPr>
          <w:rFonts w:ascii="Arial" w:hAnsi="Arial" w:cs="FrankRuehl"/>
          <w:sz w:val="28"/>
          <w:szCs w:val="28"/>
          <w:rtl/>
        </w:rPr>
        <w:t>1.</w:t>
      </w:r>
      <w:r>
        <w:rPr>
          <w:rFonts w:ascii="Arial" w:hAnsi="Arial" w:cs="FrankRuehl"/>
          <w:sz w:val="28"/>
          <w:szCs w:val="28"/>
          <w:rtl/>
        </w:rPr>
        <w:tab/>
        <w:t xml:space="preserve">נגד הנאשם הוגש כתב אישום המייחס לו ריבוי עבירות של מעשים מגונים, לפי </w:t>
      </w:r>
      <w:hyperlink r:id="rId15" w:history="1">
        <w:r w:rsidR="002C0E92" w:rsidRPr="002C0E92">
          <w:rPr>
            <w:rFonts w:ascii="Arial" w:hAnsi="Arial" w:cs="FrankRuehl"/>
            <w:color w:val="0000FF"/>
            <w:sz w:val="28"/>
            <w:szCs w:val="28"/>
            <w:u w:val="single"/>
            <w:rtl/>
          </w:rPr>
          <w:t>סעיף 348(ג)</w:t>
        </w:r>
      </w:hyperlink>
      <w:r>
        <w:rPr>
          <w:rFonts w:ascii="Arial" w:hAnsi="Arial" w:cs="FrankRuehl"/>
          <w:sz w:val="28"/>
          <w:szCs w:val="28"/>
          <w:rtl/>
        </w:rPr>
        <w:t xml:space="preserve"> ל</w:t>
      </w:r>
      <w:hyperlink r:id="rId16" w:history="1">
        <w:r w:rsidR="00383730" w:rsidRPr="00383730">
          <w:rPr>
            <w:rFonts w:ascii="Arial" w:hAnsi="Arial" w:cs="FrankRuehl"/>
            <w:color w:val="0000FF"/>
            <w:sz w:val="28"/>
            <w:szCs w:val="28"/>
            <w:u w:val="single"/>
            <w:rtl/>
          </w:rPr>
          <w:t>חוק העונשין</w:t>
        </w:r>
      </w:hyperlink>
      <w:r>
        <w:rPr>
          <w:rFonts w:ascii="Arial" w:hAnsi="Arial" w:cs="FrankRuehl"/>
          <w:sz w:val="28"/>
          <w:szCs w:val="28"/>
          <w:rtl/>
        </w:rPr>
        <w:t xml:space="preserve"> התשל"ז-1977 (להלן: </w:t>
      </w:r>
      <w:r w:rsidRPr="00D719F4">
        <w:rPr>
          <w:rFonts w:ascii="Arial" w:hAnsi="Arial" w:cs="Miriam"/>
          <w:rtl/>
        </w:rPr>
        <w:t>חוק</w:t>
      </w:r>
      <w:r>
        <w:rPr>
          <w:rFonts w:ascii="Arial" w:hAnsi="Arial" w:cs="FrankRuehl"/>
          <w:sz w:val="28"/>
          <w:szCs w:val="28"/>
          <w:rtl/>
        </w:rPr>
        <w:t xml:space="preserve"> </w:t>
      </w:r>
      <w:r w:rsidRPr="00D719F4">
        <w:rPr>
          <w:rFonts w:ascii="Arial" w:hAnsi="Arial" w:cs="Miriam"/>
          <w:rtl/>
        </w:rPr>
        <w:t>העונשין</w:t>
      </w:r>
      <w:r>
        <w:rPr>
          <w:rFonts w:ascii="Arial" w:hAnsi="Arial" w:cs="FrankRuehl"/>
          <w:sz w:val="28"/>
          <w:szCs w:val="28"/>
          <w:rtl/>
        </w:rPr>
        <w:t xml:space="preserve">) וריבוי עבירות של פגיעה בפרטיות, לפי </w:t>
      </w:r>
      <w:hyperlink r:id="rId17" w:history="1">
        <w:r w:rsidR="002C0E92" w:rsidRPr="002C0E92">
          <w:rPr>
            <w:rFonts w:ascii="Arial" w:hAnsi="Arial" w:cs="FrankRuehl"/>
            <w:color w:val="0000FF"/>
            <w:sz w:val="28"/>
            <w:szCs w:val="28"/>
            <w:u w:val="single"/>
            <w:rtl/>
          </w:rPr>
          <w:t>סעיפים 5</w:t>
        </w:r>
      </w:hyperlink>
      <w:r>
        <w:rPr>
          <w:rFonts w:ascii="Arial" w:hAnsi="Arial" w:cs="FrankRuehl"/>
          <w:sz w:val="28"/>
          <w:szCs w:val="28"/>
          <w:rtl/>
        </w:rPr>
        <w:t xml:space="preserve">, </w:t>
      </w:r>
      <w:hyperlink r:id="rId18" w:history="1">
        <w:r w:rsidR="002C0E92" w:rsidRPr="002C0E92">
          <w:rPr>
            <w:rFonts w:ascii="Arial" w:hAnsi="Arial" w:cs="FrankRuehl"/>
            <w:color w:val="0000FF"/>
            <w:sz w:val="28"/>
            <w:szCs w:val="28"/>
            <w:u w:val="single"/>
            <w:rtl/>
          </w:rPr>
          <w:t>2(1)</w:t>
        </w:r>
      </w:hyperlink>
      <w:r>
        <w:rPr>
          <w:rFonts w:ascii="Arial" w:hAnsi="Arial" w:cs="FrankRuehl"/>
          <w:sz w:val="28"/>
          <w:szCs w:val="28"/>
          <w:rtl/>
        </w:rPr>
        <w:t xml:space="preserve"> ו-</w:t>
      </w:r>
      <w:hyperlink r:id="rId19" w:history="1">
        <w:r w:rsidR="002C0E92" w:rsidRPr="002C0E92">
          <w:rPr>
            <w:rStyle w:val="Hyperlink"/>
            <w:rFonts w:ascii="Arial" w:hAnsi="Arial" w:cs="FrankRuehl"/>
            <w:sz w:val="28"/>
            <w:szCs w:val="28"/>
            <w:rtl/>
          </w:rPr>
          <w:t>3</w:t>
        </w:r>
      </w:hyperlink>
      <w:r>
        <w:rPr>
          <w:rFonts w:ascii="Arial" w:hAnsi="Arial" w:cs="FrankRuehl"/>
          <w:sz w:val="28"/>
          <w:szCs w:val="28"/>
          <w:rtl/>
        </w:rPr>
        <w:t xml:space="preserve"> ל</w:t>
      </w:r>
      <w:hyperlink r:id="rId20" w:history="1">
        <w:r w:rsidR="00383730" w:rsidRPr="00383730">
          <w:rPr>
            <w:rFonts w:ascii="Arial" w:hAnsi="Arial" w:cs="FrankRuehl"/>
            <w:color w:val="0000FF"/>
            <w:sz w:val="28"/>
            <w:szCs w:val="28"/>
            <w:u w:val="single"/>
            <w:rtl/>
          </w:rPr>
          <w:t>חוק הגנת הפרטיות</w:t>
        </w:r>
      </w:hyperlink>
      <w:r>
        <w:rPr>
          <w:rFonts w:ascii="Arial" w:hAnsi="Arial" w:cs="FrankRuehl"/>
          <w:sz w:val="28"/>
          <w:szCs w:val="28"/>
          <w:rtl/>
        </w:rPr>
        <w:t xml:space="preserve">, התשמ"א-1981 (להלן: </w:t>
      </w:r>
      <w:r w:rsidRPr="00D719F4">
        <w:rPr>
          <w:rFonts w:ascii="Arial" w:hAnsi="Arial" w:cs="Miriam"/>
          <w:rtl/>
        </w:rPr>
        <w:t>חוק הגנת הפרטיות</w:t>
      </w:r>
      <w:r>
        <w:rPr>
          <w:rFonts w:ascii="Arial" w:hAnsi="Arial" w:cs="FrankRuehl"/>
          <w:sz w:val="28"/>
          <w:szCs w:val="28"/>
          <w:rtl/>
        </w:rPr>
        <w:t>).</w:t>
      </w:r>
    </w:p>
    <w:p w14:paraId="370345DD" w14:textId="77777777" w:rsidR="00953F88" w:rsidRDefault="00953F88" w:rsidP="00D719F4">
      <w:pPr>
        <w:spacing w:line="360" w:lineRule="auto"/>
        <w:jc w:val="both"/>
        <w:rPr>
          <w:rFonts w:ascii="Arial" w:hAnsi="Arial" w:cs="FrankRuehl"/>
          <w:sz w:val="28"/>
          <w:szCs w:val="28"/>
          <w:rtl/>
        </w:rPr>
      </w:pPr>
    </w:p>
    <w:p w14:paraId="139C0F6C" w14:textId="77777777" w:rsidR="00953F88" w:rsidRDefault="00953F88" w:rsidP="00C07D30">
      <w:pPr>
        <w:spacing w:line="360" w:lineRule="auto"/>
        <w:jc w:val="both"/>
        <w:rPr>
          <w:rFonts w:ascii="Arial" w:hAnsi="Arial" w:cs="FrankRuehl"/>
          <w:sz w:val="28"/>
          <w:szCs w:val="28"/>
          <w:rtl/>
        </w:rPr>
      </w:pPr>
      <w:r>
        <w:rPr>
          <w:rFonts w:ascii="Arial" w:hAnsi="Arial" w:cs="FrankRuehl"/>
          <w:sz w:val="28"/>
          <w:szCs w:val="28"/>
          <w:rtl/>
        </w:rPr>
        <w:t>2.</w:t>
      </w:r>
      <w:r>
        <w:rPr>
          <w:rFonts w:ascii="Arial" w:hAnsi="Arial" w:cs="FrankRuehl"/>
          <w:sz w:val="28"/>
          <w:szCs w:val="28"/>
          <w:rtl/>
        </w:rPr>
        <w:tab/>
        <w:t>תחילה הגיעו הצדדים להסכם דיוני, במסגרתו תוקן כתב האישום באופן שעבירת הפגיעה בפרטיות נמחקה, והנאשם הורשע על יסוד הודאתו בעבירה של מעשים מגונים. במסגרת הסכמת הצדדים הופנה הנאשם למרכז להערכת מסוכנות. לאחר קבלת הערכת המסוכנות ולאחר שהוצעה לנאשם מטעם המאשימה הצעה עונשית, לה סירב, הגיעו הצדדים להסכמה נוספת, לפיה הכרעת הדין תבוטל, במובן זה שיתאפשר לצדדים לטעון טענות משפטיות בלבד בכל הנוגע לסעיף העבירה המתאים לעובדות כתב האישום המתוקן בו הודה הנאשם.</w:t>
      </w:r>
    </w:p>
    <w:p w14:paraId="6508576E" w14:textId="77777777" w:rsidR="00953F88" w:rsidRDefault="00953F88" w:rsidP="00CC57CB">
      <w:pPr>
        <w:spacing w:line="360" w:lineRule="auto"/>
        <w:jc w:val="both"/>
        <w:rPr>
          <w:rFonts w:ascii="Arial" w:hAnsi="Arial" w:cs="FrankRuehl"/>
          <w:sz w:val="28"/>
          <w:szCs w:val="28"/>
          <w:rtl/>
        </w:rPr>
      </w:pPr>
    </w:p>
    <w:p w14:paraId="0C0F15D1" w14:textId="77777777" w:rsidR="00953F88" w:rsidRDefault="00953F88" w:rsidP="00C85F99">
      <w:pPr>
        <w:spacing w:line="360" w:lineRule="auto"/>
        <w:jc w:val="both"/>
        <w:rPr>
          <w:rFonts w:ascii="Arial" w:hAnsi="Arial" w:cs="FrankRuehl"/>
          <w:sz w:val="28"/>
          <w:szCs w:val="28"/>
          <w:rtl/>
        </w:rPr>
      </w:pPr>
      <w:r>
        <w:rPr>
          <w:rFonts w:ascii="Arial" w:hAnsi="Arial" w:cs="FrankRuehl"/>
          <w:sz w:val="28"/>
          <w:szCs w:val="28"/>
          <w:rtl/>
        </w:rPr>
        <w:t>3.</w:t>
      </w:r>
      <w:r>
        <w:rPr>
          <w:rFonts w:ascii="Arial" w:hAnsi="Arial" w:cs="FrankRuehl"/>
          <w:sz w:val="28"/>
          <w:szCs w:val="28"/>
          <w:rtl/>
        </w:rPr>
        <w:tab/>
        <w:t>על פי עובדות כתב האישום המתוקן, בכ-10 הזדמנויות בין המחצית השנייה של שנת 2014 ועד ליום 3.9.2015, נהג הנאשם לעקוב בקניון רוטשילד בראשון לציון, אחר נשים שונות שזהותן אינה ידועה אשר לבשו חצאיות או שמלות, ולצלם במכשיר הטלפון הנייד שהיה ברשותו מתחת לשמלותיהן. הנאשם פעל כך שהתקרב אל הנשים במדרגות הנעות בקניון, אחז בטלפון הנייד, הכניסו מתחת לשמלות הנשים וצילם את איברי גופן המוצנעים, לרבות הישבן, כל זאת ללא ידיעתן וללא הסכמתן, לשם גירוי, ביזוי או סיפוק מיניים.</w:t>
      </w:r>
    </w:p>
    <w:p w14:paraId="39C4BA42" w14:textId="77777777" w:rsidR="00953F88" w:rsidRDefault="00953F88" w:rsidP="00CC57CB">
      <w:pPr>
        <w:spacing w:line="360" w:lineRule="auto"/>
        <w:jc w:val="both"/>
        <w:rPr>
          <w:rFonts w:ascii="Arial" w:hAnsi="Arial" w:cs="FrankRuehl"/>
          <w:sz w:val="28"/>
          <w:szCs w:val="28"/>
          <w:rtl/>
        </w:rPr>
      </w:pPr>
    </w:p>
    <w:p w14:paraId="4B2A4CD1" w14:textId="77777777" w:rsidR="00953F88" w:rsidRDefault="00953F88" w:rsidP="00BB3B6E">
      <w:pPr>
        <w:spacing w:line="360" w:lineRule="auto"/>
        <w:jc w:val="both"/>
        <w:rPr>
          <w:rFonts w:ascii="Arial" w:hAnsi="Arial" w:cs="FrankRuehl"/>
          <w:sz w:val="28"/>
          <w:szCs w:val="28"/>
          <w:rtl/>
        </w:rPr>
      </w:pPr>
      <w:r>
        <w:rPr>
          <w:rFonts w:ascii="Arial" w:hAnsi="Arial" w:cs="FrankRuehl"/>
          <w:sz w:val="28"/>
          <w:szCs w:val="28"/>
          <w:rtl/>
        </w:rPr>
        <w:t>4.</w:t>
      </w:r>
      <w:r>
        <w:rPr>
          <w:rFonts w:ascii="Arial" w:hAnsi="Arial" w:cs="FrankRuehl"/>
          <w:sz w:val="28"/>
          <w:szCs w:val="28"/>
          <w:rtl/>
        </w:rPr>
        <w:tab/>
        <w:t>יש לציין שבמסגרת סיכומי ההגנה נטענו תחילה טענות שונות בנוגע לאכיפה בררנית והגשת כתבי אישום באופן שרירותי על ידי המאשימה בעבירות שונות במצבים דומים, אולם טענה זו נזנחה לאחר שהוצגו להגנה מספר כתבי אישום בהם הוגשו נגד נאשמים בנסיבות דומות כתבי אישום, בהם הואשמו בשתי העבירות גם יחד.</w:t>
      </w:r>
    </w:p>
    <w:p w14:paraId="30D1DBC6" w14:textId="77777777" w:rsidR="00953F88" w:rsidRDefault="00953F88" w:rsidP="00CC57CB">
      <w:pPr>
        <w:spacing w:line="360" w:lineRule="auto"/>
        <w:jc w:val="both"/>
        <w:rPr>
          <w:rFonts w:ascii="Arial" w:hAnsi="Arial" w:cs="FrankRuehl"/>
          <w:sz w:val="28"/>
          <w:szCs w:val="28"/>
          <w:rtl/>
        </w:rPr>
      </w:pPr>
    </w:p>
    <w:p w14:paraId="7DE8F957" w14:textId="77777777" w:rsidR="00953F88" w:rsidRDefault="00953F88" w:rsidP="00861D23">
      <w:pPr>
        <w:spacing w:line="360" w:lineRule="auto"/>
        <w:jc w:val="both"/>
        <w:rPr>
          <w:rFonts w:ascii="Arial" w:hAnsi="Arial" w:cs="FrankRuehl"/>
          <w:sz w:val="28"/>
          <w:szCs w:val="28"/>
          <w:rtl/>
        </w:rPr>
      </w:pPr>
      <w:r>
        <w:rPr>
          <w:rFonts w:ascii="Arial" w:hAnsi="Arial" w:cs="FrankRuehl"/>
          <w:sz w:val="28"/>
          <w:szCs w:val="28"/>
          <w:rtl/>
        </w:rPr>
        <w:t>5.</w:t>
      </w:r>
      <w:r>
        <w:rPr>
          <w:rFonts w:ascii="Arial" w:hAnsi="Arial" w:cs="FrankRuehl"/>
          <w:sz w:val="28"/>
          <w:szCs w:val="28"/>
          <w:rtl/>
        </w:rPr>
        <w:tab/>
        <w:t>משכך, מיקד ב"כ הנאשם את טיעוניו בסוגיית ייחוס סעיף העבירה המתאים לנסיבות המקרה. בהקשר זה נטען שלא ניתן להרשיע את הנאשם בעבירת מעשה מגונה, אלא בעבירה של פגיעה בפרטיות בלבד. טענה נוספת שהועלתה, הנגזרת מהטענה המרכזית, היא שבנסיבות בהן הנאשם מצלם את קורבנותיו ללא ידיעתם, הרי שאין מדובר ב"מתלוננים" במובן הקלאסי של המילה", ולא ניתן להאשים את הנאשם בביצוע מעשה מגונה במצב  דברים בו כלל לא נוצר מגע, ואף לא קשר עין, בינו לבין מי מקורבנותיו.</w:t>
      </w:r>
    </w:p>
    <w:p w14:paraId="6DB28A92" w14:textId="77777777" w:rsidR="00953F88" w:rsidRDefault="00953F88" w:rsidP="00F6394D">
      <w:pPr>
        <w:spacing w:line="360" w:lineRule="auto"/>
        <w:jc w:val="both"/>
        <w:rPr>
          <w:rFonts w:ascii="Arial" w:hAnsi="Arial" w:cs="FrankRuehl"/>
          <w:sz w:val="28"/>
          <w:szCs w:val="28"/>
          <w:rtl/>
        </w:rPr>
      </w:pPr>
    </w:p>
    <w:p w14:paraId="757AE890" w14:textId="77777777" w:rsidR="00953F88" w:rsidRDefault="00953F88" w:rsidP="00E6142F">
      <w:pPr>
        <w:pStyle w:val="Ruller40"/>
        <w:rPr>
          <w:rFonts w:ascii="Times New Roman" w:hAnsi="Times New Roman" w:cs="Miriam"/>
          <w:spacing w:val="0"/>
          <w:szCs w:val="24"/>
          <w:rtl/>
        </w:rPr>
      </w:pPr>
      <w:r>
        <w:rPr>
          <w:rFonts w:ascii="Times New Roman" w:hAnsi="Times New Roman" w:cs="Miriam"/>
          <w:spacing w:val="0"/>
          <w:szCs w:val="24"/>
          <w:rtl/>
        </w:rPr>
        <w:t>המסגרת המשפטית</w:t>
      </w:r>
    </w:p>
    <w:p w14:paraId="0738E150" w14:textId="77777777" w:rsidR="00953F88" w:rsidRDefault="00953F88" w:rsidP="00B853D9">
      <w:pPr>
        <w:pStyle w:val="Ruller40"/>
        <w:spacing w:line="240" w:lineRule="auto"/>
        <w:rPr>
          <w:rFonts w:ascii="Times New Roman" w:hAnsi="Times New Roman" w:cs="Miriam"/>
          <w:spacing w:val="0"/>
          <w:szCs w:val="24"/>
          <w:rtl/>
        </w:rPr>
      </w:pPr>
    </w:p>
    <w:p w14:paraId="2C287D6D" w14:textId="77777777" w:rsidR="00953F88" w:rsidRDefault="00953F88" w:rsidP="009737F3">
      <w:pPr>
        <w:pStyle w:val="Ruller40"/>
        <w:rPr>
          <w:rFonts w:ascii="Times New Roman" w:hAnsi="Times New Roman"/>
          <w:rtl/>
        </w:rPr>
      </w:pPr>
      <w:r>
        <w:rPr>
          <w:rFonts w:ascii="Times New Roman" w:hAnsi="Times New Roman"/>
          <w:rtl/>
        </w:rPr>
        <w:t>6</w:t>
      </w:r>
      <w:r w:rsidRPr="009737F3">
        <w:rPr>
          <w:rFonts w:ascii="Times New Roman" w:hAnsi="Times New Roman"/>
          <w:rtl/>
        </w:rPr>
        <w:t>.</w:t>
      </w:r>
      <w:r w:rsidRPr="009737F3">
        <w:rPr>
          <w:rFonts w:ascii="Times New Roman" w:hAnsi="Times New Roman"/>
          <w:rtl/>
        </w:rPr>
        <w:tab/>
      </w:r>
      <w:r w:rsidRPr="009737F3">
        <w:rPr>
          <w:rFonts w:ascii="Times New Roman" w:hAnsi="Times New Roman"/>
          <w:color w:val="000000"/>
          <w:rtl/>
        </w:rPr>
        <w:t xml:space="preserve">"מעשה מגונה" מוגדר </w:t>
      </w:r>
      <w:hyperlink r:id="rId21" w:history="1">
        <w:r w:rsidR="002C0E92" w:rsidRPr="002C0E92">
          <w:rPr>
            <w:rStyle w:val="Hyperlink"/>
            <w:rFonts w:ascii="Times New Roman" w:hAnsi="Times New Roman" w:cs="FrankRuehl"/>
            <w:rtl/>
          </w:rPr>
          <w:t>בסעיף 348(ו)</w:t>
        </w:r>
      </w:hyperlink>
      <w:r w:rsidRPr="009737F3">
        <w:rPr>
          <w:rFonts w:ascii="Times New Roman" w:hAnsi="Times New Roman"/>
          <w:color w:val="000000"/>
          <w:rtl/>
        </w:rPr>
        <w:t xml:space="preserve"> ל</w:t>
      </w:r>
      <w:hyperlink r:id="rId22" w:history="1">
        <w:r w:rsidR="00383730" w:rsidRPr="00383730">
          <w:rPr>
            <w:rFonts w:ascii="Times New Roman" w:hAnsi="Times New Roman"/>
            <w:color w:val="0000FF"/>
            <w:u w:val="single"/>
            <w:rtl/>
          </w:rPr>
          <w:t>חוק העונשין</w:t>
        </w:r>
      </w:hyperlink>
      <w:r>
        <w:rPr>
          <w:rtl/>
        </w:rPr>
        <w:t xml:space="preserve"> כ"</w:t>
      </w:r>
      <w:r w:rsidRPr="00C07D30">
        <w:rPr>
          <w:b/>
          <w:bCs/>
          <w:rtl/>
        </w:rPr>
        <w:t>מעשה לשם גירוי, סיפוק או ביזוי מיניים</w:t>
      </w:r>
      <w:r>
        <w:rPr>
          <w:rtl/>
        </w:rPr>
        <w:t>".</w:t>
      </w:r>
    </w:p>
    <w:p w14:paraId="28607D64" w14:textId="77777777" w:rsidR="00953F88" w:rsidRPr="00383730" w:rsidRDefault="00953F88" w:rsidP="00A93227">
      <w:pPr>
        <w:pStyle w:val="Ruller40"/>
        <w:rPr>
          <w:rFonts w:ascii="Times New Roman" w:hAnsi="Times New Roman"/>
          <w:color w:val="000000"/>
          <w:rtl/>
        </w:rPr>
      </w:pPr>
      <w:r>
        <w:rPr>
          <w:rFonts w:ascii="Times New Roman" w:hAnsi="Times New Roman"/>
          <w:rtl/>
        </w:rPr>
        <w:t xml:space="preserve">על הגדרת "מעשה מגונה" נקבע כבר לפני שנים רבות שהוא </w:t>
      </w:r>
      <w:r>
        <w:rPr>
          <w:rtl/>
        </w:rPr>
        <w:t>"אינו נתון להגדרה ממצה ומדויקת. דבר זה אין לך בו אלא מקומו ושעתו, והשקפות החברה בה מבוצע המעשה"</w:t>
      </w:r>
      <w:r>
        <w:rPr>
          <w:rFonts w:ascii="Times New Roman" w:hAnsi="Times New Roman"/>
          <w:rtl/>
        </w:rPr>
        <w:t xml:space="preserve"> </w:t>
      </w:r>
      <w:r>
        <w:rPr>
          <w:rFonts w:ascii="Times New Roman" w:hAnsi="Times New Roman"/>
          <w:color w:val="000000"/>
          <w:rtl/>
        </w:rPr>
        <w:t>[</w:t>
      </w:r>
      <w:hyperlink r:id="rId23" w:history="1">
        <w:r w:rsidR="00383730" w:rsidRPr="00383730">
          <w:rPr>
            <w:rFonts w:ascii="Times New Roman" w:hAnsi="Times New Roman"/>
            <w:color w:val="0000FF"/>
            <w:u w:val="single"/>
            <w:rtl/>
          </w:rPr>
          <w:t>ע"פ 315/58</w:t>
        </w:r>
      </w:hyperlink>
      <w:r w:rsidRPr="00383730">
        <w:rPr>
          <w:rFonts w:ascii="Times New Roman" w:hAnsi="Times New Roman"/>
          <w:color w:val="000000"/>
          <w:rtl/>
        </w:rPr>
        <w:t xml:space="preserve"> היועץ המשפטי נ' ג'בארה </w:t>
      </w:r>
      <w:r w:rsidR="00D419E8" w:rsidRPr="00D419E8">
        <w:rPr>
          <w:rFonts w:ascii="Times New Roman" w:hAnsi="Times New Roman" w:cs="David"/>
          <w:spacing w:val="0"/>
          <w:sz w:val="22"/>
          <w:szCs w:val="24"/>
          <w:rtl/>
        </w:rPr>
        <w:t xml:space="preserve">[פורסם בנבו] </w:t>
      </w:r>
      <w:r w:rsidRPr="00383730">
        <w:rPr>
          <w:rFonts w:ascii="Times New Roman" w:hAnsi="Times New Roman"/>
          <w:color w:val="000000"/>
          <w:rtl/>
        </w:rPr>
        <w:t xml:space="preserve">(22.3.1959)]. </w:t>
      </w:r>
    </w:p>
    <w:p w14:paraId="18B7210C" w14:textId="77777777" w:rsidR="00953F88" w:rsidRDefault="00953F88" w:rsidP="00F834A2">
      <w:pPr>
        <w:pStyle w:val="Ruller40"/>
        <w:rPr>
          <w:rFonts w:ascii="Times New Roman" w:hAnsi="Times New Roman"/>
          <w:rtl/>
        </w:rPr>
      </w:pPr>
      <w:r>
        <w:rPr>
          <w:rFonts w:ascii="Times New Roman" w:hAnsi="Times New Roman"/>
          <w:rtl/>
        </w:rPr>
        <w:t xml:space="preserve">עוד נקבע שהשאלה האם התנהגות מסוימת מהווה "מעשה מגונה" אם לאו, תיבחן כנקודת מבט מוסרית ו"אובייקטיבית" </w:t>
      </w:r>
      <w:r w:rsidRPr="00DC5CCC">
        <w:rPr>
          <w:rFonts w:ascii="Times New Roman" w:hAnsi="Times New Roman"/>
          <w:color w:val="000000"/>
          <w:rtl/>
        </w:rPr>
        <w:t>[</w:t>
      </w:r>
      <w:hyperlink r:id="rId24" w:history="1">
        <w:r w:rsidR="00383730" w:rsidRPr="00383730">
          <w:rPr>
            <w:rFonts w:ascii="Times New Roman" w:hAnsi="Times New Roman"/>
            <w:color w:val="0000FF"/>
            <w:u w:val="single"/>
            <w:rtl/>
          </w:rPr>
          <w:t>ע"פ 6255/03</w:t>
        </w:r>
      </w:hyperlink>
      <w:r w:rsidRPr="00DC5CCC">
        <w:rPr>
          <w:rFonts w:ascii="Times New Roman" w:hAnsi="Times New Roman" w:cs="Miriam"/>
          <w:color w:val="000000"/>
          <w:sz w:val="24"/>
          <w:szCs w:val="24"/>
          <w:rtl/>
        </w:rPr>
        <w:t xml:space="preserve"> פלוני נ' מדינת ישראל</w:t>
      </w:r>
      <w:r w:rsidRPr="00DC5CCC">
        <w:rPr>
          <w:rFonts w:ascii="Times New Roman" w:hAnsi="Times New Roman"/>
          <w:color w:val="000000"/>
          <w:rtl/>
        </w:rPr>
        <w:t xml:space="preserve">, </w:t>
      </w:r>
      <w:r w:rsidR="00D419E8" w:rsidRPr="00D419E8">
        <w:rPr>
          <w:rFonts w:ascii="Times New Roman" w:hAnsi="Times New Roman" w:cs="David"/>
          <w:spacing w:val="0"/>
          <w:sz w:val="22"/>
          <w:szCs w:val="24"/>
          <w:rtl/>
        </w:rPr>
        <w:t xml:space="preserve">[פורסם בנבו] </w:t>
      </w:r>
      <w:r w:rsidRPr="00DC5CCC">
        <w:rPr>
          <w:rFonts w:ascii="Times New Roman" w:hAnsi="Times New Roman"/>
          <w:color w:val="000000"/>
          <w:rtl/>
        </w:rPr>
        <w:t>פסקה 11 (</w:t>
      </w:r>
      <w:r>
        <w:rPr>
          <w:rFonts w:ascii="Times New Roman" w:hAnsi="Times New Roman"/>
          <w:color w:val="000000"/>
          <w:rtl/>
        </w:rPr>
        <w:t>16.2.2004</w:t>
      </w:r>
      <w:r w:rsidRPr="00DC5CCC">
        <w:rPr>
          <w:rFonts w:ascii="Times New Roman" w:hAnsi="Times New Roman"/>
          <w:color w:val="000000"/>
          <w:rtl/>
        </w:rPr>
        <w:t>)</w:t>
      </w:r>
      <w:r>
        <w:rPr>
          <w:rFonts w:ascii="Times New Roman" w:hAnsi="Times New Roman"/>
          <w:color w:val="000000"/>
          <w:rtl/>
        </w:rPr>
        <w:t xml:space="preserve"> (להלן: </w:t>
      </w:r>
      <w:r w:rsidRPr="008B5EEC">
        <w:rPr>
          <w:rFonts w:ascii="Times New Roman" w:hAnsi="Times New Roman" w:cs="Miriam"/>
          <w:color w:val="000000"/>
          <w:sz w:val="24"/>
          <w:szCs w:val="24"/>
          <w:rtl/>
        </w:rPr>
        <w:t>עניין פלוני</w:t>
      </w:r>
      <w:r>
        <w:rPr>
          <w:rFonts w:ascii="Times New Roman" w:hAnsi="Times New Roman" w:cs="Miriam"/>
          <w:color w:val="000000"/>
          <w:sz w:val="24"/>
          <w:szCs w:val="24"/>
          <w:rtl/>
        </w:rPr>
        <w:t xml:space="preserve"> 1</w:t>
      </w:r>
      <w:r>
        <w:rPr>
          <w:rFonts w:ascii="Times New Roman" w:hAnsi="Times New Roman"/>
          <w:color w:val="000000"/>
          <w:rtl/>
        </w:rPr>
        <w:t>)]</w:t>
      </w:r>
      <w:r>
        <w:rPr>
          <w:rFonts w:ascii="Times New Roman" w:hAnsi="Times New Roman"/>
          <w:rtl/>
        </w:rPr>
        <w:t xml:space="preserve">: </w:t>
      </w:r>
    </w:p>
    <w:p w14:paraId="447B9A48" w14:textId="77777777" w:rsidR="00953F88" w:rsidRDefault="00953F88" w:rsidP="00A65192">
      <w:pPr>
        <w:pStyle w:val="Ruller40"/>
        <w:ind w:left="720"/>
        <w:rPr>
          <w:rFonts w:ascii="Times New Roman" w:hAnsi="Times New Roman"/>
          <w:rtl/>
        </w:rPr>
      </w:pPr>
      <w:r>
        <w:rPr>
          <w:rFonts w:ascii="Times New Roman" w:hAnsi="Times New Roman"/>
          <w:rtl/>
        </w:rPr>
        <w:tab/>
      </w:r>
    </w:p>
    <w:p w14:paraId="54DA9C97" w14:textId="77777777" w:rsidR="00953F88" w:rsidRPr="00DC5CCC" w:rsidRDefault="00953F88" w:rsidP="008B5EEC">
      <w:pPr>
        <w:pStyle w:val="Ruller40"/>
        <w:tabs>
          <w:tab w:val="left" w:pos="7654"/>
        </w:tabs>
        <w:ind w:left="720" w:right="709"/>
        <w:rPr>
          <w:rFonts w:ascii="Times New Roman" w:hAnsi="Times New Roman"/>
          <w:color w:val="000000"/>
          <w:rtl/>
        </w:rPr>
      </w:pPr>
      <w:r>
        <w:rPr>
          <w:rFonts w:ascii="Times New Roman" w:hAnsi="Times New Roman"/>
          <w:rtl/>
        </w:rPr>
        <w:t>"באשר ליסוד העובדתי של העבירה דומה שאמורים לגזור את הגנות שבמעשה פלוני מתוך השקפות החברה באשר להיותו של מעשה פלוני מעשה מגונה. המבחן הוא אובייקטיבי: מעשה שעל פניו קיים בו אלמנט מגונה על-פי השקפות החברה שבה מתבצע המעשה, או מעשה שיש בו על פניו אלמנט של מיניות גלויה, ואשר על-פי אמות-מידה אובייקטיביות של מתבונן מן הצד, של האדם הממוצע, ייחשב לא הגון, לא מוסרי, לא צנוע"</w:t>
      </w:r>
      <w:r>
        <w:rPr>
          <w:rFonts w:ascii="Times New Roman" w:hAnsi="Times New Roman"/>
          <w:color w:val="000000"/>
          <w:rtl/>
        </w:rPr>
        <w:t>.</w:t>
      </w:r>
    </w:p>
    <w:p w14:paraId="61B61DED" w14:textId="77777777" w:rsidR="00953F88" w:rsidRDefault="00953F88" w:rsidP="00B853D9">
      <w:pPr>
        <w:pStyle w:val="Ruller40"/>
        <w:rPr>
          <w:rFonts w:ascii="Times New Roman" w:hAnsi="Times New Roman"/>
          <w:rtl/>
        </w:rPr>
      </w:pPr>
    </w:p>
    <w:p w14:paraId="22A6FB78" w14:textId="77777777" w:rsidR="00953F88" w:rsidRDefault="00953F88" w:rsidP="00B853D9">
      <w:pPr>
        <w:pStyle w:val="Ruller40"/>
        <w:rPr>
          <w:rFonts w:ascii="Times New Roman" w:hAnsi="Times New Roman"/>
          <w:rtl/>
        </w:rPr>
      </w:pPr>
      <w:r>
        <w:rPr>
          <w:rFonts w:ascii="Times New Roman" w:hAnsi="Times New Roman"/>
          <w:color w:val="000000"/>
          <w:rtl/>
        </w:rPr>
        <w:t xml:space="preserve">וראו גם: </w:t>
      </w:r>
      <w:hyperlink r:id="rId25" w:history="1">
        <w:r w:rsidR="00383730" w:rsidRPr="00383730">
          <w:rPr>
            <w:rFonts w:ascii="Times New Roman" w:hAnsi="Times New Roman"/>
            <w:color w:val="0000FF"/>
            <w:u w:val="single"/>
            <w:rtl/>
          </w:rPr>
          <w:t>ע"פ 9603/09</w:t>
        </w:r>
      </w:hyperlink>
      <w:r>
        <w:rPr>
          <w:rFonts w:ascii="Times New Roman" w:hAnsi="Times New Roman"/>
          <w:color w:val="000000"/>
          <w:rtl/>
        </w:rPr>
        <w:t xml:space="preserve"> </w:t>
      </w:r>
      <w:r w:rsidRPr="00DC5CCC">
        <w:rPr>
          <w:rFonts w:ascii="Times New Roman" w:hAnsi="Times New Roman" w:cs="Miriam"/>
          <w:color w:val="000000"/>
          <w:sz w:val="24"/>
          <w:szCs w:val="24"/>
          <w:rtl/>
        </w:rPr>
        <w:t>פלוני נ' מדינת ישראל</w:t>
      </w:r>
      <w:r w:rsidRPr="00DC5CCC">
        <w:rPr>
          <w:rFonts w:ascii="Times New Roman" w:hAnsi="Times New Roman"/>
          <w:color w:val="000000"/>
          <w:rtl/>
        </w:rPr>
        <w:t xml:space="preserve">, </w:t>
      </w:r>
      <w:r w:rsidR="00D419E8" w:rsidRPr="00D419E8">
        <w:rPr>
          <w:rFonts w:ascii="Times New Roman" w:hAnsi="Times New Roman" w:cs="David"/>
          <w:spacing w:val="0"/>
          <w:sz w:val="22"/>
          <w:szCs w:val="24"/>
          <w:rtl/>
        </w:rPr>
        <w:t xml:space="preserve">[פורסם בנבו] </w:t>
      </w:r>
      <w:r w:rsidRPr="00DC5CCC">
        <w:rPr>
          <w:rFonts w:ascii="Times New Roman" w:hAnsi="Times New Roman"/>
          <w:color w:val="000000"/>
          <w:rtl/>
        </w:rPr>
        <w:t xml:space="preserve">פסקה </w:t>
      </w:r>
      <w:r>
        <w:rPr>
          <w:rFonts w:ascii="Times New Roman" w:hAnsi="Times New Roman"/>
          <w:color w:val="000000"/>
          <w:rtl/>
        </w:rPr>
        <w:t>12</w:t>
      </w:r>
      <w:r w:rsidRPr="00DC5CCC">
        <w:rPr>
          <w:rFonts w:ascii="Times New Roman" w:hAnsi="Times New Roman"/>
          <w:color w:val="000000"/>
          <w:rtl/>
        </w:rPr>
        <w:t xml:space="preserve"> (</w:t>
      </w:r>
      <w:r>
        <w:rPr>
          <w:rFonts w:ascii="Times New Roman" w:hAnsi="Times New Roman"/>
          <w:color w:val="000000"/>
          <w:rtl/>
        </w:rPr>
        <w:t>27.9.2011</w:t>
      </w:r>
      <w:r w:rsidRPr="00DC5CCC">
        <w:rPr>
          <w:rFonts w:ascii="Times New Roman" w:hAnsi="Times New Roman"/>
          <w:color w:val="000000"/>
          <w:rtl/>
        </w:rPr>
        <w:t>)</w:t>
      </w:r>
      <w:r>
        <w:rPr>
          <w:rFonts w:ascii="Times New Roman" w:hAnsi="Times New Roman"/>
          <w:color w:val="000000"/>
          <w:rtl/>
        </w:rPr>
        <w:t xml:space="preserve"> (להלן: </w:t>
      </w:r>
      <w:r w:rsidRPr="008B5EEC">
        <w:rPr>
          <w:rFonts w:ascii="Times New Roman" w:hAnsi="Times New Roman" w:cs="Miriam"/>
          <w:color w:val="000000"/>
          <w:sz w:val="24"/>
          <w:szCs w:val="24"/>
          <w:rtl/>
        </w:rPr>
        <w:t>עניין פלוני</w:t>
      </w:r>
      <w:r>
        <w:rPr>
          <w:rFonts w:ascii="Times New Roman" w:hAnsi="Times New Roman" w:cs="Miriam"/>
          <w:color w:val="000000"/>
          <w:sz w:val="24"/>
          <w:szCs w:val="24"/>
          <w:rtl/>
        </w:rPr>
        <w:t xml:space="preserve"> 2</w:t>
      </w:r>
      <w:r>
        <w:rPr>
          <w:rFonts w:ascii="Times New Roman" w:hAnsi="Times New Roman"/>
          <w:color w:val="000000"/>
          <w:rtl/>
        </w:rPr>
        <w:t>)</w:t>
      </w:r>
      <w:r>
        <w:rPr>
          <w:rFonts w:ascii="Times New Roman" w:hAnsi="Times New Roman"/>
          <w:rtl/>
        </w:rPr>
        <w:t>.</w:t>
      </w:r>
    </w:p>
    <w:p w14:paraId="7B09F36C" w14:textId="77777777" w:rsidR="00953F88" w:rsidRDefault="00953F88" w:rsidP="00B853D9">
      <w:pPr>
        <w:pStyle w:val="Ruller40"/>
        <w:rPr>
          <w:rFonts w:ascii="Times New Roman" w:hAnsi="Times New Roman"/>
          <w:rtl/>
        </w:rPr>
      </w:pPr>
    </w:p>
    <w:p w14:paraId="47CC655A" w14:textId="77777777" w:rsidR="00953F88" w:rsidRDefault="00953F88" w:rsidP="00246ABA">
      <w:pPr>
        <w:pStyle w:val="Ruller40"/>
        <w:rPr>
          <w:rFonts w:ascii="Times New Roman" w:hAnsi="Times New Roman"/>
          <w:rtl/>
        </w:rPr>
      </w:pPr>
      <w:r>
        <w:rPr>
          <w:rFonts w:ascii="Times New Roman" w:hAnsi="Times New Roman"/>
          <w:rtl/>
        </w:rPr>
        <w:lastRenderedPageBreak/>
        <w:t>7.</w:t>
      </w:r>
      <w:r>
        <w:rPr>
          <w:rFonts w:ascii="Times New Roman" w:hAnsi="Times New Roman"/>
          <w:rtl/>
        </w:rPr>
        <w:tab/>
        <w:t xml:space="preserve">לצד מבחן זה, נדונו בפסיקה מאפיינים שונים, המסייעים לפרשנות עבירת המעשה המגונה. </w:t>
      </w:r>
    </w:p>
    <w:p w14:paraId="075915ED" w14:textId="77777777" w:rsidR="00953F88" w:rsidRDefault="00953F88" w:rsidP="00246ABA">
      <w:pPr>
        <w:pStyle w:val="Ruller40"/>
        <w:rPr>
          <w:rFonts w:ascii="Times New Roman" w:hAnsi="Times New Roman"/>
          <w:rtl/>
        </w:rPr>
      </w:pPr>
      <w:r>
        <w:rPr>
          <w:rFonts w:ascii="Times New Roman" w:hAnsi="Times New Roman"/>
          <w:rtl/>
        </w:rPr>
        <w:t xml:space="preserve">כך למשל, ניתן משקל רב </w:t>
      </w:r>
      <w:r w:rsidRPr="00246ABA">
        <w:rPr>
          <w:rFonts w:ascii="Times New Roman" w:hAnsi="Times New Roman" w:cs="Miriam"/>
          <w:sz w:val="24"/>
          <w:szCs w:val="24"/>
          <w:rtl/>
        </w:rPr>
        <w:t>למניעיו של מבצע המעשה</w:t>
      </w:r>
      <w:r>
        <w:rPr>
          <w:rFonts w:ascii="Times New Roman" w:hAnsi="Times New Roman"/>
          <w:rtl/>
        </w:rPr>
        <w:t xml:space="preserve">, בדגש על </w:t>
      </w:r>
      <w:r w:rsidRPr="00246ABA">
        <w:rPr>
          <w:rFonts w:ascii="Times New Roman" w:hAnsi="Times New Roman" w:cs="Miriam"/>
          <w:sz w:val="24"/>
          <w:szCs w:val="24"/>
          <w:rtl/>
        </w:rPr>
        <w:t>מניע מיני</w:t>
      </w:r>
      <w:r>
        <w:rPr>
          <w:rFonts w:ascii="Times New Roman" w:hAnsi="Times New Roman"/>
          <w:rtl/>
        </w:rPr>
        <w:t xml:space="preserve">, במסגרת הבחינה העובדתית האם מדובר במעשה שהוא "מגונה". בהקשר זה נקבע </w:t>
      </w:r>
      <w:r>
        <w:rPr>
          <w:rFonts w:ascii="Times New Roman" w:hAnsi="Times New Roman"/>
          <w:color w:val="000000"/>
          <w:rtl/>
        </w:rPr>
        <w:t xml:space="preserve">בעניין </w:t>
      </w:r>
      <w:r w:rsidRPr="008B5EEC">
        <w:rPr>
          <w:rFonts w:ascii="Times New Roman" w:hAnsi="Times New Roman" w:cs="Miriam"/>
          <w:color w:val="000000"/>
          <w:sz w:val="24"/>
          <w:szCs w:val="24"/>
          <w:rtl/>
        </w:rPr>
        <w:t>פלוני</w:t>
      </w:r>
      <w:r>
        <w:rPr>
          <w:rFonts w:ascii="Times New Roman" w:hAnsi="Times New Roman"/>
          <w:color w:val="000000"/>
          <w:rtl/>
        </w:rPr>
        <w:t xml:space="preserve"> (</w:t>
      </w:r>
      <w:r w:rsidRPr="008B5EEC">
        <w:rPr>
          <w:rFonts w:ascii="Times New Roman" w:hAnsi="Times New Roman"/>
          <w:color w:val="000000"/>
          <w:rtl/>
        </w:rPr>
        <w:t xml:space="preserve">פסקה </w:t>
      </w:r>
      <w:r>
        <w:rPr>
          <w:rFonts w:ascii="Times New Roman" w:hAnsi="Times New Roman"/>
          <w:rtl/>
        </w:rPr>
        <w:t xml:space="preserve">12): </w:t>
      </w:r>
    </w:p>
    <w:p w14:paraId="7FAACB9B" w14:textId="77777777" w:rsidR="00953F88" w:rsidRDefault="00953F88" w:rsidP="008B5EEC">
      <w:pPr>
        <w:pStyle w:val="Ruller40"/>
        <w:rPr>
          <w:rFonts w:ascii="Times New Roman" w:hAnsi="Times New Roman"/>
          <w:rtl/>
        </w:rPr>
      </w:pPr>
      <w:r>
        <w:rPr>
          <w:rFonts w:ascii="Times New Roman" w:hAnsi="Times New Roman"/>
          <w:rtl/>
        </w:rPr>
        <w:tab/>
      </w:r>
    </w:p>
    <w:p w14:paraId="56520772" w14:textId="77777777" w:rsidR="00953F88" w:rsidRDefault="00953F88" w:rsidP="00246ABA">
      <w:pPr>
        <w:pStyle w:val="Ruller40"/>
        <w:tabs>
          <w:tab w:val="left" w:pos="7654"/>
        </w:tabs>
        <w:ind w:left="720" w:right="709"/>
        <w:rPr>
          <w:rFonts w:ascii="Times New Roman" w:hAnsi="Times New Roman"/>
          <w:rtl/>
        </w:rPr>
      </w:pPr>
      <w:r>
        <w:rPr>
          <w:rFonts w:ascii="Times New Roman" w:hAnsi="Times New Roman"/>
          <w:rtl/>
        </w:rPr>
        <w:t>"להבדיל מעבירות אחרות שיש בהן הבחנה ברורה בין היסוד העובדתי שבעבירה לבין היסוד הנפשי בה, בעבירה של עשיית מעשה מגונה קשה להתעלם מכך שיש זרימה בין היסוד הנפשי לבין היסוד העובדתי. היסוד הנפשי והיסוד העובדתי שבעבירה אינם הרמטיים זה לזה. היסוד הנפשי חודר על דרך האוסמוזה אל היסוד העובדתי, והיסוד העובדתי עשוי לשנות צבעו על-פי היסוד הנפשי".</w:t>
      </w:r>
    </w:p>
    <w:p w14:paraId="23F49049" w14:textId="77777777" w:rsidR="00953F88" w:rsidRDefault="00953F88" w:rsidP="00B853D9">
      <w:pPr>
        <w:pStyle w:val="Ruller40"/>
        <w:spacing w:line="240" w:lineRule="auto"/>
        <w:rPr>
          <w:rFonts w:ascii="Times New Roman" w:hAnsi="Times New Roman"/>
          <w:rtl/>
        </w:rPr>
      </w:pPr>
    </w:p>
    <w:p w14:paraId="784FFB43" w14:textId="77777777" w:rsidR="00953F88" w:rsidRDefault="00953F88" w:rsidP="00D132E7">
      <w:pPr>
        <w:pStyle w:val="Ruller40"/>
        <w:rPr>
          <w:rFonts w:ascii="Times New Roman" w:hAnsi="Times New Roman"/>
          <w:color w:val="000000"/>
          <w:rtl/>
        </w:rPr>
      </w:pPr>
      <w:r>
        <w:rPr>
          <w:rFonts w:ascii="Times New Roman" w:hAnsi="Times New Roman"/>
          <w:rtl/>
        </w:rPr>
        <w:tab/>
        <w:t xml:space="preserve">מאפיין נוסף, שבהתקיימותו אפשר שמעשה הנראה על פניו "תמים", יסווג כ"מגונה", הינו </w:t>
      </w:r>
      <w:r w:rsidRPr="00CF7537">
        <w:rPr>
          <w:rFonts w:ascii="Times New Roman" w:hAnsi="Times New Roman" w:cs="Miriam"/>
          <w:sz w:val="24"/>
          <w:szCs w:val="24"/>
          <w:rtl/>
        </w:rPr>
        <w:t>המטרה</w:t>
      </w:r>
      <w:r>
        <w:rPr>
          <w:rFonts w:ascii="Times New Roman" w:hAnsi="Times New Roman"/>
          <w:rtl/>
        </w:rPr>
        <w:t xml:space="preserve"> אשר הניעה את מבצע המעשה. בעניין זה נקבע שמעשים עשויים להיחשב כ"מגונים" </w:t>
      </w:r>
      <w:r w:rsidRPr="00CF7537">
        <w:rPr>
          <w:rFonts w:ascii="Times New Roman" w:hAnsi="Times New Roman" w:cs="Miriam"/>
          <w:sz w:val="24"/>
          <w:szCs w:val="24"/>
          <w:rtl/>
        </w:rPr>
        <w:t>בהעדר טעם כשר לביצועם</w:t>
      </w:r>
      <w:r>
        <w:rPr>
          <w:rFonts w:ascii="Times New Roman" w:hAnsi="Times New Roman"/>
          <w:rtl/>
        </w:rPr>
        <w:t xml:space="preserve"> </w:t>
      </w:r>
      <w:r w:rsidRPr="00D132E7">
        <w:rPr>
          <w:rFonts w:ascii="Times New Roman" w:hAnsi="Times New Roman"/>
          <w:color w:val="000000"/>
          <w:rtl/>
        </w:rPr>
        <w:t>[</w:t>
      </w:r>
      <w:hyperlink r:id="rId26" w:history="1">
        <w:r w:rsidR="00383730" w:rsidRPr="00383730">
          <w:rPr>
            <w:rFonts w:ascii="Times New Roman" w:hAnsi="Times New Roman"/>
            <w:color w:val="0000FF"/>
            <w:u w:val="single"/>
            <w:rtl/>
          </w:rPr>
          <w:t>עש"מ 6737/02</w:t>
        </w:r>
      </w:hyperlink>
      <w:r w:rsidRPr="00383730">
        <w:rPr>
          <w:rFonts w:ascii="Times New Roman" w:hAnsi="Times New Roman"/>
          <w:color w:val="000000"/>
          <w:rtl/>
        </w:rPr>
        <w:t xml:space="preserve"> </w:t>
      </w:r>
      <w:r w:rsidRPr="00383730">
        <w:rPr>
          <w:rFonts w:ascii="Times New Roman" w:hAnsi="Times New Roman" w:cs="Miriam"/>
          <w:color w:val="000000"/>
          <w:sz w:val="24"/>
          <w:szCs w:val="24"/>
          <w:rtl/>
        </w:rPr>
        <w:t>מדינת ישראל נ' נחום זקן</w:t>
      </w:r>
      <w:r>
        <w:rPr>
          <w:rFonts w:ascii="Times New Roman" w:hAnsi="Times New Roman"/>
          <w:color w:val="000000"/>
          <w:rtl/>
        </w:rPr>
        <w:t xml:space="preserve"> </w:t>
      </w:r>
      <w:r w:rsidR="00D419E8" w:rsidRPr="00D419E8">
        <w:rPr>
          <w:rFonts w:ascii="Times New Roman" w:hAnsi="Times New Roman" w:cs="David"/>
          <w:spacing w:val="0"/>
          <w:sz w:val="22"/>
          <w:szCs w:val="24"/>
          <w:rtl/>
        </w:rPr>
        <w:t xml:space="preserve">[פורסם בנבו] </w:t>
      </w:r>
      <w:r>
        <w:rPr>
          <w:rFonts w:ascii="Times New Roman" w:hAnsi="Times New Roman"/>
          <w:color w:val="000000"/>
          <w:rtl/>
        </w:rPr>
        <w:t>(5.2.2003) (להלן:</w:t>
      </w:r>
      <w:r w:rsidRPr="0093084B">
        <w:rPr>
          <w:rFonts w:ascii="Times New Roman" w:hAnsi="Times New Roman" w:cs="Miriam"/>
          <w:color w:val="000000"/>
          <w:sz w:val="24"/>
          <w:szCs w:val="24"/>
          <w:rtl/>
        </w:rPr>
        <w:t xml:space="preserve"> עניין זקן</w:t>
      </w:r>
      <w:r>
        <w:rPr>
          <w:rFonts w:ascii="Times New Roman" w:hAnsi="Times New Roman"/>
          <w:color w:val="000000"/>
          <w:rtl/>
        </w:rPr>
        <w:t>)]</w:t>
      </w:r>
      <w:r w:rsidRPr="00D132E7">
        <w:rPr>
          <w:rFonts w:ascii="Times New Roman" w:hAnsi="Times New Roman"/>
          <w:color w:val="000000"/>
          <w:rtl/>
        </w:rPr>
        <w:t xml:space="preserve">: </w:t>
      </w:r>
    </w:p>
    <w:p w14:paraId="2F6722C4" w14:textId="77777777" w:rsidR="00953F88" w:rsidRDefault="00953F88" w:rsidP="00D132E7">
      <w:pPr>
        <w:pStyle w:val="Ruller40"/>
        <w:rPr>
          <w:rFonts w:ascii="Times New Roman" w:hAnsi="Times New Roman"/>
          <w:color w:val="000000"/>
          <w:rtl/>
        </w:rPr>
      </w:pPr>
    </w:p>
    <w:p w14:paraId="22AD828F" w14:textId="77777777" w:rsidR="00953F88" w:rsidRDefault="00953F88" w:rsidP="008E3348">
      <w:pPr>
        <w:pStyle w:val="Ruller40"/>
        <w:tabs>
          <w:tab w:val="left" w:pos="7654"/>
        </w:tabs>
        <w:ind w:left="720" w:right="709"/>
        <w:rPr>
          <w:rFonts w:ascii="Times New Roman" w:hAnsi="Times New Roman"/>
          <w:rtl/>
        </w:rPr>
      </w:pPr>
      <w:r w:rsidRPr="00D132E7">
        <w:rPr>
          <w:rFonts w:ascii="Times New Roman" w:hAnsi="Times New Roman"/>
          <w:color w:val="000000"/>
          <w:rtl/>
        </w:rPr>
        <w:t>"ההגדרה המצויה ב</w:t>
      </w:r>
      <w:hyperlink r:id="rId27" w:history="1">
        <w:r w:rsidR="00383730" w:rsidRPr="00383730">
          <w:rPr>
            <w:rFonts w:ascii="Times New Roman" w:hAnsi="Times New Roman"/>
            <w:color w:val="0000FF"/>
            <w:u w:val="single"/>
            <w:rtl/>
          </w:rPr>
          <w:t>חוק העונשין</w:t>
        </w:r>
      </w:hyperlink>
      <w:r w:rsidRPr="00D132E7">
        <w:rPr>
          <w:rFonts w:ascii="Times New Roman" w:hAnsi="Times New Roman"/>
          <w:color w:val="000000"/>
          <w:rtl/>
        </w:rPr>
        <w:t xml:space="preserve"> קובעת רכיב התנהגותי רחב ביותר </w:t>
      </w:r>
      <w:r>
        <w:rPr>
          <w:rFonts w:ascii="Times New Roman" w:hAnsi="Times New Roman"/>
          <w:rtl/>
        </w:rPr>
        <w:t xml:space="preserve">בהיקפו - "מעשה". אופיו ה"מגונה" של המעשה נובע מהמטרה הנלווית לעשייתו - "לשם גירוי, סיפוק או ביזוי מיניים". מדובר בשאיפה סובייקטיבית הנושאת אופי מיני בלא שנדרשת התקיימותה של תוצאה, לפיכך אין הכרח להוכיח כי המטרה של "גירוי, סיפוק או ביזוי מיניים" התממשה בפועל. בנסיבות מסוימות גם מעשה הנראה לכאורה תמים, כשהוא לעצמו, יקיים את היסוד ההתנהגותי בהגדרה, </w:t>
      </w:r>
      <w:r w:rsidRPr="008E3348">
        <w:rPr>
          <w:rFonts w:ascii="Times New Roman" w:hAnsi="Times New Roman" w:cs="Miriam"/>
          <w:sz w:val="24"/>
          <w:szCs w:val="24"/>
          <w:rtl/>
        </w:rPr>
        <w:t>אם ההקשר שבו הוא בוצע ומכלול נסיבות העניין שוללים את אופיו התמים ופוגעים בערך המוגן באיסור</w:t>
      </w:r>
      <w:r>
        <w:rPr>
          <w:rFonts w:ascii="Times New Roman" w:hAnsi="Times New Roman"/>
          <w:rtl/>
        </w:rPr>
        <w:t>" (ההדגשות הוספו – ע.מ).</w:t>
      </w:r>
    </w:p>
    <w:p w14:paraId="75767B1E" w14:textId="77777777" w:rsidR="00953F88" w:rsidRDefault="00953F88" w:rsidP="00B853D9">
      <w:pPr>
        <w:pStyle w:val="Ruller40"/>
        <w:spacing w:line="240" w:lineRule="auto"/>
        <w:rPr>
          <w:rFonts w:ascii="Times New Roman" w:hAnsi="Times New Roman"/>
          <w:rtl/>
        </w:rPr>
      </w:pPr>
    </w:p>
    <w:p w14:paraId="5D5E1F90" w14:textId="77777777" w:rsidR="00953F88" w:rsidRDefault="00953F88" w:rsidP="00954FEE">
      <w:pPr>
        <w:pStyle w:val="Ruller40"/>
        <w:rPr>
          <w:rFonts w:ascii="Times New Roman" w:hAnsi="Times New Roman"/>
          <w:rtl/>
        </w:rPr>
      </w:pPr>
      <w:r>
        <w:rPr>
          <w:rFonts w:ascii="Times New Roman" w:hAnsi="Times New Roman"/>
          <w:rtl/>
        </w:rPr>
        <w:t xml:space="preserve">מאפיין נוסף למבחן קיומו של "מעשה מגונה" הינו </w:t>
      </w:r>
      <w:r w:rsidRPr="00D132E7">
        <w:rPr>
          <w:rFonts w:ascii="Times New Roman" w:hAnsi="Times New Roman" w:cs="Miriam"/>
          <w:sz w:val="24"/>
          <w:szCs w:val="24"/>
          <w:rtl/>
        </w:rPr>
        <w:t>הערך המוגן</w:t>
      </w:r>
      <w:r>
        <w:rPr>
          <w:rFonts w:ascii="Times New Roman" w:hAnsi="Times New Roman"/>
          <w:rtl/>
        </w:rPr>
        <w:t>, הניצב בבסיס העבירה, כשלאורו יש לפרש את יסודותיה [</w:t>
      </w:r>
      <w:hyperlink r:id="rId28" w:history="1">
        <w:r w:rsidR="00383730" w:rsidRPr="00383730">
          <w:rPr>
            <w:rFonts w:ascii="Times New Roman" w:hAnsi="Times New Roman"/>
            <w:color w:val="0000FF"/>
            <w:u w:val="single"/>
            <w:rtl/>
          </w:rPr>
          <w:t>ע"פ 6269/99</w:t>
        </w:r>
      </w:hyperlink>
      <w:r w:rsidRPr="00383730">
        <w:rPr>
          <w:rFonts w:ascii="Times New Roman" w:hAnsi="Times New Roman" w:cs="Miriam"/>
          <w:color w:val="000000"/>
          <w:sz w:val="24"/>
          <w:szCs w:val="24"/>
          <w:rtl/>
        </w:rPr>
        <w:t xml:space="preserve"> פלוני נ' מדינת ישראל</w:t>
      </w:r>
      <w:r w:rsidRPr="00383730">
        <w:rPr>
          <w:rFonts w:ascii="Times New Roman" w:hAnsi="Times New Roman"/>
          <w:color w:val="000000"/>
          <w:rtl/>
        </w:rPr>
        <w:t xml:space="preserve"> </w:t>
      </w:r>
      <w:r w:rsidR="00D419E8" w:rsidRPr="00D419E8">
        <w:rPr>
          <w:rFonts w:ascii="Times New Roman" w:hAnsi="Times New Roman" w:cs="David"/>
          <w:spacing w:val="0"/>
          <w:sz w:val="22"/>
          <w:szCs w:val="24"/>
          <w:rtl/>
        </w:rPr>
        <w:t xml:space="preserve">[פורסם בנבו] </w:t>
      </w:r>
      <w:r>
        <w:rPr>
          <w:rFonts w:ascii="Times New Roman" w:hAnsi="Times New Roman"/>
          <w:rtl/>
        </w:rPr>
        <w:t xml:space="preserve">(2001)]: </w:t>
      </w:r>
    </w:p>
    <w:p w14:paraId="7EEDC647" w14:textId="77777777" w:rsidR="00953F88" w:rsidRDefault="00953F88" w:rsidP="00631DF9">
      <w:pPr>
        <w:pStyle w:val="Ruller40"/>
        <w:rPr>
          <w:rFonts w:ascii="Times New Roman" w:hAnsi="Times New Roman"/>
          <w:rtl/>
        </w:rPr>
      </w:pPr>
    </w:p>
    <w:p w14:paraId="02DC9260" w14:textId="77777777" w:rsidR="00953F88" w:rsidRDefault="00953F88" w:rsidP="006A59BE">
      <w:pPr>
        <w:pStyle w:val="Ruller40"/>
        <w:tabs>
          <w:tab w:val="left" w:pos="7654"/>
        </w:tabs>
        <w:ind w:left="720" w:right="709"/>
        <w:rPr>
          <w:rFonts w:ascii="Times New Roman" w:hAnsi="Times New Roman"/>
          <w:rtl/>
        </w:rPr>
      </w:pPr>
      <w:r>
        <w:rPr>
          <w:rFonts w:ascii="Times New Roman" w:hAnsi="Times New Roman"/>
          <w:rtl/>
        </w:rPr>
        <w:t>"מקור האיסור הפלילי לבצע מעשה מגונה בצורך להגן על שלמות גופו, צנעת פרטיותו וכבודו של האדם. זכותו של אדם באשר הוא להגנה מפני פגיעה בגופו ובכבודו כמו גם זכותו לפרטיות ולצנעת חייו הוכרו כזכויות יסוד... ערך ההגנה על זכותו של אדם לצנעת גופו עומד גם ברקע האיסור הפלילי של ביצוע מעשה מגונה והוא נושא מימד רב – משקל נוכח הפגיעה הכרוכה בו בזכות-יסוד של הנפגע להגנה על גופו וכבודו".</w:t>
      </w:r>
    </w:p>
    <w:p w14:paraId="62E814A9" w14:textId="77777777" w:rsidR="00953F88" w:rsidRDefault="00953F88" w:rsidP="00B853D9">
      <w:pPr>
        <w:pStyle w:val="Ruller40"/>
        <w:rPr>
          <w:rFonts w:ascii="Times New Roman" w:hAnsi="Times New Roman"/>
          <w:rtl/>
        </w:rPr>
      </w:pPr>
    </w:p>
    <w:p w14:paraId="7C6D828A" w14:textId="77777777" w:rsidR="00953F88" w:rsidRDefault="00953F88" w:rsidP="00B853D9">
      <w:pPr>
        <w:pStyle w:val="Ruller40"/>
        <w:rPr>
          <w:rFonts w:ascii="Times New Roman" w:hAnsi="Times New Roman" w:cs="Miriam"/>
          <w:rtl/>
        </w:rPr>
      </w:pPr>
    </w:p>
    <w:p w14:paraId="1035F59A" w14:textId="77777777" w:rsidR="00953F88" w:rsidRDefault="00953F88" w:rsidP="00B853D9">
      <w:pPr>
        <w:pStyle w:val="Ruller40"/>
        <w:rPr>
          <w:rFonts w:ascii="Times New Roman" w:hAnsi="Times New Roman" w:cs="Miriam"/>
          <w:rtl/>
        </w:rPr>
      </w:pPr>
    </w:p>
    <w:p w14:paraId="011BC607" w14:textId="77777777" w:rsidR="00953F88" w:rsidRDefault="00953F88" w:rsidP="00B853D9">
      <w:pPr>
        <w:pStyle w:val="Ruller40"/>
        <w:rPr>
          <w:rFonts w:ascii="Times New Roman" w:hAnsi="Times New Roman" w:cs="Miriam"/>
          <w:rtl/>
        </w:rPr>
      </w:pPr>
    </w:p>
    <w:p w14:paraId="2188AD0C" w14:textId="77777777" w:rsidR="00953F88" w:rsidRDefault="00953F88" w:rsidP="00B853D9">
      <w:pPr>
        <w:pStyle w:val="Ruller40"/>
        <w:rPr>
          <w:rFonts w:ascii="Times New Roman" w:hAnsi="Times New Roman" w:cs="Miriam"/>
          <w:rtl/>
        </w:rPr>
      </w:pPr>
      <w:r w:rsidRPr="00C7387B">
        <w:rPr>
          <w:rFonts w:ascii="Times New Roman" w:hAnsi="Times New Roman" w:cs="Miriam"/>
          <w:rtl/>
        </w:rPr>
        <w:t>פסיקה מטעם ההגנה</w:t>
      </w:r>
    </w:p>
    <w:p w14:paraId="1363692C" w14:textId="77777777" w:rsidR="00953F88" w:rsidRPr="00C7387B" w:rsidRDefault="00953F88" w:rsidP="00B853D9">
      <w:pPr>
        <w:pStyle w:val="Ruller40"/>
        <w:rPr>
          <w:rFonts w:ascii="Times New Roman" w:hAnsi="Times New Roman" w:cs="Miriam"/>
          <w:rtl/>
        </w:rPr>
      </w:pPr>
    </w:p>
    <w:p w14:paraId="67C68AB8" w14:textId="77777777" w:rsidR="00953F88" w:rsidRDefault="00953F88" w:rsidP="00986A93">
      <w:pPr>
        <w:spacing w:line="360" w:lineRule="auto"/>
        <w:jc w:val="both"/>
        <w:rPr>
          <w:rFonts w:ascii="Arial" w:hAnsi="Arial" w:cs="FrankRuehl"/>
          <w:sz w:val="28"/>
          <w:szCs w:val="28"/>
          <w:rtl/>
        </w:rPr>
      </w:pPr>
      <w:r>
        <w:rPr>
          <w:rFonts w:ascii="Arial" w:hAnsi="Arial" w:cs="FrankRuehl"/>
          <w:sz w:val="28"/>
          <w:szCs w:val="28"/>
          <w:rtl/>
        </w:rPr>
        <w:t>8.</w:t>
      </w:r>
      <w:r>
        <w:rPr>
          <w:rFonts w:ascii="Arial" w:hAnsi="Arial" w:cs="FrankRuehl"/>
          <w:sz w:val="28"/>
          <w:szCs w:val="28"/>
          <w:rtl/>
        </w:rPr>
        <w:tab/>
        <w:t>ב"כ הנאשם הפנה למספר החלטות שניתנו לאחרונה על ידי מותבים שונים, בהן התקבלה הטענה לפיה לא ניתן להרשיע נאשם בעבירה של "מעשים מגונים" בנסיבות דומות. ואולם, בחינת הדוגמאות שהובאו מצביעה על כך שהנסיבות בדוגמאות שהובאו שונות בתכלית מהמקרה הנדון לפנינו.</w:t>
      </w:r>
    </w:p>
    <w:p w14:paraId="46C4B336" w14:textId="77777777" w:rsidR="00953F88" w:rsidRDefault="00953F88" w:rsidP="0010755F">
      <w:pPr>
        <w:spacing w:line="360" w:lineRule="auto"/>
        <w:jc w:val="both"/>
        <w:rPr>
          <w:rFonts w:ascii="Arial" w:hAnsi="Arial" w:cs="FrankRuehl"/>
          <w:sz w:val="28"/>
          <w:szCs w:val="28"/>
          <w:rtl/>
        </w:rPr>
      </w:pPr>
      <w:r>
        <w:rPr>
          <w:rFonts w:ascii="Arial" w:hAnsi="Arial" w:cs="FrankRuehl"/>
          <w:sz w:val="28"/>
          <w:szCs w:val="28"/>
          <w:rtl/>
        </w:rPr>
        <w:t>כך למשל, בהכרעת הדין שניתנה ב</w:t>
      </w:r>
      <w:hyperlink r:id="rId29" w:history="1">
        <w:r w:rsidR="00383730" w:rsidRPr="00383730">
          <w:rPr>
            <w:rFonts w:ascii="Arial" w:hAnsi="Arial" w:cs="FrankRuehl"/>
            <w:color w:val="0000FF"/>
            <w:sz w:val="28"/>
            <w:szCs w:val="28"/>
            <w:u w:val="single"/>
            <w:rtl/>
          </w:rPr>
          <w:t>ת"פ (רמלה) 61430-11-18</w:t>
        </w:r>
      </w:hyperlink>
      <w:r>
        <w:rPr>
          <w:rFonts w:ascii="Arial" w:hAnsi="Arial" w:cs="FrankRuehl"/>
          <w:sz w:val="28"/>
          <w:szCs w:val="28"/>
          <w:rtl/>
        </w:rPr>
        <w:t xml:space="preserve"> </w:t>
      </w:r>
      <w:r w:rsidRPr="00204FF9">
        <w:rPr>
          <w:rFonts w:ascii="Arial" w:hAnsi="Arial" w:cs="Miriam"/>
          <w:rtl/>
        </w:rPr>
        <w:t>מדינת</w:t>
      </w:r>
      <w:r>
        <w:rPr>
          <w:rFonts w:ascii="Arial" w:hAnsi="Arial" w:cs="FrankRuehl"/>
          <w:sz w:val="28"/>
          <w:szCs w:val="28"/>
          <w:rtl/>
        </w:rPr>
        <w:t xml:space="preserve"> </w:t>
      </w:r>
      <w:r w:rsidRPr="00204FF9">
        <w:rPr>
          <w:rFonts w:ascii="Arial" w:hAnsi="Arial" w:cs="Miriam"/>
          <w:rtl/>
        </w:rPr>
        <w:t>ישראל נ' נתנאל שחר</w:t>
      </w:r>
      <w:r>
        <w:rPr>
          <w:rFonts w:ascii="Arial" w:hAnsi="Arial" w:cs="FrankRuehl"/>
          <w:sz w:val="28"/>
          <w:szCs w:val="28"/>
          <w:rtl/>
        </w:rPr>
        <w:t xml:space="preserve"> </w:t>
      </w:r>
      <w:r w:rsidR="00D419E8" w:rsidRPr="00D419E8">
        <w:rPr>
          <w:rFonts w:ascii="Times New Roman" w:hAnsi="Times New Roman"/>
          <w:sz w:val="22"/>
          <w:rtl/>
        </w:rPr>
        <w:t xml:space="preserve">[פורסם בנבו] </w:t>
      </w:r>
      <w:r>
        <w:rPr>
          <w:rFonts w:ascii="Arial" w:hAnsi="Arial" w:cs="FrankRuehl"/>
          <w:sz w:val="28"/>
          <w:szCs w:val="28"/>
          <w:rtl/>
        </w:rPr>
        <w:t xml:space="preserve">(4.7.2019), התיישב הנאשם על ספסל בתחנת אוטובוס, הסתכל על אישה ושפשף את איבר מינו תוך שהוא מסתכל באותה אישה. בשונה מהמקרה הנדון בפנינו, המחלוקת באותן נסיבות התמקדה בשאלה האם מעשיו של הנאשם מהווים מעשה מגונה </w:t>
      </w:r>
      <w:r w:rsidRPr="00032672">
        <w:rPr>
          <w:rFonts w:ascii="Arial" w:hAnsi="Arial" w:cs="Miriam"/>
          <w:rtl/>
        </w:rPr>
        <w:t>באדם</w:t>
      </w:r>
      <w:r>
        <w:rPr>
          <w:rFonts w:ascii="Arial" w:hAnsi="Arial" w:cs="FrankRuehl"/>
          <w:sz w:val="28"/>
          <w:szCs w:val="28"/>
          <w:rtl/>
        </w:rPr>
        <w:t xml:space="preserve"> או שמא מעשה מגונה </w:t>
      </w:r>
      <w:r w:rsidRPr="00032672">
        <w:rPr>
          <w:rFonts w:ascii="Arial" w:hAnsi="Arial" w:cs="Miriam"/>
          <w:rtl/>
        </w:rPr>
        <w:t>בפומבי</w:t>
      </w:r>
      <w:r>
        <w:rPr>
          <w:rFonts w:ascii="Arial" w:hAnsi="Arial" w:cs="FrankRuehl"/>
          <w:sz w:val="28"/>
          <w:szCs w:val="28"/>
          <w:rtl/>
        </w:rPr>
        <w:t>.</w:t>
      </w:r>
    </w:p>
    <w:p w14:paraId="031BF23E" w14:textId="77777777" w:rsidR="00953F88" w:rsidRDefault="00953F88" w:rsidP="00C7387B">
      <w:pPr>
        <w:spacing w:line="360" w:lineRule="auto"/>
        <w:jc w:val="both"/>
        <w:rPr>
          <w:rFonts w:ascii="Arial" w:hAnsi="Arial" w:cs="FrankRuehl"/>
          <w:sz w:val="28"/>
          <w:szCs w:val="28"/>
          <w:rtl/>
        </w:rPr>
      </w:pPr>
      <w:r>
        <w:rPr>
          <w:rFonts w:ascii="Arial" w:hAnsi="Arial" w:cs="FrankRuehl"/>
          <w:sz w:val="28"/>
          <w:szCs w:val="28"/>
          <w:rtl/>
        </w:rPr>
        <w:t xml:space="preserve">בהחלטה שניתנה במסגרת </w:t>
      </w:r>
      <w:hyperlink r:id="rId30" w:history="1">
        <w:r w:rsidR="00383730" w:rsidRPr="00383730">
          <w:rPr>
            <w:rFonts w:ascii="Arial" w:hAnsi="Arial" w:cs="FrankRuehl"/>
            <w:color w:val="0000FF"/>
            <w:sz w:val="28"/>
            <w:szCs w:val="28"/>
            <w:u w:val="single"/>
            <w:rtl/>
          </w:rPr>
          <w:t>ת"פ (י-ם) 61098-10-17</w:t>
        </w:r>
      </w:hyperlink>
      <w:r>
        <w:rPr>
          <w:rFonts w:ascii="Arial" w:hAnsi="Arial" w:cs="FrankRuehl"/>
          <w:sz w:val="28"/>
          <w:szCs w:val="28"/>
          <w:rtl/>
        </w:rPr>
        <w:t xml:space="preserve"> </w:t>
      </w:r>
      <w:r w:rsidRPr="00204FF9">
        <w:rPr>
          <w:rFonts w:ascii="Arial" w:hAnsi="Arial" w:cs="Miriam"/>
          <w:rtl/>
        </w:rPr>
        <w:t>מדינת ישראל נ' פלוני</w:t>
      </w:r>
      <w:r>
        <w:rPr>
          <w:rFonts w:ascii="Arial" w:hAnsi="Arial" w:cs="FrankRuehl"/>
          <w:sz w:val="28"/>
          <w:szCs w:val="28"/>
          <w:rtl/>
        </w:rPr>
        <w:t xml:space="preserve"> </w:t>
      </w:r>
      <w:r w:rsidR="00D419E8" w:rsidRPr="00D419E8">
        <w:rPr>
          <w:rFonts w:ascii="Times New Roman" w:hAnsi="Times New Roman"/>
          <w:sz w:val="22"/>
          <w:rtl/>
        </w:rPr>
        <w:t xml:space="preserve">[פורסם בנבו] </w:t>
      </w:r>
      <w:r>
        <w:rPr>
          <w:rFonts w:ascii="Arial" w:hAnsi="Arial" w:cs="FrankRuehl"/>
          <w:sz w:val="28"/>
          <w:szCs w:val="28"/>
          <w:rtl/>
        </w:rPr>
        <w:t xml:space="preserve">(5.2.2019), מיקם הנאשם, שעבד כשוטף כלים במסעדה, את הטלפון הנייד שלו בשירותי הנשים כשהוא מופעל על מצב של צילום "וידאו", כאשר הטלפון מכוון "לכיוון האסלה, באופן שבו ניתן לראות את הנשים הנכנסות לתא השירותים כדי לעשות את צרכיהן". להבדיל מהמקרה שלפנינו, מדובר בהצבת מצלמה במצב </w:t>
      </w:r>
      <w:r w:rsidRPr="00353F5D">
        <w:rPr>
          <w:rFonts w:ascii="Arial" w:hAnsi="Arial" w:cs="Miriam"/>
          <w:rtl/>
        </w:rPr>
        <w:t>סט</w:t>
      </w:r>
      <w:r>
        <w:rPr>
          <w:rFonts w:ascii="Arial" w:hAnsi="Arial" w:cs="Miriam"/>
          <w:rtl/>
        </w:rPr>
        <w:t>א</w:t>
      </w:r>
      <w:r w:rsidRPr="00353F5D">
        <w:rPr>
          <w:rFonts w:ascii="Arial" w:hAnsi="Arial" w:cs="Miriam"/>
          <w:rtl/>
        </w:rPr>
        <w:t>טי</w:t>
      </w:r>
      <w:r>
        <w:rPr>
          <w:rFonts w:ascii="Arial" w:hAnsi="Arial" w:cs="FrankRuehl"/>
          <w:sz w:val="28"/>
          <w:szCs w:val="28"/>
          <w:rtl/>
        </w:rPr>
        <w:t xml:space="preserve"> בחדר השירותים של מסעדה, כאשר הצילום נערך </w:t>
      </w:r>
      <w:r w:rsidRPr="00353F5D">
        <w:rPr>
          <w:rFonts w:ascii="Arial" w:hAnsi="Arial" w:cs="Miriam"/>
          <w:rtl/>
        </w:rPr>
        <w:t>ללא</w:t>
      </w:r>
      <w:r>
        <w:rPr>
          <w:rFonts w:ascii="Arial" w:hAnsi="Arial" w:cs="FrankRuehl"/>
          <w:sz w:val="28"/>
          <w:szCs w:val="28"/>
          <w:rtl/>
        </w:rPr>
        <w:t xml:space="preserve"> </w:t>
      </w:r>
      <w:r w:rsidRPr="00353F5D">
        <w:rPr>
          <w:rFonts w:ascii="Arial" w:hAnsi="Arial" w:cs="Miriam"/>
          <w:rtl/>
        </w:rPr>
        <w:t xml:space="preserve">נוכחותו של הנאשם </w:t>
      </w:r>
      <w:r>
        <w:rPr>
          <w:rFonts w:ascii="Arial" w:hAnsi="Arial" w:cs="FrankRuehl"/>
          <w:sz w:val="28"/>
          <w:szCs w:val="28"/>
          <w:rtl/>
        </w:rPr>
        <w:t xml:space="preserve">עצמו ומבלי שהיה ביכולתו </w:t>
      </w:r>
      <w:r w:rsidRPr="00353F5D">
        <w:rPr>
          <w:rFonts w:ascii="Arial" w:hAnsi="Arial" w:cs="Miriam"/>
          <w:rtl/>
        </w:rPr>
        <w:t>לשלוט</w:t>
      </w:r>
      <w:r>
        <w:rPr>
          <w:rFonts w:ascii="Arial" w:hAnsi="Arial" w:cs="FrankRuehl"/>
          <w:sz w:val="28"/>
          <w:szCs w:val="28"/>
          <w:rtl/>
        </w:rPr>
        <w:t xml:space="preserve"> בשלבי הצילום השונים, </w:t>
      </w:r>
      <w:r w:rsidRPr="00353F5D">
        <w:rPr>
          <w:rFonts w:ascii="Arial" w:hAnsi="Arial" w:cs="Miriam"/>
          <w:rtl/>
        </w:rPr>
        <w:t>לכוון</w:t>
      </w:r>
      <w:r>
        <w:rPr>
          <w:rFonts w:ascii="Arial" w:hAnsi="Arial" w:cs="FrankRuehl"/>
          <w:sz w:val="28"/>
          <w:szCs w:val="28"/>
          <w:rtl/>
        </w:rPr>
        <w:t xml:space="preserve"> או למקם את המצלמה בזמן אמת באופן שייטיב את זווית הצילום. נוסף על כך, לא ברור מה צילם הנאשם בפועל, להבדיל מהנאשם שלפנינו שהודה שצילם את איברי גופן המוצנעים של הנשים, לרבות הישבן. באופן דומה ניתן לאבחן אף את המקרה שנדון בשעתו ב</w:t>
      </w:r>
      <w:hyperlink r:id="rId31" w:history="1">
        <w:r w:rsidR="00383730" w:rsidRPr="00383730">
          <w:rPr>
            <w:rFonts w:ascii="Arial" w:hAnsi="Arial" w:cs="FrankRuehl"/>
            <w:color w:val="0000FF"/>
            <w:sz w:val="28"/>
            <w:szCs w:val="28"/>
            <w:u w:val="single"/>
            <w:rtl/>
          </w:rPr>
          <w:t>ת"פ (נתניה) 45731-12-13</w:t>
        </w:r>
      </w:hyperlink>
      <w:r>
        <w:rPr>
          <w:rFonts w:ascii="Arial" w:hAnsi="Arial" w:cs="FrankRuehl"/>
          <w:sz w:val="28"/>
          <w:szCs w:val="28"/>
          <w:rtl/>
        </w:rPr>
        <w:t xml:space="preserve"> </w:t>
      </w:r>
      <w:r w:rsidRPr="00204FF9">
        <w:rPr>
          <w:rFonts w:ascii="Arial" w:hAnsi="Arial" w:cs="Miriam"/>
          <w:rtl/>
        </w:rPr>
        <w:t xml:space="preserve">מדינת ישראל נ' סאלח </w:t>
      </w:r>
      <w:r w:rsidR="00D419E8" w:rsidRPr="00D419E8">
        <w:rPr>
          <w:rFonts w:ascii="Times New Roman" w:hAnsi="Times New Roman"/>
          <w:sz w:val="22"/>
          <w:rtl/>
        </w:rPr>
        <w:t xml:space="preserve">[פורסם בנבו] </w:t>
      </w:r>
      <w:r>
        <w:rPr>
          <w:rFonts w:ascii="Arial" w:hAnsi="Arial" w:cs="FrankRuehl"/>
          <w:sz w:val="28"/>
          <w:szCs w:val="28"/>
          <w:rtl/>
        </w:rPr>
        <w:t>(2.7.2014), שהוגש אף הוא מטעם ההגנה.</w:t>
      </w:r>
    </w:p>
    <w:p w14:paraId="6228DCE8" w14:textId="77777777" w:rsidR="00953F88" w:rsidRDefault="00953F88" w:rsidP="005D7E36">
      <w:pPr>
        <w:spacing w:line="360" w:lineRule="auto"/>
        <w:jc w:val="both"/>
        <w:rPr>
          <w:rFonts w:ascii="Arial" w:hAnsi="Arial" w:cs="FrankRuehl"/>
          <w:sz w:val="28"/>
          <w:szCs w:val="28"/>
          <w:rtl/>
        </w:rPr>
      </w:pPr>
    </w:p>
    <w:p w14:paraId="54AFACD0" w14:textId="77777777" w:rsidR="00953F88" w:rsidRPr="00C7387B" w:rsidRDefault="00953F88" w:rsidP="005D7E36">
      <w:pPr>
        <w:spacing w:line="360" w:lineRule="auto"/>
        <w:jc w:val="both"/>
        <w:rPr>
          <w:rFonts w:ascii="Arial" w:hAnsi="Arial" w:cs="Miriam"/>
          <w:sz w:val="28"/>
          <w:szCs w:val="28"/>
          <w:rtl/>
        </w:rPr>
      </w:pPr>
      <w:r w:rsidRPr="00C7387B">
        <w:rPr>
          <w:rFonts w:ascii="Arial" w:hAnsi="Arial" w:cs="Miriam"/>
          <w:sz w:val="28"/>
          <w:szCs w:val="28"/>
          <w:rtl/>
        </w:rPr>
        <w:t>מן הכלל אל הפרט</w:t>
      </w:r>
    </w:p>
    <w:p w14:paraId="7285940E" w14:textId="77777777" w:rsidR="00953F88" w:rsidRDefault="00953F88" w:rsidP="005D7E36">
      <w:pPr>
        <w:spacing w:line="360" w:lineRule="auto"/>
        <w:jc w:val="both"/>
        <w:rPr>
          <w:rFonts w:ascii="Arial" w:hAnsi="Arial" w:cs="FrankRuehl"/>
          <w:sz w:val="28"/>
          <w:szCs w:val="28"/>
          <w:rtl/>
        </w:rPr>
      </w:pPr>
    </w:p>
    <w:p w14:paraId="098DDDE4" w14:textId="77777777" w:rsidR="00953F88" w:rsidRDefault="00953F88" w:rsidP="00954FEE">
      <w:pPr>
        <w:spacing w:line="360" w:lineRule="auto"/>
        <w:jc w:val="both"/>
        <w:rPr>
          <w:rFonts w:ascii="Arial" w:hAnsi="Arial" w:cs="FrankRuehl"/>
          <w:sz w:val="28"/>
          <w:szCs w:val="28"/>
          <w:rtl/>
        </w:rPr>
      </w:pPr>
      <w:r>
        <w:rPr>
          <w:rFonts w:ascii="Arial" w:hAnsi="Arial" w:cs="FrankRuehl"/>
          <w:sz w:val="28"/>
          <w:szCs w:val="28"/>
          <w:rtl/>
        </w:rPr>
        <w:t>9.</w:t>
      </w:r>
      <w:r>
        <w:rPr>
          <w:rFonts w:ascii="Arial" w:hAnsi="Arial" w:cs="FrankRuehl"/>
          <w:sz w:val="28"/>
          <w:szCs w:val="28"/>
          <w:rtl/>
        </w:rPr>
        <w:tab/>
        <w:t>יישום המבחנים בענייננו מצביע באופן שאינו משתמע לשתי פנים על כך שמעשיו של הנאשם מהווים "מעשה מגונה".</w:t>
      </w:r>
    </w:p>
    <w:p w14:paraId="22863099" w14:textId="77777777" w:rsidR="00953F88" w:rsidRDefault="00953F88" w:rsidP="00B53E22">
      <w:pPr>
        <w:spacing w:line="360" w:lineRule="auto"/>
        <w:jc w:val="both"/>
        <w:rPr>
          <w:rFonts w:ascii="Arial" w:hAnsi="Arial" w:cs="FrankRuehl"/>
          <w:sz w:val="28"/>
          <w:szCs w:val="28"/>
          <w:rtl/>
        </w:rPr>
      </w:pPr>
      <w:r>
        <w:rPr>
          <w:rFonts w:ascii="Arial" w:hAnsi="Arial" w:cs="FrankRuehl"/>
          <w:sz w:val="28"/>
          <w:szCs w:val="28"/>
          <w:rtl/>
        </w:rPr>
        <w:t xml:space="preserve">כוונתו של הנאשם בולטת לעין - לצפות באיבריהן המוצנעים של נשים, כאשר מסקנה זו מתבקשת מהזווית המסוימת בה בחר למקם את מצלמתו, באופן שיאפשר לו להבחין בפרטי הגוף או פרטי הלבוש התחתון של הנשים אותן צילם. </w:t>
      </w:r>
    </w:p>
    <w:p w14:paraId="11031CF9" w14:textId="77777777" w:rsidR="00953F88" w:rsidRDefault="00953F88" w:rsidP="00B53E22">
      <w:pPr>
        <w:spacing w:line="360" w:lineRule="auto"/>
        <w:jc w:val="both"/>
        <w:rPr>
          <w:rFonts w:ascii="Arial" w:hAnsi="Arial" w:cs="FrankRuehl"/>
          <w:sz w:val="28"/>
          <w:szCs w:val="28"/>
          <w:rtl/>
        </w:rPr>
      </w:pPr>
      <w:r>
        <w:rPr>
          <w:rFonts w:ascii="Arial" w:hAnsi="Arial" w:cs="FrankRuehl"/>
          <w:sz w:val="28"/>
          <w:szCs w:val="28"/>
          <w:rtl/>
        </w:rPr>
        <w:t xml:space="preserve">למותר לציין כי לאחר שהנאשם הודה בעובדות כתב האישום המתוקן בכך שהמעשים נעשו "לשם גירוי, סיפוק וביזוי מיניים", הוכיחה המאשימה את היסוד הנפשי הנדרש להוכחת עבירה של "מעשים מגונים". </w:t>
      </w:r>
    </w:p>
    <w:p w14:paraId="3F7B498F" w14:textId="77777777" w:rsidR="00953F88" w:rsidRPr="0073212C" w:rsidRDefault="00953F88" w:rsidP="00F15BD2">
      <w:pPr>
        <w:spacing w:line="360" w:lineRule="auto"/>
        <w:jc w:val="both"/>
        <w:rPr>
          <w:rFonts w:ascii="Arial" w:hAnsi="Arial" w:cs="FrankRuehl"/>
          <w:sz w:val="28"/>
          <w:szCs w:val="28"/>
          <w:rtl/>
        </w:rPr>
      </w:pPr>
      <w:r>
        <w:rPr>
          <w:rFonts w:ascii="Arial" w:hAnsi="Arial" w:cs="FrankRuehl"/>
          <w:sz w:val="28"/>
          <w:szCs w:val="28"/>
          <w:rtl/>
        </w:rPr>
        <w:t xml:space="preserve">לבסוף, ובבחינת למעלה מן הצורך, הרי שריבוי המעשים והחוט המקשר ביניהם, מאפשרים להפעיל את הכלל המשפטי של "עדות בדבר מעשים דומים", באופן המסייע אף הוא </w:t>
      </w:r>
      <w:r w:rsidRPr="0073212C">
        <w:rPr>
          <w:rFonts w:ascii="Arial" w:hAnsi="Arial" w:cs="FrankRuehl"/>
          <w:sz w:val="28"/>
          <w:szCs w:val="28"/>
          <w:rtl/>
        </w:rPr>
        <w:t>בהוכחת היסוד הנפשי של הנאשם ושולל טענת "תום לב" של מעשיו, שכאמור אינם שנויים במחלוקת</w:t>
      </w:r>
      <w:r w:rsidRPr="0073212C">
        <w:rPr>
          <w:rFonts w:ascii="Calibri" w:hAnsi="Calibri" w:cs="FrankRuehl"/>
          <w:sz w:val="28"/>
          <w:szCs w:val="28"/>
          <w:rtl/>
        </w:rPr>
        <w:t xml:space="preserve"> [</w:t>
      </w:r>
      <w:hyperlink r:id="rId32" w:history="1">
        <w:r w:rsidR="00383730" w:rsidRPr="00383730">
          <w:rPr>
            <w:rFonts w:ascii="Calibri" w:hAnsi="Calibri" w:cs="FrankRuehl" w:hint="eastAsia"/>
            <w:color w:val="0000FF"/>
            <w:sz w:val="28"/>
            <w:szCs w:val="28"/>
            <w:u w:val="single"/>
            <w:rtl/>
          </w:rPr>
          <w:t>ע</w:t>
        </w:r>
        <w:r w:rsidR="00383730" w:rsidRPr="00383730">
          <w:rPr>
            <w:rFonts w:ascii="Calibri" w:hAnsi="Calibri" w:cs="FrankRuehl"/>
            <w:color w:val="0000FF"/>
            <w:sz w:val="28"/>
            <w:szCs w:val="28"/>
            <w:u w:val="single"/>
            <w:rtl/>
          </w:rPr>
          <w:t>"</w:t>
        </w:r>
        <w:r w:rsidR="00383730" w:rsidRPr="00383730">
          <w:rPr>
            <w:rFonts w:ascii="Calibri" w:hAnsi="Calibri" w:cs="FrankRuehl" w:hint="eastAsia"/>
            <w:color w:val="0000FF"/>
            <w:sz w:val="28"/>
            <w:szCs w:val="28"/>
            <w:u w:val="single"/>
            <w:rtl/>
          </w:rPr>
          <w:t>פ</w:t>
        </w:r>
        <w:r w:rsidR="00383730" w:rsidRPr="00383730">
          <w:rPr>
            <w:rFonts w:ascii="Calibri" w:hAnsi="Calibri" w:cs="FrankRuehl"/>
            <w:color w:val="0000FF"/>
            <w:sz w:val="28"/>
            <w:szCs w:val="28"/>
            <w:u w:val="single"/>
            <w:rtl/>
          </w:rPr>
          <w:t xml:space="preserve"> 3372/11</w:t>
        </w:r>
      </w:hyperlink>
      <w:r w:rsidRPr="0073212C">
        <w:rPr>
          <w:rFonts w:ascii="Calibri" w:hAnsi="Calibri" w:cs="FrankRuehl"/>
          <w:sz w:val="28"/>
          <w:szCs w:val="28"/>
          <w:rtl/>
        </w:rPr>
        <w:t xml:space="preserve"> </w:t>
      </w:r>
      <w:r w:rsidRPr="0073212C">
        <w:rPr>
          <w:rFonts w:ascii="Calibri" w:hAnsi="Calibri" w:cs="Miriam" w:hint="eastAsia"/>
          <w:rtl/>
        </w:rPr>
        <w:t>משה</w:t>
      </w:r>
      <w:r w:rsidRPr="0073212C">
        <w:rPr>
          <w:rFonts w:ascii="Calibri" w:hAnsi="Calibri" w:cs="Miriam"/>
          <w:rtl/>
        </w:rPr>
        <w:t xml:space="preserve"> </w:t>
      </w:r>
      <w:r w:rsidRPr="0073212C">
        <w:rPr>
          <w:rFonts w:ascii="Calibri" w:hAnsi="Calibri" w:cs="Miriam" w:hint="eastAsia"/>
          <w:rtl/>
        </w:rPr>
        <w:t>קצב</w:t>
      </w:r>
      <w:r w:rsidRPr="0073212C">
        <w:rPr>
          <w:rFonts w:ascii="Calibri" w:hAnsi="Calibri" w:cs="Miriam"/>
          <w:rtl/>
        </w:rPr>
        <w:t xml:space="preserve"> </w:t>
      </w:r>
      <w:r w:rsidRPr="0073212C">
        <w:rPr>
          <w:rFonts w:ascii="Calibri" w:hAnsi="Calibri" w:cs="Miriam" w:hint="eastAsia"/>
          <w:rtl/>
        </w:rPr>
        <w:t>נ</w:t>
      </w:r>
      <w:r w:rsidRPr="0073212C">
        <w:rPr>
          <w:rFonts w:ascii="Calibri" w:hAnsi="Calibri" w:cs="Miriam"/>
          <w:rtl/>
        </w:rPr>
        <w:t xml:space="preserve">' </w:t>
      </w:r>
      <w:r w:rsidRPr="0073212C">
        <w:rPr>
          <w:rFonts w:ascii="Calibri" w:hAnsi="Calibri" w:cs="Miriam" w:hint="eastAsia"/>
          <w:rtl/>
        </w:rPr>
        <w:t>מדינת</w:t>
      </w:r>
      <w:r w:rsidRPr="0073212C">
        <w:rPr>
          <w:rFonts w:ascii="Calibri" w:hAnsi="Calibri" w:cs="Miriam"/>
          <w:rtl/>
        </w:rPr>
        <w:t xml:space="preserve"> </w:t>
      </w:r>
      <w:r w:rsidRPr="0073212C">
        <w:rPr>
          <w:rFonts w:ascii="Calibri" w:hAnsi="Calibri" w:cs="Miriam" w:hint="eastAsia"/>
          <w:rtl/>
        </w:rPr>
        <w:t>ישראל</w:t>
      </w:r>
      <w:r w:rsidRPr="0073212C">
        <w:rPr>
          <w:rFonts w:ascii="Calibri" w:hAnsi="Calibri" w:cs="FrankRuehl"/>
          <w:sz w:val="28"/>
          <w:szCs w:val="28"/>
          <w:rtl/>
        </w:rPr>
        <w:t xml:space="preserve"> </w:t>
      </w:r>
      <w:r w:rsidR="00D419E8" w:rsidRPr="00D419E8">
        <w:rPr>
          <w:rFonts w:ascii="Times New Roman" w:hAnsi="Times New Roman"/>
          <w:sz w:val="22"/>
          <w:rtl/>
        </w:rPr>
        <w:t>[</w:t>
      </w:r>
      <w:r w:rsidR="00D419E8" w:rsidRPr="00D419E8">
        <w:rPr>
          <w:rFonts w:ascii="Times New Roman" w:hAnsi="Times New Roman" w:hint="eastAsia"/>
          <w:sz w:val="22"/>
          <w:rtl/>
        </w:rPr>
        <w:t>פורסם</w:t>
      </w:r>
      <w:r w:rsidR="00D419E8" w:rsidRPr="00D419E8">
        <w:rPr>
          <w:rFonts w:ascii="Times New Roman" w:hAnsi="Times New Roman"/>
          <w:sz w:val="22"/>
          <w:rtl/>
        </w:rPr>
        <w:t xml:space="preserve"> </w:t>
      </w:r>
      <w:r w:rsidR="00D419E8" w:rsidRPr="00D419E8">
        <w:rPr>
          <w:rFonts w:ascii="Times New Roman" w:hAnsi="Times New Roman" w:hint="eastAsia"/>
          <w:sz w:val="22"/>
          <w:rtl/>
        </w:rPr>
        <w:t>בנבו</w:t>
      </w:r>
      <w:r w:rsidR="00D419E8" w:rsidRPr="00D419E8">
        <w:rPr>
          <w:rFonts w:ascii="Times New Roman" w:hAnsi="Times New Roman"/>
          <w:sz w:val="22"/>
          <w:rtl/>
        </w:rPr>
        <w:t xml:space="preserve">] </w:t>
      </w:r>
      <w:r w:rsidRPr="0073212C">
        <w:rPr>
          <w:rFonts w:ascii="Calibri" w:hAnsi="Calibri" w:cs="FrankRuehl"/>
          <w:sz w:val="28"/>
          <w:szCs w:val="28"/>
          <w:rtl/>
        </w:rPr>
        <w:t xml:space="preserve">(10.11.11), </w:t>
      </w:r>
      <w:r w:rsidRPr="0073212C">
        <w:rPr>
          <w:rFonts w:ascii="Calibri" w:hAnsi="Calibri" w:cs="FrankRuehl" w:hint="eastAsia"/>
          <w:sz w:val="28"/>
          <w:szCs w:val="28"/>
          <w:rtl/>
        </w:rPr>
        <w:t>פסקה</w:t>
      </w:r>
      <w:r w:rsidRPr="0073212C">
        <w:rPr>
          <w:rFonts w:ascii="Calibri" w:hAnsi="Calibri" w:cs="FrankRuehl"/>
          <w:sz w:val="28"/>
          <w:szCs w:val="28"/>
          <w:rtl/>
        </w:rPr>
        <w:t xml:space="preserve"> 332 </w:t>
      </w:r>
      <w:r w:rsidRPr="0073212C">
        <w:rPr>
          <w:rFonts w:ascii="Calibri" w:hAnsi="Calibri" w:cs="FrankRuehl" w:hint="eastAsia"/>
          <w:sz w:val="28"/>
          <w:szCs w:val="28"/>
          <w:rtl/>
        </w:rPr>
        <w:t>ואילך</w:t>
      </w:r>
      <w:r w:rsidRPr="0073212C">
        <w:rPr>
          <w:rFonts w:ascii="Calibri" w:hAnsi="Calibri" w:cs="FrankRuehl"/>
          <w:sz w:val="28"/>
          <w:szCs w:val="28"/>
          <w:rtl/>
        </w:rPr>
        <w:t xml:space="preserve"> </w:t>
      </w:r>
      <w:r w:rsidRPr="0073212C">
        <w:rPr>
          <w:rFonts w:ascii="Calibri" w:hAnsi="Calibri" w:cs="FrankRuehl" w:hint="eastAsia"/>
          <w:sz w:val="28"/>
          <w:szCs w:val="28"/>
          <w:rtl/>
        </w:rPr>
        <w:t>והפסיקה</w:t>
      </w:r>
      <w:r w:rsidRPr="0073212C">
        <w:rPr>
          <w:rFonts w:ascii="Calibri" w:hAnsi="Calibri" w:cs="FrankRuehl"/>
          <w:sz w:val="28"/>
          <w:szCs w:val="28"/>
          <w:rtl/>
        </w:rPr>
        <w:t xml:space="preserve"> </w:t>
      </w:r>
      <w:r w:rsidRPr="0073212C">
        <w:rPr>
          <w:rFonts w:ascii="Calibri" w:hAnsi="Calibri" w:cs="FrankRuehl" w:hint="eastAsia"/>
          <w:sz w:val="28"/>
          <w:szCs w:val="28"/>
          <w:rtl/>
        </w:rPr>
        <w:t>שאוזכרה</w:t>
      </w:r>
      <w:r w:rsidRPr="0073212C">
        <w:rPr>
          <w:rFonts w:ascii="Calibri" w:hAnsi="Calibri" w:cs="FrankRuehl"/>
          <w:sz w:val="28"/>
          <w:szCs w:val="28"/>
          <w:rtl/>
        </w:rPr>
        <w:t xml:space="preserve"> </w:t>
      </w:r>
      <w:r w:rsidRPr="0073212C">
        <w:rPr>
          <w:rFonts w:ascii="Calibri" w:hAnsi="Calibri" w:cs="FrankRuehl" w:hint="eastAsia"/>
          <w:sz w:val="28"/>
          <w:szCs w:val="28"/>
          <w:rtl/>
        </w:rPr>
        <w:t>שם</w:t>
      </w:r>
      <w:r w:rsidRPr="0073212C">
        <w:rPr>
          <w:rFonts w:ascii="Calibri" w:hAnsi="Calibri" w:cs="FrankRuehl"/>
          <w:sz w:val="28"/>
          <w:szCs w:val="28"/>
          <w:rtl/>
        </w:rPr>
        <w:t xml:space="preserve">, </w:t>
      </w:r>
      <w:r w:rsidRPr="0073212C">
        <w:rPr>
          <w:rFonts w:ascii="Calibri" w:hAnsi="Calibri" w:cs="FrankRuehl" w:hint="eastAsia"/>
          <w:sz w:val="28"/>
          <w:szCs w:val="28"/>
          <w:rtl/>
        </w:rPr>
        <w:t>כפי</w:t>
      </w:r>
      <w:r w:rsidRPr="0073212C">
        <w:rPr>
          <w:rFonts w:ascii="Calibri" w:hAnsi="Calibri" w:cs="FrankRuehl"/>
          <w:sz w:val="28"/>
          <w:szCs w:val="28"/>
          <w:rtl/>
        </w:rPr>
        <w:t xml:space="preserve"> </w:t>
      </w:r>
      <w:r w:rsidRPr="0073212C">
        <w:rPr>
          <w:rFonts w:ascii="Calibri" w:hAnsi="Calibri" w:cs="FrankRuehl" w:hint="eastAsia"/>
          <w:sz w:val="28"/>
          <w:szCs w:val="28"/>
          <w:rtl/>
        </w:rPr>
        <w:t>שאושר</w:t>
      </w:r>
      <w:r w:rsidRPr="0073212C">
        <w:rPr>
          <w:rFonts w:ascii="Calibri" w:hAnsi="Calibri" w:cs="FrankRuehl"/>
          <w:sz w:val="28"/>
          <w:szCs w:val="28"/>
          <w:rtl/>
        </w:rPr>
        <w:t xml:space="preserve"> </w:t>
      </w:r>
      <w:r w:rsidRPr="0073212C">
        <w:rPr>
          <w:rFonts w:ascii="Calibri" w:hAnsi="Calibri" w:cs="FrankRuehl" w:hint="eastAsia"/>
          <w:sz w:val="28"/>
          <w:szCs w:val="28"/>
          <w:rtl/>
        </w:rPr>
        <w:t>ב</w:t>
      </w:r>
      <w:hyperlink r:id="rId33" w:history="1">
        <w:r w:rsidR="00383730" w:rsidRPr="00383730">
          <w:rPr>
            <w:rFonts w:ascii="Calibri" w:hAnsi="Calibri" w:cs="FrankRuehl" w:hint="eastAsia"/>
            <w:color w:val="0000FF"/>
            <w:sz w:val="28"/>
            <w:szCs w:val="28"/>
            <w:u w:val="single"/>
            <w:rtl/>
          </w:rPr>
          <w:t>דנ</w:t>
        </w:r>
        <w:r w:rsidR="00383730" w:rsidRPr="00383730">
          <w:rPr>
            <w:rFonts w:ascii="Calibri" w:hAnsi="Calibri" w:cs="FrankRuehl"/>
            <w:color w:val="0000FF"/>
            <w:sz w:val="28"/>
            <w:szCs w:val="28"/>
            <w:u w:val="single"/>
            <w:rtl/>
          </w:rPr>
          <w:t>"</w:t>
        </w:r>
        <w:r w:rsidR="00383730" w:rsidRPr="00383730">
          <w:rPr>
            <w:rFonts w:ascii="Calibri" w:hAnsi="Calibri" w:cs="FrankRuehl" w:hint="eastAsia"/>
            <w:color w:val="0000FF"/>
            <w:sz w:val="28"/>
            <w:szCs w:val="28"/>
            <w:u w:val="single"/>
            <w:rtl/>
          </w:rPr>
          <w:t>פ</w:t>
        </w:r>
        <w:r w:rsidR="00383730" w:rsidRPr="00383730">
          <w:rPr>
            <w:rFonts w:ascii="Calibri" w:hAnsi="Calibri" w:cs="FrankRuehl"/>
            <w:color w:val="0000FF"/>
            <w:sz w:val="28"/>
            <w:szCs w:val="28"/>
            <w:u w:val="single"/>
            <w:rtl/>
          </w:rPr>
          <w:t xml:space="preserve"> 864/12</w:t>
        </w:r>
      </w:hyperlink>
      <w:r w:rsidRPr="0073212C">
        <w:rPr>
          <w:rFonts w:ascii="Calibri" w:hAnsi="Calibri" w:cs="FrankRuehl"/>
          <w:sz w:val="28"/>
          <w:szCs w:val="28"/>
          <w:rtl/>
        </w:rPr>
        <w:t xml:space="preserve"> </w:t>
      </w:r>
      <w:r w:rsidRPr="0073212C">
        <w:rPr>
          <w:rFonts w:ascii="Calibri" w:hAnsi="Calibri" w:cs="Miriam" w:hint="eastAsia"/>
          <w:rtl/>
        </w:rPr>
        <w:t>משה</w:t>
      </w:r>
      <w:r w:rsidRPr="0073212C">
        <w:rPr>
          <w:rFonts w:ascii="Calibri" w:hAnsi="Calibri" w:cs="Miriam"/>
          <w:rtl/>
        </w:rPr>
        <w:t xml:space="preserve"> </w:t>
      </w:r>
      <w:r w:rsidRPr="0073212C">
        <w:rPr>
          <w:rFonts w:ascii="Calibri" w:hAnsi="Calibri" w:cs="Miriam" w:hint="eastAsia"/>
          <w:rtl/>
        </w:rPr>
        <w:t>קצב</w:t>
      </w:r>
      <w:r w:rsidRPr="0073212C">
        <w:rPr>
          <w:rFonts w:ascii="Calibri" w:hAnsi="Calibri" w:cs="Miriam"/>
          <w:rtl/>
        </w:rPr>
        <w:t xml:space="preserve"> </w:t>
      </w:r>
      <w:r w:rsidRPr="0073212C">
        <w:rPr>
          <w:rFonts w:ascii="Calibri" w:hAnsi="Calibri" w:cs="Miriam" w:hint="eastAsia"/>
          <w:rtl/>
        </w:rPr>
        <w:t>נ</w:t>
      </w:r>
      <w:r w:rsidRPr="0073212C">
        <w:rPr>
          <w:rFonts w:ascii="Calibri" w:hAnsi="Calibri" w:cs="Miriam"/>
          <w:rtl/>
        </w:rPr>
        <w:t xml:space="preserve">' </w:t>
      </w:r>
      <w:r w:rsidRPr="0073212C">
        <w:rPr>
          <w:rFonts w:ascii="Calibri" w:hAnsi="Calibri" w:cs="Miriam" w:hint="eastAsia"/>
          <w:rtl/>
        </w:rPr>
        <w:t>מדינת</w:t>
      </w:r>
      <w:r w:rsidRPr="0073212C">
        <w:rPr>
          <w:rFonts w:ascii="Calibri" w:hAnsi="Calibri" w:cs="Miriam"/>
          <w:rtl/>
        </w:rPr>
        <w:t xml:space="preserve"> </w:t>
      </w:r>
      <w:r w:rsidRPr="0073212C">
        <w:rPr>
          <w:rFonts w:ascii="Calibri" w:hAnsi="Calibri" w:cs="Miriam" w:hint="eastAsia"/>
          <w:rtl/>
        </w:rPr>
        <w:t>ישראל</w:t>
      </w:r>
      <w:r w:rsidRPr="0073212C">
        <w:rPr>
          <w:rFonts w:ascii="Calibri" w:hAnsi="Calibri" w:cs="FrankRuehl"/>
          <w:sz w:val="28"/>
          <w:szCs w:val="28"/>
          <w:rtl/>
        </w:rPr>
        <w:t xml:space="preserve"> </w:t>
      </w:r>
      <w:r w:rsidR="00D419E8" w:rsidRPr="00D419E8">
        <w:rPr>
          <w:rFonts w:ascii="Times New Roman" w:hAnsi="Times New Roman"/>
          <w:sz w:val="22"/>
          <w:rtl/>
        </w:rPr>
        <w:t>[</w:t>
      </w:r>
      <w:r w:rsidR="00D419E8" w:rsidRPr="00D419E8">
        <w:rPr>
          <w:rFonts w:ascii="Times New Roman" w:hAnsi="Times New Roman" w:hint="eastAsia"/>
          <w:sz w:val="22"/>
          <w:rtl/>
        </w:rPr>
        <w:t>פורסם</w:t>
      </w:r>
      <w:r w:rsidR="00D419E8" w:rsidRPr="00D419E8">
        <w:rPr>
          <w:rFonts w:ascii="Times New Roman" w:hAnsi="Times New Roman"/>
          <w:sz w:val="22"/>
          <w:rtl/>
        </w:rPr>
        <w:t xml:space="preserve"> </w:t>
      </w:r>
      <w:r w:rsidR="00D419E8" w:rsidRPr="00D419E8">
        <w:rPr>
          <w:rFonts w:ascii="Times New Roman" w:hAnsi="Times New Roman" w:hint="eastAsia"/>
          <w:sz w:val="22"/>
          <w:rtl/>
        </w:rPr>
        <w:t>בנבו</w:t>
      </w:r>
      <w:r w:rsidR="00D419E8" w:rsidRPr="00D419E8">
        <w:rPr>
          <w:rFonts w:ascii="Times New Roman" w:hAnsi="Times New Roman"/>
          <w:sz w:val="22"/>
          <w:rtl/>
        </w:rPr>
        <w:t xml:space="preserve">] </w:t>
      </w:r>
      <w:r w:rsidRPr="0073212C">
        <w:rPr>
          <w:rFonts w:ascii="Calibri" w:hAnsi="Calibri" w:cs="FrankRuehl"/>
          <w:sz w:val="28"/>
          <w:szCs w:val="28"/>
          <w:rtl/>
        </w:rPr>
        <w:t xml:space="preserve">(13.5.12), </w:t>
      </w:r>
      <w:r w:rsidRPr="0073212C">
        <w:rPr>
          <w:rFonts w:ascii="Calibri" w:hAnsi="Calibri" w:cs="FrankRuehl" w:hint="eastAsia"/>
          <w:sz w:val="28"/>
          <w:szCs w:val="28"/>
          <w:rtl/>
        </w:rPr>
        <w:t>פסקה</w:t>
      </w:r>
      <w:r w:rsidRPr="0073212C">
        <w:rPr>
          <w:rFonts w:ascii="Calibri" w:hAnsi="Calibri" w:cs="FrankRuehl"/>
          <w:sz w:val="28"/>
          <w:szCs w:val="28"/>
          <w:rtl/>
        </w:rPr>
        <w:t xml:space="preserve"> 11]</w:t>
      </w:r>
      <w:r>
        <w:rPr>
          <w:rFonts w:ascii="Calibri" w:hAnsi="Calibri" w:cs="FrankRuehl"/>
          <w:sz w:val="28"/>
          <w:szCs w:val="28"/>
          <w:rtl/>
        </w:rPr>
        <w:t xml:space="preserve">. </w:t>
      </w:r>
      <w:r>
        <w:rPr>
          <w:rFonts w:ascii="Calibri" w:hAnsi="Calibri" w:cs="FrankRuehl" w:hint="eastAsia"/>
          <w:sz w:val="28"/>
          <w:szCs w:val="28"/>
          <w:rtl/>
        </w:rPr>
        <w:t>הדברים</w:t>
      </w:r>
      <w:r>
        <w:rPr>
          <w:rFonts w:ascii="Calibri" w:hAnsi="Calibri" w:cs="FrankRuehl"/>
          <w:sz w:val="28"/>
          <w:szCs w:val="28"/>
          <w:rtl/>
        </w:rPr>
        <w:t xml:space="preserve"> </w:t>
      </w:r>
      <w:r>
        <w:rPr>
          <w:rFonts w:ascii="Calibri" w:hAnsi="Calibri" w:cs="FrankRuehl" w:hint="eastAsia"/>
          <w:sz w:val="28"/>
          <w:szCs w:val="28"/>
          <w:rtl/>
        </w:rPr>
        <w:t>נאמרים</w:t>
      </w:r>
      <w:r>
        <w:rPr>
          <w:rFonts w:ascii="Calibri" w:hAnsi="Calibri" w:cs="FrankRuehl"/>
          <w:sz w:val="28"/>
          <w:szCs w:val="28"/>
          <w:rtl/>
        </w:rPr>
        <w:t xml:space="preserve">, </w:t>
      </w:r>
      <w:r>
        <w:rPr>
          <w:rFonts w:ascii="Calibri" w:hAnsi="Calibri" w:cs="FrankRuehl" w:hint="eastAsia"/>
          <w:sz w:val="28"/>
          <w:szCs w:val="28"/>
          <w:rtl/>
        </w:rPr>
        <w:t>כאמור</w:t>
      </w:r>
      <w:r>
        <w:rPr>
          <w:rFonts w:ascii="Calibri" w:hAnsi="Calibri" w:cs="FrankRuehl"/>
          <w:sz w:val="28"/>
          <w:szCs w:val="28"/>
          <w:rtl/>
        </w:rPr>
        <w:t xml:space="preserve">, </w:t>
      </w:r>
      <w:r>
        <w:rPr>
          <w:rFonts w:ascii="Calibri" w:hAnsi="Calibri" w:cs="FrankRuehl" w:hint="eastAsia"/>
          <w:sz w:val="28"/>
          <w:szCs w:val="28"/>
          <w:rtl/>
        </w:rPr>
        <w:t>בבחינת</w:t>
      </w:r>
      <w:r>
        <w:rPr>
          <w:rFonts w:ascii="Calibri" w:hAnsi="Calibri" w:cs="FrankRuehl"/>
          <w:sz w:val="28"/>
          <w:szCs w:val="28"/>
          <w:rtl/>
        </w:rPr>
        <w:t xml:space="preserve"> </w:t>
      </w:r>
      <w:r>
        <w:rPr>
          <w:rFonts w:ascii="Calibri" w:hAnsi="Calibri" w:cs="FrankRuehl" w:hint="eastAsia"/>
          <w:sz w:val="28"/>
          <w:szCs w:val="28"/>
          <w:rtl/>
        </w:rPr>
        <w:t>למעלה</w:t>
      </w:r>
      <w:r>
        <w:rPr>
          <w:rFonts w:ascii="Calibri" w:hAnsi="Calibri" w:cs="FrankRuehl"/>
          <w:sz w:val="28"/>
          <w:szCs w:val="28"/>
          <w:rtl/>
        </w:rPr>
        <w:t xml:space="preserve"> </w:t>
      </w:r>
      <w:r>
        <w:rPr>
          <w:rFonts w:ascii="Calibri" w:hAnsi="Calibri" w:cs="FrankRuehl" w:hint="eastAsia"/>
          <w:sz w:val="28"/>
          <w:szCs w:val="28"/>
          <w:rtl/>
        </w:rPr>
        <w:t>מן</w:t>
      </w:r>
      <w:r>
        <w:rPr>
          <w:rFonts w:ascii="Calibri" w:hAnsi="Calibri" w:cs="FrankRuehl"/>
          <w:sz w:val="28"/>
          <w:szCs w:val="28"/>
          <w:rtl/>
        </w:rPr>
        <w:t xml:space="preserve"> </w:t>
      </w:r>
      <w:r>
        <w:rPr>
          <w:rFonts w:ascii="Calibri" w:hAnsi="Calibri" w:cs="FrankRuehl" w:hint="eastAsia"/>
          <w:sz w:val="28"/>
          <w:szCs w:val="28"/>
          <w:rtl/>
        </w:rPr>
        <w:t>הצורך</w:t>
      </w:r>
      <w:r>
        <w:rPr>
          <w:rFonts w:ascii="Calibri" w:hAnsi="Calibri" w:cs="FrankRuehl"/>
          <w:sz w:val="28"/>
          <w:szCs w:val="28"/>
          <w:rtl/>
        </w:rPr>
        <w:t xml:space="preserve">, </w:t>
      </w:r>
      <w:r>
        <w:rPr>
          <w:rFonts w:ascii="Calibri" w:hAnsi="Calibri" w:cs="FrankRuehl" w:hint="eastAsia"/>
          <w:sz w:val="28"/>
          <w:szCs w:val="28"/>
          <w:rtl/>
        </w:rPr>
        <w:t>שכן</w:t>
      </w:r>
      <w:r>
        <w:rPr>
          <w:rFonts w:ascii="Calibri" w:hAnsi="Calibri" w:cs="FrankRuehl"/>
          <w:sz w:val="28"/>
          <w:szCs w:val="28"/>
          <w:rtl/>
        </w:rPr>
        <w:t xml:space="preserve"> </w:t>
      </w:r>
      <w:r>
        <w:rPr>
          <w:rFonts w:ascii="Calibri" w:hAnsi="Calibri" w:cs="FrankRuehl" w:hint="eastAsia"/>
          <w:sz w:val="28"/>
          <w:szCs w:val="28"/>
          <w:rtl/>
        </w:rPr>
        <w:t>מטעם</w:t>
      </w:r>
      <w:r>
        <w:rPr>
          <w:rFonts w:ascii="Calibri" w:hAnsi="Calibri" w:cs="FrankRuehl"/>
          <w:sz w:val="28"/>
          <w:szCs w:val="28"/>
          <w:rtl/>
        </w:rPr>
        <w:t xml:space="preserve"> </w:t>
      </w:r>
      <w:r>
        <w:rPr>
          <w:rFonts w:ascii="Calibri" w:hAnsi="Calibri" w:cs="FrankRuehl" w:hint="eastAsia"/>
          <w:sz w:val="28"/>
          <w:szCs w:val="28"/>
          <w:rtl/>
        </w:rPr>
        <w:t>הנאשם</w:t>
      </w:r>
      <w:r>
        <w:rPr>
          <w:rFonts w:ascii="Calibri" w:hAnsi="Calibri" w:cs="FrankRuehl"/>
          <w:sz w:val="28"/>
          <w:szCs w:val="28"/>
          <w:rtl/>
        </w:rPr>
        <w:t xml:space="preserve"> </w:t>
      </w:r>
      <w:r>
        <w:rPr>
          <w:rFonts w:ascii="Calibri" w:hAnsi="Calibri" w:cs="FrankRuehl" w:hint="eastAsia"/>
          <w:sz w:val="28"/>
          <w:szCs w:val="28"/>
          <w:rtl/>
        </w:rPr>
        <w:t>לא</w:t>
      </w:r>
      <w:r>
        <w:rPr>
          <w:rFonts w:ascii="Calibri" w:hAnsi="Calibri" w:cs="FrankRuehl"/>
          <w:sz w:val="28"/>
          <w:szCs w:val="28"/>
          <w:rtl/>
        </w:rPr>
        <w:t xml:space="preserve"> </w:t>
      </w:r>
      <w:r>
        <w:rPr>
          <w:rFonts w:ascii="Calibri" w:hAnsi="Calibri" w:cs="FrankRuehl" w:hint="eastAsia"/>
          <w:sz w:val="28"/>
          <w:szCs w:val="28"/>
          <w:rtl/>
        </w:rPr>
        <w:t>נשמעה</w:t>
      </w:r>
      <w:r>
        <w:rPr>
          <w:rFonts w:ascii="Calibri" w:hAnsi="Calibri" w:cs="FrankRuehl"/>
          <w:sz w:val="28"/>
          <w:szCs w:val="28"/>
          <w:rtl/>
        </w:rPr>
        <w:t xml:space="preserve"> </w:t>
      </w:r>
      <w:r>
        <w:rPr>
          <w:rFonts w:ascii="Calibri" w:hAnsi="Calibri" w:cs="FrankRuehl" w:hint="eastAsia"/>
          <w:sz w:val="28"/>
          <w:szCs w:val="28"/>
          <w:rtl/>
        </w:rPr>
        <w:t>כל</w:t>
      </w:r>
      <w:r>
        <w:rPr>
          <w:rFonts w:ascii="Calibri" w:hAnsi="Calibri" w:cs="FrankRuehl"/>
          <w:sz w:val="28"/>
          <w:szCs w:val="28"/>
          <w:rtl/>
        </w:rPr>
        <w:t xml:space="preserve"> </w:t>
      </w:r>
      <w:r>
        <w:rPr>
          <w:rFonts w:ascii="Calibri" w:hAnsi="Calibri" w:cs="FrankRuehl" w:hint="eastAsia"/>
          <w:sz w:val="28"/>
          <w:szCs w:val="28"/>
          <w:rtl/>
        </w:rPr>
        <w:t>טענה</w:t>
      </w:r>
      <w:r>
        <w:rPr>
          <w:rFonts w:ascii="Calibri" w:hAnsi="Calibri" w:cs="FrankRuehl"/>
          <w:sz w:val="28"/>
          <w:szCs w:val="28"/>
          <w:rtl/>
        </w:rPr>
        <w:t xml:space="preserve"> </w:t>
      </w:r>
      <w:r>
        <w:rPr>
          <w:rFonts w:ascii="Calibri" w:hAnsi="Calibri" w:cs="FrankRuehl" w:hint="eastAsia"/>
          <w:sz w:val="28"/>
          <w:szCs w:val="28"/>
          <w:rtl/>
        </w:rPr>
        <w:t>חליפית</w:t>
      </w:r>
      <w:r>
        <w:rPr>
          <w:rFonts w:ascii="Calibri" w:hAnsi="Calibri" w:cs="FrankRuehl"/>
          <w:sz w:val="28"/>
          <w:szCs w:val="28"/>
          <w:rtl/>
        </w:rPr>
        <w:t xml:space="preserve"> </w:t>
      </w:r>
      <w:r>
        <w:rPr>
          <w:rFonts w:ascii="Calibri" w:hAnsi="Calibri" w:cs="FrankRuehl" w:hint="eastAsia"/>
          <w:sz w:val="28"/>
          <w:szCs w:val="28"/>
          <w:rtl/>
        </w:rPr>
        <w:t>המסבירה</w:t>
      </w:r>
      <w:r>
        <w:rPr>
          <w:rFonts w:ascii="Calibri" w:hAnsi="Calibri" w:cs="FrankRuehl"/>
          <w:sz w:val="28"/>
          <w:szCs w:val="28"/>
          <w:rtl/>
        </w:rPr>
        <w:t xml:space="preserve"> </w:t>
      </w:r>
      <w:r>
        <w:rPr>
          <w:rFonts w:ascii="Calibri" w:hAnsi="Calibri" w:cs="FrankRuehl" w:hint="eastAsia"/>
          <w:sz w:val="28"/>
          <w:szCs w:val="28"/>
          <w:rtl/>
        </w:rPr>
        <w:t>את</w:t>
      </w:r>
      <w:r>
        <w:rPr>
          <w:rFonts w:ascii="Calibri" w:hAnsi="Calibri" w:cs="FrankRuehl"/>
          <w:sz w:val="28"/>
          <w:szCs w:val="28"/>
          <w:rtl/>
        </w:rPr>
        <w:t xml:space="preserve"> </w:t>
      </w:r>
      <w:r>
        <w:rPr>
          <w:rFonts w:ascii="Calibri" w:hAnsi="Calibri" w:cs="FrankRuehl" w:hint="eastAsia"/>
          <w:sz w:val="28"/>
          <w:szCs w:val="28"/>
          <w:rtl/>
        </w:rPr>
        <w:t>התנהגותו</w:t>
      </w:r>
      <w:r>
        <w:rPr>
          <w:rFonts w:ascii="Calibri" w:hAnsi="Calibri" w:cs="FrankRuehl"/>
          <w:sz w:val="28"/>
          <w:szCs w:val="28"/>
          <w:rtl/>
        </w:rPr>
        <w:t xml:space="preserve"> </w:t>
      </w:r>
      <w:r>
        <w:rPr>
          <w:rFonts w:ascii="Calibri" w:hAnsi="Calibri" w:cs="FrankRuehl" w:hint="eastAsia"/>
          <w:sz w:val="28"/>
          <w:szCs w:val="28"/>
          <w:rtl/>
        </w:rPr>
        <w:t>החריגה</w:t>
      </w:r>
      <w:r>
        <w:rPr>
          <w:rFonts w:ascii="Calibri" w:hAnsi="Calibri" w:cs="FrankRuehl"/>
          <w:sz w:val="28"/>
          <w:szCs w:val="28"/>
          <w:rtl/>
        </w:rPr>
        <w:t xml:space="preserve"> </w:t>
      </w:r>
      <w:r>
        <w:rPr>
          <w:rFonts w:ascii="Arial" w:hAnsi="Arial" w:cs="FrankRuehl"/>
          <w:sz w:val="28"/>
          <w:szCs w:val="28"/>
          <w:rtl/>
        </w:rPr>
        <w:t>(</w:t>
      </w:r>
      <w:r w:rsidRPr="00787544">
        <w:rPr>
          <w:rFonts w:ascii="Arial" w:hAnsi="Arial" w:cs="Miriam"/>
          <w:rtl/>
        </w:rPr>
        <w:t>עניין</w:t>
      </w:r>
      <w:r>
        <w:rPr>
          <w:rFonts w:ascii="Arial" w:hAnsi="Arial" w:cs="FrankRuehl"/>
          <w:sz w:val="28"/>
          <w:szCs w:val="28"/>
          <w:rtl/>
        </w:rPr>
        <w:t xml:space="preserve"> </w:t>
      </w:r>
      <w:r w:rsidRPr="0093084B">
        <w:rPr>
          <w:rFonts w:ascii="Arial" w:hAnsi="Arial" w:cs="Miriam"/>
          <w:rtl/>
        </w:rPr>
        <w:t>זקן</w:t>
      </w:r>
      <w:r>
        <w:rPr>
          <w:rFonts w:ascii="Arial" w:hAnsi="Arial" w:cs="FrankRuehl"/>
          <w:sz w:val="28"/>
          <w:szCs w:val="28"/>
          <w:rtl/>
        </w:rPr>
        <w:t>)</w:t>
      </w:r>
      <w:r w:rsidRPr="0073212C">
        <w:rPr>
          <w:rFonts w:ascii="Calibri" w:hAnsi="Calibri" w:cs="FrankRuehl"/>
          <w:sz w:val="28"/>
          <w:szCs w:val="28"/>
          <w:rtl/>
        </w:rPr>
        <w:t xml:space="preserve">. </w:t>
      </w:r>
    </w:p>
    <w:p w14:paraId="77C1C943" w14:textId="77777777" w:rsidR="00953F88" w:rsidRDefault="00953F88" w:rsidP="00607F2C">
      <w:pPr>
        <w:spacing w:line="360" w:lineRule="auto"/>
        <w:jc w:val="both"/>
        <w:rPr>
          <w:rFonts w:ascii="Arial" w:hAnsi="Arial" w:cs="FrankRuehl"/>
          <w:sz w:val="28"/>
          <w:szCs w:val="28"/>
          <w:rtl/>
        </w:rPr>
      </w:pPr>
    </w:p>
    <w:p w14:paraId="60531922" w14:textId="77777777" w:rsidR="00953F88" w:rsidRDefault="00953F88" w:rsidP="00607F2C">
      <w:pPr>
        <w:spacing w:line="360" w:lineRule="auto"/>
        <w:jc w:val="both"/>
        <w:rPr>
          <w:rFonts w:ascii="Arial" w:hAnsi="Arial" w:cs="FrankRuehl"/>
          <w:sz w:val="28"/>
          <w:szCs w:val="28"/>
          <w:rtl/>
        </w:rPr>
      </w:pPr>
      <w:r>
        <w:rPr>
          <w:rFonts w:ascii="Arial" w:hAnsi="Arial" w:cs="FrankRuehl"/>
          <w:sz w:val="28"/>
          <w:szCs w:val="28"/>
          <w:rtl/>
        </w:rPr>
        <w:t>10.</w:t>
      </w:r>
      <w:r>
        <w:rPr>
          <w:rFonts w:ascii="Arial" w:hAnsi="Arial" w:cs="FrankRuehl"/>
          <w:sz w:val="28"/>
          <w:szCs w:val="28"/>
          <w:rtl/>
        </w:rPr>
        <w:tab/>
        <w:t xml:space="preserve">כפי שנקבע בעניין </w:t>
      </w:r>
      <w:r w:rsidRPr="00840688">
        <w:rPr>
          <w:rFonts w:ascii="Arial" w:hAnsi="Arial" w:cs="Miriam"/>
          <w:rtl/>
        </w:rPr>
        <w:t>פלוני 1</w:t>
      </w:r>
      <w:r>
        <w:rPr>
          <w:rFonts w:ascii="Arial" w:hAnsi="Arial" w:cs="FrankRuehl"/>
          <w:sz w:val="28"/>
          <w:szCs w:val="28"/>
          <w:rtl/>
        </w:rPr>
        <w:t>, הוכחת היסוד הנפשי מחזקת אף את הוכחת היסוד העובדתי של העבירה, ומהווה אבן בוחן חשובה לצורך כך.</w:t>
      </w:r>
    </w:p>
    <w:p w14:paraId="6EF808B0" w14:textId="77777777" w:rsidR="00953F88" w:rsidRDefault="00953F88" w:rsidP="007620F1">
      <w:pPr>
        <w:spacing w:line="360" w:lineRule="auto"/>
        <w:jc w:val="both"/>
        <w:rPr>
          <w:rFonts w:ascii="Arial" w:hAnsi="Arial" w:cs="FrankRuehl"/>
          <w:sz w:val="28"/>
          <w:szCs w:val="28"/>
          <w:rtl/>
        </w:rPr>
      </w:pPr>
      <w:r>
        <w:rPr>
          <w:rFonts w:ascii="Arial" w:hAnsi="Arial" w:cs="FrankRuehl"/>
          <w:sz w:val="28"/>
          <w:szCs w:val="28"/>
          <w:rtl/>
        </w:rPr>
        <w:t>באותה נשימה ממש, מעשיו של המשיב מצביעים גם על מטרתו, היינו, שאיפה סובייקטיבית הנושאת אופי מיני, זאת ללא כל קשר להוכחת תוצאה של "גירוי, סיפוק או ביזוי מיניים", שכאמור אינה נדרשת (</w:t>
      </w:r>
      <w:r w:rsidRPr="00787544">
        <w:rPr>
          <w:rFonts w:ascii="Arial" w:hAnsi="Arial" w:cs="Miriam"/>
          <w:rtl/>
        </w:rPr>
        <w:t>עניין</w:t>
      </w:r>
      <w:r>
        <w:rPr>
          <w:rFonts w:ascii="Arial" w:hAnsi="Arial" w:cs="FrankRuehl"/>
          <w:sz w:val="28"/>
          <w:szCs w:val="28"/>
          <w:rtl/>
        </w:rPr>
        <w:t xml:space="preserve"> </w:t>
      </w:r>
      <w:r w:rsidRPr="0093084B">
        <w:rPr>
          <w:rFonts w:ascii="Arial" w:hAnsi="Arial" w:cs="Miriam"/>
          <w:rtl/>
        </w:rPr>
        <w:t>זקן</w:t>
      </w:r>
      <w:r>
        <w:rPr>
          <w:rFonts w:ascii="Arial" w:hAnsi="Arial" w:cs="FrankRuehl"/>
          <w:sz w:val="28"/>
          <w:szCs w:val="28"/>
          <w:rtl/>
        </w:rPr>
        <w:t>). להבדיל מהדוגמאות שהוצגו מטעם ההגנה, הרי שבמקרה שבפנינו התקרב הנאשם לקורבנותיו בלא פחות מעשרה מקרים שונים, תוך כדי תנועת הקורבן במדרגות, ואחז במצלמה בזווית המאפשרת צפייה מתחת לחצאית, כל זאת מתוך מטרה ברורה ללכוד בעדשת המצלמה חלק מסוים מגופה של אישה מסוימת.</w:t>
      </w:r>
    </w:p>
    <w:p w14:paraId="3C7231E3" w14:textId="77777777" w:rsidR="00953F88" w:rsidRDefault="00953F88" w:rsidP="00253FE6">
      <w:pPr>
        <w:spacing w:line="360" w:lineRule="auto"/>
        <w:jc w:val="both"/>
        <w:rPr>
          <w:rFonts w:ascii="Arial" w:hAnsi="Arial" w:cs="FrankRuehl"/>
          <w:sz w:val="28"/>
          <w:szCs w:val="28"/>
          <w:rtl/>
        </w:rPr>
      </w:pPr>
    </w:p>
    <w:p w14:paraId="03F0A550" w14:textId="77777777" w:rsidR="00953F88" w:rsidRDefault="00953F88" w:rsidP="00375B76">
      <w:pPr>
        <w:spacing w:line="360" w:lineRule="auto"/>
        <w:jc w:val="both"/>
        <w:rPr>
          <w:rFonts w:ascii="Arial" w:hAnsi="Arial" w:cs="FrankRuehl"/>
          <w:sz w:val="28"/>
          <w:szCs w:val="28"/>
          <w:rtl/>
        </w:rPr>
      </w:pPr>
      <w:r>
        <w:rPr>
          <w:rFonts w:ascii="Arial" w:hAnsi="Arial" w:cs="FrankRuehl"/>
          <w:sz w:val="28"/>
          <w:szCs w:val="28"/>
          <w:rtl/>
        </w:rPr>
        <w:t>11.</w:t>
      </w:r>
      <w:r>
        <w:rPr>
          <w:rFonts w:ascii="Arial" w:hAnsi="Arial" w:cs="FrankRuehl"/>
          <w:sz w:val="28"/>
          <w:szCs w:val="28"/>
          <w:rtl/>
        </w:rPr>
        <w:tab/>
        <w:t xml:space="preserve">למרות מעשיו וכוונתו, שכאמור אינם שנויים במחלוקת, טוען הנאשם שמעשיו אינם עולים – במישור העובדתי – כדי "מעשה מגונה", וזאת מן הטעם ששעה שמעשיו נעדרי מגע פיזי והמתלוננות אף לא היו מודעות למעשיו, הרי שעיקר הפגיעה במתלוננות הוא בחדירה לפרטיותן. טענות דומות הועלו במקרה זהה שנדון </w:t>
      </w:r>
      <w:r w:rsidRPr="00375B76">
        <w:rPr>
          <w:rFonts w:ascii="Arial" w:hAnsi="Arial" w:cs="Miriam"/>
          <w:rtl/>
        </w:rPr>
        <w:t>בעניין פלוני 2</w:t>
      </w:r>
      <w:r>
        <w:rPr>
          <w:rFonts w:ascii="Arial" w:hAnsi="Arial" w:cs="FrankRuehl"/>
          <w:sz w:val="28"/>
          <w:szCs w:val="28"/>
          <w:rtl/>
        </w:rPr>
        <w:t>, ונדחו על ידי בית המשפט העליון (פסקה 16):</w:t>
      </w:r>
    </w:p>
    <w:p w14:paraId="4202AB5B" w14:textId="77777777" w:rsidR="00953F88" w:rsidRDefault="00953F88" w:rsidP="00692A86">
      <w:pPr>
        <w:pStyle w:val="Ruller40"/>
        <w:ind w:left="720" w:right="567"/>
        <w:rPr>
          <w:rFonts w:ascii="Times New Roman" w:hAnsi="Times New Roman"/>
          <w:rtl/>
        </w:rPr>
      </w:pPr>
      <w:r>
        <w:rPr>
          <w:rFonts w:ascii="Times New Roman" w:hAnsi="Times New Roman"/>
          <w:rtl/>
        </w:rPr>
        <w:t xml:space="preserve">"לשאלת היסוד העובדתי, נבחן האם במעשיו של המערער, יש אלמנט של מיניות גלויה, כך שעל-פי אמות מידה אובייקטיביות של האדם הממוצע, יחשבו מעשיו ללא הגונים, לא מוסריים ולא צנועים. </w:t>
      </w:r>
      <w:r w:rsidR="00383730">
        <w:rPr>
          <w:rFonts w:ascii="Times New Roman" w:hAnsi="Times New Roman"/>
          <w:rtl/>
        </w:rPr>
        <w:t xml:space="preserve">  </w:t>
      </w:r>
    </w:p>
    <w:p w14:paraId="7B748BDC" w14:textId="77777777" w:rsidR="00953F88" w:rsidRDefault="00953F88" w:rsidP="00692A86">
      <w:pPr>
        <w:pStyle w:val="Ruller40"/>
        <w:ind w:left="720" w:right="567"/>
        <w:rPr>
          <w:rFonts w:ascii="Times New Roman" w:hAnsi="Times New Roman"/>
          <w:rtl/>
        </w:rPr>
      </w:pPr>
      <w:r>
        <w:rPr>
          <w:rFonts w:ascii="Times New Roman" w:hAnsi="Times New Roman"/>
          <w:rtl/>
        </w:rPr>
        <w:t xml:space="preserve">תשובתי לשאלה זו היא בחיוב נחרץ. אין כל ספק, כי מעשי המערער מעשים מגונים הם על פניהם, ואין כל מקום לנסות למצוא צידוק אובייקטיבי לטשטוש היסוד המגונה שבמעשיו. הפסול המוסרי עולה באופן בולט ממעשי המערער והוא הוא הגורם הפגום, אליו תרים המבחנים שנקבעו בפסיקה והוזכרו לעיל, לצורך הרשעה בעבירה של "מעשה מגונה". </w:t>
      </w:r>
    </w:p>
    <w:p w14:paraId="412673E7" w14:textId="77777777" w:rsidR="00953F88" w:rsidRDefault="00953F88" w:rsidP="00692A86">
      <w:pPr>
        <w:pStyle w:val="Ruller40"/>
        <w:ind w:left="720" w:right="567"/>
        <w:rPr>
          <w:rFonts w:ascii="Times New Roman" w:hAnsi="Times New Roman"/>
          <w:rtl/>
        </w:rPr>
      </w:pPr>
      <w:r>
        <w:rPr>
          <w:rFonts w:ascii="Times New Roman" w:hAnsi="Times New Roman"/>
          <w:rtl/>
        </w:rPr>
        <w:t xml:space="preserve">כך נראה, כי לפי אמות מידה אובייקטיביות, מבחן האדם הסביר מתקיים בענייננו, שכן לו היה האדם הסביר מתבונן במעשי המערער - כשהלה הסתתר בתאי שירותים והסריט צעירות, הגניב את מצלמת הטלפון הנייד מתחת לחצאיותיהן של נשים וקטינות שונות וצילם את איבריהן המוצנעים, מתוך גירוי וסיפוק מיניים מובהקים ועל-מנת להשתמש בתמונותיהן לצורך אוננות – לא יכול להיוותר כל מקום לספק, כי מעשים אלה אינם מוסריים, אינם הוגנים ואינם צנועים. </w:t>
      </w:r>
    </w:p>
    <w:p w14:paraId="7B393DDB" w14:textId="77777777" w:rsidR="00953F88" w:rsidRDefault="00953F88" w:rsidP="00692A86">
      <w:pPr>
        <w:pStyle w:val="Ruller40"/>
        <w:ind w:right="567"/>
        <w:rPr>
          <w:rFonts w:ascii="Times New Roman" w:hAnsi="Times New Roman"/>
          <w:rtl/>
        </w:rPr>
      </w:pPr>
    </w:p>
    <w:p w14:paraId="5E06EBB3" w14:textId="77777777" w:rsidR="00953F88" w:rsidRDefault="00953F88" w:rsidP="00692A86">
      <w:pPr>
        <w:pStyle w:val="Ruller40"/>
        <w:ind w:left="720" w:right="567"/>
        <w:rPr>
          <w:rFonts w:ascii="Times New Roman" w:hAnsi="Times New Roman"/>
          <w:rtl/>
        </w:rPr>
      </w:pPr>
      <w:r>
        <w:rPr>
          <w:rFonts w:ascii="Times New Roman" w:hAnsi="Times New Roman"/>
          <w:rtl/>
        </w:rPr>
        <w:tab/>
      </w:r>
      <w:r w:rsidRPr="00692A86">
        <w:rPr>
          <w:rFonts w:ascii="Times New Roman" w:hAnsi="Times New Roman"/>
          <w:rtl/>
        </w:rPr>
        <w:t>לא זאת אף זאת, אלא שמעשיו של המערער גם פגעו בערך המוגן בגינו נקבעה העבירה</w:t>
      </w:r>
      <w:r w:rsidRPr="0033238A">
        <w:rPr>
          <w:rFonts w:ascii="Times New Roman" w:hAnsi="Times New Roman"/>
          <w:rtl/>
        </w:rPr>
        <w:t xml:space="preserve"> ב</w:t>
      </w:r>
      <w:hyperlink r:id="rId34" w:history="1">
        <w:r w:rsidR="00383730" w:rsidRPr="00383730">
          <w:rPr>
            <w:rFonts w:ascii="Times New Roman" w:hAnsi="Times New Roman"/>
            <w:color w:val="0000FF"/>
            <w:u w:val="single"/>
            <w:rtl/>
          </w:rPr>
          <w:t>חוק העונשין</w:t>
        </w:r>
      </w:hyperlink>
      <w:r w:rsidRPr="0033238A">
        <w:rPr>
          <w:rFonts w:ascii="Times New Roman" w:hAnsi="Times New Roman"/>
          <w:rtl/>
        </w:rPr>
        <w:t xml:space="preserve">. שכן, המערער ניצל את קורבנותיו והפך </w:t>
      </w:r>
      <w:r w:rsidRPr="00692A86">
        <w:rPr>
          <w:rFonts w:ascii="Times New Roman" w:hAnsi="Times New Roman"/>
          <w:rtl/>
        </w:rPr>
        <w:t xml:space="preserve">אותן, בעל כורחן וללא הסכמתן, למושא לסיפוק תאוותו המינית. בהתנהגותו זו, פגע המערער בזכות האוטונומיה של הקורבנות על גופן, בפרטיותן ובצניעותן וזוהי הפגיעה שמפניה מבקש החוק לגונן בעבירת המעשה המגונה. קרי: אין מדובר בצילום תמים של הקורבנות, אלא בצילום איבריהן האינטימיים, שנועד כל כולו לצורך גירוי וסיפוק מיניים של המערער. כבר נקבע בפסיקה, כי קיומו של מניע כזה צובע את התנהגות המערער באור אחר ומקנה לה את אופייה המגונה. משמע, כאשר מבוצע המעשה מתוך כוונה מינית, ייטה בית המשפט לסווג את ההתנהגות כ"מעשה מגונה" (ראו </w:t>
      </w:r>
      <w:hyperlink r:id="rId35" w:history="1">
        <w:r w:rsidR="00383730" w:rsidRPr="00383730">
          <w:rPr>
            <w:rFonts w:ascii="Times New Roman" w:hAnsi="Times New Roman"/>
            <w:color w:val="0000FF"/>
            <w:u w:val="single"/>
            <w:rtl/>
          </w:rPr>
          <w:t>עש"ם 6737/02 מדינת ישראל נ' זקן, פ"ד נז</w:t>
        </w:r>
      </w:hyperlink>
      <w:r w:rsidRPr="00692A86">
        <w:rPr>
          <w:rFonts w:ascii="Times New Roman" w:hAnsi="Times New Roman"/>
          <w:rtl/>
        </w:rPr>
        <w:t>(2) 312, (2003)). בנסיבות אלה, יש לומר, כי אף מתקיימים בעניינו של המערער המאפיינים הנלווים</w:t>
      </w:r>
      <w:r>
        <w:rPr>
          <w:rFonts w:ascii="Times New Roman" w:hAnsi="Times New Roman"/>
          <w:rtl/>
        </w:rPr>
        <w:t xml:space="preserve"> של המבחן הנורמטיבי." </w:t>
      </w:r>
    </w:p>
    <w:p w14:paraId="4A8D16A8" w14:textId="77777777" w:rsidR="00953F88" w:rsidRDefault="00953F88" w:rsidP="00375B76">
      <w:pPr>
        <w:spacing w:line="360" w:lineRule="auto"/>
        <w:jc w:val="both"/>
        <w:rPr>
          <w:rFonts w:ascii="Arial" w:hAnsi="Arial" w:cs="FrankRuehl"/>
          <w:sz w:val="28"/>
          <w:szCs w:val="28"/>
          <w:rtl/>
        </w:rPr>
      </w:pPr>
    </w:p>
    <w:p w14:paraId="21AB02B3" w14:textId="77777777" w:rsidR="00953F88" w:rsidRDefault="00953F88" w:rsidP="00375B76">
      <w:pPr>
        <w:spacing w:line="360" w:lineRule="auto"/>
        <w:jc w:val="both"/>
        <w:rPr>
          <w:rFonts w:ascii="Arial" w:hAnsi="Arial" w:cs="FrankRuehl"/>
          <w:sz w:val="28"/>
          <w:szCs w:val="28"/>
          <w:rtl/>
        </w:rPr>
      </w:pPr>
      <w:r>
        <w:rPr>
          <w:rFonts w:ascii="Arial" w:hAnsi="Arial" w:cs="FrankRuehl"/>
          <w:sz w:val="28"/>
          <w:szCs w:val="28"/>
          <w:rtl/>
        </w:rPr>
        <w:t>בענייננו אמנם לא נטען שהנאשם השתמש בתמונות שצילם לצורך אוננות, אולם הודאתו בכך שמעשיו בוצעו "לשם גירוי, סיפוק, או ביזוי מיניים", מספיקים לצורך הוכחת מטרת הצילום.</w:t>
      </w:r>
    </w:p>
    <w:p w14:paraId="3893546F" w14:textId="77777777" w:rsidR="00953F88" w:rsidRDefault="00953F88" w:rsidP="00375B76">
      <w:pPr>
        <w:spacing w:line="360" w:lineRule="auto"/>
        <w:jc w:val="both"/>
        <w:rPr>
          <w:rFonts w:ascii="Arial" w:hAnsi="Arial" w:cs="FrankRuehl"/>
          <w:sz w:val="28"/>
          <w:szCs w:val="28"/>
          <w:rtl/>
        </w:rPr>
      </w:pPr>
    </w:p>
    <w:p w14:paraId="071B0423" w14:textId="77777777" w:rsidR="00953F88" w:rsidRDefault="00953F88" w:rsidP="00CB73D5">
      <w:pPr>
        <w:spacing w:line="360" w:lineRule="auto"/>
        <w:jc w:val="both"/>
        <w:rPr>
          <w:rFonts w:ascii="Arial" w:hAnsi="Arial" w:cs="FrankRuehl"/>
          <w:sz w:val="28"/>
          <w:szCs w:val="28"/>
          <w:rtl/>
        </w:rPr>
      </w:pPr>
      <w:r>
        <w:rPr>
          <w:rFonts w:ascii="Arial" w:hAnsi="Arial" w:cs="FrankRuehl"/>
          <w:sz w:val="28"/>
          <w:szCs w:val="28"/>
          <w:rtl/>
        </w:rPr>
        <w:t>12.</w:t>
      </w:r>
      <w:r>
        <w:rPr>
          <w:rFonts w:ascii="Arial" w:hAnsi="Arial" w:cs="FrankRuehl"/>
          <w:sz w:val="28"/>
          <w:szCs w:val="28"/>
          <w:rtl/>
        </w:rPr>
        <w:tab/>
        <w:t xml:space="preserve">נוכח כל האמור, אני מרשיע את הנאשם בריבוי עבירות של מעשים מגונים, לפי </w:t>
      </w:r>
      <w:hyperlink r:id="rId36" w:history="1">
        <w:r w:rsidR="002C0E92" w:rsidRPr="002C0E92">
          <w:rPr>
            <w:rStyle w:val="Hyperlink"/>
            <w:rFonts w:ascii="Arial" w:hAnsi="Arial" w:cs="FrankRuehl"/>
            <w:sz w:val="28"/>
            <w:szCs w:val="28"/>
            <w:rtl/>
          </w:rPr>
          <w:t>סעיף 348(ג)</w:t>
        </w:r>
      </w:hyperlink>
      <w:r>
        <w:rPr>
          <w:rFonts w:ascii="Arial" w:hAnsi="Arial" w:cs="FrankRuehl"/>
          <w:sz w:val="28"/>
          <w:szCs w:val="28"/>
          <w:rtl/>
        </w:rPr>
        <w:t xml:space="preserve"> ל</w:t>
      </w:r>
      <w:hyperlink r:id="rId37" w:history="1">
        <w:r w:rsidR="00383730" w:rsidRPr="00383730">
          <w:rPr>
            <w:rFonts w:ascii="Arial" w:hAnsi="Arial" w:cs="FrankRuehl"/>
            <w:color w:val="0000FF"/>
            <w:sz w:val="28"/>
            <w:szCs w:val="28"/>
            <w:u w:val="single"/>
            <w:rtl/>
          </w:rPr>
          <w:t>חוק העונשין</w:t>
        </w:r>
      </w:hyperlink>
      <w:r>
        <w:rPr>
          <w:rFonts w:ascii="Arial" w:hAnsi="Arial" w:cs="FrankRuehl"/>
          <w:sz w:val="28"/>
          <w:szCs w:val="28"/>
          <w:rtl/>
        </w:rPr>
        <w:t xml:space="preserve"> (ריבוי עבירות). מאחר שכתב האישום המתוקן לא כלל התייחסות לעבירת הפגיעה בפרטיות, אני נמנע מהרשעת הנאשם בעבירה זו.</w:t>
      </w:r>
    </w:p>
    <w:p w14:paraId="327A7614" w14:textId="77777777" w:rsidR="00953F88" w:rsidRDefault="00953F88" w:rsidP="00CB73D5">
      <w:pPr>
        <w:spacing w:line="360" w:lineRule="auto"/>
        <w:jc w:val="both"/>
        <w:rPr>
          <w:rFonts w:ascii="Arial" w:hAnsi="Arial" w:cs="FrankRuehl"/>
          <w:sz w:val="28"/>
          <w:szCs w:val="28"/>
          <w:rtl/>
        </w:rPr>
      </w:pPr>
    </w:p>
    <w:p w14:paraId="1F109C0F" w14:textId="77777777" w:rsidR="00953F88" w:rsidRDefault="00953F88" w:rsidP="003D755F">
      <w:pPr>
        <w:spacing w:line="360" w:lineRule="auto"/>
        <w:jc w:val="both"/>
        <w:rPr>
          <w:rFonts w:ascii="Arial" w:hAnsi="Arial" w:cs="FrankRuehl"/>
          <w:sz w:val="28"/>
          <w:szCs w:val="28"/>
          <w:rtl/>
        </w:rPr>
      </w:pPr>
      <w:r>
        <w:rPr>
          <w:rFonts w:ascii="Arial" w:hAnsi="Arial" w:cs="FrankRuehl"/>
          <w:sz w:val="28"/>
          <w:szCs w:val="28"/>
          <w:rtl/>
        </w:rPr>
        <w:t>13.</w:t>
      </w:r>
      <w:r>
        <w:rPr>
          <w:rFonts w:ascii="Arial" w:hAnsi="Arial" w:cs="FrankRuehl"/>
          <w:sz w:val="28"/>
          <w:szCs w:val="28"/>
          <w:rtl/>
        </w:rPr>
        <w:tab/>
        <w:t>הכרעת דין זו מותרת בפרסום.</w:t>
      </w:r>
    </w:p>
    <w:p w14:paraId="5B3FA72A" w14:textId="77777777" w:rsidR="00953F88" w:rsidRDefault="00953F88" w:rsidP="00817453">
      <w:pPr>
        <w:spacing w:line="360" w:lineRule="auto"/>
        <w:jc w:val="both"/>
        <w:rPr>
          <w:rFonts w:ascii="Arial" w:hAnsi="Arial" w:cs="FrankRuehl"/>
          <w:sz w:val="28"/>
          <w:szCs w:val="28"/>
          <w:rtl/>
        </w:rPr>
      </w:pPr>
    </w:p>
    <w:p w14:paraId="33FCED8B" w14:textId="77777777" w:rsidR="00953F88" w:rsidRDefault="00953F88" w:rsidP="00817453">
      <w:pPr>
        <w:spacing w:line="360" w:lineRule="auto"/>
        <w:jc w:val="both"/>
        <w:rPr>
          <w:rFonts w:ascii="Arial" w:hAnsi="Arial" w:cs="FrankRuehl"/>
          <w:sz w:val="28"/>
          <w:szCs w:val="28"/>
          <w:rtl/>
        </w:rPr>
      </w:pPr>
    </w:p>
    <w:p w14:paraId="0931CDEF" w14:textId="77777777" w:rsidR="00953F88" w:rsidRPr="00B949CB" w:rsidRDefault="00383730">
      <w:pPr>
        <w:rPr>
          <w:rFonts w:ascii="Arial" w:hAnsi="Arial"/>
          <w:rtl/>
        </w:rPr>
      </w:pPr>
      <w:bookmarkStart w:id="9" w:name="Nitan"/>
      <w:r w:rsidRPr="00383730">
        <w:rPr>
          <w:rFonts w:ascii="Arial" w:hAnsi="Arial"/>
          <w:color w:val="FFFFFF"/>
          <w:sz w:val="2"/>
          <w:szCs w:val="2"/>
          <w:rtl/>
        </w:rPr>
        <w:t>5129371</w:t>
      </w:r>
      <w:r>
        <w:rPr>
          <w:rFonts w:ascii="Arial" w:hAnsi="Arial"/>
          <w:rtl/>
        </w:rPr>
        <w:t xml:space="preserve">ניתנה היום, ט' חשוון תש"פ, 07 נובמבר 2019, במעמד הצדדים </w:t>
      </w:r>
      <w:bookmarkEnd w:id="9"/>
    </w:p>
    <w:p w14:paraId="56B5F488" w14:textId="77777777" w:rsidR="00953F88" w:rsidRPr="00383730" w:rsidRDefault="00383730" w:rsidP="00AE60C8">
      <w:pPr>
        <w:tabs>
          <w:tab w:val="left" w:pos="1625"/>
        </w:tabs>
        <w:jc w:val="center"/>
        <w:rPr>
          <w:color w:val="FFFFFF"/>
          <w:sz w:val="2"/>
          <w:szCs w:val="2"/>
          <w:rtl/>
        </w:rPr>
      </w:pPr>
      <w:r w:rsidRPr="00383730">
        <w:rPr>
          <w:color w:val="FFFFFF"/>
          <w:sz w:val="2"/>
          <w:szCs w:val="2"/>
          <w:rtl/>
        </w:rPr>
        <w:t>54678313</w:t>
      </w:r>
      <w:r w:rsidR="00953F88" w:rsidRPr="00383730">
        <w:rPr>
          <w:color w:val="FFFFFF"/>
          <w:sz w:val="2"/>
          <w:szCs w:val="2"/>
          <w:rtl/>
        </w:rPr>
        <w:t xml:space="preserve">                                </w:t>
      </w:r>
    </w:p>
    <w:p w14:paraId="1D72F3C7" w14:textId="77777777" w:rsidR="00953F88" w:rsidRDefault="00953F88" w:rsidP="00AE60C8">
      <w:pPr>
        <w:tabs>
          <w:tab w:val="left" w:pos="1625"/>
        </w:tabs>
        <w:jc w:val="center"/>
      </w:pPr>
      <w:r>
        <w:rPr>
          <w:rtl/>
        </w:rPr>
        <w:t xml:space="preserve">   </w:t>
      </w:r>
    </w:p>
    <w:p w14:paraId="5DFEE21F" w14:textId="77777777" w:rsidR="00953F88" w:rsidRDefault="00953F88" w:rsidP="00383730">
      <w:pPr>
        <w:tabs>
          <w:tab w:val="left" w:pos="2553"/>
        </w:tabs>
      </w:pPr>
      <w:r>
        <w:rPr>
          <w:rtl/>
        </w:rPr>
        <w:t xml:space="preserve">                                                                </w:t>
      </w:r>
    </w:p>
    <w:p w14:paraId="1635AE62" w14:textId="77777777" w:rsidR="00953F88" w:rsidRDefault="00953F88" w:rsidP="00F718AF">
      <w:pPr>
        <w:tabs>
          <w:tab w:val="left" w:pos="2553"/>
        </w:tabs>
        <w:rPr>
          <w:rFonts w:ascii="Arial" w:hAnsi="Arial"/>
        </w:rPr>
      </w:pPr>
    </w:p>
    <w:p w14:paraId="246FA764" w14:textId="77777777" w:rsidR="00953F88" w:rsidRPr="00383730" w:rsidRDefault="00953F88" w:rsidP="00383730">
      <w:pPr>
        <w:keepNext/>
        <w:tabs>
          <w:tab w:val="left" w:pos="1625"/>
        </w:tabs>
        <w:rPr>
          <w:rFonts w:ascii="David" w:hAnsi="David"/>
          <w:color w:val="000000"/>
          <w:sz w:val="22"/>
          <w:szCs w:val="22"/>
          <w:rtl/>
        </w:rPr>
      </w:pPr>
    </w:p>
    <w:p w14:paraId="6A756D3C" w14:textId="77777777" w:rsidR="00383730" w:rsidRPr="00383730" w:rsidRDefault="00383730" w:rsidP="00383730">
      <w:pPr>
        <w:keepNext/>
        <w:tabs>
          <w:tab w:val="left" w:pos="1625"/>
        </w:tabs>
        <w:rPr>
          <w:rFonts w:ascii="David" w:hAnsi="David"/>
          <w:color w:val="000000"/>
          <w:sz w:val="22"/>
          <w:szCs w:val="22"/>
          <w:rtl/>
        </w:rPr>
      </w:pPr>
      <w:r w:rsidRPr="00383730">
        <w:rPr>
          <w:rFonts w:ascii="David" w:hAnsi="David" w:hint="eastAsia"/>
          <w:color w:val="000000"/>
          <w:sz w:val="22"/>
          <w:szCs w:val="22"/>
          <w:rtl/>
        </w:rPr>
        <w:t>עמית</w:t>
      </w:r>
      <w:r w:rsidRPr="00383730">
        <w:rPr>
          <w:rFonts w:ascii="David" w:hAnsi="David"/>
          <w:color w:val="000000"/>
          <w:sz w:val="22"/>
          <w:szCs w:val="22"/>
          <w:rtl/>
        </w:rPr>
        <w:t xml:space="preserve"> </w:t>
      </w:r>
      <w:r w:rsidRPr="00383730">
        <w:rPr>
          <w:rFonts w:ascii="David" w:hAnsi="David" w:hint="eastAsia"/>
          <w:color w:val="000000"/>
          <w:sz w:val="22"/>
          <w:szCs w:val="22"/>
          <w:rtl/>
        </w:rPr>
        <w:t>מיכלס</w:t>
      </w:r>
      <w:r w:rsidRPr="00383730">
        <w:rPr>
          <w:rFonts w:ascii="David" w:hAnsi="David"/>
          <w:color w:val="000000"/>
          <w:sz w:val="22"/>
          <w:szCs w:val="22"/>
          <w:rtl/>
        </w:rPr>
        <w:t xml:space="preserve"> 54678313</w:t>
      </w:r>
    </w:p>
    <w:p w14:paraId="35EC82B2" w14:textId="77777777" w:rsidR="00383730" w:rsidRDefault="00383730" w:rsidP="00383730">
      <w:pPr>
        <w:tabs>
          <w:tab w:val="left" w:pos="1625"/>
        </w:tabs>
        <w:rPr>
          <w:rtl/>
        </w:rPr>
      </w:pPr>
      <w:r w:rsidRPr="00383730">
        <w:rPr>
          <w:rFonts w:hint="eastAsia"/>
          <w:color w:val="000000"/>
          <w:rtl/>
        </w:rPr>
        <w:t>נוסח</w:t>
      </w:r>
      <w:r w:rsidRPr="00383730">
        <w:rPr>
          <w:color w:val="000000"/>
          <w:rtl/>
        </w:rPr>
        <w:t xml:space="preserve"> </w:t>
      </w:r>
      <w:r w:rsidRPr="00383730">
        <w:rPr>
          <w:rFonts w:hint="eastAsia"/>
          <w:color w:val="000000"/>
          <w:rtl/>
        </w:rPr>
        <w:t>מסמך</w:t>
      </w:r>
      <w:r w:rsidRPr="00383730">
        <w:rPr>
          <w:color w:val="000000"/>
          <w:rtl/>
        </w:rPr>
        <w:t xml:space="preserve"> </w:t>
      </w:r>
      <w:r w:rsidRPr="00383730">
        <w:rPr>
          <w:rFonts w:hint="eastAsia"/>
          <w:color w:val="000000"/>
          <w:rtl/>
        </w:rPr>
        <w:t>זה</w:t>
      </w:r>
      <w:r w:rsidRPr="00383730">
        <w:rPr>
          <w:color w:val="000000"/>
          <w:rtl/>
        </w:rPr>
        <w:t xml:space="preserve"> </w:t>
      </w:r>
      <w:r w:rsidRPr="00383730">
        <w:rPr>
          <w:rFonts w:hint="eastAsia"/>
          <w:color w:val="000000"/>
          <w:rtl/>
        </w:rPr>
        <w:t>כפוף</w:t>
      </w:r>
      <w:r w:rsidRPr="00383730">
        <w:rPr>
          <w:color w:val="000000"/>
          <w:rtl/>
        </w:rPr>
        <w:t xml:space="preserve"> </w:t>
      </w:r>
      <w:r w:rsidRPr="00383730">
        <w:rPr>
          <w:rFonts w:hint="eastAsia"/>
          <w:color w:val="000000"/>
          <w:rtl/>
        </w:rPr>
        <w:t>לשינויי</w:t>
      </w:r>
      <w:r w:rsidRPr="00383730">
        <w:rPr>
          <w:color w:val="000000"/>
          <w:rtl/>
        </w:rPr>
        <w:t xml:space="preserve"> </w:t>
      </w:r>
      <w:r w:rsidRPr="00383730">
        <w:rPr>
          <w:rFonts w:hint="eastAsia"/>
          <w:color w:val="000000"/>
          <w:rtl/>
        </w:rPr>
        <w:t>ניסוח</w:t>
      </w:r>
      <w:r w:rsidRPr="00383730">
        <w:rPr>
          <w:color w:val="000000"/>
          <w:rtl/>
        </w:rPr>
        <w:t xml:space="preserve"> </w:t>
      </w:r>
      <w:r w:rsidRPr="00383730">
        <w:rPr>
          <w:rFonts w:hint="eastAsia"/>
          <w:color w:val="000000"/>
          <w:rtl/>
        </w:rPr>
        <w:t>ועריכה</w:t>
      </w:r>
    </w:p>
    <w:p w14:paraId="4D5EAFB8" w14:textId="77777777" w:rsidR="00383730" w:rsidRDefault="00383730" w:rsidP="00383730">
      <w:pPr>
        <w:tabs>
          <w:tab w:val="left" w:pos="1625"/>
        </w:tabs>
        <w:rPr>
          <w:rtl/>
        </w:rPr>
      </w:pPr>
    </w:p>
    <w:p w14:paraId="44880381" w14:textId="77777777" w:rsidR="00383730" w:rsidRDefault="00383730" w:rsidP="00383730">
      <w:pPr>
        <w:tabs>
          <w:tab w:val="left" w:pos="1625"/>
        </w:tabs>
        <w:jc w:val="center"/>
        <w:rPr>
          <w:color w:val="0000FF"/>
          <w:u w:val="single"/>
          <w:rtl/>
        </w:rPr>
      </w:pPr>
      <w:hyperlink r:id="rId38"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30FB47A7" w14:textId="77777777" w:rsidR="00383730" w:rsidRPr="00383730" w:rsidRDefault="00383730" w:rsidP="00383730">
      <w:pPr>
        <w:tabs>
          <w:tab w:val="left" w:pos="1625"/>
        </w:tabs>
        <w:jc w:val="center"/>
        <w:rPr>
          <w:color w:val="0000FF"/>
          <w:u w:val="single"/>
          <w:rtl/>
        </w:rPr>
      </w:pPr>
    </w:p>
    <w:sectPr w:rsidR="00383730" w:rsidRPr="00383730" w:rsidSect="00383730">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67837" w14:textId="77777777" w:rsidR="00314358" w:rsidRDefault="00314358">
      <w:r>
        <w:separator/>
      </w:r>
    </w:p>
  </w:endnote>
  <w:endnote w:type="continuationSeparator" w:id="0">
    <w:p w14:paraId="36A7012C" w14:textId="77777777" w:rsidR="00314358" w:rsidRDefault="0031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150AA" w14:textId="77777777" w:rsidR="00383730" w:rsidRDefault="00383730" w:rsidP="0038373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506C37" w14:textId="77777777" w:rsidR="00383730" w:rsidRPr="00383730" w:rsidRDefault="00383730" w:rsidP="00383730">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3466D" w14:textId="77777777" w:rsidR="00383730" w:rsidRDefault="00383730" w:rsidP="00383730">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923AF">
      <w:rPr>
        <w:rFonts w:ascii="FrankRuehl" w:hAnsi="FrankRuehl" w:cs="FrankRuehl"/>
        <w:noProof/>
        <w:rtl/>
      </w:rPr>
      <w:t>1</w:t>
    </w:r>
    <w:r>
      <w:rPr>
        <w:rFonts w:ascii="FrankRuehl" w:hAnsi="FrankRuehl" w:cs="FrankRuehl"/>
        <w:rtl/>
      </w:rPr>
      <w:fldChar w:fldCharType="end"/>
    </w:r>
  </w:p>
  <w:p w14:paraId="32F1BCE8" w14:textId="77777777" w:rsidR="00953F88" w:rsidRPr="00383730" w:rsidRDefault="00383730" w:rsidP="00383730">
    <w:pPr>
      <w:pStyle w:val="Footer"/>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04686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898B3" w14:textId="77777777" w:rsidR="00314358" w:rsidRDefault="00314358">
      <w:r>
        <w:separator/>
      </w:r>
    </w:p>
  </w:footnote>
  <w:footnote w:type="continuationSeparator" w:id="0">
    <w:p w14:paraId="52A65D63" w14:textId="77777777" w:rsidR="00314358" w:rsidRDefault="00314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101ED" w14:textId="77777777" w:rsidR="00383730" w:rsidRPr="00383730" w:rsidRDefault="00383730" w:rsidP="0038373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14738-01-18</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5C49E" w14:textId="77777777" w:rsidR="00953F88" w:rsidRPr="00383730" w:rsidRDefault="00383730" w:rsidP="0038373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14738-01-18</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133214961">
    <w:abstractNumId w:val="4"/>
  </w:num>
  <w:num w:numId="2" w16cid:durableId="1830294029">
    <w:abstractNumId w:val="1"/>
  </w:num>
  <w:num w:numId="3" w16cid:durableId="1012757048">
    <w:abstractNumId w:val="2"/>
  </w:num>
  <w:num w:numId="4" w16cid:durableId="574900804">
    <w:abstractNumId w:val="0"/>
  </w:num>
  <w:num w:numId="5" w16cid:durableId="1703701577">
    <w:abstractNumId w:val="3"/>
  </w:num>
  <w:num w:numId="6" w16cid:durableId="17896616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0F64"/>
    <w:rsid w:val="00007AC5"/>
    <w:rsid w:val="00032672"/>
    <w:rsid w:val="00070FFE"/>
    <w:rsid w:val="0008710B"/>
    <w:rsid w:val="00097BFF"/>
    <w:rsid w:val="000D676C"/>
    <w:rsid w:val="000E5776"/>
    <w:rsid w:val="0010755F"/>
    <w:rsid w:val="001138ED"/>
    <w:rsid w:val="001237CC"/>
    <w:rsid w:val="00153BD8"/>
    <w:rsid w:val="0016006A"/>
    <w:rsid w:val="00186BCB"/>
    <w:rsid w:val="001C1F30"/>
    <w:rsid w:val="001C2448"/>
    <w:rsid w:val="001C5829"/>
    <w:rsid w:val="001D0F1E"/>
    <w:rsid w:val="001E4C67"/>
    <w:rsid w:val="001E4E00"/>
    <w:rsid w:val="002039F6"/>
    <w:rsid w:val="00204FF9"/>
    <w:rsid w:val="0020644E"/>
    <w:rsid w:val="0022730B"/>
    <w:rsid w:val="00246ABA"/>
    <w:rsid w:val="00253FE6"/>
    <w:rsid w:val="00257B7B"/>
    <w:rsid w:val="00262ED3"/>
    <w:rsid w:val="002C0E92"/>
    <w:rsid w:val="002D68F5"/>
    <w:rsid w:val="002D73AD"/>
    <w:rsid w:val="00314358"/>
    <w:rsid w:val="003167BE"/>
    <w:rsid w:val="00331281"/>
    <w:rsid w:val="0033238A"/>
    <w:rsid w:val="00334A35"/>
    <w:rsid w:val="00336890"/>
    <w:rsid w:val="00337463"/>
    <w:rsid w:val="00346CFE"/>
    <w:rsid w:val="00353F5D"/>
    <w:rsid w:val="00375B76"/>
    <w:rsid w:val="00383730"/>
    <w:rsid w:val="003A027F"/>
    <w:rsid w:val="003C74D6"/>
    <w:rsid w:val="003D755F"/>
    <w:rsid w:val="003E6DB8"/>
    <w:rsid w:val="004334DF"/>
    <w:rsid w:val="00435823"/>
    <w:rsid w:val="00496C45"/>
    <w:rsid w:val="004A2121"/>
    <w:rsid w:val="004A43D2"/>
    <w:rsid w:val="004D249F"/>
    <w:rsid w:val="004E7E26"/>
    <w:rsid w:val="004F2B64"/>
    <w:rsid w:val="004F3E11"/>
    <w:rsid w:val="005133DE"/>
    <w:rsid w:val="00514D05"/>
    <w:rsid w:val="0051562C"/>
    <w:rsid w:val="0052227C"/>
    <w:rsid w:val="00537B10"/>
    <w:rsid w:val="0054447D"/>
    <w:rsid w:val="00581055"/>
    <w:rsid w:val="005B28FE"/>
    <w:rsid w:val="005C3A98"/>
    <w:rsid w:val="005D7E36"/>
    <w:rsid w:val="005E139A"/>
    <w:rsid w:val="00607F2C"/>
    <w:rsid w:val="00614851"/>
    <w:rsid w:val="00631DF9"/>
    <w:rsid w:val="0064500B"/>
    <w:rsid w:val="0064690D"/>
    <w:rsid w:val="006618A9"/>
    <w:rsid w:val="00683882"/>
    <w:rsid w:val="00684ABF"/>
    <w:rsid w:val="00692A86"/>
    <w:rsid w:val="006958A7"/>
    <w:rsid w:val="006A59BE"/>
    <w:rsid w:val="006C2FAD"/>
    <w:rsid w:val="006F0E62"/>
    <w:rsid w:val="0073212C"/>
    <w:rsid w:val="00736BDA"/>
    <w:rsid w:val="00740082"/>
    <w:rsid w:val="00752294"/>
    <w:rsid w:val="007620F1"/>
    <w:rsid w:val="00787544"/>
    <w:rsid w:val="007B34BE"/>
    <w:rsid w:val="007C40F8"/>
    <w:rsid w:val="007C7991"/>
    <w:rsid w:val="007D5C05"/>
    <w:rsid w:val="007E0093"/>
    <w:rsid w:val="007E5415"/>
    <w:rsid w:val="007F2E63"/>
    <w:rsid w:val="00810372"/>
    <w:rsid w:val="00811E2F"/>
    <w:rsid w:val="00817453"/>
    <w:rsid w:val="00834D17"/>
    <w:rsid w:val="00840688"/>
    <w:rsid w:val="00847148"/>
    <w:rsid w:val="00861D23"/>
    <w:rsid w:val="00870F64"/>
    <w:rsid w:val="00885219"/>
    <w:rsid w:val="0088723F"/>
    <w:rsid w:val="008B5EEC"/>
    <w:rsid w:val="008C4926"/>
    <w:rsid w:val="008D35B7"/>
    <w:rsid w:val="008D38B7"/>
    <w:rsid w:val="008E2EC2"/>
    <w:rsid w:val="008E3348"/>
    <w:rsid w:val="00906D9D"/>
    <w:rsid w:val="009074A1"/>
    <w:rsid w:val="009251A2"/>
    <w:rsid w:val="00927115"/>
    <w:rsid w:val="0093084B"/>
    <w:rsid w:val="00942F8C"/>
    <w:rsid w:val="00953F88"/>
    <w:rsid w:val="00954FEE"/>
    <w:rsid w:val="009649BD"/>
    <w:rsid w:val="009737F3"/>
    <w:rsid w:val="00986A93"/>
    <w:rsid w:val="009C77A4"/>
    <w:rsid w:val="00A14A52"/>
    <w:rsid w:val="00A27B94"/>
    <w:rsid w:val="00A30D41"/>
    <w:rsid w:val="00A311AE"/>
    <w:rsid w:val="00A4605D"/>
    <w:rsid w:val="00A54468"/>
    <w:rsid w:val="00A5454F"/>
    <w:rsid w:val="00A65192"/>
    <w:rsid w:val="00A843B8"/>
    <w:rsid w:val="00A9294E"/>
    <w:rsid w:val="00A93227"/>
    <w:rsid w:val="00A97842"/>
    <w:rsid w:val="00AC3DF6"/>
    <w:rsid w:val="00AE60C8"/>
    <w:rsid w:val="00B12BFD"/>
    <w:rsid w:val="00B20868"/>
    <w:rsid w:val="00B26587"/>
    <w:rsid w:val="00B53E22"/>
    <w:rsid w:val="00B60853"/>
    <w:rsid w:val="00B618AC"/>
    <w:rsid w:val="00B63C04"/>
    <w:rsid w:val="00B678E8"/>
    <w:rsid w:val="00B83758"/>
    <w:rsid w:val="00B853D9"/>
    <w:rsid w:val="00B949CB"/>
    <w:rsid w:val="00BB3B6E"/>
    <w:rsid w:val="00BB6A94"/>
    <w:rsid w:val="00BF0FEA"/>
    <w:rsid w:val="00C07D30"/>
    <w:rsid w:val="00C27B09"/>
    <w:rsid w:val="00C31F48"/>
    <w:rsid w:val="00C46C09"/>
    <w:rsid w:val="00C7387B"/>
    <w:rsid w:val="00C77BA1"/>
    <w:rsid w:val="00C80F0F"/>
    <w:rsid w:val="00C82EF3"/>
    <w:rsid w:val="00C836E5"/>
    <w:rsid w:val="00C842D3"/>
    <w:rsid w:val="00C85F99"/>
    <w:rsid w:val="00C863A8"/>
    <w:rsid w:val="00C86B22"/>
    <w:rsid w:val="00C923AF"/>
    <w:rsid w:val="00CB73D5"/>
    <w:rsid w:val="00CC3C76"/>
    <w:rsid w:val="00CC57CB"/>
    <w:rsid w:val="00CF1DD0"/>
    <w:rsid w:val="00CF7537"/>
    <w:rsid w:val="00D132E7"/>
    <w:rsid w:val="00D20D40"/>
    <w:rsid w:val="00D419E8"/>
    <w:rsid w:val="00D63841"/>
    <w:rsid w:val="00D719F4"/>
    <w:rsid w:val="00DC081D"/>
    <w:rsid w:val="00DC4CE3"/>
    <w:rsid w:val="00DC5CCC"/>
    <w:rsid w:val="00E00E2C"/>
    <w:rsid w:val="00E023A8"/>
    <w:rsid w:val="00E036DC"/>
    <w:rsid w:val="00E07F65"/>
    <w:rsid w:val="00E20138"/>
    <w:rsid w:val="00E45656"/>
    <w:rsid w:val="00E6142F"/>
    <w:rsid w:val="00E76471"/>
    <w:rsid w:val="00E92233"/>
    <w:rsid w:val="00E92BEC"/>
    <w:rsid w:val="00EA352A"/>
    <w:rsid w:val="00EA3CFF"/>
    <w:rsid w:val="00EB19E0"/>
    <w:rsid w:val="00EB6C3C"/>
    <w:rsid w:val="00ED4AA3"/>
    <w:rsid w:val="00EE1AFA"/>
    <w:rsid w:val="00EE66EB"/>
    <w:rsid w:val="00F15BD2"/>
    <w:rsid w:val="00F1755B"/>
    <w:rsid w:val="00F31165"/>
    <w:rsid w:val="00F4291D"/>
    <w:rsid w:val="00F4322B"/>
    <w:rsid w:val="00F43CAC"/>
    <w:rsid w:val="00F4577C"/>
    <w:rsid w:val="00F470DB"/>
    <w:rsid w:val="00F61193"/>
    <w:rsid w:val="00F6394D"/>
    <w:rsid w:val="00F718AF"/>
    <w:rsid w:val="00F834A2"/>
    <w:rsid w:val="00F96409"/>
    <w:rsid w:val="00FA3410"/>
    <w:rsid w:val="00FD3F1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D5244A"/>
  <w15:chartTrackingRefBased/>
  <w15:docId w15:val="{3A683D5F-E141-4118-A4DA-F39B4358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rFonts w:cs="Times New Roman"/>
      <w:sz w:val="16"/>
      <w:szCs w:val="16"/>
    </w:rPr>
  </w:style>
  <w:style w:type="paragraph" w:styleId="CommentText">
    <w:name w:val="annotation text"/>
    <w:basedOn w:val="Normal"/>
    <w:semiHidden/>
    <w:rPr>
      <w:rFonts w:cs="Times New Roman"/>
    </w:rPr>
  </w:style>
  <w:style w:type="paragraph" w:styleId="BalloonText">
    <w:name w:val="Balloon Text"/>
    <w:basedOn w:val="Normal"/>
    <w:semiHidden/>
    <w:rPr>
      <w:rFonts w:ascii="Tahoma" w:hAnsi="Tahoma" w:cs="Tahoma"/>
      <w:sz w:val="16"/>
      <w:szCs w:val="16"/>
    </w:rPr>
  </w:style>
  <w:style w:type="character" w:styleId="PlaceholderText">
    <w:name w:val="Placeholder Text"/>
    <w:semiHidden/>
    <w:rsid w:val="00AE60C8"/>
    <w:rPr>
      <w:rFonts w:cs="Times New Roman"/>
      <w:color w:val="808080"/>
    </w:rPr>
  </w:style>
  <w:style w:type="character" w:styleId="Hyperlink">
    <w:name w:val="Hyperlink"/>
    <w:rsid w:val="00B853D9"/>
    <w:rPr>
      <w:rFonts w:cs="Times New Roman"/>
      <w:color w:val="0000FF"/>
      <w:u w:val="single"/>
    </w:rPr>
  </w:style>
  <w:style w:type="character" w:customStyle="1" w:styleId="Ruller4">
    <w:name w:val="Ruller4 תו"/>
    <w:link w:val="Ruller40"/>
    <w:locked/>
    <w:rsid w:val="00B853D9"/>
    <w:rPr>
      <w:rFonts w:ascii="Arial TUR" w:hAnsi="Arial TUR" w:cs="FrankRuehl"/>
      <w:spacing w:val="10"/>
      <w:sz w:val="28"/>
      <w:szCs w:val="28"/>
    </w:rPr>
  </w:style>
  <w:style w:type="paragraph" w:customStyle="1" w:styleId="Ruller40">
    <w:name w:val="Ruller4"/>
    <w:basedOn w:val="Normal"/>
    <w:link w:val="Ruller4"/>
    <w:rsid w:val="00B853D9"/>
    <w:pPr>
      <w:tabs>
        <w:tab w:val="left" w:pos="800"/>
      </w:tabs>
      <w:overflowPunct w:val="0"/>
      <w:autoSpaceDE w:val="0"/>
      <w:autoSpaceDN w:val="0"/>
      <w:adjustRightInd w:val="0"/>
      <w:spacing w:line="360" w:lineRule="auto"/>
      <w:jc w:val="both"/>
    </w:pPr>
    <w:rPr>
      <w:rFonts w:ascii="Arial TUR" w:hAnsi="Arial TUR" w:cs="FrankRuehl"/>
      <w:spacing w:val="10"/>
      <w:sz w:val="28"/>
      <w:szCs w:val="28"/>
    </w:rPr>
  </w:style>
  <w:style w:type="character" w:customStyle="1" w:styleId="Ruller5">
    <w:name w:val="Ruller5 תו"/>
    <w:link w:val="Ruller50"/>
    <w:locked/>
    <w:rsid w:val="00B853D9"/>
    <w:rPr>
      <w:rFonts w:ascii="Arial TUR" w:hAnsi="Arial TUR" w:cs="FrankRuehl"/>
      <w:spacing w:val="10"/>
      <w:sz w:val="28"/>
      <w:szCs w:val="28"/>
    </w:rPr>
  </w:style>
  <w:style w:type="paragraph" w:customStyle="1" w:styleId="Ruller50">
    <w:name w:val="Ruller5"/>
    <w:basedOn w:val="Normal"/>
    <w:link w:val="Ruller5"/>
    <w:rsid w:val="00B853D9"/>
    <w:pPr>
      <w:overflowPunct w:val="0"/>
      <w:autoSpaceDE w:val="0"/>
      <w:autoSpaceDN w:val="0"/>
      <w:adjustRightInd w:val="0"/>
      <w:ind w:left="1642" w:right="1282"/>
      <w:jc w:val="both"/>
    </w:pPr>
    <w:rPr>
      <w:rFonts w:ascii="Arial TUR" w:hAnsi="Arial TUR" w:cs="FrankRuehl"/>
      <w:spacing w:val="10"/>
      <w:sz w:val="28"/>
      <w:szCs w:val="28"/>
    </w:rPr>
  </w:style>
  <w:style w:type="character" w:styleId="PageNumber">
    <w:name w:val="page number"/>
    <w:rsid w:val="00383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1631/3" TargetMode="External"/><Relationship Id="rId18" Type="http://schemas.openxmlformats.org/officeDocument/2006/relationships/hyperlink" Target="http://www.nevo.co.il/law/71631/2.1" TargetMode="External"/><Relationship Id="rId26" Type="http://schemas.openxmlformats.org/officeDocument/2006/relationships/hyperlink" Target="http://www.nevo.co.il/case/6080936" TargetMode="External"/><Relationship Id="rId39" Type="http://schemas.openxmlformats.org/officeDocument/2006/relationships/header" Target="header1.xml"/><Relationship Id="rId21" Type="http://schemas.openxmlformats.org/officeDocument/2006/relationships/hyperlink" Target="http://www.nevo.co.il/law/70301/348.f" TargetMode="External"/><Relationship Id="rId34" Type="http://schemas.openxmlformats.org/officeDocument/2006/relationships/hyperlink" Target="http://www.nevo.co.il/law/70301"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 TargetMode="External"/><Relationship Id="rId20" Type="http://schemas.openxmlformats.org/officeDocument/2006/relationships/hyperlink" Target="http://www.nevo.co.il/law/71631" TargetMode="External"/><Relationship Id="rId29" Type="http://schemas.openxmlformats.org/officeDocument/2006/relationships/hyperlink" Target="http://www.nevo.co.il/case/25179168" TargetMode="External"/><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1631" TargetMode="External"/><Relationship Id="rId24" Type="http://schemas.openxmlformats.org/officeDocument/2006/relationships/hyperlink" Target="http://www.nevo.co.il/case/6232497" TargetMode="External"/><Relationship Id="rId32" Type="http://schemas.openxmlformats.org/officeDocument/2006/relationships/hyperlink" Target="http://www.nevo.co.il/case/5573732"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nevo.co.il/law/70301/348.c" TargetMode="External"/><Relationship Id="rId23" Type="http://schemas.openxmlformats.org/officeDocument/2006/relationships/hyperlink" Target="http://www.nevo.co.il/case/17938180" TargetMode="External"/><Relationship Id="rId28" Type="http://schemas.openxmlformats.org/officeDocument/2006/relationships/hyperlink" Target="http://www.nevo.co.il/case/5676920" TargetMode="External"/><Relationship Id="rId36" Type="http://schemas.openxmlformats.org/officeDocument/2006/relationships/hyperlink" Target="http://www.nevo.co.il/law/70301/348.c" TargetMode="External"/><Relationship Id="rId10" Type="http://schemas.openxmlformats.org/officeDocument/2006/relationships/hyperlink" Target="http://www.nevo.co.il/law/70301/348.f" TargetMode="External"/><Relationship Id="rId19" Type="http://schemas.openxmlformats.org/officeDocument/2006/relationships/hyperlink" Target="http://www.nevo.co.il/law/71631/3" TargetMode="External"/><Relationship Id="rId31" Type="http://schemas.openxmlformats.org/officeDocument/2006/relationships/hyperlink" Target="http://www.nevo.co.il/case/10543616"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348.c" TargetMode="External"/><Relationship Id="rId14" Type="http://schemas.openxmlformats.org/officeDocument/2006/relationships/hyperlink" Target="http://www.nevo.co.il/law/71631/5"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3176601" TargetMode="External"/><Relationship Id="rId35" Type="http://schemas.openxmlformats.org/officeDocument/2006/relationships/hyperlink" Target="http://www.nevo.co.il/case/6080936" TargetMode="External"/><Relationship Id="rId43" Type="http://schemas.openxmlformats.org/officeDocument/2006/relationships/fontTable" Target="fontTable.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1631/2.1" TargetMode="External"/><Relationship Id="rId17" Type="http://schemas.openxmlformats.org/officeDocument/2006/relationships/hyperlink" Target="http://www.nevo.co.il/law/71631/5" TargetMode="External"/><Relationship Id="rId25" Type="http://schemas.openxmlformats.org/officeDocument/2006/relationships/hyperlink" Target="http://www.nevo.co.il/case/6249234" TargetMode="External"/><Relationship Id="rId33" Type="http://schemas.openxmlformats.org/officeDocument/2006/relationships/hyperlink" Target="http://www.nevo.co.il/case/5573725"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13225</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5177438</vt:i4>
      </vt:variant>
      <vt:variant>
        <vt:i4>84</vt:i4>
      </vt:variant>
      <vt:variant>
        <vt:i4>0</vt:i4>
      </vt:variant>
      <vt:variant>
        <vt:i4>5</vt:i4>
      </vt:variant>
      <vt:variant>
        <vt:lpwstr>http://www.nevo.co.il/law/70301/348.c</vt:lpwstr>
      </vt:variant>
      <vt:variant>
        <vt:lpwstr/>
      </vt:variant>
      <vt:variant>
        <vt:i4>3211383</vt:i4>
      </vt:variant>
      <vt:variant>
        <vt:i4>81</vt:i4>
      </vt:variant>
      <vt:variant>
        <vt:i4>0</vt:i4>
      </vt:variant>
      <vt:variant>
        <vt:i4>5</vt:i4>
      </vt:variant>
      <vt:variant>
        <vt:lpwstr>http://www.nevo.co.il/case/6080936</vt:lpwstr>
      </vt:variant>
      <vt:variant>
        <vt:lpwstr/>
      </vt:variant>
      <vt:variant>
        <vt:i4>7995492</vt:i4>
      </vt:variant>
      <vt:variant>
        <vt:i4>78</vt:i4>
      </vt:variant>
      <vt:variant>
        <vt:i4>0</vt:i4>
      </vt:variant>
      <vt:variant>
        <vt:i4>5</vt:i4>
      </vt:variant>
      <vt:variant>
        <vt:lpwstr>http://www.nevo.co.il/law/70301</vt:lpwstr>
      </vt:variant>
      <vt:variant>
        <vt:lpwstr/>
      </vt:variant>
      <vt:variant>
        <vt:i4>3145840</vt:i4>
      </vt:variant>
      <vt:variant>
        <vt:i4>75</vt:i4>
      </vt:variant>
      <vt:variant>
        <vt:i4>0</vt:i4>
      </vt:variant>
      <vt:variant>
        <vt:i4>5</vt:i4>
      </vt:variant>
      <vt:variant>
        <vt:lpwstr>http://www.nevo.co.il/case/5573725</vt:lpwstr>
      </vt:variant>
      <vt:variant>
        <vt:lpwstr/>
      </vt:variant>
      <vt:variant>
        <vt:i4>3604593</vt:i4>
      </vt:variant>
      <vt:variant>
        <vt:i4>72</vt:i4>
      </vt:variant>
      <vt:variant>
        <vt:i4>0</vt:i4>
      </vt:variant>
      <vt:variant>
        <vt:i4>5</vt:i4>
      </vt:variant>
      <vt:variant>
        <vt:lpwstr>http://www.nevo.co.il/case/5573732</vt:lpwstr>
      </vt:variant>
      <vt:variant>
        <vt:lpwstr/>
      </vt:variant>
      <vt:variant>
        <vt:i4>3539062</vt:i4>
      </vt:variant>
      <vt:variant>
        <vt:i4>69</vt:i4>
      </vt:variant>
      <vt:variant>
        <vt:i4>0</vt:i4>
      </vt:variant>
      <vt:variant>
        <vt:i4>5</vt:i4>
      </vt:variant>
      <vt:variant>
        <vt:lpwstr>http://www.nevo.co.il/case/10543616</vt:lpwstr>
      </vt:variant>
      <vt:variant>
        <vt:lpwstr/>
      </vt:variant>
      <vt:variant>
        <vt:i4>3473526</vt:i4>
      </vt:variant>
      <vt:variant>
        <vt:i4>66</vt:i4>
      </vt:variant>
      <vt:variant>
        <vt:i4>0</vt:i4>
      </vt:variant>
      <vt:variant>
        <vt:i4>5</vt:i4>
      </vt:variant>
      <vt:variant>
        <vt:lpwstr>http://www.nevo.co.il/case/23176601</vt:lpwstr>
      </vt:variant>
      <vt:variant>
        <vt:lpwstr/>
      </vt:variant>
      <vt:variant>
        <vt:i4>3932279</vt:i4>
      </vt:variant>
      <vt:variant>
        <vt:i4>63</vt:i4>
      </vt:variant>
      <vt:variant>
        <vt:i4>0</vt:i4>
      </vt:variant>
      <vt:variant>
        <vt:i4>5</vt:i4>
      </vt:variant>
      <vt:variant>
        <vt:lpwstr>http://www.nevo.co.il/case/25179168</vt:lpwstr>
      </vt:variant>
      <vt:variant>
        <vt:lpwstr/>
      </vt:variant>
      <vt:variant>
        <vt:i4>3866742</vt:i4>
      </vt:variant>
      <vt:variant>
        <vt:i4>60</vt:i4>
      </vt:variant>
      <vt:variant>
        <vt:i4>0</vt:i4>
      </vt:variant>
      <vt:variant>
        <vt:i4>5</vt:i4>
      </vt:variant>
      <vt:variant>
        <vt:lpwstr>http://www.nevo.co.il/case/5676920</vt:lpwstr>
      </vt:variant>
      <vt:variant>
        <vt:lpwstr/>
      </vt:variant>
      <vt:variant>
        <vt:i4>7995492</vt:i4>
      </vt:variant>
      <vt:variant>
        <vt:i4>57</vt:i4>
      </vt:variant>
      <vt:variant>
        <vt:i4>0</vt:i4>
      </vt:variant>
      <vt:variant>
        <vt:i4>5</vt:i4>
      </vt:variant>
      <vt:variant>
        <vt:lpwstr>http://www.nevo.co.il/law/70301</vt:lpwstr>
      </vt:variant>
      <vt:variant>
        <vt:lpwstr/>
      </vt:variant>
      <vt:variant>
        <vt:i4>3211383</vt:i4>
      </vt:variant>
      <vt:variant>
        <vt:i4>54</vt:i4>
      </vt:variant>
      <vt:variant>
        <vt:i4>0</vt:i4>
      </vt:variant>
      <vt:variant>
        <vt:i4>5</vt:i4>
      </vt:variant>
      <vt:variant>
        <vt:lpwstr>http://www.nevo.co.il/case/6080936</vt:lpwstr>
      </vt:variant>
      <vt:variant>
        <vt:lpwstr/>
      </vt:variant>
      <vt:variant>
        <vt:i4>3407996</vt:i4>
      </vt:variant>
      <vt:variant>
        <vt:i4>51</vt:i4>
      </vt:variant>
      <vt:variant>
        <vt:i4>0</vt:i4>
      </vt:variant>
      <vt:variant>
        <vt:i4>5</vt:i4>
      </vt:variant>
      <vt:variant>
        <vt:lpwstr>http://www.nevo.co.il/case/6249234</vt:lpwstr>
      </vt:variant>
      <vt:variant>
        <vt:lpwstr/>
      </vt:variant>
      <vt:variant>
        <vt:i4>3539069</vt:i4>
      </vt:variant>
      <vt:variant>
        <vt:i4>48</vt:i4>
      </vt:variant>
      <vt:variant>
        <vt:i4>0</vt:i4>
      </vt:variant>
      <vt:variant>
        <vt:i4>5</vt:i4>
      </vt:variant>
      <vt:variant>
        <vt:lpwstr>http://www.nevo.co.il/case/6232497</vt:lpwstr>
      </vt:variant>
      <vt:variant>
        <vt:lpwstr/>
      </vt:variant>
      <vt:variant>
        <vt:i4>3670129</vt:i4>
      </vt:variant>
      <vt:variant>
        <vt:i4>45</vt:i4>
      </vt:variant>
      <vt:variant>
        <vt:i4>0</vt:i4>
      </vt:variant>
      <vt:variant>
        <vt:i4>5</vt:i4>
      </vt:variant>
      <vt:variant>
        <vt:lpwstr>http://www.nevo.co.il/case/17938180</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5177438</vt:i4>
      </vt:variant>
      <vt:variant>
        <vt:i4>39</vt:i4>
      </vt:variant>
      <vt:variant>
        <vt:i4>0</vt:i4>
      </vt:variant>
      <vt:variant>
        <vt:i4>5</vt:i4>
      </vt:variant>
      <vt:variant>
        <vt:lpwstr>http://www.nevo.co.il/law/70301/348.f</vt:lpwstr>
      </vt:variant>
      <vt:variant>
        <vt:lpwstr/>
      </vt:variant>
      <vt:variant>
        <vt:i4>7864417</vt:i4>
      </vt:variant>
      <vt:variant>
        <vt:i4>36</vt:i4>
      </vt:variant>
      <vt:variant>
        <vt:i4>0</vt:i4>
      </vt:variant>
      <vt:variant>
        <vt:i4>5</vt:i4>
      </vt:variant>
      <vt:variant>
        <vt:lpwstr>http://www.nevo.co.il/law/71631</vt:lpwstr>
      </vt:variant>
      <vt:variant>
        <vt:lpwstr/>
      </vt:variant>
      <vt:variant>
        <vt:i4>5701712</vt:i4>
      </vt:variant>
      <vt:variant>
        <vt:i4>33</vt:i4>
      </vt:variant>
      <vt:variant>
        <vt:i4>0</vt:i4>
      </vt:variant>
      <vt:variant>
        <vt:i4>5</vt:i4>
      </vt:variant>
      <vt:variant>
        <vt:lpwstr>http://www.nevo.co.il/law/71631/3</vt:lpwstr>
      </vt:variant>
      <vt:variant>
        <vt:lpwstr/>
      </vt:variant>
      <vt:variant>
        <vt:i4>7929954</vt:i4>
      </vt:variant>
      <vt:variant>
        <vt:i4>30</vt:i4>
      </vt:variant>
      <vt:variant>
        <vt:i4>0</vt:i4>
      </vt:variant>
      <vt:variant>
        <vt:i4>5</vt:i4>
      </vt:variant>
      <vt:variant>
        <vt:lpwstr>http://www.nevo.co.il/law/71631/2.1</vt:lpwstr>
      </vt:variant>
      <vt:variant>
        <vt:lpwstr/>
      </vt:variant>
      <vt:variant>
        <vt:i4>5701712</vt:i4>
      </vt:variant>
      <vt:variant>
        <vt:i4>27</vt:i4>
      </vt:variant>
      <vt:variant>
        <vt:i4>0</vt:i4>
      </vt:variant>
      <vt:variant>
        <vt:i4>5</vt:i4>
      </vt:variant>
      <vt:variant>
        <vt:lpwstr>http://www.nevo.co.il/law/71631/5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5701712</vt:i4>
      </vt:variant>
      <vt:variant>
        <vt:i4>18</vt:i4>
      </vt:variant>
      <vt:variant>
        <vt:i4>0</vt:i4>
      </vt:variant>
      <vt:variant>
        <vt:i4>5</vt:i4>
      </vt:variant>
      <vt:variant>
        <vt:lpwstr>http://www.nevo.co.il/law/71631/5</vt:lpwstr>
      </vt:variant>
      <vt:variant>
        <vt:lpwstr/>
      </vt:variant>
      <vt:variant>
        <vt:i4>5701712</vt:i4>
      </vt:variant>
      <vt:variant>
        <vt:i4>15</vt:i4>
      </vt:variant>
      <vt:variant>
        <vt:i4>0</vt:i4>
      </vt:variant>
      <vt:variant>
        <vt:i4>5</vt:i4>
      </vt:variant>
      <vt:variant>
        <vt:lpwstr>http://www.nevo.co.il/law/71631/3</vt:lpwstr>
      </vt:variant>
      <vt:variant>
        <vt:lpwstr/>
      </vt:variant>
      <vt:variant>
        <vt:i4>7929954</vt:i4>
      </vt:variant>
      <vt:variant>
        <vt:i4>12</vt:i4>
      </vt:variant>
      <vt:variant>
        <vt:i4>0</vt:i4>
      </vt:variant>
      <vt:variant>
        <vt:i4>5</vt:i4>
      </vt:variant>
      <vt:variant>
        <vt:lpwstr>http://www.nevo.co.il/law/71631/2.1</vt:lpwstr>
      </vt:variant>
      <vt:variant>
        <vt:lpwstr/>
      </vt:variant>
      <vt:variant>
        <vt:i4>7864417</vt:i4>
      </vt:variant>
      <vt:variant>
        <vt:i4>9</vt:i4>
      </vt:variant>
      <vt:variant>
        <vt:i4>0</vt:i4>
      </vt:variant>
      <vt:variant>
        <vt:i4>5</vt:i4>
      </vt:variant>
      <vt:variant>
        <vt:lpwstr>http://www.nevo.co.il/law/71631</vt:lpwstr>
      </vt:variant>
      <vt:variant>
        <vt:lpwstr/>
      </vt:variant>
      <vt:variant>
        <vt:i4>5177438</vt:i4>
      </vt:variant>
      <vt:variant>
        <vt:i4>6</vt:i4>
      </vt:variant>
      <vt:variant>
        <vt:i4>0</vt:i4>
      </vt:variant>
      <vt:variant>
        <vt:i4>5</vt:i4>
      </vt:variant>
      <vt:variant>
        <vt:lpwstr>http://www.nevo.co.il/law/70301/348.f</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2019-10-30T06:47:00Z</cp:lastPrinted>
  <dcterms:created xsi:type="dcterms:W3CDTF">2022-05-24T10:47:00Z</dcterms:created>
  <dcterms:modified xsi:type="dcterms:W3CDTF">2022-05-24T10:47:00Z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14738</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מ. ביטון הראל;טל פילברג קליין י. מורדוך;דימיטרי ברנשטיין</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20191107</vt:lpwstr>
  </property>
  <property fmtid="{D5CDD505-2E9C-101B-9397-08002B2CF9AE}" pid="14" name="TYPE_N_DATE">
    <vt:lpwstr>38020191107</vt:lpwstr>
  </property>
  <property fmtid="{D5CDD505-2E9C-101B-9397-08002B2CF9AE}" pid="15" name="CASESLISTTMP1">
    <vt:lpwstr>17938180;6232497;6249234;6080936:2;5676920;25179168;23176601;10543616;5573732;5573725</vt:lpwstr>
  </property>
  <property fmtid="{D5CDD505-2E9C-101B-9397-08002B2CF9AE}" pid="16" name="WORDNUMPAGES">
    <vt:lpwstr>8</vt:lpwstr>
  </property>
  <property fmtid="{D5CDD505-2E9C-101B-9397-08002B2CF9AE}" pid="17" name="TYPE_ABS_DATE">
    <vt:lpwstr>380120191107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70301/348.c:2;348.f</vt:lpwstr>
  </property>
  <property fmtid="{D5CDD505-2E9C-101B-9397-08002B2CF9AE}" pid="37" name="LAWLISTTMP2">
    <vt:lpwstr>71631/005;002.1;003</vt:lpwstr>
  </property>
  <property fmtid="{D5CDD505-2E9C-101B-9397-08002B2CF9AE}" pid="38" name="NOSE1ID">
    <vt:lpwstr>77</vt:lpwstr>
  </property>
  <property fmtid="{D5CDD505-2E9C-101B-9397-08002B2CF9AE}" pid="39" name="NOSE2ID">
    <vt:lpwstr>1443</vt:lpwstr>
  </property>
  <property fmtid="{D5CDD505-2E9C-101B-9397-08002B2CF9AE}" pid="40" name="NOSE3ID">
    <vt:lpwstr>8852</vt:lpwstr>
  </property>
  <property fmtid="{D5CDD505-2E9C-101B-9397-08002B2CF9AE}" pid="41" name="NOSE11">
    <vt:lpwstr>עונשין</vt:lpwstr>
  </property>
  <property fmtid="{D5CDD505-2E9C-101B-9397-08002B2CF9AE}" pid="42" name="NOSE21">
    <vt:lpwstr>עבירות</vt:lpwstr>
  </property>
  <property fmtid="{D5CDD505-2E9C-101B-9397-08002B2CF9AE}" pid="43" name="NOSE31">
    <vt:lpwstr>מעשה מגונה</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20191117</vt:lpwstr>
  </property>
  <property fmtid="{D5CDD505-2E9C-101B-9397-08002B2CF9AE}" pid="72" name="METAKZER">
    <vt:lpwstr>שירלי</vt:lpwstr>
  </property>
</Properties>
</file>