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D197" w14:textId="77777777" w:rsidR="00091F6C" w:rsidRDefault="00091F6C">
      <w:pPr>
        <w:bidi/>
        <w:spacing w:line="320" w:lineRule="exact"/>
        <w:rPr>
          <w:rFonts w:cs="David"/>
          <w:sz w:val="24"/>
          <w:szCs w:val="24"/>
          <w:rtl/>
        </w:rPr>
      </w:pPr>
      <w:r>
        <w:rPr>
          <w:rFonts w:cs="David"/>
          <w:bCs/>
          <w:sz w:val="24"/>
          <w:szCs w:val="24"/>
          <w:u w:val="single"/>
          <w:rtl/>
        </w:rPr>
        <w:t>בפני כב' השופטים</w:t>
      </w:r>
      <w:r>
        <w:rPr>
          <w:rFonts w:cs="David"/>
          <w:bCs/>
          <w:sz w:val="24"/>
          <w:szCs w:val="24"/>
          <w:rtl/>
        </w:rPr>
        <w:t>:</w:t>
      </w:r>
      <w:r>
        <w:rPr>
          <w:rFonts w:cs="David" w:hint="eastAsia"/>
          <w:bCs/>
          <w:color w:val="FFFFFF"/>
          <w:sz w:val="4"/>
          <w:szCs w:val="4"/>
          <w:rtl/>
        </w:rPr>
        <w:t>נ</w:t>
      </w:r>
      <w:r>
        <w:rPr>
          <w:rFonts w:cs="David"/>
          <w:bCs/>
          <w:sz w:val="24"/>
          <w:szCs w:val="24"/>
          <w:rtl/>
        </w:rPr>
        <w:t xml:space="preserve"> ח. פיזם [אב"ד), י. גריל - שופט, ש. וסרקרוג - שופטת </w:t>
      </w:r>
    </w:p>
    <w:p w14:paraId="781957F5" w14:textId="77777777" w:rsidR="00091F6C" w:rsidRDefault="00091F6C">
      <w:pPr>
        <w:tabs>
          <w:tab w:val="left" w:pos="7320"/>
        </w:tabs>
        <w:bidi/>
        <w:spacing w:line="320" w:lineRule="exact"/>
        <w:rPr>
          <w:rFonts w:cs="David"/>
          <w:sz w:val="24"/>
          <w:szCs w:val="24"/>
          <w:rtl/>
        </w:rPr>
      </w:pPr>
      <w:r>
        <w:rPr>
          <w:rFonts w:cs="David"/>
          <w:sz w:val="24"/>
          <w:szCs w:val="24"/>
          <w:rtl/>
        </w:rPr>
        <w:t xml:space="preserve"> </w:t>
      </w:r>
      <w:r>
        <w:rPr>
          <w:rFonts w:cs="David"/>
          <w:sz w:val="24"/>
          <w:szCs w:val="24"/>
          <w:rtl/>
        </w:rPr>
        <w:tab/>
      </w:r>
      <w:r>
        <w:rPr>
          <w:rFonts w:cs="David"/>
          <w:bCs/>
          <w:sz w:val="24"/>
          <w:szCs w:val="24"/>
          <w:u w:val="single"/>
          <w:rtl/>
        </w:rPr>
        <w:t xml:space="preserve">ת"פ </w:t>
      </w:r>
      <w:r>
        <w:rPr>
          <w:rFonts w:ascii="Rod" w:hAnsi="Rod" w:cs="David"/>
          <w:b/>
          <w:bCs/>
          <w:szCs w:val="24"/>
          <w:u w:val="single"/>
          <w:rtl/>
        </w:rPr>
        <w:t>96</w:t>
      </w:r>
      <w:r>
        <w:rPr>
          <w:rFonts w:cs="David"/>
          <w:bCs/>
          <w:sz w:val="24"/>
          <w:szCs w:val="24"/>
          <w:u w:val="single"/>
          <w:rtl/>
        </w:rPr>
        <w:t>/3</w:t>
      </w:r>
    </w:p>
    <w:p w14:paraId="7F50447E" w14:textId="77777777" w:rsidR="00091F6C" w:rsidRDefault="00091F6C">
      <w:pPr>
        <w:tabs>
          <w:tab w:val="left" w:pos="7320"/>
        </w:tabs>
        <w:bidi/>
        <w:spacing w:line="320" w:lineRule="exact"/>
        <w:rPr>
          <w:rFonts w:cs="David"/>
          <w:sz w:val="24"/>
          <w:szCs w:val="24"/>
          <w:rtl/>
        </w:rPr>
      </w:pPr>
    </w:p>
    <w:p w14:paraId="45608498" w14:textId="77777777" w:rsidR="00091F6C" w:rsidRDefault="00091F6C">
      <w:pPr>
        <w:tabs>
          <w:tab w:val="left" w:pos="2280"/>
          <w:tab w:val="left" w:pos="5280"/>
        </w:tabs>
        <w:bidi/>
        <w:spacing w:line="320" w:lineRule="exact"/>
        <w:rPr>
          <w:rFonts w:cs="David"/>
          <w:sz w:val="24"/>
          <w:szCs w:val="24"/>
          <w:rtl/>
        </w:rPr>
      </w:pPr>
      <w:r>
        <w:rPr>
          <w:rFonts w:cs="David"/>
          <w:bCs/>
          <w:sz w:val="24"/>
          <w:szCs w:val="24"/>
          <w:u w:val="single"/>
          <w:rtl/>
        </w:rPr>
        <w:t>שמות הצדדים:</w:t>
      </w:r>
      <w:r>
        <w:rPr>
          <w:rFonts w:cs="David" w:hint="eastAsia"/>
          <w:bCs/>
          <w:color w:val="FFFFFF"/>
          <w:sz w:val="4"/>
          <w:szCs w:val="4"/>
          <w:u w:val="single"/>
          <w:rtl/>
        </w:rPr>
        <w:t>ב</w:t>
      </w:r>
      <w:r>
        <w:rPr>
          <w:rFonts w:cs="David"/>
          <w:bCs/>
          <w:sz w:val="24"/>
          <w:szCs w:val="24"/>
          <w:rtl/>
        </w:rPr>
        <w:t xml:space="preserve"> </w:t>
      </w:r>
      <w:r>
        <w:rPr>
          <w:rFonts w:cs="David"/>
          <w:bCs/>
          <w:sz w:val="24"/>
          <w:szCs w:val="24"/>
          <w:rtl/>
        </w:rPr>
        <w:tab/>
        <w:t xml:space="preserve">מדינת ישראל </w:t>
      </w:r>
      <w:r>
        <w:rPr>
          <w:rFonts w:cs="David"/>
          <w:bCs/>
          <w:sz w:val="24"/>
          <w:szCs w:val="24"/>
          <w:rtl/>
        </w:rPr>
        <w:tab/>
        <w:t xml:space="preserve">- </w:t>
      </w:r>
      <w:r>
        <w:rPr>
          <w:rFonts w:cs="David"/>
          <w:bCs/>
          <w:sz w:val="24"/>
          <w:szCs w:val="24"/>
          <w:u w:val="single"/>
          <w:rtl/>
        </w:rPr>
        <w:t>המאשימה</w:t>
      </w:r>
    </w:p>
    <w:p w14:paraId="22CB8793" w14:textId="77777777" w:rsidR="00091F6C" w:rsidRDefault="00091F6C">
      <w:pPr>
        <w:tabs>
          <w:tab w:val="left" w:pos="2280"/>
          <w:tab w:val="left" w:pos="5280"/>
        </w:tabs>
        <w:bidi/>
        <w:spacing w:line="320" w:lineRule="exact"/>
        <w:rPr>
          <w:rFonts w:cs="David"/>
          <w:sz w:val="24"/>
          <w:szCs w:val="24"/>
          <w:rtl/>
        </w:rPr>
      </w:pPr>
      <w:r>
        <w:rPr>
          <w:rFonts w:cs="David"/>
          <w:bCs/>
          <w:sz w:val="24"/>
          <w:szCs w:val="24"/>
          <w:rtl/>
        </w:rPr>
        <w:t>- נגד -</w:t>
      </w:r>
    </w:p>
    <w:p w14:paraId="751CC966" w14:textId="77777777" w:rsidR="00091F6C" w:rsidRDefault="00091F6C">
      <w:pPr>
        <w:tabs>
          <w:tab w:val="left" w:pos="2280"/>
          <w:tab w:val="left" w:pos="5280"/>
        </w:tabs>
        <w:bidi/>
        <w:spacing w:line="320" w:lineRule="exact"/>
        <w:rPr>
          <w:rFonts w:cs="David"/>
          <w:sz w:val="24"/>
          <w:szCs w:val="24"/>
          <w:rtl/>
        </w:rPr>
      </w:pPr>
      <w:r>
        <w:rPr>
          <w:rFonts w:cs="David"/>
          <w:bCs/>
          <w:sz w:val="24"/>
          <w:szCs w:val="24"/>
          <w:rtl/>
        </w:rPr>
        <w:t xml:space="preserve"> </w:t>
      </w:r>
      <w:r>
        <w:rPr>
          <w:rFonts w:cs="David"/>
          <w:bCs/>
          <w:sz w:val="24"/>
          <w:szCs w:val="24"/>
          <w:rtl/>
        </w:rPr>
        <w:tab/>
        <w:t xml:space="preserve">פלוני </w:t>
      </w:r>
      <w:r>
        <w:rPr>
          <w:rFonts w:cs="David"/>
          <w:bCs/>
          <w:sz w:val="24"/>
          <w:szCs w:val="24"/>
          <w:rtl/>
        </w:rPr>
        <w:tab/>
        <w:t xml:space="preserve">- </w:t>
      </w:r>
      <w:r>
        <w:rPr>
          <w:rFonts w:cs="David"/>
          <w:bCs/>
          <w:sz w:val="24"/>
          <w:szCs w:val="24"/>
          <w:u w:val="single"/>
          <w:rtl/>
        </w:rPr>
        <w:t>הנאשם</w:t>
      </w:r>
    </w:p>
    <w:p w14:paraId="6C673454" w14:textId="77777777" w:rsidR="00091F6C" w:rsidRDefault="00091F6C">
      <w:pPr>
        <w:tabs>
          <w:tab w:val="left" w:pos="2280"/>
          <w:tab w:val="left" w:pos="5280"/>
        </w:tabs>
        <w:bidi/>
        <w:spacing w:line="320" w:lineRule="exact"/>
        <w:rPr>
          <w:rFonts w:cs="David"/>
          <w:sz w:val="24"/>
          <w:szCs w:val="24"/>
          <w:rtl/>
        </w:rPr>
      </w:pPr>
    </w:p>
    <w:p w14:paraId="4E4F7878" w14:textId="77777777" w:rsidR="00091F6C" w:rsidRPr="00091F6C" w:rsidRDefault="00091F6C" w:rsidP="00091F6C">
      <w:pPr>
        <w:tabs>
          <w:tab w:val="left" w:pos="2280"/>
          <w:tab w:val="left" w:pos="5280"/>
        </w:tabs>
        <w:bidi/>
        <w:spacing w:before="120" w:after="120" w:line="240" w:lineRule="exact"/>
        <w:ind w:left="283" w:hanging="283"/>
        <w:jc w:val="both"/>
        <w:rPr>
          <w:rFonts w:ascii="FrankRuehl" w:hAnsi="FrankRuehl" w:cs="FrankRuehl"/>
          <w:color w:val="0000FF"/>
          <w:sz w:val="24"/>
          <w:szCs w:val="24"/>
          <w:u w:val="single"/>
          <w:rtl/>
        </w:rPr>
      </w:pPr>
    </w:p>
    <w:p w14:paraId="59CD7A78" w14:textId="77777777" w:rsidR="00091F6C" w:rsidRPr="00091F6C" w:rsidRDefault="00091F6C" w:rsidP="00091F6C">
      <w:pPr>
        <w:tabs>
          <w:tab w:val="left" w:pos="2280"/>
          <w:tab w:val="left" w:pos="5280"/>
        </w:tabs>
        <w:bidi/>
        <w:spacing w:before="120" w:after="120" w:line="240" w:lineRule="exact"/>
        <w:ind w:left="283" w:hanging="283"/>
        <w:jc w:val="both"/>
        <w:rPr>
          <w:rFonts w:ascii="FrankRuehl" w:hAnsi="FrankRuehl" w:cs="FrankRuehl"/>
          <w:sz w:val="24"/>
          <w:szCs w:val="24"/>
          <w:rtl/>
        </w:rPr>
      </w:pPr>
      <w:bookmarkStart w:id="0" w:name="LawTable"/>
      <w:bookmarkEnd w:id="0"/>
      <w:r w:rsidRPr="00091F6C">
        <w:rPr>
          <w:rFonts w:ascii="FrankRuehl" w:hAnsi="FrankRuehl" w:cs="FrankRuehl" w:hint="eastAsia"/>
          <w:sz w:val="24"/>
          <w:szCs w:val="24"/>
          <w:rtl/>
        </w:rPr>
        <w:t>חקיקה</w:t>
      </w:r>
      <w:r w:rsidRPr="00091F6C">
        <w:rPr>
          <w:rFonts w:ascii="FrankRuehl" w:hAnsi="FrankRuehl" w:cs="FrankRuehl"/>
          <w:sz w:val="24"/>
          <w:szCs w:val="24"/>
          <w:rtl/>
        </w:rPr>
        <w:t xml:space="preserve"> </w:t>
      </w:r>
      <w:r w:rsidRPr="00091F6C">
        <w:rPr>
          <w:rFonts w:ascii="FrankRuehl" w:hAnsi="FrankRuehl" w:cs="FrankRuehl" w:hint="eastAsia"/>
          <w:sz w:val="24"/>
          <w:szCs w:val="24"/>
          <w:rtl/>
        </w:rPr>
        <w:t>שאוזכרה</w:t>
      </w:r>
      <w:r w:rsidRPr="00091F6C">
        <w:rPr>
          <w:rFonts w:ascii="FrankRuehl" w:hAnsi="FrankRuehl" w:cs="FrankRuehl"/>
          <w:sz w:val="24"/>
          <w:szCs w:val="24"/>
          <w:rtl/>
        </w:rPr>
        <w:t xml:space="preserve">: </w:t>
      </w:r>
    </w:p>
    <w:p w14:paraId="3AE0367E" w14:textId="77777777" w:rsidR="00091F6C" w:rsidRPr="00091F6C" w:rsidRDefault="00091F6C" w:rsidP="00091F6C">
      <w:pPr>
        <w:tabs>
          <w:tab w:val="left" w:pos="2280"/>
          <w:tab w:val="left" w:pos="5280"/>
        </w:tabs>
        <w:bidi/>
        <w:spacing w:before="120" w:after="120" w:line="240" w:lineRule="exact"/>
        <w:ind w:left="283" w:hanging="283"/>
        <w:jc w:val="both"/>
        <w:rPr>
          <w:rFonts w:ascii="FrankRuehl" w:hAnsi="FrankRuehl" w:cs="FrankRuehl"/>
          <w:color w:val="0000FF"/>
          <w:sz w:val="24"/>
          <w:szCs w:val="24"/>
          <w:rtl/>
        </w:rPr>
      </w:pPr>
      <w:hyperlink r:id="rId6" w:history="1">
        <w:r w:rsidRPr="00091F6C">
          <w:rPr>
            <w:rStyle w:val="Hyperlink"/>
            <w:rFonts w:ascii="FrankRuehl" w:hAnsi="FrankRuehl" w:cs="FrankRuehl" w:hint="eastAsia"/>
            <w:sz w:val="24"/>
            <w:szCs w:val="24"/>
            <w:rtl/>
          </w:rPr>
          <w:t>חוק</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העונשין</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תשל</w:t>
        </w:r>
        <w:r w:rsidRPr="00091F6C">
          <w:rPr>
            <w:rStyle w:val="Hyperlink"/>
            <w:rFonts w:ascii="FrankRuehl" w:hAnsi="FrankRuehl" w:cs="FrankRuehl"/>
            <w:sz w:val="24"/>
            <w:szCs w:val="24"/>
            <w:rtl/>
          </w:rPr>
          <w:t>"</w:t>
        </w:r>
        <w:r w:rsidRPr="00091F6C">
          <w:rPr>
            <w:rStyle w:val="Hyperlink"/>
            <w:rFonts w:ascii="FrankRuehl" w:hAnsi="FrankRuehl" w:cs="FrankRuehl" w:hint="eastAsia"/>
            <w:sz w:val="24"/>
            <w:szCs w:val="24"/>
            <w:rtl/>
          </w:rPr>
          <w:t>ז</w:t>
        </w:r>
        <w:r w:rsidRPr="00091F6C">
          <w:rPr>
            <w:rStyle w:val="Hyperlink"/>
            <w:rFonts w:ascii="FrankRuehl" w:hAnsi="FrankRuehl" w:cs="FrankRuehl"/>
            <w:sz w:val="24"/>
            <w:szCs w:val="24"/>
            <w:rtl/>
          </w:rPr>
          <w:t>-1977</w:t>
        </w:r>
      </w:hyperlink>
      <w:r w:rsidRPr="00091F6C">
        <w:rPr>
          <w:rFonts w:ascii="FrankRuehl" w:hAnsi="FrankRuehl" w:cs="FrankRuehl"/>
          <w:color w:val="0000FF"/>
          <w:sz w:val="24"/>
          <w:szCs w:val="24"/>
          <w:u w:val="single"/>
          <w:rtl/>
        </w:rPr>
        <w:t xml:space="preserve">: </w:t>
      </w:r>
      <w:r w:rsidRPr="00091F6C">
        <w:rPr>
          <w:rFonts w:ascii="FrankRuehl" w:hAnsi="FrankRuehl" w:cs="FrankRuehl" w:hint="eastAsia"/>
          <w:color w:val="0000FF"/>
          <w:sz w:val="24"/>
          <w:szCs w:val="24"/>
          <w:u w:val="single"/>
          <w:rtl/>
        </w:rPr>
        <w:t>סע</w:t>
      </w:r>
      <w:r w:rsidRPr="00091F6C">
        <w:rPr>
          <w:rFonts w:ascii="FrankRuehl" w:hAnsi="FrankRuehl" w:cs="FrankRuehl"/>
          <w:color w:val="0000FF"/>
          <w:sz w:val="24"/>
          <w:szCs w:val="24"/>
          <w:u w:val="single"/>
          <w:rtl/>
        </w:rPr>
        <w:t xml:space="preserve">'  </w:t>
      </w:r>
      <w:hyperlink r:id="rId7" w:history="1">
        <w:r w:rsidRPr="00091F6C">
          <w:rPr>
            <w:rStyle w:val="Hyperlink"/>
            <w:rFonts w:ascii="FrankRuehl" w:hAnsi="FrankRuehl" w:cs="FrankRuehl"/>
            <w:sz w:val="24"/>
            <w:szCs w:val="24"/>
          </w:rPr>
          <w:t>5</w:t>
        </w:r>
      </w:hyperlink>
      <w:r w:rsidRPr="00091F6C">
        <w:rPr>
          <w:rFonts w:ascii="FrankRuehl" w:hAnsi="FrankRuehl" w:cs="FrankRuehl"/>
          <w:color w:val="0000FF"/>
          <w:sz w:val="24"/>
          <w:szCs w:val="24"/>
          <w:rtl/>
        </w:rPr>
        <w:t>(</w:t>
      </w:r>
      <w:r w:rsidRPr="00091F6C">
        <w:rPr>
          <w:rFonts w:ascii="FrankRuehl" w:hAnsi="FrankRuehl" w:cs="FrankRuehl" w:hint="eastAsia"/>
          <w:color w:val="0000FF"/>
          <w:sz w:val="24"/>
          <w:szCs w:val="24"/>
          <w:rtl/>
        </w:rPr>
        <w:t>א</w:t>
      </w:r>
      <w:r w:rsidRPr="00091F6C">
        <w:rPr>
          <w:rFonts w:ascii="FrankRuehl" w:hAnsi="FrankRuehl" w:cs="FrankRuehl"/>
          <w:color w:val="0000FF"/>
          <w:sz w:val="24"/>
          <w:szCs w:val="24"/>
          <w:rtl/>
        </w:rPr>
        <w:t xml:space="preserve">), </w:t>
      </w:r>
      <w:hyperlink r:id="rId8" w:history="1">
        <w:r w:rsidRPr="00091F6C">
          <w:rPr>
            <w:rStyle w:val="Hyperlink"/>
            <w:rFonts w:ascii="FrankRuehl" w:hAnsi="FrankRuehl" w:cs="FrankRuehl"/>
            <w:sz w:val="24"/>
            <w:szCs w:val="24"/>
          </w:rPr>
          <w:t>192</w:t>
        </w:r>
      </w:hyperlink>
      <w:r w:rsidRPr="00091F6C">
        <w:rPr>
          <w:rFonts w:ascii="FrankRuehl" w:hAnsi="FrankRuehl" w:cs="FrankRuehl"/>
          <w:color w:val="0000FF"/>
          <w:sz w:val="24"/>
          <w:szCs w:val="24"/>
          <w:rtl/>
        </w:rPr>
        <w:t xml:space="preserve">, </w:t>
      </w:r>
      <w:hyperlink r:id="rId9" w:history="1">
        <w:r w:rsidRPr="00091F6C">
          <w:rPr>
            <w:rStyle w:val="Hyperlink"/>
            <w:rFonts w:ascii="FrankRuehl" w:hAnsi="FrankRuehl" w:cs="FrankRuehl"/>
            <w:sz w:val="24"/>
            <w:szCs w:val="24"/>
          </w:rPr>
          <w:t>345</w:t>
        </w:r>
      </w:hyperlink>
      <w:r w:rsidRPr="00091F6C">
        <w:rPr>
          <w:rFonts w:ascii="FrankRuehl" w:hAnsi="FrankRuehl" w:cs="FrankRuehl"/>
          <w:color w:val="0000FF"/>
          <w:sz w:val="24"/>
          <w:szCs w:val="24"/>
          <w:rtl/>
        </w:rPr>
        <w:t>(</w:t>
      </w:r>
      <w:r w:rsidRPr="00091F6C">
        <w:rPr>
          <w:rFonts w:ascii="FrankRuehl" w:hAnsi="FrankRuehl" w:cs="FrankRuehl" w:hint="eastAsia"/>
          <w:color w:val="0000FF"/>
          <w:sz w:val="24"/>
          <w:szCs w:val="24"/>
          <w:rtl/>
        </w:rPr>
        <w:t>א</w:t>
      </w:r>
      <w:r w:rsidRPr="00091F6C">
        <w:rPr>
          <w:rFonts w:ascii="FrankRuehl" w:hAnsi="FrankRuehl" w:cs="FrankRuehl"/>
          <w:color w:val="0000FF"/>
          <w:sz w:val="24"/>
          <w:szCs w:val="24"/>
          <w:rtl/>
        </w:rPr>
        <w:t xml:space="preserve">)(1), </w:t>
      </w:r>
      <w:hyperlink r:id="rId10" w:history="1">
        <w:r w:rsidRPr="00091F6C">
          <w:rPr>
            <w:rStyle w:val="Hyperlink"/>
            <w:rFonts w:ascii="FrankRuehl" w:hAnsi="FrankRuehl" w:cs="FrankRuehl"/>
            <w:sz w:val="24"/>
            <w:szCs w:val="24"/>
          </w:rPr>
          <w:t>345</w:t>
        </w:r>
      </w:hyperlink>
      <w:r w:rsidRPr="00091F6C">
        <w:rPr>
          <w:rFonts w:ascii="FrankRuehl" w:hAnsi="FrankRuehl" w:cs="FrankRuehl"/>
          <w:color w:val="0000FF"/>
          <w:sz w:val="24"/>
          <w:szCs w:val="24"/>
          <w:rtl/>
        </w:rPr>
        <w:t>(</w:t>
      </w:r>
      <w:r w:rsidRPr="00091F6C">
        <w:rPr>
          <w:rFonts w:ascii="FrankRuehl" w:hAnsi="FrankRuehl" w:cs="FrankRuehl" w:hint="eastAsia"/>
          <w:color w:val="0000FF"/>
          <w:sz w:val="24"/>
          <w:szCs w:val="24"/>
          <w:rtl/>
        </w:rPr>
        <w:t>א</w:t>
      </w:r>
      <w:r w:rsidRPr="00091F6C">
        <w:rPr>
          <w:rFonts w:ascii="FrankRuehl" w:hAnsi="FrankRuehl" w:cs="FrankRuehl"/>
          <w:color w:val="0000FF"/>
          <w:sz w:val="24"/>
          <w:szCs w:val="24"/>
          <w:rtl/>
        </w:rPr>
        <w:t xml:space="preserve">)(2), </w:t>
      </w:r>
      <w:hyperlink r:id="rId11" w:history="1">
        <w:r w:rsidRPr="00091F6C">
          <w:rPr>
            <w:rStyle w:val="Hyperlink"/>
            <w:rFonts w:ascii="FrankRuehl" w:hAnsi="FrankRuehl" w:cs="FrankRuehl"/>
            <w:sz w:val="24"/>
            <w:szCs w:val="24"/>
          </w:rPr>
          <w:t>345</w:t>
        </w:r>
      </w:hyperlink>
      <w:r w:rsidRPr="00091F6C">
        <w:rPr>
          <w:rFonts w:ascii="FrankRuehl" w:hAnsi="FrankRuehl" w:cs="FrankRuehl"/>
          <w:color w:val="0000FF"/>
          <w:sz w:val="24"/>
          <w:szCs w:val="24"/>
          <w:rtl/>
        </w:rPr>
        <w:t>(</w:t>
      </w:r>
      <w:r w:rsidRPr="00091F6C">
        <w:rPr>
          <w:rFonts w:ascii="FrankRuehl" w:hAnsi="FrankRuehl" w:cs="FrankRuehl" w:hint="eastAsia"/>
          <w:color w:val="0000FF"/>
          <w:sz w:val="24"/>
          <w:szCs w:val="24"/>
          <w:rtl/>
        </w:rPr>
        <w:t>א</w:t>
      </w:r>
      <w:r w:rsidRPr="00091F6C">
        <w:rPr>
          <w:rFonts w:ascii="FrankRuehl" w:hAnsi="FrankRuehl" w:cs="FrankRuehl"/>
          <w:color w:val="0000FF"/>
          <w:sz w:val="24"/>
          <w:szCs w:val="24"/>
          <w:rtl/>
        </w:rPr>
        <w:t xml:space="preserve">)(3), </w:t>
      </w:r>
      <w:hyperlink r:id="rId12" w:history="1">
        <w:r w:rsidRPr="00091F6C">
          <w:rPr>
            <w:rStyle w:val="Hyperlink"/>
            <w:rFonts w:ascii="FrankRuehl" w:hAnsi="FrankRuehl" w:cs="FrankRuehl"/>
            <w:sz w:val="24"/>
            <w:szCs w:val="24"/>
          </w:rPr>
          <w:t>346</w:t>
        </w:r>
      </w:hyperlink>
      <w:r w:rsidRPr="00091F6C">
        <w:rPr>
          <w:rFonts w:ascii="FrankRuehl" w:hAnsi="FrankRuehl" w:cs="FrankRuehl"/>
          <w:color w:val="0000FF"/>
          <w:sz w:val="24"/>
          <w:szCs w:val="24"/>
          <w:rtl/>
        </w:rPr>
        <w:t>(</w:t>
      </w:r>
      <w:r w:rsidRPr="00091F6C">
        <w:rPr>
          <w:rFonts w:ascii="FrankRuehl" w:hAnsi="FrankRuehl" w:cs="FrankRuehl" w:hint="eastAsia"/>
          <w:color w:val="0000FF"/>
          <w:sz w:val="24"/>
          <w:szCs w:val="24"/>
          <w:rtl/>
        </w:rPr>
        <w:t>ג</w:t>
      </w:r>
      <w:r w:rsidRPr="00091F6C">
        <w:rPr>
          <w:rFonts w:ascii="FrankRuehl" w:hAnsi="FrankRuehl" w:cs="FrankRuehl"/>
          <w:color w:val="0000FF"/>
          <w:sz w:val="24"/>
          <w:szCs w:val="24"/>
          <w:rtl/>
        </w:rPr>
        <w:t xml:space="preserve">), </w:t>
      </w:r>
      <w:hyperlink r:id="rId13" w:history="1">
        <w:r w:rsidRPr="00091F6C">
          <w:rPr>
            <w:rStyle w:val="Hyperlink"/>
            <w:rFonts w:ascii="FrankRuehl" w:hAnsi="FrankRuehl" w:cs="FrankRuehl"/>
            <w:sz w:val="24"/>
            <w:szCs w:val="24"/>
          </w:rPr>
          <w:t>347</w:t>
        </w:r>
      </w:hyperlink>
      <w:r w:rsidRPr="00091F6C">
        <w:rPr>
          <w:rFonts w:ascii="FrankRuehl" w:hAnsi="FrankRuehl" w:cs="FrankRuehl"/>
          <w:color w:val="0000FF"/>
          <w:sz w:val="24"/>
          <w:szCs w:val="24"/>
          <w:rtl/>
        </w:rPr>
        <w:t>(</w:t>
      </w:r>
      <w:r w:rsidRPr="00091F6C">
        <w:rPr>
          <w:rFonts w:ascii="FrankRuehl" w:hAnsi="FrankRuehl" w:cs="FrankRuehl" w:hint="eastAsia"/>
          <w:color w:val="0000FF"/>
          <w:sz w:val="24"/>
          <w:szCs w:val="24"/>
          <w:rtl/>
        </w:rPr>
        <w:t>א</w:t>
      </w:r>
      <w:r w:rsidRPr="00091F6C">
        <w:rPr>
          <w:rFonts w:ascii="FrankRuehl" w:hAnsi="FrankRuehl" w:cs="FrankRuehl"/>
          <w:color w:val="0000FF"/>
          <w:sz w:val="24"/>
          <w:szCs w:val="24"/>
          <w:rtl/>
        </w:rPr>
        <w:t xml:space="preserve">), </w:t>
      </w:r>
      <w:hyperlink r:id="rId14" w:history="1">
        <w:r w:rsidRPr="00091F6C">
          <w:rPr>
            <w:rStyle w:val="Hyperlink"/>
            <w:rFonts w:ascii="FrankRuehl" w:hAnsi="FrankRuehl" w:cs="FrankRuehl"/>
            <w:sz w:val="24"/>
            <w:szCs w:val="24"/>
          </w:rPr>
          <w:t>348</w:t>
        </w:r>
      </w:hyperlink>
      <w:r w:rsidRPr="00091F6C">
        <w:rPr>
          <w:rFonts w:ascii="FrankRuehl" w:hAnsi="FrankRuehl" w:cs="FrankRuehl"/>
          <w:color w:val="0000FF"/>
          <w:sz w:val="24"/>
          <w:szCs w:val="24"/>
          <w:rtl/>
        </w:rPr>
        <w:t xml:space="preserve">, </w:t>
      </w:r>
      <w:hyperlink r:id="rId15" w:history="1">
        <w:r w:rsidRPr="00091F6C">
          <w:rPr>
            <w:rStyle w:val="Hyperlink"/>
            <w:rFonts w:ascii="FrankRuehl" w:hAnsi="FrankRuehl" w:cs="FrankRuehl"/>
            <w:sz w:val="24"/>
            <w:szCs w:val="24"/>
          </w:rPr>
          <w:t>348</w:t>
        </w:r>
      </w:hyperlink>
      <w:r w:rsidRPr="00091F6C">
        <w:rPr>
          <w:rFonts w:ascii="FrankRuehl" w:hAnsi="FrankRuehl" w:cs="FrankRuehl"/>
          <w:color w:val="0000FF"/>
          <w:sz w:val="24"/>
          <w:szCs w:val="24"/>
          <w:rtl/>
        </w:rPr>
        <w:t>(</w:t>
      </w:r>
      <w:r w:rsidRPr="00091F6C">
        <w:rPr>
          <w:rFonts w:ascii="FrankRuehl" w:hAnsi="FrankRuehl" w:cs="FrankRuehl" w:hint="eastAsia"/>
          <w:color w:val="0000FF"/>
          <w:sz w:val="24"/>
          <w:szCs w:val="24"/>
          <w:rtl/>
        </w:rPr>
        <w:t>ג</w:t>
      </w:r>
      <w:r w:rsidRPr="00091F6C">
        <w:rPr>
          <w:rFonts w:ascii="FrankRuehl" w:hAnsi="FrankRuehl" w:cs="FrankRuehl"/>
          <w:color w:val="0000FF"/>
          <w:sz w:val="24"/>
          <w:szCs w:val="24"/>
          <w:rtl/>
        </w:rPr>
        <w:t xml:space="preserve">), </w:t>
      </w:r>
      <w:hyperlink r:id="rId16" w:history="1">
        <w:r w:rsidRPr="00091F6C">
          <w:rPr>
            <w:rStyle w:val="Hyperlink"/>
            <w:rFonts w:ascii="FrankRuehl" w:hAnsi="FrankRuehl" w:cs="FrankRuehl"/>
            <w:sz w:val="24"/>
            <w:szCs w:val="24"/>
          </w:rPr>
          <w:t>349</w:t>
        </w:r>
      </w:hyperlink>
      <w:r w:rsidRPr="00091F6C">
        <w:rPr>
          <w:rFonts w:ascii="FrankRuehl" w:hAnsi="FrankRuehl" w:cs="FrankRuehl"/>
          <w:color w:val="0000FF"/>
          <w:sz w:val="24"/>
          <w:szCs w:val="24"/>
          <w:rtl/>
        </w:rPr>
        <w:t xml:space="preserve">, </w:t>
      </w:r>
      <w:hyperlink r:id="rId17" w:history="1">
        <w:r w:rsidRPr="00091F6C">
          <w:rPr>
            <w:rStyle w:val="Hyperlink"/>
            <w:rFonts w:ascii="FrankRuehl" w:hAnsi="FrankRuehl" w:cs="FrankRuehl"/>
            <w:sz w:val="24"/>
            <w:szCs w:val="24"/>
          </w:rPr>
          <w:t>356</w:t>
        </w:r>
      </w:hyperlink>
    </w:p>
    <w:p w14:paraId="46976500" w14:textId="77777777" w:rsidR="00091F6C" w:rsidRPr="00091F6C" w:rsidRDefault="00091F6C" w:rsidP="00091F6C">
      <w:pPr>
        <w:tabs>
          <w:tab w:val="left" w:pos="2280"/>
          <w:tab w:val="left" w:pos="5280"/>
        </w:tabs>
        <w:bidi/>
        <w:spacing w:before="120" w:after="120" w:line="240" w:lineRule="exact"/>
        <w:ind w:left="283" w:hanging="283"/>
        <w:jc w:val="both"/>
        <w:rPr>
          <w:rFonts w:ascii="FrankRuehl" w:hAnsi="FrankRuehl" w:cs="FrankRuehl"/>
          <w:color w:val="0000FF"/>
          <w:sz w:val="24"/>
          <w:szCs w:val="24"/>
          <w:u w:val="single"/>
          <w:rtl/>
        </w:rPr>
      </w:pPr>
      <w:hyperlink r:id="rId18" w:history="1">
        <w:r w:rsidRPr="00091F6C">
          <w:rPr>
            <w:rStyle w:val="Hyperlink"/>
            <w:rFonts w:ascii="FrankRuehl" w:hAnsi="FrankRuehl" w:cs="FrankRuehl" w:hint="eastAsia"/>
            <w:sz w:val="24"/>
            <w:szCs w:val="24"/>
            <w:rtl/>
          </w:rPr>
          <w:t>חוק</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הנוער</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שפיטה</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ענישה</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ודרכי</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טיפול</w:t>
        </w:r>
        <w:r w:rsidRPr="00091F6C">
          <w:rPr>
            <w:rStyle w:val="Hyperlink"/>
            <w:rFonts w:ascii="FrankRuehl" w:hAnsi="FrankRuehl" w:cs="FrankRuehl"/>
            <w:sz w:val="24"/>
            <w:szCs w:val="24"/>
            <w:rtl/>
          </w:rPr>
          <w:t xml:space="preserve">), </w:t>
        </w:r>
        <w:r w:rsidRPr="00091F6C">
          <w:rPr>
            <w:rStyle w:val="Hyperlink"/>
            <w:rFonts w:ascii="FrankRuehl" w:hAnsi="FrankRuehl" w:cs="FrankRuehl" w:hint="eastAsia"/>
            <w:sz w:val="24"/>
            <w:szCs w:val="24"/>
            <w:rtl/>
          </w:rPr>
          <w:t>תשל</w:t>
        </w:r>
        <w:r w:rsidRPr="00091F6C">
          <w:rPr>
            <w:rStyle w:val="Hyperlink"/>
            <w:rFonts w:ascii="FrankRuehl" w:hAnsi="FrankRuehl" w:cs="FrankRuehl"/>
            <w:sz w:val="24"/>
            <w:szCs w:val="24"/>
            <w:rtl/>
          </w:rPr>
          <w:t>"</w:t>
        </w:r>
        <w:r w:rsidRPr="00091F6C">
          <w:rPr>
            <w:rStyle w:val="Hyperlink"/>
            <w:rFonts w:ascii="FrankRuehl" w:hAnsi="FrankRuehl" w:cs="FrankRuehl" w:hint="eastAsia"/>
            <w:sz w:val="24"/>
            <w:szCs w:val="24"/>
            <w:rtl/>
          </w:rPr>
          <w:t>א</w:t>
        </w:r>
        <w:r w:rsidRPr="00091F6C">
          <w:rPr>
            <w:rStyle w:val="Hyperlink"/>
            <w:rFonts w:ascii="FrankRuehl" w:hAnsi="FrankRuehl" w:cs="FrankRuehl"/>
            <w:sz w:val="24"/>
            <w:szCs w:val="24"/>
            <w:rtl/>
          </w:rPr>
          <w:t>-1971</w:t>
        </w:r>
      </w:hyperlink>
      <w:r w:rsidRPr="00091F6C">
        <w:rPr>
          <w:rFonts w:ascii="FrankRuehl" w:hAnsi="FrankRuehl" w:cs="FrankRuehl"/>
          <w:color w:val="0000FF"/>
          <w:sz w:val="24"/>
          <w:szCs w:val="24"/>
          <w:u w:val="single"/>
          <w:rtl/>
        </w:rPr>
        <w:t xml:space="preserve">: </w:t>
      </w:r>
      <w:r w:rsidRPr="00091F6C">
        <w:rPr>
          <w:rFonts w:ascii="FrankRuehl" w:hAnsi="FrankRuehl" w:cs="FrankRuehl" w:hint="eastAsia"/>
          <w:color w:val="0000FF"/>
          <w:sz w:val="24"/>
          <w:szCs w:val="24"/>
          <w:u w:val="single"/>
          <w:rtl/>
        </w:rPr>
        <w:t>סע</w:t>
      </w:r>
      <w:r w:rsidRPr="00091F6C">
        <w:rPr>
          <w:rFonts w:ascii="FrankRuehl" w:hAnsi="FrankRuehl" w:cs="FrankRuehl"/>
          <w:color w:val="0000FF"/>
          <w:sz w:val="24"/>
          <w:szCs w:val="24"/>
          <w:u w:val="single"/>
          <w:rtl/>
        </w:rPr>
        <w:t xml:space="preserve">'  </w:t>
      </w:r>
      <w:hyperlink r:id="rId19" w:history="1">
        <w:r w:rsidRPr="00091F6C">
          <w:rPr>
            <w:rStyle w:val="Hyperlink"/>
            <w:rFonts w:ascii="FrankRuehl" w:hAnsi="FrankRuehl" w:cs="FrankRuehl"/>
            <w:sz w:val="24"/>
            <w:szCs w:val="24"/>
          </w:rPr>
          <w:t>14</w:t>
        </w:r>
      </w:hyperlink>
    </w:p>
    <w:p w14:paraId="390A9A0D" w14:textId="77777777" w:rsidR="00605470" w:rsidRPr="00091F6C" w:rsidRDefault="00605470" w:rsidP="00091F6C">
      <w:pPr>
        <w:tabs>
          <w:tab w:val="left" w:pos="2280"/>
          <w:tab w:val="left" w:pos="5280"/>
        </w:tabs>
        <w:bidi/>
        <w:spacing w:line="320" w:lineRule="exact"/>
        <w:rPr>
          <w:rFonts w:cs="David" w:hint="cs"/>
          <w:sz w:val="24"/>
          <w:szCs w:val="24"/>
          <w:rtl/>
        </w:rPr>
      </w:pPr>
      <w:bookmarkStart w:id="1" w:name="LawTable_End"/>
      <w:bookmarkEnd w:id="1"/>
    </w:p>
    <w:p w14:paraId="66C4B186" w14:textId="77777777" w:rsidR="00091F6C" w:rsidRDefault="00091F6C" w:rsidP="00605470">
      <w:pPr>
        <w:tabs>
          <w:tab w:val="left" w:pos="2280"/>
          <w:tab w:val="left" w:pos="5280"/>
        </w:tabs>
        <w:bidi/>
        <w:spacing w:line="320" w:lineRule="exact"/>
        <w:jc w:val="center"/>
        <w:rPr>
          <w:rFonts w:cs="David"/>
          <w:sz w:val="24"/>
          <w:szCs w:val="24"/>
          <w:rtl/>
        </w:rPr>
      </w:pPr>
      <w:bookmarkStart w:id="2" w:name="PsakDin"/>
      <w:r>
        <w:rPr>
          <w:rFonts w:cs="David"/>
          <w:bCs/>
          <w:sz w:val="24"/>
          <w:szCs w:val="24"/>
          <w:u w:val="single"/>
          <w:rtl/>
        </w:rPr>
        <w:t>הכרעת-דין</w:t>
      </w:r>
    </w:p>
    <w:bookmarkEnd w:id="2"/>
    <w:p w14:paraId="22DB427D" w14:textId="77777777" w:rsidR="00091F6C" w:rsidRDefault="00091F6C">
      <w:pPr>
        <w:tabs>
          <w:tab w:val="left" w:pos="2280"/>
          <w:tab w:val="left" w:pos="5280"/>
        </w:tabs>
        <w:bidi/>
        <w:spacing w:line="320" w:lineRule="exact"/>
        <w:rPr>
          <w:rFonts w:cs="David"/>
          <w:sz w:val="24"/>
          <w:szCs w:val="24"/>
          <w:rtl/>
        </w:rPr>
      </w:pPr>
    </w:p>
    <w:p w14:paraId="509282F6" w14:textId="77777777" w:rsidR="00091F6C" w:rsidRDefault="00091F6C">
      <w:pPr>
        <w:tabs>
          <w:tab w:val="left" w:pos="2280"/>
          <w:tab w:val="left" w:pos="5280"/>
        </w:tabs>
        <w:bidi/>
        <w:spacing w:line="320" w:lineRule="exact"/>
        <w:rPr>
          <w:rFonts w:cs="David"/>
          <w:sz w:val="24"/>
          <w:szCs w:val="24"/>
          <w:rtl/>
        </w:rPr>
      </w:pPr>
      <w:r>
        <w:rPr>
          <w:rFonts w:cs="David"/>
          <w:bCs/>
          <w:sz w:val="24"/>
          <w:szCs w:val="24"/>
          <w:u w:val="single"/>
          <w:rtl/>
        </w:rPr>
        <w:t>ח' פיזם שופט [אב"ד]:</w:t>
      </w:r>
      <w:r>
        <w:rPr>
          <w:rFonts w:cs="David" w:hint="eastAsia"/>
          <w:bCs/>
          <w:color w:val="FFFFFF"/>
          <w:sz w:val="4"/>
          <w:szCs w:val="4"/>
          <w:u w:val="single"/>
          <w:rtl/>
        </w:rPr>
        <w:t>ו</w:t>
      </w:r>
      <w:r>
        <w:rPr>
          <w:rFonts w:cs="David"/>
          <w:bCs/>
          <w:sz w:val="24"/>
          <w:szCs w:val="24"/>
          <w:rtl/>
        </w:rPr>
        <w:t xml:space="preserve"> </w:t>
      </w:r>
    </w:p>
    <w:p w14:paraId="1FB6F122" w14:textId="77777777" w:rsidR="00091F6C" w:rsidRDefault="00091F6C">
      <w:pPr>
        <w:tabs>
          <w:tab w:val="left" w:pos="480"/>
        </w:tabs>
        <w:bidi/>
        <w:spacing w:line="320" w:lineRule="exact"/>
        <w:ind w:left="480" w:hanging="480"/>
        <w:rPr>
          <w:rFonts w:cs="David"/>
          <w:sz w:val="24"/>
          <w:szCs w:val="24"/>
          <w:rtl/>
        </w:rPr>
      </w:pPr>
      <w:r>
        <w:rPr>
          <w:rFonts w:cs="David"/>
          <w:bCs/>
          <w:sz w:val="24"/>
          <w:szCs w:val="24"/>
          <w:rtl/>
        </w:rPr>
        <w:t>1.</w:t>
      </w:r>
      <w:r>
        <w:rPr>
          <w:rFonts w:cs="David"/>
          <w:bCs/>
          <w:sz w:val="24"/>
          <w:szCs w:val="24"/>
          <w:rtl/>
        </w:rPr>
        <w:tab/>
      </w:r>
      <w:bookmarkStart w:id="3" w:name="ABSTRACT_START"/>
      <w:bookmarkEnd w:id="3"/>
      <w:r>
        <w:rPr>
          <w:rFonts w:cs="David"/>
          <w:sz w:val="24"/>
          <w:szCs w:val="24"/>
          <w:rtl/>
        </w:rPr>
        <w:t xml:space="preserve">בכתב האשום יוחסו לנאשם שורה של עבירות אינוס ומעשה מגונה וכן עבירה של איומים, לפי </w:t>
      </w:r>
      <w:hyperlink r:id="rId20" w:history="1">
        <w:r w:rsidRPr="00091F6C">
          <w:rPr>
            <w:rStyle w:val="Hyperlink"/>
            <w:rFonts w:cs="David" w:hint="eastAsia"/>
            <w:sz w:val="24"/>
            <w:szCs w:val="24"/>
            <w:rtl/>
          </w:rPr>
          <w:t>סעיף</w:t>
        </w:r>
        <w:r w:rsidRPr="00091F6C">
          <w:rPr>
            <w:rStyle w:val="Hyperlink"/>
            <w:rFonts w:cs="David"/>
            <w:sz w:val="24"/>
            <w:szCs w:val="24"/>
            <w:rtl/>
          </w:rPr>
          <w:t xml:space="preserve"> 345(</w:t>
        </w:r>
        <w:r w:rsidRPr="00091F6C">
          <w:rPr>
            <w:rStyle w:val="Hyperlink"/>
            <w:rFonts w:cs="David" w:hint="eastAsia"/>
            <w:sz w:val="24"/>
            <w:szCs w:val="24"/>
            <w:rtl/>
          </w:rPr>
          <w:t>א</w:t>
        </w:r>
        <w:r w:rsidRPr="00091F6C">
          <w:rPr>
            <w:rStyle w:val="Hyperlink"/>
            <w:rFonts w:cs="David"/>
            <w:sz w:val="24"/>
            <w:szCs w:val="24"/>
            <w:rtl/>
          </w:rPr>
          <w:t>)(1)</w:t>
        </w:r>
      </w:hyperlink>
      <w:r>
        <w:rPr>
          <w:rFonts w:cs="David"/>
          <w:sz w:val="24"/>
          <w:szCs w:val="24"/>
          <w:rtl/>
        </w:rPr>
        <w:t xml:space="preserve"> + </w:t>
      </w:r>
      <w:hyperlink r:id="rId21" w:history="1">
        <w:r w:rsidRPr="00091F6C">
          <w:rPr>
            <w:rStyle w:val="Hyperlink"/>
            <w:rFonts w:cs="David"/>
            <w:sz w:val="24"/>
            <w:szCs w:val="24"/>
            <w:rtl/>
          </w:rPr>
          <w:t>345(</w:t>
        </w:r>
        <w:r w:rsidRPr="00091F6C">
          <w:rPr>
            <w:rStyle w:val="Hyperlink"/>
            <w:rFonts w:cs="David" w:hint="eastAsia"/>
            <w:sz w:val="24"/>
            <w:szCs w:val="24"/>
            <w:rtl/>
          </w:rPr>
          <w:t>א</w:t>
        </w:r>
        <w:r w:rsidRPr="00091F6C">
          <w:rPr>
            <w:rStyle w:val="Hyperlink"/>
            <w:rFonts w:cs="David"/>
            <w:sz w:val="24"/>
            <w:szCs w:val="24"/>
            <w:rtl/>
          </w:rPr>
          <w:t>)(3)</w:t>
        </w:r>
      </w:hyperlink>
      <w:r>
        <w:rPr>
          <w:rFonts w:cs="David"/>
          <w:sz w:val="24"/>
          <w:szCs w:val="24"/>
          <w:rtl/>
        </w:rPr>
        <w:t xml:space="preserve"> + </w:t>
      </w:r>
      <w:hyperlink r:id="rId22" w:history="1">
        <w:r w:rsidRPr="00091F6C">
          <w:rPr>
            <w:rStyle w:val="Hyperlink"/>
            <w:rFonts w:cs="David"/>
            <w:sz w:val="24"/>
            <w:szCs w:val="24"/>
            <w:rtl/>
          </w:rPr>
          <w:t>348(</w:t>
        </w:r>
        <w:r w:rsidRPr="00091F6C">
          <w:rPr>
            <w:rStyle w:val="Hyperlink"/>
            <w:rFonts w:cs="David" w:hint="eastAsia"/>
            <w:sz w:val="24"/>
            <w:szCs w:val="24"/>
            <w:rtl/>
          </w:rPr>
          <w:t>ג</w:t>
        </w:r>
        <w:r w:rsidRPr="00091F6C">
          <w:rPr>
            <w:rStyle w:val="Hyperlink"/>
            <w:rFonts w:cs="David"/>
            <w:sz w:val="24"/>
            <w:szCs w:val="24"/>
            <w:rtl/>
          </w:rPr>
          <w:t>)</w:t>
        </w:r>
      </w:hyperlink>
      <w:r>
        <w:rPr>
          <w:rFonts w:cs="David"/>
          <w:sz w:val="24"/>
          <w:szCs w:val="24"/>
          <w:rtl/>
        </w:rPr>
        <w:t xml:space="preserve"> ל</w:t>
      </w:r>
      <w:hyperlink r:id="rId23"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 xml:space="preserve"> תשל"ז - </w:t>
      </w:r>
      <w:r>
        <w:rPr>
          <w:rFonts w:ascii="Rod" w:hAnsi="Rod" w:cs="David"/>
          <w:szCs w:val="24"/>
          <w:rtl/>
        </w:rPr>
        <w:t>1977</w:t>
      </w:r>
      <w:r>
        <w:rPr>
          <w:rFonts w:cs="David"/>
          <w:sz w:val="24"/>
          <w:szCs w:val="24"/>
          <w:rtl/>
        </w:rPr>
        <w:t xml:space="preserve"> (להלן:</w:t>
      </w:r>
      <w:r>
        <w:rPr>
          <w:rFonts w:cs="David" w:hint="eastAsia"/>
          <w:color w:val="FFFFFF"/>
          <w:sz w:val="4"/>
          <w:szCs w:val="4"/>
          <w:rtl/>
        </w:rPr>
        <w:t>נ</w:t>
      </w:r>
      <w:r>
        <w:rPr>
          <w:rFonts w:cs="David"/>
          <w:sz w:val="24"/>
          <w:szCs w:val="24"/>
          <w:rtl/>
        </w:rPr>
        <w:t xml:space="preserve"> </w:t>
      </w:r>
      <w:r>
        <w:rPr>
          <w:rFonts w:cs="David"/>
          <w:sz w:val="24"/>
          <w:szCs w:val="24"/>
          <w:u w:val="single"/>
          <w:rtl/>
        </w:rPr>
        <w:t>החוק</w:t>
      </w:r>
      <w:r>
        <w:rPr>
          <w:rFonts w:cs="David"/>
          <w:sz w:val="24"/>
          <w:szCs w:val="24"/>
          <w:rtl/>
        </w:rPr>
        <w:t xml:space="preserve">) (בנוסחו לפי תיקון מס' </w:t>
      </w:r>
      <w:r>
        <w:rPr>
          <w:rFonts w:ascii="Rod" w:hAnsi="Rod" w:cs="David"/>
          <w:szCs w:val="24"/>
          <w:rtl/>
        </w:rPr>
        <w:t>22</w:t>
      </w:r>
      <w:r>
        <w:rPr>
          <w:rFonts w:cs="David"/>
          <w:sz w:val="24"/>
          <w:szCs w:val="24"/>
          <w:rtl/>
        </w:rPr>
        <w:t xml:space="preserve"> מיום </w:t>
      </w:r>
      <w:r>
        <w:rPr>
          <w:rFonts w:ascii="Rod" w:hAnsi="Rod" w:cs="David"/>
          <w:szCs w:val="24"/>
          <w:rtl/>
        </w:rPr>
        <w:t>22.3.88</w:t>
      </w:r>
      <w:r>
        <w:rPr>
          <w:rFonts w:cs="David"/>
          <w:sz w:val="24"/>
          <w:szCs w:val="24"/>
          <w:rtl/>
        </w:rPr>
        <w:t xml:space="preserve">) + </w:t>
      </w:r>
      <w:hyperlink r:id="rId24" w:history="1">
        <w:r w:rsidRPr="00091F6C">
          <w:rPr>
            <w:rStyle w:val="Hyperlink"/>
            <w:rFonts w:ascii="Rod" w:hAnsi="Rod" w:cs="David"/>
            <w:szCs w:val="24"/>
            <w:rtl/>
          </w:rPr>
          <w:t>סעיף 348</w:t>
        </w:r>
      </w:hyperlink>
      <w:r>
        <w:rPr>
          <w:rFonts w:cs="David"/>
          <w:sz w:val="24"/>
          <w:szCs w:val="24"/>
          <w:rtl/>
        </w:rPr>
        <w:t xml:space="preserve"> לפי תיקון מס' </w:t>
      </w:r>
      <w:r>
        <w:rPr>
          <w:rFonts w:ascii="Rod" w:hAnsi="Rod" w:cs="David"/>
          <w:szCs w:val="24"/>
          <w:rtl/>
        </w:rPr>
        <w:t>22</w:t>
      </w:r>
      <w:r>
        <w:rPr>
          <w:rFonts w:cs="David"/>
          <w:sz w:val="24"/>
          <w:szCs w:val="24"/>
          <w:rtl/>
        </w:rPr>
        <w:t xml:space="preserve"> מיום </w:t>
      </w:r>
      <w:r>
        <w:rPr>
          <w:rFonts w:ascii="Rod" w:hAnsi="Rod" w:cs="David"/>
          <w:szCs w:val="24"/>
          <w:rtl/>
        </w:rPr>
        <w:t>22.3.88</w:t>
      </w:r>
      <w:r>
        <w:rPr>
          <w:rFonts w:cs="David"/>
          <w:sz w:val="24"/>
          <w:szCs w:val="24"/>
          <w:rtl/>
        </w:rPr>
        <w:t xml:space="preserve"> + </w:t>
      </w:r>
      <w:hyperlink r:id="rId25" w:history="1">
        <w:r w:rsidRPr="00091F6C">
          <w:rPr>
            <w:rStyle w:val="Hyperlink"/>
            <w:rFonts w:cs="David" w:hint="eastAsia"/>
            <w:sz w:val="24"/>
            <w:szCs w:val="24"/>
            <w:rtl/>
          </w:rPr>
          <w:t>סעיף</w:t>
        </w:r>
        <w:r w:rsidRPr="00091F6C">
          <w:rPr>
            <w:rStyle w:val="Hyperlink"/>
            <w:rFonts w:cs="David"/>
            <w:sz w:val="24"/>
            <w:szCs w:val="24"/>
            <w:rtl/>
          </w:rPr>
          <w:t xml:space="preserve"> 348(</w:t>
        </w:r>
        <w:r w:rsidRPr="00091F6C">
          <w:rPr>
            <w:rStyle w:val="Hyperlink"/>
            <w:rFonts w:cs="David" w:hint="eastAsia"/>
            <w:sz w:val="24"/>
            <w:szCs w:val="24"/>
            <w:rtl/>
          </w:rPr>
          <w:t>ג</w:t>
        </w:r>
        <w:r w:rsidRPr="00091F6C">
          <w:rPr>
            <w:rStyle w:val="Hyperlink"/>
            <w:rFonts w:cs="David"/>
            <w:sz w:val="24"/>
            <w:szCs w:val="24"/>
            <w:rtl/>
          </w:rPr>
          <w:t>)</w:t>
        </w:r>
      </w:hyperlink>
      <w:r>
        <w:rPr>
          <w:rFonts w:cs="David"/>
          <w:sz w:val="24"/>
          <w:szCs w:val="24"/>
          <w:rtl/>
        </w:rPr>
        <w:t xml:space="preserve"> לחוק (בנוסחו היום) + </w:t>
      </w:r>
      <w:hyperlink r:id="rId26" w:history="1">
        <w:r w:rsidRPr="00091F6C">
          <w:rPr>
            <w:rStyle w:val="Hyperlink"/>
            <w:rFonts w:cs="David" w:hint="eastAsia"/>
            <w:sz w:val="24"/>
            <w:szCs w:val="24"/>
            <w:rtl/>
          </w:rPr>
          <w:t>סעיף</w:t>
        </w:r>
        <w:r w:rsidRPr="00091F6C">
          <w:rPr>
            <w:rStyle w:val="Hyperlink"/>
            <w:rFonts w:cs="David"/>
            <w:sz w:val="24"/>
            <w:szCs w:val="24"/>
            <w:rtl/>
          </w:rPr>
          <w:t xml:space="preserve"> 345(</w:t>
        </w:r>
        <w:r w:rsidRPr="00091F6C">
          <w:rPr>
            <w:rStyle w:val="Hyperlink"/>
            <w:rFonts w:cs="David" w:hint="eastAsia"/>
            <w:sz w:val="24"/>
            <w:szCs w:val="24"/>
            <w:rtl/>
          </w:rPr>
          <w:t>א</w:t>
        </w:r>
        <w:r w:rsidRPr="00091F6C">
          <w:rPr>
            <w:rStyle w:val="Hyperlink"/>
            <w:rFonts w:cs="David"/>
            <w:sz w:val="24"/>
            <w:szCs w:val="24"/>
            <w:rtl/>
          </w:rPr>
          <w:t>)(2)</w:t>
        </w:r>
      </w:hyperlink>
      <w:r>
        <w:rPr>
          <w:rFonts w:cs="David"/>
          <w:sz w:val="24"/>
          <w:szCs w:val="24"/>
          <w:rtl/>
        </w:rPr>
        <w:t xml:space="preserve"> + ג לחוק, (כנוסחו כיום) + </w:t>
      </w:r>
      <w:hyperlink r:id="rId27" w:history="1">
        <w:r w:rsidRPr="00091F6C">
          <w:rPr>
            <w:rStyle w:val="Hyperlink"/>
            <w:rFonts w:ascii="Rod" w:hAnsi="Rod" w:cs="David"/>
            <w:szCs w:val="24"/>
            <w:rtl/>
          </w:rPr>
          <w:t>סעיף 192</w:t>
        </w:r>
      </w:hyperlink>
      <w:r>
        <w:rPr>
          <w:rFonts w:cs="David"/>
          <w:sz w:val="24"/>
          <w:szCs w:val="24"/>
          <w:rtl/>
        </w:rPr>
        <w:t xml:space="preserve"> לחוק.</w:t>
      </w:r>
    </w:p>
    <w:p w14:paraId="484D700E" w14:textId="77777777" w:rsidR="00091F6C" w:rsidRDefault="00091F6C">
      <w:pPr>
        <w:tabs>
          <w:tab w:val="left" w:pos="960"/>
        </w:tabs>
        <w:bidi/>
        <w:spacing w:line="320" w:lineRule="exact"/>
        <w:ind w:left="480"/>
        <w:rPr>
          <w:rFonts w:cs="David"/>
          <w:sz w:val="24"/>
          <w:szCs w:val="24"/>
          <w:rtl/>
        </w:rPr>
      </w:pPr>
      <w:bookmarkStart w:id="4" w:name="ABSTRACT_END"/>
      <w:bookmarkEnd w:id="4"/>
      <w:r>
        <w:rPr>
          <w:rFonts w:cs="David"/>
          <w:sz w:val="24"/>
          <w:szCs w:val="24"/>
          <w:rtl/>
        </w:rPr>
        <w:t>העבירות הנ"ל, כנטען בכתב האישום השתרעו לאורך מספר שנים ולכן גם חלות עליהן הוראות החוק השונות כמפורט לעיל.</w:t>
      </w:r>
    </w:p>
    <w:p w14:paraId="5DD0A698" w14:textId="77777777" w:rsidR="00091F6C" w:rsidRDefault="00091F6C">
      <w:pPr>
        <w:tabs>
          <w:tab w:val="left" w:pos="960"/>
        </w:tabs>
        <w:bidi/>
        <w:spacing w:line="320" w:lineRule="exact"/>
        <w:ind w:left="480"/>
        <w:rPr>
          <w:rFonts w:cs="David"/>
          <w:sz w:val="24"/>
          <w:szCs w:val="24"/>
          <w:rtl/>
        </w:rPr>
      </w:pPr>
      <w:r>
        <w:rPr>
          <w:rFonts w:cs="David"/>
          <w:sz w:val="24"/>
          <w:szCs w:val="24"/>
          <w:rtl/>
        </w:rPr>
        <w:t>להלן העובדות כפי שנטענו בכתב האישום:</w:t>
      </w:r>
      <w:r>
        <w:rPr>
          <w:rFonts w:cs="David" w:hint="eastAsia"/>
          <w:color w:val="FFFFFF"/>
          <w:sz w:val="4"/>
          <w:szCs w:val="4"/>
          <w:rtl/>
        </w:rPr>
        <w:t>ב</w:t>
      </w:r>
    </w:p>
    <w:p w14:paraId="2894096F" w14:textId="77777777" w:rsidR="00091F6C" w:rsidRDefault="00091F6C">
      <w:pPr>
        <w:tabs>
          <w:tab w:val="left" w:pos="960"/>
        </w:tabs>
        <w:bidi/>
        <w:spacing w:line="320" w:lineRule="exact"/>
        <w:ind w:left="480"/>
        <w:rPr>
          <w:rFonts w:cs="David"/>
          <w:sz w:val="24"/>
          <w:szCs w:val="24"/>
          <w:rtl/>
        </w:rPr>
      </w:pPr>
      <w:r>
        <w:rPr>
          <w:rFonts w:cs="David"/>
          <w:sz w:val="24"/>
          <w:szCs w:val="24"/>
          <w:rtl/>
        </w:rPr>
        <w:t>הנאשם שנולד ב</w:t>
      </w:r>
      <w:r>
        <w:rPr>
          <w:rFonts w:ascii="Rod" w:hAnsi="Rod" w:cs="David"/>
          <w:szCs w:val="24"/>
          <w:rtl/>
        </w:rPr>
        <w:t>1966-</w:t>
      </w:r>
      <w:r>
        <w:rPr>
          <w:rFonts w:cs="David"/>
          <w:sz w:val="24"/>
          <w:szCs w:val="24"/>
          <w:rtl/>
        </w:rPr>
        <w:t xml:space="preserve"> הוא בן דודה (ודודתה) של המתלוננת ילידת </w:t>
      </w:r>
      <w:r>
        <w:rPr>
          <w:rFonts w:ascii="Rod" w:hAnsi="Rod" w:cs="David"/>
          <w:szCs w:val="24"/>
          <w:rtl/>
        </w:rPr>
        <w:t>1974</w:t>
      </w:r>
      <w:r>
        <w:rPr>
          <w:rFonts w:cs="David"/>
          <w:sz w:val="24"/>
          <w:szCs w:val="24"/>
          <w:rtl/>
        </w:rPr>
        <w:t>.</w:t>
      </w:r>
    </w:p>
    <w:p w14:paraId="523AB699"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מאז </w:t>
      </w:r>
      <w:r>
        <w:rPr>
          <w:rFonts w:ascii="Rod" w:hAnsi="Rod" w:cs="David"/>
          <w:szCs w:val="24"/>
          <w:rtl/>
        </w:rPr>
        <w:t>1979</w:t>
      </w:r>
      <w:r>
        <w:rPr>
          <w:rFonts w:cs="David"/>
          <w:sz w:val="24"/>
          <w:szCs w:val="24"/>
          <w:rtl/>
        </w:rPr>
        <w:t xml:space="preserve"> ועד </w:t>
      </w:r>
      <w:r>
        <w:rPr>
          <w:rFonts w:ascii="Rod" w:hAnsi="Rod" w:cs="David"/>
          <w:szCs w:val="24"/>
          <w:rtl/>
        </w:rPr>
        <w:t>1991</w:t>
      </w:r>
      <w:r>
        <w:rPr>
          <w:rFonts w:cs="David"/>
          <w:sz w:val="24"/>
          <w:szCs w:val="24"/>
          <w:rtl/>
        </w:rPr>
        <w:t xml:space="preserve"> נהג הנאשם בהזדמנויות שונות, כשנפגש עם המתלוננת לעשות בה מעשים מגונים:</w:t>
      </w:r>
      <w:r>
        <w:rPr>
          <w:rFonts w:cs="David" w:hint="eastAsia"/>
          <w:color w:val="FFFFFF"/>
          <w:sz w:val="4"/>
          <w:szCs w:val="4"/>
          <w:rtl/>
        </w:rPr>
        <w:t>ו</w:t>
      </w:r>
      <w:r>
        <w:rPr>
          <w:rFonts w:cs="David"/>
          <w:sz w:val="24"/>
          <w:szCs w:val="24"/>
          <w:rtl/>
        </w:rPr>
        <w:t xml:space="preserve"> היה נוגע בגופה, מפשיט אותה, היה מוציא את איבר מינו ושוכב על המתלוננת ומנסה להחדיר את איבר מינו לאיבר מינה.</w:t>
      </w:r>
    </w:p>
    <w:p w14:paraId="317BEC2A" w14:textId="77777777" w:rsidR="00091F6C" w:rsidRDefault="00091F6C">
      <w:pPr>
        <w:tabs>
          <w:tab w:val="left" w:pos="960"/>
        </w:tabs>
        <w:bidi/>
        <w:spacing w:line="320" w:lineRule="exact"/>
        <w:ind w:left="480"/>
        <w:rPr>
          <w:rFonts w:cs="David"/>
          <w:sz w:val="24"/>
          <w:szCs w:val="24"/>
          <w:rtl/>
        </w:rPr>
      </w:pPr>
      <w:r>
        <w:rPr>
          <w:rFonts w:cs="David"/>
          <w:sz w:val="24"/>
          <w:szCs w:val="24"/>
          <w:rtl/>
        </w:rPr>
        <w:t>כמו-כן, היה הנאשם דורש מהמתלוננת כי תלטף את איבר מינו ותמצוץ אותו, והמתלוננת בפחדה הרב עשתה כמצוות הנאשם.</w:t>
      </w:r>
    </w:p>
    <w:p w14:paraId="7A1FE643"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כמו-כן החל מהיות המתלוננת בת </w:t>
      </w:r>
      <w:r>
        <w:rPr>
          <w:rFonts w:ascii="Rod" w:hAnsi="Rod" w:cs="David"/>
          <w:szCs w:val="24"/>
          <w:rtl/>
        </w:rPr>
        <w:t>12</w:t>
      </w:r>
      <w:r>
        <w:rPr>
          <w:rFonts w:cs="David"/>
          <w:sz w:val="24"/>
          <w:szCs w:val="24"/>
          <w:rtl/>
        </w:rPr>
        <w:t>, היה הנאשם נוגע למתלוננת בחזה ומחדיר את אצבעותיו לתוך איבר מינה של המתלוננת.</w:t>
      </w:r>
    </w:p>
    <w:p w14:paraId="34D1A4D5"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בחודש פברואר </w:t>
      </w:r>
      <w:r>
        <w:rPr>
          <w:rFonts w:ascii="Rod" w:hAnsi="Rod" w:cs="David"/>
          <w:szCs w:val="24"/>
          <w:rtl/>
        </w:rPr>
        <w:t>1994</w:t>
      </w:r>
      <w:r>
        <w:rPr>
          <w:rFonts w:cs="David"/>
          <w:sz w:val="24"/>
          <w:szCs w:val="24"/>
          <w:rtl/>
        </w:rPr>
        <w:t>, החל הנאשם להתקשר אל המתלוננת ולאיים עליה שאם תתלונן נגדו הוא יפגע בה ויהרוג אותה וזאת בכוונה להפחידה ולהקניטה.</w:t>
      </w:r>
    </w:p>
    <w:p w14:paraId="69AD4908" w14:textId="77777777" w:rsidR="00091F6C" w:rsidRDefault="00091F6C">
      <w:pPr>
        <w:tabs>
          <w:tab w:val="left" w:pos="960"/>
        </w:tabs>
        <w:bidi/>
        <w:spacing w:line="320" w:lineRule="exact"/>
        <w:ind w:left="480"/>
        <w:rPr>
          <w:rFonts w:cs="David"/>
          <w:sz w:val="24"/>
          <w:szCs w:val="24"/>
          <w:rtl/>
        </w:rPr>
      </w:pPr>
      <w:r>
        <w:rPr>
          <w:rFonts w:cs="David"/>
          <w:sz w:val="24"/>
          <w:szCs w:val="24"/>
          <w:rtl/>
        </w:rPr>
        <w:t>ב</w:t>
      </w:r>
      <w:r>
        <w:rPr>
          <w:rFonts w:ascii="Rod" w:hAnsi="Rod" w:cs="David"/>
          <w:szCs w:val="24"/>
          <w:rtl/>
        </w:rPr>
        <w:t>19.3.94-</w:t>
      </w:r>
      <w:r>
        <w:rPr>
          <w:rFonts w:cs="David"/>
          <w:sz w:val="24"/>
          <w:szCs w:val="24"/>
          <w:rtl/>
        </w:rPr>
        <w:t xml:space="preserve"> או בסמוך לתאריך זה, התקשר שוב הנאשם למתלוננת, ואיים עליה שאם היא תתלונן עליו, הוא יחטיף לה מכות ויהרוג אותה, בכוונה להפחידה ולהקניטה.</w:t>
      </w:r>
    </w:p>
    <w:p w14:paraId="37D7A6F3"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המאשימה איננה מייחסת לנאשם עבירות בגין מעשיו בעת היותו קטין כלומר עד לשנת </w:t>
      </w:r>
      <w:r>
        <w:rPr>
          <w:rFonts w:ascii="Rod" w:hAnsi="Rod" w:cs="David"/>
          <w:szCs w:val="24"/>
          <w:rtl/>
        </w:rPr>
        <w:t>1984</w:t>
      </w:r>
      <w:r>
        <w:rPr>
          <w:rFonts w:cs="David"/>
          <w:sz w:val="24"/>
          <w:szCs w:val="24"/>
          <w:rtl/>
        </w:rPr>
        <w:t xml:space="preserve"> (</w:t>
      </w:r>
      <w:hyperlink r:id="rId28" w:history="1">
        <w:r w:rsidRPr="00091F6C">
          <w:rPr>
            <w:rStyle w:val="Hyperlink"/>
            <w:rFonts w:ascii="Rod" w:hAnsi="Rod" w:cs="David"/>
            <w:szCs w:val="24"/>
            <w:rtl/>
          </w:rPr>
          <w:t>סעיף 14</w:t>
        </w:r>
      </w:hyperlink>
      <w:r>
        <w:rPr>
          <w:rFonts w:cs="David"/>
          <w:sz w:val="24"/>
          <w:szCs w:val="24"/>
          <w:rtl/>
        </w:rPr>
        <w:t xml:space="preserve"> ל</w:t>
      </w:r>
      <w:hyperlink r:id="rId29"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הנוער</w:t>
        </w:r>
        <w:r w:rsidRPr="00091F6C">
          <w:rPr>
            <w:rStyle w:val="Hyperlink"/>
            <w:rFonts w:cs="David"/>
            <w:sz w:val="24"/>
            <w:szCs w:val="24"/>
            <w:rtl/>
          </w:rPr>
          <w:t xml:space="preserve"> (</w:t>
        </w:r>
        <w:r w:rsidRPr="00091F6C">
          <w:rPr>
            <w:rStyle w:val="Hyperlink"/>
            <w:rFonts w:cs="David" w:hint="eastAsia"/>
            <w:sz w:val="24"/>
            <w:szCs w:val="24"/>
            <w:rtl/>
          </w:rPr>
          <w:t>שפיטה</w:t>
        </w:r>
        <w:r w:rsidRPr="00091F6C">
          <w:rPr>
            <w:rStyle w:val="Hyperlink"/>
            <w:rFonts w:cs="David"/>
            <w:sz w:val="24"/>
            <w:szCs w:val="24"/>
            <w:rtl/>
          </w:rPr>
          <w:t xml:space="preserve"> </w:t>
        </w:r>
        <w:r w:rsidRPr="00091F6C">
          <w:rPr>
            <w:rStyle w:val="Hyperlink"/>
            <w:rFonts w:cs="David" w:hint="eastAsia"/>
            <w:sz w:val="24"/>
            <w:szCs w:val="24"/>
            <w:rtl/>
          </w:rPr>
          <w:t>ענישה</w:t>
        </w:r>
        <w:r w:rsidRPr="00091F6C">
          <w:rPr>
            <w:rStyle w:val="Hyperlink"/>
            <w:rFonts w:cs="David"/>
            <w:sz w:val="24"/>
            <w:szCs w:val="24"/>
            <w:rtl/>
          </w:rPr>
          <w:t xml:space="preserve"> </w:t>
        </w:r>
        <w:r w:rsidRPr="00091F6C">
          <w:rPr>
            <w:rStyle w:val="Hyperlink"/>
            <w:rFonts w:cs="David" w:hint="eastAsia"/>
            <w:sz w:val="24"/>
            <w:szCs w:val="24"/>
            <w:rtl/>
          </w:rPr>
          <w:t>ודרכי</w:t>
        </w:r>
        <w:r w:rsidRPr="00091F6C">
          <w:rPr>
            <w:rStyle w:val="Hyperlink"/>
            <w:rFonts w:cs="David"/>
            <w:sz w:val="24"/>
            <w:szCs w:val="24"/>
            <w:rtl/>
          </w:rPr>
          <w:t xml:space="preserve"> </w:t>
        </w:r>
        <w:r w:rsidRPr="00091F6C">
          <w:rPr>
            <w:rStyle w:val="Hyperlink"/>
            <w:rFonts w:cs="David" w:hint="eastAsia"/>
            <w:sz w:val="24"/>
            <w:szCs w:val="24"/>
            <w:rtl/>
          </w:rPr>
          <w:t>טיפול</w:t>
        </w:r>
        <w:r w:rsidRPr="00091F6C">
          <w:rPr>
            <w:rStyle w:val="Hyperlink"/>
            <w:rFonts w:cs="David"/>
            <w:sz w:val="24"/>
            <w:szCs w:val="24"/>
            <w:rtl/>
          </w:rPr>
          <w:t>)</w:t>
        </w:r>
      </w:hyperlink>
      <w:r>
        <w:rPr>
          <w:rFonts w:cs="David"/>
          <w:sz w:val="24"/>
          <w:szCs w:val="24"/>
          <w:rtl/>
        </w:rPr>
        <w:t xml:space="preserve"> התשל"א - </w:t>
      </w:r>
      <w:r>
        <w:rPr>
          <w:rFonts w:ascii="Rod" w:hAnsi="Rod" w:cs="David"/>
          <w:szCs w:val="24"/>
          <w:rtl/>
        </w:rPr>
        <w:t>1971</w:t>
      </w:r>
      <w:r>
        <w:rPr>
          <w:rFonts w:cs="David"/>
          <w:sz w:val="24"/>
          <w:szCs w:val="24"/>
          <w:rtl/>
        </w:rPr>
        <w:t>.</w:t>
      </w:r>
    </w:p>
    <w:p w14:paraId="672C9975" w14:textId="77777777" w:rsidR="00091F6C" w:rsidRDefault="00091F6C">
      <w:pPr>
        <w:tabs>
          <w:tab w:val="left" w:pos="960"/>
        </w:tabs>
        <w:bidi/>
        <w:spacing w:line="320" w:lineRule="exact"/>
        <w:ind w:left="480"/>
        <w:rPr>
          <w:rFonts w:cs="David"/>
          <w:sz w:val="24"/>
          <w:szCs w:val="24"/>
          <w:rtl/>
        </w:rPr>
      </w:pPr>
      <w:r>
        <w:rPr>
          <w:rFonts w:cs="David"/>
          <w:sz w:val="24"/>
          <w:szCs w:val="24"/>
          <w:rtl/>
        </w:rPr>
        <w:t>הנאשם כפר בכל העובדות שיוחסו לו בכתב האישום.</w:t>
      </w:r>
    </w:p>
    <w:p w14:paraId="35080DE6" w14:textId="77777777" w:rsidR="00091F6C" w:rsidRDefault="00091F6C">
      <w:pPr>
        <w:tabs>
          <w:tab w:val="left" w:pos="960"/>
        </w:tabs>
        <w:bidi/>
        <w:spacing w:line="320" w:lineRule="exact"/>
        <w:ind w:left="480"/>
        <w:rPr>
          <w:rFonts w:cs="David"/>
          <w:sz w:val="24"/>
          <w:szCs w:val="24"/>
          <w:rtl/>
        </w:rPr>
      </w:pPr>
    </w:p>
    <w:p w14:paraId="1109F5B7" w14:textId="77777777" w:rsidR="00091F6C" w:rsidRDefault="00091F6C">
      <w:pPr>
        <w:tabs>
          <w:tab w:val="left" w:pos="480"/>
        </w:tabs>
        <w:bidi/>
        <w:spacing w:line="320" w:lineRule="exact"/>
        <w:ind w:left="480" w:hanging="480"/>
        <w:rPr>
          <w:rFonts w:cs="David"/>
          <w:sz w:val="24"/>
          <w:szCs w:val="24"/>
          <w:rtl/>
        </w:rPr>
      </w:pPr>
      <w:r>
        <w:rPr>
          <w:rFonts w:cs="David"/>
          <w:bCs/>
          <w:sz w:val="24"/>
          <w:szCs w:val="24"/>
          <w:rtl/>
        </w:rPr>
        <w:lastRenderedPageBreak/>
        <w:t>2.</w:t>
      </w:r>
      <w:r>
        <w:rPr>
          <w:rFonts w:cs="David"/>
          <w:bCs/>
          <w:sz w:val="24"/>
          <w:szCs w:val="24"/>
          <w:rtl/>
        </w:rPr>
        <w:tab/>
      </w:r>
      <w:r>
        <w:rPr>
          <w:rFonts w:cs="David"/>
          <w:sz w:val="24"/>
          <w:szCs w:val="24"/>
          <w:rtl/>
        </w:rPr>
        <w:t xml:space="preserve">בסיכומיה ציינה ב"כ המאשימה כי האישום מבוסס בעיקרו על עדותה וגירסתה של המשיבה. כידוע, רשאי ביהמ"ש להרשיע באישום פלילי על פי עדות יחידה לאחר שהזהיר את עצמו (ראה גם ע"פ </w:t>
      </w:r>
      <w:r>
        <w:rPr>
          <w:rFonts w:ascii="Rod" w:hAnsi="Rod" w:cs="David"/>
          <w:szCs w:val="24"/>
          <w:rtl/>
        </w:rPr>
        <w:t>88</w:t>
      </w:r>
      <w:r>
        <w:rPr>
          <w:rFonts w:cs="David"/>
          <w:sz w:val="24"/>
          <w:szCs w:val="24"/>
          <w:rtl/>
        </w:rPr>
        <w:t>/</w:t>
      </w:r>
      <w:r>
        <w:rPr>
          <w:rFonts w:ascii="Rod" w:hAnsi="Rod" w:cs="David"/>
          <w:szCs w:val="24"/>
          <w:rtl/>
        </w:rPr>
        <w:t>347</w:t>
      </w:r>
      <w:r>
        <w:rPr>
          <w:rFonts w:cs="David"/>
          <w:sz w:val="24"/>
          <w:szCs w:val="24"/>
          <w:rtl/>
        </w:rPr>
        <w:t xml:space="preserve"> דמיאניוק נגד מדינת ישראל (פ"ד מ"ז (4) </w:t>
      </w:r>
      <w:r>
        <w:rPr>
          <w:rFonts w:ascii="Rod" w:hAnsi="Rod" w:cs="David"/>
          <w:szCs w:val="24"/>
          <w:rtl/>
        </w:rPr>
        <w:t>221</w:t>
      </w:r>
      <w:r>
        <w:rPr>
          <w:rFonts w:cs="David"/>
          <w:sz w:val="24"/>
          <w:szCs w:val="24"/>
          <w:rtl/>
        </w:rPr>
        <w:t xml:space="preserve">, </w:t>
      </w:r>
      <w:r>
        <w:rPr>
          <w:rFonts w:ascii="Rod" w:hAnsi="Rod" w:cs="David"/>
          <w:szCs w:val="24"/>
          <w:rtl/>
        </w:rPr>
        <w:t>392</w:t>
      </w:r>
      <w:r>
        <w:rPr>
          <w:rFonts w:cs="David"/>
          <w:sz w:val="24"/>
          <w:szCs w:val="24"/>
          <w:rtl/>
        </w:rPr>
        <w:t>).</w:t>
      </w:r>
    </w:p>
    <w:p w14:paraId="46243A0F"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עוד מודה ב"כ המאשימה בסיכומיה כי עדותה של המתלוננת. היא עדות כבושה רק בתוך כדי שרותה הצבאי של המתלוננת בהיותה מעל גיל </w:t>
      </w:r>
      <w:r>
        <w:rPr>
          <w:rFonts w:ascii="Rod" w:hAnsi="Rod" w:cs="David"/>
          <w:szCs w:val="24"/>
          <w:rtl/>
        </w:rPr>
        <w:t>18</w:t>
      </w:r>
      <w:r>
        <w:rPr>
          <w:rFonts w:cs="David"/>
          <w:sz w:val="24"/>
          <w:szCs w:val="24"/>
          <w:rtl/>
        </w:rPr>
        <w:t xml:space="preserve"> שנה, הביאה המתלוננת את גירסתה החמורה והנוראה, נגד הנאשם.</w:t>
      </w:r>
    </w:p>
    <w:p w14:paraId="76D41D59" w14:textId="77777777" w:rsidR="00091F6C" w:rsidRDefault="00091F6C">
      <w:pPr>
        <w:tabs>
          <w:tab w:val="left" w:pos="960"/>
        </w:tabs>
        <w:bidi/>
        <w:spacing w:line="320" w:lineRule="exact"/>
        <w:ind w:left="480"/>
        <w:rPr>
          <w:rFonts w:cs="David"/>
          <w:sz w:val="24"/>
          <w:szCs w:val="24"/>
          <w:rtl/>
        </w:rPr>
      </w:pPr>
      <w:r>
        <w:rPr>
          <w:rFonts w:cs="David"/>
          <w:sz w:val="24"/>
          <w:szCs w:val="24"/>
          <w:rtl/>
        </w:rPr>
        <w:t>לפני כן היא המתלוננת לא אמרה ולא הזכירה דבר לפני אף אחד על מה שעשה בה הנאשם.</w:t>
      </w:r>
    </w:p>
    <w:p w14:paraId="4276DF9C" w14:textId="77777777" w:rsidR="00091F6C" w:rsidRDefault="00091F6C">
      <w:pPr>
        <w:tabs>
          <w:tab w:val="left" w:pos="960"/>
        </w:tabs>
        <w:bidi/>
        <w:spacing w:line="320" w:lineRule="exact"/>
        <w:ind w:left="480"/>
        <w:rPr>
          <w:rFonts w:cs="David"/>
          <w:sz w:val="24"/>
          <w:szCs w:val="24"/>
          <w:rtl/>
        </w:rPr>
      </w:pPr>
      <w:r>
        <w:rPr>
          <w:rFonts w:cs="David"/>
          <w:sz w:val="24"/>
          <w:szCs w:val="24"/>
          <w:rtl/>
        </w:rPr>
        <w:t>הגירוי שהביא לחשיפת תלונתה של המתלוננת נגד הנאשם היו איומיו של הנאשם שהביאוה להביא גירסתה תחילה בפני העד ערן גיא, ואח"כ לגורמים אחרים ולבסוף הגיעו הדברים לתלונה במשטרה.</w:t>
      </w:r>
    </w:p>
    <w:p w14:paraId="656D3C4F"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אכן ההלכה היא שעדות כבושה משקלה בדרך כלל מועט. במה דברים אמורים, כאשר לא ניתן הסבר מניח את הדעת מדוע נכבשה העדות, אך אם יש הסבר סביר לכבישת העדות, המהימן על ידי ביהמ"ש, כי אז אין עוד לייחס חשיבות רבה לכבישת העדות וכבישת העדות כשלעצמה, אינה צריכה לבטל את ערכה ומשקלה (ע"פ </w:t>
      </w:r>
      <w:r>
        <w:rPr>
          <w:rFonts w:ascii="Rod" w:hAnsi="Rod" w:cs="David"/>
          <w:szCs w:val="24"/>
          <w:rtl/>
        </w:rPr>
        <w:t>85</w:t>
      </w:r>
      <w:r>
        <w:rPr>
          <w:rFonts w:cs="David"/>
          <w:sz w:val="24"/>
          <w:szCs w:val="24"/>
          <w:rtl/>
        </w:rPr>
        <w:t>/</w:t>
      </w:r>
      <w:r>
        <w:rPr>
          <w:rFonts w:ascii="Rod" w:hAnsi="Rod" w:cs="David"/>
          <w:szCs w:val="24"/>
          <w:rtl/>
        </w:rPr>
        <w:t>795</w:t>
      </w:r>
      <w:r>
        <w:rPr>
          <w:rFonts w:cs="David"/>
          <w:sz w:val="24"/>
          <w:szCs w:val="24"/>
          <w:rtl/>
        </w:rPr>
        <w:t xml:space="preserve"> עמר נגד מדינת ישראל פ"ד מ"ב (4) </w:t>
      </w:r>
      <w:r>
        <w:rPr>
          <w:rFonts w:ascii="Rod" w:hAnsi="Rod" w:cs="David"/>
          <w:szCs w:val="24"/>
          <w:rtl/>
        </w:rPr>
        <w:t>294</w:t>
      </w:r>
      <w:r>
        <w:rPr>
          <w:rFonts w:cs="David"/>
          <w:sz w:val="24"/>
          <w:szCs w:val="24"/>
          <w:rtl/>
        </w:rPr>
        <w:t xml:space="preserve">, </w:t>
      </w:r>
      <w:r>
        <w:rPr>
          <w:rFonts w:ascii="Rod" w:hAnsi="Rod" w:cs="David"/>
          <w:szCs w:val="24"/>
          <w:rtl/>
        </w:rPr>
        <w:t>304</w:t>
      </w:r>
      <w:r>
        <w:rPr>
          <w:rFonts w:cs="David"/>
          <w:sz w:val="24"/>
          <w:szCs w:val="24"/>
          <w:rtl/>
        </w:rPr>
        <w:t>; ע"פ 8/</w:t>
      </w:r>
      <w:r>
        <w:rPr>
          <w:rFonts w:ascii="Rod" w:hAnsi="Rod" w:cs="David"/>
          <w:szCs w:val="24"/>
          <w:rtl/>
        </w:rPr>
        <w:t>185</w:t>
      </w:r>
      <w:r>
        <w:rPr>
          <w:rFonts w:cs="David"/>
          <w:sz w:val="24"/>
          <w:szCs w:val="24"/>
          <w:rtl/>
        </w:rPr>
        <w:t xml:space="preserve"> יהלום נגד מדינת ישראל, וערעור שכנגד פ"ד מ"ג (1) </w:t>
      </w:r>
      <w:r>
        <w:rPr>
          <w:rFonts w:ascii="Rod" w:hAnsi="Rod" w:cs="David"/>
          <w:szCs w:val="24"/>
          <w:rtl/>
        </w:rPr>
        <w:t>543</w:t>
      </w:r>
      <w:r>
        <w:rPr>
          <w:rFonts w:cs="David"/>
          <w:sz w:val="24"/>
          <w:szCs w:val="24"/>
          <w:rtl/>
        </w:rPr>
        <w:t xml:space="preserve">, </w:t>
      </w:r>
      <w:r>
        <w:rPr>
          <w:rFonts w:ascii="Rod" w:hAnsi="Rod" w:cs="David"/>
          <w:szCs w:val="24"/>
          <w:rtl/>
        </w:rPr>
        <w:t>550</w:t>
      </w:r>
      <w:r>
        <w:rPr>
          <w:rFonts w:cs="David"/>
          <w:sz w:val="24"/>
          <w:szCs w:val="24"/>
          <w:rtl/>
        </w:rPr>
        <w:t>).</w:t>
      </w:r>
    </w:p>
    <w:p w14:paraId="2AAF9E55" w14:textId="77777777" w:rsidR="00091F6C" w:rsidRDefault="00091F6C">
      <w:pPr>
        <w:tabs>
          <w:tab w:val="left" w:pos="960"/>
        </w:tabs>
        <w:bidi/>
        <w:spacing w:line="320" w:lineRule="exact"/>
        <w:ind w:left="480"/>
        <w:rPr>
          <w:rFonts w:cs="David"/>
          <w:sz w:val="24"/>
          <w:szCs w:val="24"/>
          <w:rtl/>
        </w:rPr>
      </w:pPr>
    </w:p>
    <w:p w14:paraId="2E59F17B" w14:textId="77777777" w:rsidR="00091F6C" w:rsidRDefault="00091F6C">
      <w:pPr>
        <w:tabs>
          <w:tab w:val="left" w:pos="960"/>
        </w:tabs>
        <w:bidi/>
        <w:spacing w:line="320" w:lineRule="exact"/>
        <w:ind w:left="480"/>
        <w:rPr>
          <w:rFonts w:cs="David"/>
          <w:sz w:val="24"/>
          <w:szCs w:val="24"/>
          <w:rtl/>
        </w:rPr>
      </w:pPr>
      <w:r>
        <w:rPr>
          <w:rFonts w:cs="David"/>
          <w:sz w:val="24"/>
          <w:szCs w:val="24"/>
          <w:rtl/>
        </w:rPr>
        <w:t>בענין הנדון בפנינו הסברה של המתלוננת כי פחדה מהנאשם וממשפחתה, וכי מדובר בתלונה נגד בן משפחה, בן דודה הן מצד אביה והן מצד אימה, שהיה בן בית במשפחה, ולכן כבשה את עדותה בנסיבותיו מתקבל על דעתינו ונראה סביר בעיני יש לציין כי לפחות בחלק מהתקופה מדובר ב"משחק" מיני של נער שהיה לבחור עם ילדה שמכלל פעוטה יצאה ולכלל נערה טרם הגיעה, אולי היא לא הבינה בשלבים המוקדמים מה עשה בה הנאשם. יתכן אף שבשלבים שונים של "המשחק" המיני חשה המתלוננת ספוק או הנאה שבעקבותיהם רגשי אשמה או צורך לשמור על "סודיות" ("שותפות לעבירה").</w:t>
      </w:r>
    </w:p>
    <w:p w14:paraId="4B91C3EA" w14:textId="77777777" w:rsidR="00091F6C" w:rsidRDefault="00091F6C">
      <w:pPr>
        <w:tabs>
          <w:tab w:val="left" w:pos="960"/>
        </w:tabs>
        <w:bidi/>
        <w:spacing w:line="320" w:lineRule="exact"/>
        <w:ind w:left="480"/>
        <w:rPr>
          <w:rFonts w:cs="David"/>
          <w:sz w:val="24"/>
          <w:szCs w:val="24"/>
          <w:rtl/>
        </w:rPr>
      </w:pPr>
    </w:p>
    <w:p w14:paraId="3215C5BF" w14:textId="77777777" w:rsidR="00091F6C" w:rsidRDefault="00091F6C">
      <w:pPr>
        <w:tabs>
          <w:tab w:val="left" w:pos="480"/>
        </w:tabs>
        <w:bidi/>
        <w:spacing w:line="320" w:lineRule="exact"/>
        <w:ind w:left="480" w:hanging="480"/>
        <w:rPr>
          <w:rFonts w:cs="David"/>
          <w:sz w:val="24"/>
          <w:szCs w:val="24"/>
          <w:rtl/>
        </w:rPr>
      </w:pPr>
      <w:r>
        <w:rPr>
          <w:rFonts w:cs="David"/>
          <w:bCs/>
          <w:sz w:val="24"/>
          <w:szCs w:val="24"/>
          <w:rtl/>
        </w:rPr>
        <w:t>3.</w:t>
      </w:r>
      <w:r>
        <w:rPr>
          <w:rFonts w:cs="David"/>
          <w:bCs/>
          <w:sz w:val="24"/>
          <w:szCs w:val="24"/>
          <w:rtl/>
        </w:rPr>
        <w:tab/>
      </w:r>
      <w:r>
        <w:rPr>
          <w:rFonts w:cs="David"/>
          <w:sz w:val="24"/>
          <w:szCs w:val="24"/>
          <w:rtl/>
        </w:rPr>
        <w:t>עדותה של המתלוננת נגד הנאשם שהוא בצע בה במשך שנים מעשים מיניים שונים מהימנת עלי, על אף שמדובר בעדות יחידה ולאחר שאני נוקט בזהירות הראויה לפני שיוכרע את הדין על פי גירסת המתלוננת.</w:t>
      </w:r>
    </w:p>
    <w:p w14:paraId="084FECC8" w14:textId="77777777" w:rsidR="00091F6C" w:rsidRDefault="00091F6C">
      <w:pPr>
        <w:tabs>
          <w:tab w:val="left" w:pos="960"/>
        </w:tabs>
        <w:bidi/>
        <w:spacing w:line="320" w:lineRule="exact"/>
        <w:ind w:left="480"/>
        <w:rPr>
          <w:rFonts w:cs="David"/>
          <w:sz w:val="24"/>
          <w:szCs w:val="24"/>
          <w:rtl/>
        </w:rPr>
      </w:pPr>
      <w:r>
        <w:rPr>
          <w:rFonts w:cs="David"/>
          <w:sz w:val="24"/>
          <w:szCs w:val="24"/>
          <w:rtl/>
        </w:rPr>
        <w:t>ביחד עם זאת בהתחשב בכך שמדובר במעשים שחלקם נעשה בקטינה בתקופת ילדותה המוקדמת, כאשר היא לא הבינה מה בדיוק עושה בה הנאשם, אצטרך לפרש כל התנהגות מינית של הנאשם במתלוננת לקולא. הדברים יפורטו בהמשך</w:t>
      </w:r>
    </w:p>
    <w:p w14:paraId="7D3B7790"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בסיכומיה מודה ב"כ המאשימה כי אי אפשר להסיק מעדותה של המתלוננת אם היתה חדירה של איבר המין של הנאשם לאיבר מינה של המתלוננת, אך מבקשת שנקבע כי היו נסיונות כאלה מצד הנאשם. כאן נזכיר שהמתלוננת העידה כי הנאשם החדיר אצבעותיו לאיבר מינה או ניסה להחדיר אצבעותיו באיבר מינה, נגע </w:t>
      </w:r>
    </w:p>
    <w:p w14:paraId="6D66D761" w14:textId="77777777" w:rsidR="00091F6C" w:rsidRDefault="00091F6C">
      <w:pPr>
        <w:tabs>
          <w:tab w:val="left" w:pos="960"/>
        </w:tabs>
        <w:bidi/>
        <w:spacing w:line="320" w:lineRule="exact"/>
        <w:ind w:left="480"/>
        <w:jc w:val="center"/>
        <w:rPr>
          <w:rFonts w:cs="David"/>
          <w:bCs/>
          <w:sz w:val="24"/>
          <w:szCs w:val="24"/>
          <w:rtl/>
        </w:rPr>
      </w:pPr>
      <w:r>
        <w:rPr>
          <w:rFonts w:cs="David" w:hint="eastAsia"/>
          <w:bCs/>
          <w:sz w:val="24"/>
          <w:szCs w:val="24"/>
          <w:rtl/>
        </w:rPr>
        <w:t>בכל</w:t>
      </w:r>
      <w:r>
        <w:rPr>
          <w:rFonts w:cs="David"/>
          <w:bCs/>
          <w:sz w:val="24"/>
          <w:szCs w:val="24"/>
          <w:rtl/>
        </w:rPr>
        <w:t xml:space="preserve"> </w:t>
      </w:r>
      <w:r>
        <w:rPr>
          <w:rFonts w:cs="David" w:hint="eastAsia"/>
          <w:bCs/>
          <w:sz w:val="24"/>
          <w:szCs w:val="24"/>
          <w:rtl/>
        </w:rPr>
        <w:t>חלקי</w:t>
      </w:r>
      <w:r>
        <w:rPr>
          <w:rFonts w:cs="David"/>
          <w:bCs/>
          <w:sz w:val="24"/>
          <w:szCs w:val="24"/>
          <w:rtl/>
        </w:rPr>
        <w:t xml:space="preserve"> </w:t>
      </w:r>
      <w:r>
        <w:rPr>
          <w:rFonts w:cs="David" w:hint="eastAsia"/>
          <w:bCs/>
          <w:sz w:val="24"/>
          <w:szCs w:val="24"/>
          <w:rtl/>
        </w:rPr>
        <w:t>גופה</w:t>
      </w:r>
      <w:r>
        <w:rPr>
          <w:rFonts w:cs="David"/>
          <w:bCs/>
          <w:sz w:val="24"/>
          <w:szCs w:val="24"/>
          <w:rtl/>
        </w:rPr>
        <w:t xml:space="preserve"> </w:t>
      </w:r>
      <w:r>
        <w:rPr>
          <w:rFonts w:cs="David" w:hint="eastAsia"/>
          <w:bCs/>
          <w:sz w:val="24"/>
          <w:szCs w:val="24"/>
          <w:rtl/>
        </w:rPr>
        <w:t>והשפיע</w:t>
      </w:r>
      <w:r>
        <w:rPr>
          <w:rFonts w:cs="David"/>
          <w:bCs/>
          <w:sz w:val="24"/>
          <w:szCs w:val="24"/>
          <w:rtl/>
        </w:rPr>
        <w:t xml:space="preserve"> </w:t>
      </w:r>
      <w:r>
        <w:rPr>
          <w:rFonts w:cs="David" w:hint="eastAsia"/>
          <w:bCs/>
          <w:sz w:val="24"/>
          <w:szCs w:val="24"/>
          <w:rtl/>
        </w:rPr>
        <w:t>או</w:t>
      </w:r>
      <w:r>
        <w:rPr>
          <w:rFonts w:cs="David"/>
          <w:bCs/>
          <w:sz w:val="24"/>
          <w:szCs w:val="24"/>
          <w:rtl/>
        </w:rPr>
        <w:t xml:space="preserve"> </w:t>
      </w:r>
      <w:r>
        <w:rPr>
          <w:rFonts w:cs="David" w:hint="eastAsia"/>
          <w:bCs/>
          <w:sz w:val="24"/>
          <w:szCs w:val="24"/>
          <w:rtl/>
        </w:rPr>
        <w:t>אילץ</w:t>
      </w:r>
      <w:r>
        <w:rPr>
          <w:rFonts w:cs="David"/>
          <w:bCs/>
          <w:sz w:val="24"/>
          <w:szCs w:val="24"/>
          <w:rtl/>
        </w:rPr>
        <w:t xml:space="preserve"> </w:t>
      </w:r>
      <w:r>
        <w:rPr>
          <w:rFonts w:cs="David" w:hint="eastAsia"/>
          <w:bCs/>
          <w:sz w:val="24"/>
          <w:szCs w:val="24"/>
          <w:rtl/>
        </w:rPr>
        <w:t>אותה</w:t>
      </w:r>
      <w:r>
        <w:rPr>
          <w:rFonts w:cs="David"/>
          <w:bCs/>
          <w:sz w:val="24"/>
          <w:szCs w:val="24"/>
          <w:rtl/>
        </w:rPr>
        <w:t xml:space="preserve"> </w:t>
      </w:r>
      <w:r>
        <w:rPr>
          <w:rFonts w:cs="David" w:hint="eastAsia"/>
          <w:bCs/>
          <w:sz w:val="24"/>
          <w:szCs w:val="24"/>
          <w:rtl/>
        </w:rPr>
        <w:t>למצוץ</w:t>
      </w:r>
      <w:r>
        <w:rPr>
          <w:rFonts w:cs="David"/>
          <w:bCs/>
          <w:sz w:val="24"/>
          <w:szCs w:val="24"/>
          <w:rtl/>
        </w:rPr>
        <w:t xml:space="preserve"> </w:t>
      </w:r>
      <w:r>
        <w:rPr>
          <w:rFonts w:cs="David" w:hint="eastAsia"/>
          <w:bCs/>
          <w:sz w:val="24"/>
          <w:szCs w:val="24"/>
          <w:rtl/>
        </w:rPr>
        <w:t>את</w:t>
      </w:r>
      <w:r>
        <w:rPr>
          <w:rFonts w:cs="David"/>
          <w:bCs/>
          <w:sz w:val="24"/>
          <w:szCs w:val="24"/>
          <w:rtl/>
        </w:rPr>
        <w:t xml:space="preserve"> </w:t>
      </w:r>
      <w:r>
        <w:rPr>
          <w:rFonts w:cs="David" w:hint="eastAsia"/>
          <w:bCs/>
          <w:sz w:val="24"/>
          <w:szCs w:val="24"/>
          <w:rtl/>
        </w:rPr>
        <w:t>איבר</w:t>
      </w:r>
      <w:r>
        <w:rPr>
          <w:rFonts w:cs="David"/>
          <w:bCs/>
          <w:sz w:val="24"/>
          <w:szCs w:val="24"/>
          <w:rtl/>
        </w:rPr>
        <w:t xml:space="preserve"> </w:t>
      </w:r>
      <w:r>
        <w:rPr>
          <w:rFonts w:cs="David" w:hint="eastAsia"/>
          <w:bCs/>
          <w:sz w:val="24"/>
          <w:szCs w:val="24"/>
          <w:rtl/>
        </w:rPr>
        <w:t>מינו</w:t>
      </w:r>
      <w:r>
        <w:rPr>
          <w:rFonts w:cs="David"/>
          <w:bCs/>
          <w:sz w:val="24"/>
          <w:szCs w:val="24"/>
          <w:rtl/>
        </w:rPr>
        <w:t>.</w:t>
      </w:r>
    </w:p>
    <w:p w14:paraId="1D619F0C" w14:textId="77777777" w:rsidR="00091F6C" w:rsidRDefault="00091F6C">
      <w:pPr>
        <w:tabs>
          <w:tab w:val="left" w:pos="960"/>
        </w:tabs>
        <w:bidi/>
        <w:spacing w:line="320" w:lineRule="exact"/>
        <w:ind w:left="480"/>
        <w:rPr>
          <w:rFonts w:cs="David"/>
          <w:sz w:val="24"/>
          <w:szCs w:val="24"/>
          <w:rtl/>
        </w:rPr>
      </w:pPr>
    </w:p>
    <w:p w14:paraId="451F5E1C" w14:textId="77777777" w:rsidR="00091F6C" w:rsidRDefault="00091F6C">
      <w:pPr>
        <w:tabs>
          <w:tab w:val="left" w:pos="960"/>
        </w:tabs>
        <w:bidi/>
        <w:spacing w:line="320" w:lineRule="exact"/>
        <w:ind w:left="480"/>
        <w:rPr>
          <w:rFonts w:cs="David"/>
          <w:sz w:val="24"/>
          <w:szCs w:val="24"/>
          <w:rtl/>
        </w:rPr>
      </w:pPr>
      <w:r>
        <w:rPr>
          <w:rFonts w:cs="David"/>
          <w:sz w:val="24"/>
          <w:szCs w:val="24"/>
          <w:rtl/>
        </w:rPr>
        <w:t>נראה לנו שלאור עדותה המהוססת של המתלוננת באשר למה שהנאשם עשה בדיוק באיבר מינה, ולאור התעודה הרפואית נ/1 המעידה שקרום הבתולים של העדה שלם והיא בתולה, ולאור ההנחה שלפחות בתקופה ממושכת, בהתחשב בגיל המתלוננת היא בעצם לא ידעה בדיוק מה עשה בה הנאשם, יש להסיק, בהנחת ספק לטובת הנאשם:</w:t>
      </w:r>
      <w:r>
        <w:rPr>
          <w:rFonts w:cs="David" w:hint="eastAsia"/>
          <w:color w:val="FFFFFF"/>
          <w:sz w:val="4"/>
          <w:szCs w:val="4"/>
          <w:rtl/>
        </w:rPr>
        <w:t>נ</w:t>
      </w:r>
      <w:r>
        <w:rPr>
          <w:rFonts w:cs="David"/>
          <w:sz w:val="24"/>
          <w:szCs w:val="24"/>
          <w:rtl/>
        </w:rPr>
        <w:t xml:space="preserve"> "משחק" מיני של הנאשם באיבר מינה של המתלוננת ובגופה במשך שנים היה, חדירה לאיבר מינה של המתלוננת אם באיבר מינו של הנאשם, אם באצבעותיו לא הוכחה, והיא בבחינת ספק הפועל לטובת הנאשם.</w:t>
      </w:r>
    </w:p>
    <w:p w14:paraId="5F6A2E56" w14:textId="77777777" w:rsidR="00091F6C" w:rsidRDefault="00091F6C">
      <w:pPr>
        <w:tabs>
          <w:tab w:val="left" w:pos="960"/>
        </w:tabs>
        <w:bidi/>
        <w:spacing w:line="320" w:lineRule="exact"/>
        <w:ind w:left="480"/>
        <w:rPr>
          <w:rFonts w:cs="David"/>
          <w:sz w:val="24"/>
          <w:szCs w:val="24"/>
          <w:rtl/>
        </w:rPr>
      </w:pPr>
      <w:r>
        <w:rPr>
          <w:rFonts w:cs="David"/>
          <w:sz w:val="24"/>
          <w:szCs w:val="24"/>
          <w:rtl/>
        </w:rPr>
        <w:t>ביחד עם זאת, אני מאמין למתלוננת כי הנאשם דרש ממנה מידי פעם למצוץ לו את איבר מינו והיא אכן עשתה זאת, ובכך ביצע הנאשם עבירה של אינוס כלפי המתלוננת לפחות בתקופה שמעשה כזה נחשב לאינוס, על פי החוק.</w:t>
      </w:r>
    </w:p>
    <w:p w14:paraId="0780951A" w14:textId="77777777" w:rsidR="00091F6C" w:rsidRDefault="00091F6C">
      <w:pPr>
        <w:tabs>
          <w:tab w:val="left" w:pos="960"/>
        </w:tabs>
        <w:bidi/>
        <w:spacing w:line="320" w:lineRule="exact"/>
        <w:ind w:left="480"/>
        <w:rPr>
          <w:rFonts w:cs="David"/>
          <w:sz w:val="24"/>
          <w:szCs w:val="24"/>
          <w:rtl/>
        </w:rPr>
      </w:pPr>
    </w:p>
    <w:p w14:paraId="6AE4C396" w14:textId="77777777" w:rsidR="00091F6C" w:rsidRDefault="00091F6C">
      <w:pPr>
        <w:tabs>
          <w:tab w:val="left" w:pos="480"/>
        </w:tabs>
        <w:bidi/>
        <w:spacing w:line="320" w:lineRule="exact"/>
        <w:ind w:left="480" w:hanging="480"/>
        <w:rPr>
          <w:rFonts w:cs="David"/>
          <w:sz w:val="24"/>
          <w:szCs w:val="24"/>
          <w:rtl/>
        </w:rPr>
      </w:pPr>
      <w:r>
        <w:rPr>
          <w:rFonts w:cs="David"/>
          <w:bCs/>
          <w:sz w:val="24"/>
          <w:szCs w:val="24"/>
          <w:rtl/>
        </w:rPr>
        <w:t>4.</w:t>
      </w:r>
      <w:r>
        <w:rPr>
          <w:rFonts w:cs="David"/>
          <w:sz w:val="24"/>
          <w:szCs w:val="24"/>
          <w:rtl/>
        </w:rPr>
        <w:tab/>
        <w:t>התרשמתי לא טוב מעדות הנאשם.</w:t>
      </w:r>
    </w:p>
    <w:p w14:paraId="653033B9" w14:textId="77777777" w:rsidR="00091F6C" w:rsidRDefault="00091F6C">
      <w:pPr>
        <w:tabs>
          <w:tab w:val="left" w:pos="960"/>
        </w:tabs>
        <w:bidi/>
        <w:spacing w:line="320" w:lineRule="exact"/>
        <w:ind w:left="480"/>
        <w:rPr>
          <w:rFonts w:cs="David"/>
          <w:sz w:val="24"/>
          <w:szCs w:val="24"/>
          <w:rtl/>
        </w:rPr>
      </w:pPr>
      <w:r>
        <w:rPr>
          <w:rFonts w:cs="David"/>
          <w:sz w:val="24"/>
          <w:szCs w:val="24"/>
          <w:rtl/>
        </w:rPr>
        <w:t>בחקירתו במשטרה בשלבים הראשונים סירב הנאשם לשתף פעולה תוך הצהרה:</w:t>
      </w:r>
      <w:r>
        <w:rPr>
          <w:rFonts w:cs="David" w:hint="eastAsia"/>
          <w:color w:val="FFFFFF"/>
          <w:sz w:val="4"/>
          <w:szCs w:val="4"/>
          <w:rtl/>
        </w:rPr>
        <w:t>ב</w:t>
      </w:r>
      <w:r>
        <w:rPr>
          <w:rFonts w:cs="David"/>
          <w:sz w:val="24"/>
          <w:szCs w:val="24"/>
          <w:rtl/>
        </w:rPr>
        <w:t xml:space="preserve"> "אין לי מה להגיד" (ת/4). מהודעותיו במשטרה לא נראה שהנאשם היה מופתע מתלונה של המתלוננת נגדו, ולכן במקום להבהל או להכחיש או להתריס הוא נקט בדרך כלל בטקטיקה של אי שיתוף פעולה עם חוקריו. בכפוף להסתייגויות שפרטתי, אני מעדיף</w:t>
      </w:r>
      <w:r>
        <w:rPr>
          <w:rFonts w:cs="David"/>
          <w:bCs/>
          <w:sz w:val="24"/>
          <w:szCs w:val="24"/>
          <w:rtl/>
        </w:rPr>
        <w:t xml:space="preserve"> </w:t>
      </w:r>
      <w:r>
        <w:rPr>
          <w:rFonts w:cs="David"/>
          <w:sz w:val="24"/>
          <w:szCs w:val="24"/>
          <w:rtl/>
        </w:rPr>
        <w:t>את גירסתה של המתלוננת על זו של הנאשם, אני מאמין למתלוננת כי מה שהביא לתלונתה במשטרה הם איומי הנאשם עליה, שלא תספר עליו מה שהוא עשה בה.</w:t>
      </w:r>
    </w:p>
    <w:p w14:paraId="053D1F25" w14:textId="77777777" w:rsidR="00091F6C" w:rsidRDefault="00091F6C">
      <w:pPr>
        <w:tabs>
          <w:tab w:val="left" w:pos="960"/>
        </w:tabs>
        <w:bidi/>
        <w:spacing w:line="320" w:lineRule="exact"/>
        <w:ind w:left="480"/>
        <w:rPr>
          <w:rFonts w:cs="David"/>
          <w:sz w:val="24"/>
          <w:szCs w:val="24"/>
          <w:rtl/>
        </w:rPr>
      </w:pPr>
      <w:r>
        <w:rPr>
          <w:rFonts w:cs="David"/>
          <w:sz w:val="24"/>
          <w:szCs w:val="24"/>
          <w:rtl/>
        </w:rPr>
        <w:t>הסניגורית בגילוי לב ראוי לציון מודה, שלא ניתן להראות מניע שהביא את המתלוננת לבוא בעלילות שווא על הנאשם. נכון שגם אם אין לגלות מניע, להעליל יתכן שמדובר בעלילה.</w:t>
      </w:r>
    </w:p>
    <w:p w14:paraId="14E0873D" w14:textId="77777777" w:rsidR="00091F6C" w:rsidRDefault="00091F6C">
      <w:pPr>
        <w:tabs>
          <w:tab w:val="left" w:pos="960"/>
        </w:tabs>
        <w:bidi/>
        <w:spacing w:line="320" w:lineRule="exact"/>
        <w:ind w:left="480"/>
        <w:rPr>
          <w:rFonts w:cs="David"/>
          <w:sz w:val="24"/>
          <w:szCs w:val="24"/>
          <w:rtl/>
        </w:rPr>
      </w:pPr>
      <w:r>
        <w:rPr>
          <w:rFonts w:cs="David"/>
          <w:sz w:val="24"/>
          <w:szCs w:val="24"/>
          <w:rtl/>
        </w:rPr>
        <w:t>ביחד עם זאת, אין להתעלם מכך שהרבה יותר סביר להניח, שבעיקרה גירסת המתלוננת משקפת את מה שארע, מלהניח שללא כל סיבה נראית לעין באה המתלוננת בעלילה על בן דודה שהיה בן בית בבית משפחתה.</w:t>
      </w:r>
    </w:p>
    <w:p w14:paraId="04B0FCDD"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באשר למעשים המגונים שעשה הנאשם במתלוננת אחרי הגיעה לגיל </w:t>
      </w:r>
      <w:r>
        <w:rPr>
          <w:rFonts w:ascii="Rod" w:hAnsi="Rod" w:cs="David"/>
          <w:szCs w:val="24"/>
          <w:rtl/>
        </w:rPr>
        <w:t>14</w:t>
      </w:r>
      <w:r>
        <w:rPr>
          <w:rFonts w:cs="David"/>
          <w:sz w:val="24"/>
          <w:szCs w:val="24"/>
          <w:rtl/>
        </w:rPr>
        <w:t xml:space="preserve"> שנה ועד לגיל </w:t>
      </w:r>
      <w:r>
        <w:rPr>
          <w:rFonts w:ascii="Rod" w:hAnsi="Rod" w:cs="David"/>
          <w:szCs w:val="24"/>
          <w:rtl/>
        </w:rPr>
        <w:t>17</w:t>
      </w:r>
      <w:r>
        <w:rPr>
          <w:rFonts w:cs="David"/>
          <w:sz w:val="24"/>
          <w:szCs w:val="24"/>
          <w:rtl/>
        </w:rPr>
        <w:t xml:space="preserve"> שנה, יש ספק אם המעשים נעשו בשעתם בהסכמת המתלוננת או אם לאו. לכן מן הראוי שהנאשם יזוכה מעבירות אלה באשר לתקופה זו. בהתייחס להחדרת איבר מין הנאשם בפי המתלוננת אחרי גיל </w:t>
      </w:r>
      <w:r>
        <w:rPr>
          <w:rFonts w:ascii="Rod" w:hAnsi="Rod" w:cs="David"/>
          <w:szCs w:val="24"/>
          <w:rtl/>
        </w:rPr>
        <w:t>14</w:t>
      </w:r>
      <w:r>
        <w:rPr>
          <w:rFonts w:cs="David"/>
          <w:sz w:val="24"/>
          <w:szCs w:val="24"/>
          <w:rtl/>
        </w:rPr>
        <w:t xml:space="preserve"> שנה, יש להרשיע בכל מקרה גם אם זה היה בהסכמתה (</w:t>
      </w:r>
      <w:hyperlink r:id="rId30" w:history="1">
        <w:r w:rsidRPr="00091F6C">
          <w:rPr>
            <w:rStyle w:val="Hyperlink"/>
            <w:rFonts w:cs="David" w:hint="eastAsia"/>
            <w:sz w:val="24"/>
            <w:szCs w:val="24"/>
            <w:rtl/>
          </w:rPr>
          <w:t>סעיף</w:t>
        </w:r>
        <w:r w:rsidRPr="00091F6C">
          <w:rPr>
            <w:rStyle w:val="Hyperlink"/>
            <w:rFonts w:cs="David"/>
            <w:sz w:val="24"/>
            <w:szCs w:val="24"/>
            <w:rtl/>
          </w:rPr>
          <w:t xml:space="preserve"> 347(</w:t>
        </w:r>
        <w:r w:rsidRPr="00091F6C">
          <w:rPr>
            <w:rStyle w:val="Hyperlink"/>
            <w:rFonts w:cs="David" w:hint="eastAsia"/>
            <w:sz w:val="24"/>
            <w:szCs w:val="24"/>
            <w:rtl/>
          </w:rPr>
          <w:t>א</w:t>
        </w:r>
        <w:r w:rsidRPr="00091F6C">
          <w:rPr>
            <w:rStyle w:val="Hyperlink"/>
            <w:rFonts w:cs="David"/>
            <w:sz w:val="24"/>
            <w:szCs w:val="24"/>
            <w:rtl/>
          </w:rPr>
          <w:t>)</w:t>
        </w:r>
      </w:hyperlink>
      <w:r>
        <w:rPr>
          <w:rFonts w:cs="David"/>
          <w:sz w:val="24"/>
          <w:szCs w:val="24"/>
          <w:rtl/>
        </w:rPr>
        <w:t xml:space="preserve"> ל</w:t>
      </w:r>
      <w:hyperlink r:id="rId31"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w:t>
      </w:r>
    </w:p>
    <w:p w14:paraId="14E16BA0"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בהתייחס לתקופה בטרם הייתה המתלוננת בת </w:t>
      </w:r>
      <w:r>
        <w:rPr>
          <w:rFonts w:ascii="Rod" w:hAnsi="Rod" w:cs="David"/>
          <w:szCs w:val="24"/>
          <w:rtl/>
        </w:rPr>
        <w:t>14</w:t>
      </w:r>
      <w:r>
        <w:rPr>
          <w:rFonts w:cs="David"/>
          <w:sz w:val="24"/>
          <w:szCs w:val="24"/>
          <w:rtl/>
        </w:rPr>
        <w:t xml:space="preserve"> שנה, אין צורך להכריע אם המעשים נעשו בהסכמתה (</w:t>
      </w:r>
      <w:hyperlink r:id="rId32" w:history="1">
        <w:r w:rsidRPr="00091F6C">
          <w:rPr>
            <w:rStyle w:val="Hyperlink"/>
            <w:rFonts w:cs="David" w:hint="eastAsia"/>
            <w:sz w:val="24"/>
            <w:szCs w:val="24"/>
            <w:rtl/>
          </w:rPr>
          <w:t>סעיף</w:t>
        </w:r>
        <w:r w:rsidRPr="00091F6C">
          <w:rPr>
            <w:rStyle w:val="Hyperlink"/>
            <w:rFonts w:cs="David"/>
            <w:sz w:val="24"/>
            <w:szCs w:val="24"/>
            <w:rtl/>
          </w:rPr>
          <w:t xml:space="preserve"> 345(</w:t>
        </w:r>
        <w:r w:rsidRPr="00091F6C">
          <w:rPr>
            <w:rStyle w:val="Hyperlink"/>
            <w:rFonts w:cs="David" w:hint="eastAsia"/>
            <w:sz w:val="24"/>
            <w:szCs w:val="24"/>
            <w:rtl/>
          </w:rPr>
          <w:t>א</w:t>
        </w:r>
        <w:r w:rsidRPr="00091F6C">
          <w:rPr>
            <w:rStyle w:val="Hyperlink"/>
            <w:rFonts w:cs="David"/>
            <w:sz w:val="24"/>
            <w:szCs w:val="24"/>
            <w:rtl/>
          </w:rPr>
          <w:t>)3</w:t>
        </w:r>
      </w:hyperlink>
      <w:r>
        <w:rPr>
          <w:rFonts w:cs="David"/>
          <w:sz w:val="24"/>
          <w:szCs w:val="24"/>
          <w:rtl/>
        </w:rPr>
        <w:t xml:space="preserve"> + </w:t>
      </w:r>
      <w:hyperlink r:id="rId33" w:history="1">
        <w:r w:rsidRPr="00091F6C">
          <w:rPr>
            <w:rStyle w:val="Hyperlink"/>
            <w:rFonts w:ascii="Rod" w:hAnsi="Rod" w:cs="David"/>
            <w:szCs w:val="24"/>
            <w:rtl/>
          </w:rPr>
          <w:t>סעיף 348</w:t>
        </w:r>
      </w:hyperlink>
      <w:r>
        <w:rPr>
          <w:rFonts w:cs="David"/>
          <w:sz w:val="24"/>
          <w:szCs w:val="24"/>
          <w:rtl/>
        </w:rPr>
        <w:t xml:space="preserve"> ל</w:t>
      </w:r>
      <w:hyperlink r:id="rId34"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 וישנן בכך עבירות גם אם נעשו בהסכמתה.</w:t>
      </w:r>
    </w:p>
    <w:p w14:paraId="26EA9B97" w14:textId="77777777" w:rsidR="00091F6C" w:rsidRDefault="00091F6C">
      <w:pPr>
        <w:tabs>
          <w:tab w:val="left" w:pos="960"/>
        </w:tabs>
        <w:bidi/>
        <w:spacing w:line="320" w:lineRule="exact"/>
        <w:ind w:left="480"/>
        <w:rPr>
          <w:rFonts w:cs="David"/>
          <w:sz w:val="24"/>
          <w:szCs w:val="24"/>
          <w:rtl/>
        </w:rPr>
      </w:pPr>
      <w:r>
        <w:rPr>
          <w:rFonts w:cs="David"/>
          <w:sz w:val="24"/>
          <w:szCs w:val="24"/>
          <w:rtl/>
        </w:rPr>
        <w:t>יש להביא בחשבון כי מגירסת המתלוננת קשה לקבוע מה מספר העבירות שהנאשם ביצע בה, אף כי בודאי היו מקרים רבים כאלה.</w:t>
      </w:r>
    </w:p>
    <w:p w14:paraId="115FA7C1" w14:textId="77777777" w:rsidR="00091F6C" w:rsidRDefault="00091F6C">
      <w:pPr>
        <w:tabs>
          <w:tab w:val="left" w:pos="960"/>
        </w:tabs>
        <w:bidi/>
        <w:spacing w:line="320" w:lineRule="exact"/>
        <w:ind w:left="480"/>
        <w:rPr>
          <w:rFonts w:cs="David"/>
          <w:sz w:val="24"/>
          <w:szCs w:val="24"/>
          <w:rtl/>
        </w:rPr>
      </w:pPr>
      <w:r>
        <w:rPr>
          <w:rFonts w:cs="David"/>
          <w:sz w:val="24"/>
          <w:szCs w:val="24"/>
          <w:rtl/>
        </w:rPr>
        <w:t>למרות זאת, אי יכולתה של המתלוננת לפרט ברורות את מספר הפגיעות בה ע"י הנאשם צריכה לפעול לטובתו.</w:t>
      </w:r>
    </w:p>
    <w:p w14:paraId="1DB35DEC" w14:textId="77777777" w:rsidR="00091F6C" w:rsidRDefault="00091F6C">
      <w:pPr>
        <w:tabs>
          <w:tab w:val="left" w:pos="960"/>
        </w:tabs>
        <w:bidi/>
        <w:spacing w:line="320" w:lineRule="exact"/>
        <w:ind w:left="480"/>
        <w:rPr>
          <w:rFonts w:cs="David"/>
          <w:sz w:val="24"/>
          <w:szCs w:val="24"/>
          <w:rtl/>
        </w:rPr>
      </w:pPr>
      <w:r>
        <w:rPr>
          <w:rFonts w:cs="David"/>
          <w:sz w:val="24"/>
          <w:szCs w:val="24"/>
          <w:rtl/>
        </w:rPr>
        <w:t>שוכנעתי מעל לכל ספק מתקבל על הדעת שגירסת המתלוננת בעיקרה אמת.</w:t>
      </w:r>
    </w:p>
    <w:p w14:paraId="0526F32A"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לפיכך ולאור כל האמור לעיל, מציע אני לחברי להרשיע את הנאשם בעבירות של מעשים מגונים במתלוננת, שהשתרעו במשך שנים כמפורט בכתב האישום, ועד הגיע המתלוננת לגיל </w:t>
      </w:r>
      <w:r>
        <w:rPr>
          <w:rFonts w:ascii="Rod" w:hAnsi="Rod" w:cs="David"/>
          <w:szCs w:val="24"/>
          <w:rtl/>
        </w:rPr>
        <w:t>14</w:t>
      </w:r>
      <w:r>
        <w:rPr>
          <w:rFonts w:cs="David"/>
          <w:sz w:val="24"/>
          <w:szCs w:val="24"/>
          <w:rtl/>
        </w:rPr>
        <w:t xml:space="preserve"> שנה, וכן להרשיעו בעבירה של אינוס באשר למעשיו במתלוננת גם לאחר גיל </w:t>
      </w:r>
      <w:r>
        <w:rPr>
          <w:rFonts w:ascii="Rod" w:hAnsi="Rod" w:cs="David"/>
          <w:szCs w:val="24"/>
          <w:rtl/>
        </w:rPr>
        <w:t>14</w:t>
      </w:r>
      <w:r>
        <w:rPr>
          <w:rFonts w:cs="David"/>
          <w:sz w:val="24"/>
          <w:szCs w:val="24"/>
          <w:rtl/>
        </w:rPr>
        <w:t xml:space="preserve"> שנה, בכך שהנאשם השפיע על המתלוננת וגרם שתשים את איבר מינו בפיה כמפורט בכתב האישום.</w:t>
      </w:r>
    </w:p>
    <w:p w14:paraId="424B5039" w14:textId="77777777" w:rsidR="00091F6C" w:rsidRDefault="00091F6C">
      <w:pPr>
        <w:tabs>
          <w:tab w:val="left" w:pos="960"/>
        </w:tabs>
        <w:bidi/>
        <w:spacing w:line="320" w:lineRule="exact"/>
        <w:ind w:left="480"/>
        <w:rPr>
          <w:rFonts w:cs="David"/>
          <w:sz w:val="24"/>
          <w:szCs w:val="24"/>
          <w:rtl/>
        </w:rPr>
      </w:pPr>
      <w:r>
        <w:rPr>
          <w:rFonts w:cs="David"/>
          <w:sz w:val="24"/>
          <w:szCs w:val="24"/>
          <w:rtl/>
        </w:rPr>
        <w:t>אני מציע לזכות את הנאשם בעבירות של אינוס, על ידי החדרת איבר מינו לאיבר מינה של המתלוננת.</w:t>
      </w:r>
    </w:p>
    <w:p w14:paraId="5E517CDD" w14:textId="77777777" w:rsidR="00091F6C" w:rsidRDefault="00091F6C">
      <w:pPr>
        <w:tabs>
          <w:tab w:val="left" w:pos="960"/>
        </w:tabs>
        <w:bidi/>
        <w:spacing w:line="320" w:lineRule="exact"/>
        <w:ind w:left="480"/>
        <w:rPr>
          <w:rFonts w:cs="David"/>
          <w:sz w:val="24"/>
          <w:szCs w:val="24"/>
          <w:rtl/>
        </w:rPr>
      </w:pPr>
    </w:p>
    <w:p w14:paraId="7730022C" w14:textId="77777777" w:rsidR="00091F6C" w:rsidRDefault="00091F6C">
      <w:pPr>
        <w:tabs>
          <w:tab w:val="left" w:pos="6120"/>
        </w:tabs>
        <w:bidi/>
        <w:spacing w:line="320" w:lineRule="exact"/>
        <w:rPr>
          <w:rFonts w:cs="David"/>
          <w:sz w:val="24"/>
          <w:szCs w:val="24"/>
          <w:rtl/>
        </w:rPr>
      </w:pPr>
      <w:r>
        <w:rPr>
          <w:rFonts w:cs="David"/>
          <w:sz w:val="24"/>
          <w:szCs w:val="24"/>
          <w:rtl/>
        </w:rPr>
        <w:t xml:space="preserve"> </w:t>
      </w:r>
      <w:r>
        <w:rPr>
          <w:rFonts w:cs="David"/>
          <w:sz w:val="24"/>
          <w:szCs w:val="24"/>
          <w:rtl/>
        </w:rPr>
        <w:tab/>
      </w:r>
      <w:r>
        <w:rPr>
          <w:rFonts w:cs="David"/>
          <w:bCs/>
          <w:sz w:val="24"/>
          <w:szCs w:val="24"/>
          <w:u w:val="single"/>
          <w:rtl/>
        </w:rPr>
        <w:t>______________</w:t>
      </w:r>
    </w:p>
    <w:p w14:paraId="07D054AA" w14:textId="77777777" w:rsidR="00091F6C" w:rsidRDefault="00091F6C">
      <w:pPr>
        <w:tabs>
          <w:tab w:val="left" w:pos="6120"/>
        </w:tabs>
        <w:bidi/>
        <w:spacing w:line="320" w:lineRule="exact"/>
        <w:rPr>
          <w:rFonts w:cs="David"/>
          <w:sz w:val="24"/>
          <w:szCs w:val="24"/>
          <w:rtl/>
        </w:rPr>
      </w:pPr>
      <w:r>
        <w:rPr>
          <w:rFonts w:cs="David"/>
          <w:sz w:val="24"/>
          <w:szCs w:val="24"/>
          <w:rtl/>
        </w:rPr>
        <w:t xml:space="preserve"> </w:t>
      </w:r>
      <w:r>
        <w:rPr>
          <w:rFonts w:cs="David"/>
          <w:bCs/>
          <w:sz w:val="24"/>
          <w:szCs w:val="24"/>
          <w:rtl/>
        </w:rPr>
        <w:tab/>
        <w:t xml:space="preserve">ח. פיזם - שופט </w:t>
      </w:r>
    </w:p>
    <w:p w14:paraId="5E4CA8D7" w14:textId="77777777" w:rsidR="00091F6C" w:rsidRDefault="00091F6C">
      <w:pPr>
        <w:tabs>
          <w:tab w:val="left" w:pos="6120"/>
        </w:tabs>
        <w:bidi/>
        <w:spacing w:line="320" w:lineRule="exact"/>
        <w:rPr>
          <w:rFonts w:cs="David"/>
          <w:sz w:val="24"/>
          <w:szCs w:val="24"/>
          <w:rtl/>
        </w:rPr>
      </w:pPr>
      <w:r>
        <w:rPr>
          <w:rFonts w:cs="David"/>
          <w:sz w:val="24"/>
          <w:szCs w:val="24"/>
          <w:u w:val="single"/>
          <w:rtl/>
        </w:rPr>
        <w:t>השופטת ש' וסרקרוג:</w:t>
      </w:r>
      <w:r>
        <w:rPr>
          <w:rFonts w:cs="David" w:hint="eastAsia"/>
          <w:color w:val="FFFFFF"/>
          <w:sz w:val="4"/>
          <w:szCs w:val="4"/>
          <w:u w:val="single"/>
          <w:rtl/>
        </w:rPr>
        <w:t>ו</w:t>
      </w:r>
    </w:p>
    <w:p w14:paraId="3DF62AF4" w14:textId="77777777" w:rsidR="00091F6C" w:rsidRDefault="00091F6C">
      <w:pPr>
        <w:tabs>
          <w:tab w:val="left" w:pos="840"/>
        </w:tabs>
        <w:bidi/>
        <w:spacing w:line="320" w:lineRule="exact"/>
        <w:ind w:left="480"/>
        <w:rPr>
          <w:rFonts w:cs="David"/>
          <w:sz w:val="24"/>
          <w:szCs w:val="24"/>
          <w:rtl/>
        </w:rPr>
      </w:pPr>
      <w:r>
        <w:rPr>
          <w:rFonts w:cs="David"/>
          <w:sz w:val="24"/>
          <w:szCs w:val="24"/>
          <w:rtl/>
        </w:rPr>
        <w:t>1.</w:t>
      </w:r>
      <w:r>
        <w:rPr>
          <w:rFonts w:cs="David"/>
          <w:sz w:val="24"/>
          <w:szCs w:val="24"/>
          <w:rtl/>
        </w:rPr>
        <w:tab/>
      </w:r>
      <w:r>
        <w:rPr>
          <w:rFonts w:cs="David"/>
          <w:sz w:val="24"/>
          <w:szCs w:val="24"/>
          <w:rtl/>
        </w:rPr>
        <w:tab/>
        <w:t>לאחר שחזרתי ועיינתי בעדויות שהושמעו בפנינו ובמוצגים שהוצגו, ועל אף</w:t>
      </w:r>
    </w:p>
    <w:p w14:paraId="27DAAD3B" w14:textId="77777777" w:rsidR="00091F6C" w:rsidRDefault="00091F6C">
      <w:pPr>
        <w:tabs>
          <w:tab w:val="left" w:pos="840"/>
        </w:tabs>
        <w:bidi/>
        <w:spacing w:line="320" w:lineRule="exact"/>
        <w:ind w:left="480"/>
        <w:rPr>
          <w:rFonts w:cs="David"/>
          <w:sz w:val="24"/>
          <w:szCs w:val="24"/>
          <w:rtl/>
        </w:rPr>
      </w:pPr>
      <w:r>
        <w:rPr>
          <w:rFonts w:cs="David"/>
          <w:sz w:val="24"/>
          <w:szCs w:val="24"/>
          <w:rtl/>
        </w:rPr>
        <w:t xml:space="preserve">השאלות השונות שעולות בתיק זה, החלטתי להצטרף למסקנה אליה הגיע אב בית הדין, רק בנוגע לביצוע מעשים מגונים, ובלבד שאלה יוגבלו עד לשנת </w:t>
      </w:r>
      <w:r>
        <w:rPr>
          <w:rFonts w:ascii="Rod" w:hAnsi="Rod" w:cs="David"/>
          <w:szCs w:val="24"/>
          <w:rtl/>
        </w:rPr>
        <w:t>1990</w:t>
      </w:r>
      <w:r>
        <w:rPr>
          <w:rFonts w:cs="David"/>
          <w:sz w:val="24"/>
          <w:szCs w:val="24"/>
          <w:rtl/>
        </w:rPr>
        <w:t>, דהיינו; עד למועד בו הכיר הנאשם את מי שעתידה להיות אשתו.</w:t>
      </w:r>
    </w:p>
    <w:p w14:paraId="0B347B11" w14:textId="77777777" w:rsidR="00091F6C" w:rsidRDefault="00091F6C">
      <w:pPr>
        <w:tabs>
          <w:tab w:val="left" w:pos="840"/>
        </w:tabs>
        <w:bidi/>
        <w:spacing w:line="320" w:lineRule="exact"/>
        <w:ind w:left="480"/>
        <w:rPr>
          <w:rFonts w:cs="David"/>
          <w:sz w:val="24"/>
          <w:szCs w:val="24"/>
          <w:rtl/>
        </w:rPr>
      </w:pPr>
      <w:r>
        <w:rPr>
          <w:rFonts w:cs="David"/>
          <w:sz w:val="24"/>
          <w:szCs w:val="24"/>
          <w:rtl/>
        </w:rPr>
        <w:t xml:space="preserve">גם על-פי עדותה של המתלוננת, הפסיקו המעשים שהם נשוא כתב האישום, בסמוך לאותו מועד (עמ' 9 או בעמ' </w:t>
      </w:r>
      <w:r>
        <w:rPr>
          <w:rFonts w:ascii="Rod" w:hAnsi="Rod" w:cs="David"/>
          <w:szCs w:val="24"/>
          <w:rtl/>
        </w:rPr>
        <w:t>40</w:t>
      </w:r>
      <w:r>
        <w:rPr>
          <w:rFonts w:cs="David"/>
          <w:sz w:val="24"/>
          <w:szCs w:val="24"/>
          <w:rtl/>
        </w:rPr>
        <w:t xml:space="preserve"> לפרוטוקול שורות </w:t>
      </w:r>
      <w:r>
        <w:rPr>
          <w:rFonts w:ascii="Rod" w:hAnsi="Rod" w:cs="David"/>
          <w:szCs w:val="24"/>
          <w:rtl/>
        </w:rPr>
        <w:t>11-10</w:t>
      </w:r>
      <w:r>
        <w:rPr>
          <w:rFonts w:cs="David"/>
          <w:sz w:val="24"/>
          <w:szCs w:val="24"/>
          <w:rtl/>
        </w:rPr>
        <w:t>).</w:t>
      </w:r>
    </w:p>
    <w:p w14:paraId="7761EB5A" w14:textId="77777777" w:rsidR="00091F6C" w:rsidRDefault="00091F6C">
      <w:pPr>
        <w:tabs>
          <w:tab w:val="left" w:pos="840"/>
        </w:tabs>
        <w:bidi/>
        <w:spacing w:line="320" w:lineRule="exact"/>
        <w:ind w:left="480"/>
        <w:rPr>
          <w:rFonts w:cs="David"/>
          <w:sz w:val="24"/>
          <w:szCs w:val="24"/>
          <w:rtl/>
        </w:rPr>
      </w:pPr>
      <w:r>
        <w:rPr>
          <w:rFonts w:cs="David"/>
          <w:sz w:val="24"/>
          <w:szCs w:val="24"/>
          <w:rtl/>
        </w:rPr>
        <w:t>לפיכך, הייתי מציעה לקבוע כי המעשים המגונים בוצעו במתלוננת עד היותה בת שש עשרה שנים ובטרם מלאו לה שש עשרה שנים.</w:t>
      </w:r>
    </w:p>
    <w:p w14:paraId="028ED409" w14:textId="77777777" w:rsidR="00091F6C" w:rsidRDefault="00091F6C">
      <w:pPr>
        <w:tabs>
          <w:tab w:val="left" w:pos="840"/>
        </w:tabs>
        <w:bidi/>
        <w:spacing w:line="320" w:lineRule="exact"/>
        <w:ind w:left="480"/>
        <w:rPr>
          <w:rFonts w:cs="David"/>
          <w:sz w:val="24"/>
          <w:szCs w:val="24"/>
          <w:rtl/>
        </w:rPr>
      </w:pPr>
    </w:p>
    <w:p w14:paraId="3C6905F5" w14:textId="77777777" w:rsidR="00091F6C" w:rsidRDefault="00091F6C">
      <w:pPr>
        <w:tabs>
          <w:tab w:val="left" w:pos="480"/>
        </w:tabs>
        <w:bidi/>
        <w:spacing w:line="320" w:lineRule="exact"/>
        <w:ind w:left="480" w:hanging="480"/>
        <w:rPr>
          <w:rFonts w:cs="David"/>
          <w:sz w:val="24"/>
          <w:szCs w:val="24"/>
          <w:rtl/>
        </w:rPr>
      </w:pPr>
      <w:r>
        <w:rPr>
          <w:rFonts w:cs="David"/>
          <w:sz w:val="24"/>
          <w:szCs w:val="24"/>
          <w:rtl/>
        </w:rPr>
        <w:lastRenderedPageBreak/>
        <w:t>2.</w:t>
      </w:r>
      <w:r>
        <w:rPr>
          <w:rFonts w:cs="David"/>
          <w:sz w:val="24"/>
          <w:szCs w:val="24"/>
          <w:rtl/>
        </w:rPr>
        <w:tab/>
        <w:t>נקודת המוצא היא, שאכן יש לתת אמון בעדותה של המתלוננת. הוסבר עוד על-ידי המתלוננת, כי התלונה הוגשה בעקבות איומים שהשמיע הנאשם, מספר פעמים.</w:t>
      </w:r>
    </w:p>
    <w:p w14:paraId="241653B0"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הקושי לענין מועד הגשת התלונה, בנוסף להיות העדות עדות כבושה הוא שלא קיבלנו כל הסבר, הגיוני או אחר, מדוע הושמעו האיומים במועד בו טענה המתלוננת. הנאשם גויס למשטרה בשנת </w:t>
      </w:r>
      <w:r>
        <w:rPr>
          <w:rFonts w:ascii="Rod" w:hAnsi="Rod" w:cs="David"/>
          <w:szCs w:val="24"/>
          <w:rtl/>
        </w:rPr>
        <w:t>1987</w:t>
      </w:r>
      <w:r>
        <w:rPr>
          <w:rFonts w:cs="David"/>
          <w:sz w:val="24"/>
          <w:szCs w:val="24"/>
          <w:rtl/>
        </w:rPr>
        <w:t xml:space="preserve">, הכיר את מי שהיתה לאחר מכן אשתו ב- </w:t>
      </w:r>
      <w:r>
        <w:rPr>
          <w:rFonts w:ascii="Rod" w:hAnsi="Rod" w:cs="David"/>
          <w:szCs w:val="24"/>
          <w:rtl/>
        </w:rPr>
        <w:t>1990</w:t>
      </w:r>
      <w:r>
        <w:rPr>
          <w:rFonts w:cs="David"/>
          <w:sz w:val="24"/>
          <w:szCs w:val="24"/>
          <w:rtl/>
        </w:rPr>
        <w:t xml:space="preserve">, ונשא אותה לאישה ב- </w:t>
      </w:r>
      <w:r>
        <w:rPr>
          <w:rFonts w:ascii="Rod" w:hAnsi="Rod" w:cs="David"/>
          <w:szCs w:val="24"/>
          <w:rtl/>
        </w:rPr>
        <w:t>1991</w:t>
      </w:r>
      <w:r>
        <w:rPr>
          <w:rFonts w:cs="David"/>
          <w:sz w:val="24"/>
          <w:szCs w:val="24"/>
          <w:rtl/>
        </w:rPr>
        <w:t xml:space="preserve">. המתלוננת היא, כאמור, ילידת </w:t>
      </w:r>
      <w:r>
        <w:rPr>
          <w:rFonts w:ascii="Rod" w:hAnsi="Rod" w:cs="David"/>
          <w:szCs w:val="24"/>
          <w:rtl/>
        </w:rPr>
        <w:t>1974</w:t>
      </w:r>
      <w:r>
        <w:rPr>
          <w:rFonts w:cs="David"/>
          <w:sz w:val="24"/>
          <w:szCs w:val="24"/>
          <w:rtl/>
        </w:rPr>
        <w:t xml:space="preserve">, והתלונה הוגשה ב- </w:t>
      </w:r>
      <w:r>
        <w:rPr>
          <w:rFonts w:ascii="Rod" w:hAnsi="Rod" w:cs="David"/>
          <w:szCs w:val="24"/>
          <w:rtl/>
        </w:rPr>
        <w:t>1994</w:t>
      </w:r>
      <w:r>
        <w:rPr>
          <w:rFonts w:cs="David"/>
          <w:sz w:val="24"/>
          <w:szCs w:val="24"/>
          <w:rtl/>
        </w:rPr>
        <w:t>. ניתן אולי לייחס את השמעת האיומים לקורס המשטרתי בו לקח הנאשם חלק, עובר למועד הגשת התלונה, אולם לא ניתן לקבוע ממצא לענין זה, בהעדר ראיות ברורות יותר.</w:t>
      </w:r>
    </w:p>
    <w:p w14:paraId="07953C97" w14:textId="77777777" w:rsidR="00091F6C" w:rsidRDefault="00091F6C">
      <w:pPr>
        <w:tabs>
          <w:tab w:val="left" w:pos="960"/>
        </w:tabs>
        <w:bidi/>
        <w:spacing w:line="320" w:lineRule="exact"/>
        <w:ind w:left="480"/>
        <w:rPr>
          <w:rFonts w:cs="David"/>
          <w:sz w:val="24"/>
          <w:szCs w:val="24"/>
          <w:rtl/>
        </w:rPr>
      </w:pPr>
      <w:r>
        <w:rPr>
          <w:rFonts w:cs="David"/>
          <w:sz w:val="24"/>
          <w:szCs w:val="24"/>
          <w:rtl/>
        </w:rPr>
        <w:t>למרות האמור, יש לקבוע כי אכן הוכח במידה הנדרשת השמעתם של אותם איומים והקשר בין האיומים לבין הגשת התלונה.</w:t>
      </w:r>
    </w:p>
    <w:p w14:paraId="0342226F" w14:textId="77777777" w:rsidR="00091F6C" w:rsidRDefault="00091F6C">
      <w:pPr>
        <w:tabs>
          <w:tab w:val="left" w:pos="960"/>
        </w:tabs>
        <w:bidi/>
        <w:spacing w:line="320" w:lineRule="exact"/>
        <w:ind w:left="480"/>
        <w:rPr>
          <w:rFonts w:cs="David"/>
          <w:sz w:val="24"/>
          <w:szCs w:val="24"/>
          <w:rtl/>
        </w:rPr>
      </w:pPr>
      <w:r>
        <w:rPr>
          <w:rFonts w:cs="David"/>
          <w:sz w:val="24"/>
          <w:szCs w:val="24"/>
          <w:rtl/>
        </w:rPr>
        <w:t>הנאשם מצידו לא נתן כל הסבר מדוע החליטה המתלוננת להגיש תלונה ולעשות כן דווקא במועד בו הוגשה. כמו כן אין להתעלם מן הלבטים הממושכים והכנים שהיו למתלוננת בטרם הגישה את התלונה. בהשוואה בין עדות המתלוננת לעומת עדותו של הנאשם, אכן דעתי היא גם כן כדעתו של כבוד השופט פיזם, שיש להעדיף את עדותה. המסקנה המתבקשת מן האמור היא, שאכן היו איומים מצד הנאשם, עובר למועד בו הגישה את התלונה במשטרה.</w:t>
      </w:r>
    </w:p>
    <w:p w14:paraId="1B2FAAEF" w14:textId="77777777" w:rsidR="00091F6C" w:rsidRDefault="00091F6C">
      <w:pPr>
        <w:tabs>
          <w:tab w:val="left" w:pos="960"/>
        </w:tabs>
        <w:bidi/>
        <w:spacing w:line="320" w:lineRule="exact"/>
        <w:ind w:left="480"/>
        <w:rPr>
          <w:rFonts w:cs="David"/>
          <w:sz w:val="24"/>
          <w:szCs w:val="24"/>
          <w:rtl/>
        </w:rPr>
      </w:pPr>
    </w:p>
    <w:p w14:paraId="0EBD458E" w14:textId="77777777" w:rsidR="00091F6C" w:rsidRDefault="00091F6C">
      <w:pPr>
        <w:tabs>
          <w:tab w:val="left" w:pos="480"/>
        </w:tabs>
        <w:bidi/>
        <w:spacing w:line="320" w:lineRule="exact"/>
        <w:ind w:left="480" w:hanging="480"/>
        <w:rPr>
          <w:rFonts w:cs="David"/>
          <w:sz w:val="24"/>
          <w:szCs w:val="24"/>
          <w:rtl/>
        </w:rPr>
      </w:pPr>
      <w:r>
        <w:rPr>
          <w:rFonts w:cs="David"/>
          <w:sz w:val="24"/>
          <w:szCs w:val="24"/>
          <w:rtl/>
        </w:rPr>
        <w:t>3.</w:t>
      </w:r>
      <w:r>
        <w:rPr>
          <w:rFonts w:cs="David"/>
          <w:sz w:val="24"/>
          <w:szCs w:val="24"/>
          <w:rtl/>
        </w:rPr>
        <w:tab/>
        <w:t>קושי נוסף הוא לאופן ביצוע העימות בין המתלוננת לבין הנאשם.</w:t>
      </w:r>
    </w:p>
    <w:p w14:paraId="0E2221F2"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מלכתחילה, ביקשה המתלוננת להמנע מן העימות (עמ' </w:t>
      </w:r>
      <w:r>
        <w:rPr>
          <w:rFonts w:ascii="Rod" w:hAnsi="Rod" w:cs="David"/>
          <w:szCs w:val="24"/>
          <w:rtl/>
        </w:rPr>
        <w:t>15</w:t>
      </w:r>
      <w:r>
        <w:rPr>
          <w:rFonts w:cs="David"/>
          <w:sz w:val="24"/>
          <w:szCs w:val="24"/>
          <w:rtl/>
        </w:rPr>
        <w:t xml:space="preserve"> לפרוטוקול). במהלך השיחה שהיתה בין המתלוננת לבין החוקר כספי, חזרה ואמרה שאיננה יכולה לעמוד בעימות (ראה ת/3, ובמיוחד בעמ' 6 של אותו מוצג).</w:t>
      </w:r>
    </w:p>
    <w:p w14:paraId="4E7CEDB8" w14:textId="77777777" w:rsidR="00091F6C" w:rsidRDefault="00091F6C">
      <w:pPr>
        <w:tabs>
          <w:tab w:val="left" w:pos="960"/>
        </w:tabs>
        <w:bidi/>
        <w:spacing w:line="320" w:lineRule="exact"/>
        <w:ind w:left="480"/>
        <w:rPr>
          <w:rFonts w:cs="David"/>
          <w:sz w:val="24"/>
          <w:szCs w:val="24"/>
          <w:rtl/>
        </w:rPr>
      </w:pPr>
      <w:r>
        <w:rPr>
          <w:rFonts w:cs="David"/>
          <w:sz w:val="24"/>
          <w:szCs w:val="24"/>
          <w:rtl/>
        </w:rPr>
        <w:t>יתר על כן, במסגרת אותו עימות, לא הצליחה המתלוננת לומר לנאשם, כמעט דבר לגופו של ענין, וזאת למרות העזרה וההנחיה הברורה שניתנו לה על-ידי החוקר כספי.</w:t>
      </w:r>
    </w:p>
    <w:p w14:paraId="29B89D83"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אולם גם הנאשם מצידו, לא אמר למתלוננת במהלך אותו עימות, כי אין כל בסיס לאישומים המיוחסים לו. גם כאשר ניתנה הזדמנות לנאשם לדחות את גירסתה (שם, בעמ' </w:t>
      </w:r>
      <w:r>
        <w:rPr>
          <w:rFonts w:ascii="Rod" w:hAnsi="Rod" w:cs="David"/>
          <w:szCs w:val="24"/>
          <w:rtl/>
        </w:rPr>
        <w:t>11</w:t>
      </w:r>
      <w:r>
        <w:rPr>
          <w:rFonts w:cs="David"/>
          <w:sz w:val="24"/>
          <w:szCs w:val="24"/>
          <w:rtl/>
        </w:rPr>
        <w:t>), כל מה שאמר הנאשם הוא "</w:t>
      </w:r>
      <w:r>
        <w:rPr>
          <w:rFonts w:cs="David"/>
          <w:bCs/>
          <w:sz w:val="24"/>
          <w:szCs w:val="24"/>
          <w:rtl/>
        </w:rPr>
        <w:t>אם יש לה משהו להגיד לי שתגיד לי</w:t>
      </w:r>
      <w:r>
        <w:rPr>
          <w:rFonts w:cs="David"/>
          <w:sz w:val="24"/>
          <w:szCs w:val="24"/>
          <w:rtl/>
        </w:rPr>
        <w:t xml:space="preserve">". עוד עולה, כי גם הנאשם לא יכול היה להסתכל בעיניה של המתלוננת (שם, בעמ' </w:t>
      </w:r>
      <w:r>
        <w:rPr>
          <w:rFonts w:ascii="Rod" w:hAnsi="Rod" w:cs="David"/>
          <w:szCs w:val="24"/>
          <w:rtl/>
        </w:rPr>
        <w:t>12</w:t>
      </w:r>
      <w:r>
        <w:rPr>
          <w:rFonts w:cs="David"/>
          <w:sz w:val="24"/>
          <w:szCs w:val="24"/>
          <w:rtl/>
        </w:rPr>
        <w:t>).</w:t>
      </w:r>
    </w:p>
    <w:p w14:paraId="2A7F731F" w14:textId="77777777" w:rsidR="00091F6C" w:rsidRDefault="00091F6C">
      <w:pPr>
        <w:tabs>
          <w:tab w:val="left" w:pos="960"/>
        </w:tabs>
        <w:bidi/>
        <w:spacing w:line="320" w:lineRule="exact"/>
        <w:ind w:left="480"/>
        <w:rPr>
          <w:rFonts w:cs="David"/>
          <w:sz w:val="24"/>
          <w:szCs w:val="24"/>
          <w:rtl/>
        </w:rPr>
      </w:pPr>
      <w:r>
        <w:rPr>
          <w:rFonts w:cs="David"/>
          <w:sz w:val="24"/>
          <w:szCs w:val="24"/>
          <w:rtl/>
        </w:rPr>
        <w:t>תגובת הנאשם נראית תמוהה, במיוחד לאור ההאשמות החמורות שיוחסו לו. שוב, בהשוואה בין העדויות, יש להעדיף את עדות המתלוננת, כי העימות עימו היה קשה עליה והחזיר אותה לתקופה שהיתה ילדה קטנה.</w:t>
      </w:r>
    </w:p>
    <w:p w14:paraId="76703F81" w14:textId="77777777" w:rsidR="00091F6C" w:rsidRDefault="00091F6C">
      <w:pPr>
        <w:tabs>
          <w:tab w:val="left" w:pos="960"/>
        </w:tabs>
        <w:bidi/>
        <w:spacing w:line="320" w:lineRule="exact"/>
        <w:ind w:left="480"/>
        <w:rPr>
          <w:rFonts w:cs="David"/>
          <w:sz w:val="24"/>
          <w:szCs w:val="24"/>
          <w:rtl/>
        </w:rPr>
      </w:pPr>
      <w:r>
        <w:rPr>
          <w:rFonts w:cs="David"/>
          <w:sz w:val="24"/>
          <w:szCs w:val="24"/>
          <w:rtl/>
        </w:rPr>
        <w:t>לאור האמור לעיל, ולמרות הקשיים שאנו ערים להם, יש אכן לקבל את עדותה של התובעת ולקבוע כי הנאשם עשה בה מעשים מגונים.</w:t>
      </w:r>
    </w:p>
    <w:p w14:paraId="4B41307F" w14:textId="77777777" w:rsidR="00091F6C" w:rsidRDefault="00091F6C">
      <w:pPr>
        <w:tabs>
          <w:tab w:val="left" w:pos="960"/>
        </w:tabs>
        <w:bidi/>
        <w:spacing w:line="320" w:lineRule="exact"/>
        <w:ind w:left="480"/>
        <w:rPr>
          <w:rFonts w:cs="David"/>
          <w:sz w:val="24"/>
          <w:szCs w:val="24"/>
          <w:rtl/>
        </w:rPr>
      </w:pPr>
    </w:p>
    <w:p w14:paraId="1EEE6310" w14:textId="77777777" w:rsidR="00091F6C" w:rsidRDefault="00091F6C">
      <w:pPr>
        <w:tabs>
          <w:tab w:val="left" w:pos="480"/>
        </w:tabs>
        <w:bidi/>
        <w:spacing w:line="320" w:lineRule="exact"/>
        <w:ind w:left="480" w:hanging="480"/>
        <w:rPr>
          <w:rFonts w:cs="David"/>
          <w:sz w:val="24"/>
          <w:szCs w:val="24"/>
          <w:rtl/>
        </w:rPr>
      </w:pPr>
      <w:r>
        <w:rPr>
          <w:rFonts w:cs="David"/>
          <w:sz w:val="24"/>
          <w:szCs w:val="24"/>
          <w:rtl/>
        </w:rPr>
        <w:t>4.</w:t>
      </w:r>
      <w:r>
        <w:rPr>
          <w:rFonts w:cs="David"/>
          <w:sz w:val="24"/>
          <w:szCs w:val="24"/>
          <w:rtl/>
        </w:rPr>
        <w:tab/>
        <w:t xml:space="preserve">העבירה המיוחסת לנאשם לעשיית מעשים מגונים היא לשנים </w:t>
      </w:r>
      <w:r>
        <w:rPr>
          <w:rFonts w:ascii="Rod" w:hAnsi="Rod" w:cs="David"/>
          <w:szCs w:val="24"/>
          <w:rtl/>
        </w:rPr>
        <w:t>88-84</w:t>
      </w:r>
      <w:r>
        <w:rPr>
          <w:rFonts w:cs="David"/>
          <w:sz w:val="24"/>
          <w:szCs w:val="24"/>
          <w:rtl/>
        </w:rPr>
        <w:t xml:space="preserve">, לפי </w:t>
      </w:r>
      <w:hyperlink r:id="rId35" w:history="1">
        <w:r w:rsidRPr="00091F6C">
          <w:rPr>
            <w:rStyle w:val="Hyperlink"/>
            <w:rFonts w:ascii="Rod" w:hAnsi="Rod" w:cs="David"/>
            <w:szCs w:val="24"/>
            <w:rtl/>
          </w:rPr>
          <w:t>סעיף 356</w:t>
        </w:r>
      </w:hyperlink>
      <w:r>
        <w:rPr>
          <w:rFonts w:cs="David"/>
          <w:sz w:val="24"/>
          <w:szCs w:val="24"/>
          <w:rtl/>
        </w:rPr>
        <w:t xml:space="preserve"> ל</w:t>
      </w:r>
      <w:hyperlink r:id="rId36"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 xml:space="preserve">, בנוסחו לפני תיקון מס' </w:t>
      </w:r>
      <w:r>
        <w:rPr>
          <w:rFonts w:ascii="Rod" w:hAnsi="Rod" w:cs="David"/>
          <w:szCs w:val="24"/>
          <w:rtl/>
        </w:rPr>
        <w:t>22</w:t>
      </w:r>
      <w:r>
        <w:rPr>
          <w:rFonts w:cs="David"/>
          <w:sz w:val="24"/>
          <w:szCs w:val="24"/>
          <w:rtl/>
        </w:rPr>
        <w:t xml:space="preserve"> מיום </w:t>
      </w:r>
      <w:r>
        <w:rPr>
          <w:rFonts w:ascii="Rod" w:hAnsi="Rod" w:cs="David"/>
          <w:szCs w:val="24"/>
          <w:rtl/>
        </w:rPr>
        <w:t>88</w:t>
      </w:r>
      <w:r>
        <w:rPr>
          <w:rFonts w:cs="David"/>
          <w:sz w:val="24"/>
          <w:szCs w:val="24"/>
          <w:rtl/>
        </w:rPr>
        <w:t>/3/</w:t>
      </w:r>
      <w:r>
        <w:rPr>
          <w:rFonts w:ascii="Rod" w:hAnsi="Rod" w:cs="David"/>
          <w:szCs w:val="24"/>
          <w:rtl/>
        </w:rPr>
        <w:t>22</w:t>
      </w:r>
      <w:r>
        <w:rPr>
          <w:rFonts w:cs="David"/>
          <w:sz w:val="24"/>
          <w:szCs w:val="24"/>
          <w:rtl/>
        </w:rPr>
        <w:t xml:space="preserve">, לגבי השנים </w:t>
      </w:r>
      <w:r>
        <w:rPr>
          <w:rFonts w:ascii="Rod" w:hAnsi="Rod" w:cs="David"/>
          <w:szCs w:val="24"/>
          <w:rtl/>
        </w:rPr>
        <w:t>90-88</w:t>
      </w:r>
      <w:r>
        <w:rPr>
          <w:rFonts w:cs="David"/>
          <w:sz w:val="24"/>
          <w:szCs w:val="24"/>
          <w:rtl/>
        </w:rPr>
        <w:t xml:space="preserve">, לפי </w:t>
      </w:r>
      <w:hyperlink r:id="rId37" w:history="1">
        <w:r w:rsidRPr="00091F6C">
          <w:rPr>
            <w:rStyle w:val="Hyperlink"/>
            <w:rFonts w:ascii="Rod" w:hAnsi="Rod" w:cs="David"/>
            <w:szCs w:val="24"/>
            <w:rtl/>
          </w:rPr>
          <w:t>סעיף 349</w:t>
        </w:r>
      </w:hyperlink>
      <w:r>
        <w:rPr>
          <w:rFonts w:cs="David"/>
          <w:sz w:val="24"/>
          <w:szCs w:val="24"/>
          <w:rtl/>
        </w:rPr>
        <w:t xml:space="preserve"> לחוק, לאחר התיקון האמור, ולפי </w:t>
      </w:r>
      <w:hyperlink r:id="rId38" w:history="1">
        <w:r w:rsidRPr="00091F6C">
          <w:rPr>
            <w:rStyle w:val="Hyperlink"/>
            <w:rFonts w:cs="David" w:hint="eastAsia"/>
            <w:sz w:val="24"/>
            <w:szCs w:val="24"/>
            <w:rtl/>
          </w:rPr>
          <w:t>סעיף</w:t>
        </w:r>
        <w:r w:rsidRPr="00091F6C">
          <w:rPr>
            <w:rStyle w:val="Hyperlink"/>
            <w:rFonts w:cs="David"/>
            <w:sz w:val="24"/>
            <w:szCs w:val="24"/>
            <w:rtl/>
          </w:rPr>
          <w:t xml:space="preserve"> 348(</w:t>
        </w:r>
        <w:r w:rsidRPr="00091F6C">
          <w:rPr>
            <w:rStyle w:val="Hyperlink"/>
            <w:rFonts w:cs="David" w:hint="eastAsia"/>
            <w:sz w:val="24"/>
            <w:szCs w:val="24"/>
            <w:rtl/>
          </w:rPr>
          <w:t>ג</w:t>
        </w:r>
        <w:r w:rsidRPr="00091F6C">
          <w:rPr>
            <w:rStyle w:val="Hyperlink"/>
            <w:rFonts w:cs="David"/>
            <w:sz w:val="24"/>
            <w:szCs w:val="24"/>
            <w:rtl/>
          </w:rPr>
          <w:t>)</w:t>
        </w:r>
      </w:hyperlink>
      <w:r>
        <w:rPr>
          <w:rFonts w:cs="David"/>
          <w:sz w:val="24"/>
          <w:szCs w:val="24"/>
          <w:rtl/>
        </w:rPr>
        <w:t xml:space="preserve">, בהתייחס לשנים </w:t>
      </w:r>
      <w:r>
        <w:rPr>
          <w:rFonts w:ascii="Rod" w:hAnsi="Rod" w:cs="David"/>
          <w:szCs w:val="24"/>
          <w:rtl/>
        </w:rPr>
        <w:t>91-90</w:t>
      </w:r>
      <w:r>
        <w:rPr>
          <w:rFonts w:cs="David"/>
          <w:sz w:val="24"/>
          <w:szCs w:val="24"/>
          <w:rtl/>
        </w:rPr>
        <w:t xml:space="preserve">. כאמור, הצעתי לקבוע כי המעשים המגונים, הוכחו שבוצעו עד </w:t>
      </w:r>
      <w:r>
        <w:rPr>
          <w:rFonts w:ascii="Rod" w:hAnsi="Rod" w:cs="David"/>
          <w:szCs w:val="24"/>
          <w:rtl/>
        </w:rPr>
        <w:t>1990</w:t>
      </w:r>
      <w:r>
        <w:rPr>
          <w:rFonts w:cs="David"/>
          <w:sz w:val="24"/>
          <w:szCs w:val="24"/>
          <w:rtl/>
        </w:rPr>
        <w:t>, בלבד, ועד היות המתלוננת בת שש עשרה שנים.</w:t>
      </w:r>
    </w:p>
    <w:p w14:paraId="3A5B1802"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עוד יש להזכיר, כי על-פי </w:t>
      </w:r>
      <w:hyperlink r:id="rId39" w:history="1">
        <w:r w:rsidRPr="00091F6C">
          <w:rPr>
            <w:rStyle w:val="Hyperlink"/>
            <w:rFonts w:cs="David" w:hint="eastAsia"/>
            <w:sz w:val="24"/>
            <w:szCs w:val="24"/>
            <w:rtl/>
          </w:rPr>
          <w:t>סעיף</w:t>
        </w:r>
        <w:r w:rsidRPr="00091F6C">
          <w:rPr>
            <w:rStyle w:val="Hyperlink"/>
            <w:rFonts w:cs="David"/>
            <w:sz w:val="24"/>
            <w:szCs w:val="24"/>
            <w:rtl/>
          </w:rPr>
          <w:t xml:space="preserve"> 5(</w:t>
        </w:r>
        <w:r w:rsidRPr="00091F6C">
          <w:rPr>
            <w:rStyle w:val="Hyperlink"/>
            <w:rFonts w:cs="David" w:hint="eastAsia"/>
            <w:sz w:val="24"/>
            <w:szCs w:val="24"/>
            <w:rtl/>
          </w:rPr>
          <w:t>א</w:t>
        </w:r>
        <w:r w:rsidRPr="00091F6C">
          <w:rPr>
            <w:rStyle w:val="Hyperlink"/>
            <w:rFonts w:cs="David"/>
            <w:sz w:val="24"/>
            <w:szCs w:val="24"/>
            <w:rtl/>
          </w:rPr>
          <w:t>)</w:t>
        </w:r>
      </w:hyperlink>
      <w:r>
        <w:rPr>
          <w:rFonts w:cs="David"/>
          <w:sz w:val="24"/>
          <w:szCs w:val="24"/>
          <w:rtl/>
        </w:rPr>
        <w:t xml:space="preserve"> ל</w:t>
      </w:r>
      <w:hyperlink r:id="rId40"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 xml:space="preserve">, לאחר תיקון </w:t>
      </w:r>
      <w:r>
        <w:rPr>
          <w:rFonts w:ascii="Rod" w:hAnsi="Rod" w:cs="David"/>
          <w:szCs w:val="24"/>
          <w:rtl/>
        </w:rPr>
        <w:t>39</w:t>
      </w:r>
      <w:r>
        <w:rPr>
          <w:rFonts w:cs="David"/>
          <w:sz w:val="24"/>
          <w:szCs w:val="24"/>
          <w:rtl/>
        </w:rPr>
        <w:t>, אם שונה חיקוק לאחר עשיית העבירה, גם בענין הגדרתה או לאחריות לה, ובטרם ניתן פסק דין, יחול על הענין החיקוק המקל עם העושה.</w:t>
      </w:r>
    </w:p>
    <w:p w14:paraId="53B4CB3C" w14:textId="77777777" w:rsidR="00091F6C" w:rsidRDefault="00091F6C">
      <w:pPr>
        <w:tabs>
          <w:tab w:val="left" w:pos="960"/>
        </w:tabs>
        <w:bidi/>
        <w:spacing w:line="320" w:lineRule="exact"/>
        <w:ind w:left="480"/>
        <w:rPr>
          <w:rFonts w:cs="David"/>
          <w:sz w:val="24"/>
          <w:szCs w:val="24"/>
          <w:rtl/>
        </w:rPr>
      </w:pPr>
      <w:r>
        <w:rPr>
          <w:rFonts w:cs="David"/>
          <w:sz w:val="24"/>
          <w:szCs w:val="24"/>
          <w:rtl/>
        </w:rPr>
        <w:t>בנסיבות אלה, ראוי לבחון את ההוראות הרלבנטיות:</w:t>
      </w:r>
      <w:r>
        <w:rPr>
          <w:rFonts w:cs="David" w:hint="eastAsia"/>
          <w:color w:val="FFFFFF"/>
          <w:sz w:val="4"/>
          <w:szCs w:val="4"/>
          <w:rtl/>
        </w:rPr>
        <w:t>נ</w:t>
      </w:r>
    </w:p>
    <w:p w14:paraId="59E593B6" w14:textId="77777777" w:rsidR="00091F6C" w:rsidRDefault="00091F6C">
      <w:pPr>
        <w:tabs>
          <w:tab w:val="left" w:pos="960"/>
        </w:tabs>
        <w:bidi/>
        <w:spacing w:line="320" w:lineRule="exact"/>
        <w:ind w:left="480"/>
        <w:rPr>
          <w:rFonts w:cs="David"/>
          <w:sz w:val="24"/>
          <w:szCs w:val="24"/>
          <w:rtl/>
        </w:rPr>
      </w:pPr>
      <w:hyperlink r:id="rId41" w:history="1">
        <w:r w:rsidRPr="00091F6C">
          <w:rPr>
            <w:rStyle w:val="Hyperlink"/>
            <w:rFonts w:ascii="Rod" w:hAnsi="Rod" w:cs="David"/>
            <w:szCs w:val="24"/>
            <w:rtl/>
          </w:rPr>
          <w:t>סעיף 356</w:t>
        </w:r>
      </w:hyperlink>
      <w:r>
        <w:rPr>
          <w:rFonts w:cs="David"/>
          <w:sz w:val="24"/>
          <w:szCs w:val="24"/>
          <w:rtl/>
        </w:rPr>
        <w:t xml:space="preserve"> קובע:</w:t>
      </w:r>
      <w:r>
        <w:rPr>
          <w:rFonts w:cs="David" w:hint="eastAsia"/>
          <w:color w:val="FFFFFF"/>
          <w:sz w:val="4"/>
          <w:szCs w:val="4"/>
          <w:rtl/>
        </w:rPr>
        <w:t>ב</w:t>
      </w:r>
    </w:p>
    <w:p w14:paraId="5760A1EE" w14:textId="77777777" w:rsidR="00091F6C" w:rsidRDefault="00091F6C">
      <w:pPr>
        <w:tabs>
          <w:tab w:val="left" w:pos="600"/>
        </w:tabs>
        <w:bidi/>
        <w:spacing w:line="320" w:lineRule="exact"/>
        <w:ind w:left="1080" w:hanging="600"/>
        <w:rPr>
          <w:rFonts w:cs="David"/>
          <w:sz w:val="24"/>
          <w:szCs w:val="24"/>
          <w:rtl/>
        </w:rPr>
      </w:pPr>
      <w:r>
        <w:rPr>
          <w:rFonts w:cs="David"/>
          <w:sz w:val="24"/>
          <w:szCs w:val="24"/>
          <w:rtl/>
        </w:rPr>
        <w:tab/>
        <w:t>"</w:t>
      </w:r>
      <w:r>
        <w:rPr>
          <w:rFonts w:cs="David"/>
          <w:bCs/>
          <w:sz w:val="24"/>
          <w:szCs w:val="24"/>
          <w:rtl/>
        </w:rPr>
        <w:t>העושה מעשה מגונה בקטין שלא מלאו לו שש עשרה שנים, דינו -</w:t>
      </w:r>
      <w:r>
        <w:rPr>
          <w:rFonts w:cs="David"/>
          <w:sz w:val="24"/>
          <w:szCs w:val="24"/>
          <w:rtl/>
        </w:rPr>
        <w:t xml:space="preserve"> </w:t>
      </w:r>
      <w:r>
        <w:rPr>
          <w:rFonts w:cs="David"/>
          <w:bCs/>
          <w:sz w:val="24"/>
          <w:szCs w:val="24"/>
          <w:rtl/>
        </w:rPr>
        <w:t>מאסר שלוש שנים</w:t>
      </w:r>
      <w:r>
        <w:rPr>
          <w:rFonts w:cs="David"/>
          <w:sz w:val="24"/>
          <w:szCs w:val="24"/>
          <w:rtl/>
        </w:rPr>
        <w:t>."</w:t>
      </w:r>
    </w:p>
    <w:p w14:paraId="3131081F" w14:textId="77777777" w:rsidR="00091F6C" w:rsidRDefault="00091F6C">
      <w:pPr>
        <w:tabs>
          <w:tab w:val="left" w:pos="600"/>
        </w:tabs>
        <w:bidi/>
        <w:spacing w:line="320" w:lineRule="exact"/>
        <w:ind w:left="480"/>
        <w:rPr>
          <w:rFonts w:cs="David"/>
          <w:sz w:val="24"/>
          <w:szCs w:val="24"/>
          <w:rtl/>
        </w:rPr>
      </w:pPr>
      <w:hyperlink r:id="rId42" w:history="1">
        <w:r w:rsidRPr="00091F6C">
          <w:rPr>
            <w:rStyle w:val="Hyperlink"/>
            <w:rFonts w:ascii="Rod" w:hAnsi="Rod" w:cs="David"/>
            <w:szCs w:val="24"/>
            <w:rtl/>
          </w:rPr>
          <w:t>סעיף 349</w:t>
        </w:r>
      </w:hyperlink>
      <w:r>
        <w:rPr>
          <w:rFonts w:cs="David"/>
          <w:bCs/>
          <w:sz w:val="24"/>
          <w:szCs w:val="24"/>
          <w:rtl/>
        </w:rPr>
        <w:t xml:space="preserve"> </w:t>
      </w:r>
      <w:r>
        <w:rPr>
          <w:rFonts w:cs="David"/>
          <w:sz w:val="24"/>
          <w:szCs w:val="24"/>
          <w:rtl/>
        </w:rPr>
        <w:t>קובע:</w:t>
      </w:r>
      <w:r>
        <w:rPr>
          <w:rFonts w:cs="David" w:hint="eastAsia"/>
          <w:color w:val="FFFFFF"/>
          <w:sz w:val="4"/>
          <w:szCs w:val="4"/>
          <w:rtl/>
        </w:rPr>
        <w:t>ו</w:t>
      </w:r>
    </w:p>
    <w:p w14:paraId="41114CE0" w14:textId="77777777" w:rsidR="00091F6C" w:rsidRDefault="00091F6C">
      <w:pPr>
        <w:tabs>
          <w:tab w:val="left" w:pos="600"/>
        </w:tabs>
        <w:bidi/>
        <w:spacing w:line="320" w:lineRule="exact"/>
        <w:ind w:left="1080" w:hanging="600"/>
        <w:rPr>
          <w:rFonts w:cs="David"/>
          <w:sz w:val="24"/>
          <w:szCs w:val="24"/>
          <w:rtl/>
        </w:rPr>
      </w:pPr>
      <w:r>
        <w:rPr>
          <w:rFonts w:cs="David"/>
          <w:sz w:val="24"/>
          <w:szCs w:val="24"/>
          <w:rtl/>
        </w:rPr>
        <w:tab/>
        <w:t>"</w:t>
      </w:r>
      <w:r>
        <w:rPr>
          <w:rFonts w:cs="David"/>
          <w:bCs/>
          <w:sz w:val="24"/>
          <w:szCs w:val="24"/>
          <w:rtl/>
        </w:rPr>
        <w:t>העושה מעשה מגונה לשם גירוי, סיפוק או ביזוי מיניים בפומבי,</w:t>
      </w:r>
      <w:r>
        <w:rPr>
          <w:rFonts w:cs="David"/>
          <w:sz w:val="24"/>
          <w:szCs w:val="24"/>
          <w:rtl/>
        </w:rPr>
        <w:t xml:space="preserve"> </w:t>
      </w:r>
      <w:r>
        <w:rPr>
          <w:rFonts w:cs="David"/>
          <w:bCs/>
          <w:sz w:val="24"/>
          <w:szCs w:val="24"/>
          <w:rtl/>
        </w:rPr>
        <w:t>או בכל מקום אחר בפני אדם שטרם מלאו לו שש עשרה שנים, והמעשה</w:t>
      </w:r>
      <w:r>
        <w:rPr>
          <w:rFonts w:cs="David"/>
          <w:sz w:val="24"/>
          <w:szCs w:val="24"/>
          <w:rtl/>
        </w:rPr>
        <w:t xml:space="preserve"> </w:t>
      </w:r>
      <w:r>
        <w:rPr>
          <w:rFonts w:cs="David"/>
          <w:bCs/>
          <w:sz w:val="24"/>
          <w:szCs w:val="24"/>
          <w:rtl/>
        </w:rPr>
        <w:t xml:space="preserve">אינו עבירה מן המנויות בסעיפים </w:t>
      </w:r>
      <w:r>
        <w:rPr>
          <w:rFonts w:ascii="Rod" w:hAnsi="Rod" w:cs="David"/>
          <w:b/>
          <w:bCs/>
          <w:szCs w:val="24"/>
          <w:rtl/>
        </w:rPr>
        <w:t>345</w:t>
      </w:r>
      <w:r>
        <w:rPr>
          <w:rFonts w:cs="David"/>
          <w:bCs/>
          <w:sz w:val="24"/>
          <w:szCs w:val="24"/>
          <w:rtl/>
        </w:rPr>
        <w:t xml:space="preserve"> - </w:t>
      </w:r>
      <w:r>
        <w:rPr>
          <w:rFonts w:ascii="Rod" w:hAnsi="Rod" w:cs="David"/>
          <w:b/>
          <w:bCs/>
          <w:szCs w:val="24"/>
          <w:rtl/>
        </w:rPr>
        <w:t>348</w:t>
      </w:r>
      <w:r>
        <w:rPr>
          <w:rFonts w:cs="David"/>
          <w:bCs/>
          <w:sz w:val="24"/>
          <w:szCs w:val="24"/>
          <w:rtl/>
        </w:rPr>
        <w:t>, דינו - מאסר שלוש</w:t>
      </w:r>
      <w:r>
        <w:rPr>
          <w:rFonts w:cs="David"/>
          <w:sz w:val="24"/>
          <w:szCs w:val="24"/>
          <w:rtl/>
        </w:rPr>
        <w:t xml:space="preserve"> </w:t>
      </w:r>
      <w:r>
        <w:rPr>
          <w:rFonts w:cs="David"/>
          <w:bCs/>
          <w:sz w:val="24"/>
          <w:szCs w:val="24"/>
          <w:rtl/>
        </w:rPr>
        <w:t>שנים.</w:t>
      </w:r>
      <w:r>
        <w:rPr>
          <w:rFonts w:cs="David"/>
          <w:sz w:val="24"/>
          <w:szCs w:val="24"/>
          <w:rtl/>
        </w:rPr>
        <w:t>"</w:t>
      </w:r>
    </w:p>
    <w:p w14:paraId="4FBF0F61" w14:textId="77777777" w:rsidR="00091F6C" w:rsidRDefault="00091F6C">
      <w:pPr>
        <w:tabs>
          <w:tab w:val="left" w:pos="600"/>
        </w:tabs>
        <w:bidi/>
        <w:spacing w:line="320" w:lineRule="exact"/>
        <w:ind w:left="480"/>
        <w:rPr>
          <w:rFonts w:cs="David"/>
          <w:sz w:val="24"/>
          <w:szCs w:val="24"/>
          <w:rtl/>
        </w:rPr>
      </w:pPr>
      <w:hyperlink r:id="rId43" w:history="1">
        <w:r w:rsidRPr="00091F6C">
          <w:rPr>
            <w:rStyle w:val="Hyperlink"/>
            <w:rFonts w:cs="David" w:hint="eastAsia"/>
            <w:sz w:val="24"/>
            <w:szCs w:val="24"/>
            <w:rtl/>
          </w:rPr>
          <w:t>סעיף</w:t>
        </w:r>
        <w:r w:rsidRPr="00091F6C">
          <w:rPr>
            <w:rStyle w:val="Hyperlink"/>
            <w:rFonts w:cs="David"/>
            <w:sz w:val="24"/>
            <w:szCs w:val="24"/>
            <w:rtl/>
          </w:rPr>
          <w:t xml:space="preserve"> 348(</w:t>
        </w:r>
        <w:r w:rsidRPr="00091F6C">
          <w:rPr>
            <w:rStyle w:val="Hyperlink"/>
            <w:rFonts w:cs="David" w:hint="eastAsia"/>
            <w:sz w:val="24"/>
            <w:szCs w:val="24"/>
            <w:rtl/>
          </w:rPr>
          <w:t>ג</w:t>
        </w:r>
        <w:r w:rsidRPr="00091F6C">
          <w:rPr>
            <w:rStyle w:val="Hyperlink"/>
            <w:rFonts w:cs="David"/>
            <w:sz w:val="24"/>
            <w:szCs w:val="24"/>
            <w:rtl/>
          </w:rPr>
          <w:t>)</w:t>
        </w:r>
      </w:hyperlink>
      <w:r>
        <w:rPr>
          <w:rFonts w:cs="David"/>
          <w:sz w:val="24"/>
          <w:szCs w:val="24"/>
          <w:rtl/>
        </w:rPr>
        <w:t xml:space="preserve">, לאחר תיקון </w:t>
      </w:r>
      <w:r>
        <w:rPr>
          <w:rFonts w:ascii="Rod" w:hAnsi="Rod" w:cs="David"/>
          <w:szCs w:val="24"/>
          <w:rtl/>
        </w:rPr>
        <w:t>39</w:t>
      </w:r>
      <w:r>
        <w:rPr>
          <w:rFonts w:cs="David"/>
          <w:sz w:val="24"/>
          <w:szCs w:val="24"/>
          <w:rtl/>
        </w:rPr>
        <w:t>, קובע:</w:t>
      </w:r>
      <w:r>
        <w:rPr>
          <w:rFonts w:cs="David" w:hint="eastAsia"/>
          <w:color w:val="FFFFFF"/>
          <w:sz w:val="4"/>
          <w:szCs w:val="4"/>
          <w:rtl/>
        </w:rPr>
        <w:t>נ</w:t>
      </w:r>
    </w:p>
    <w:p w14:paraId="6FBDEC8E" w14:textId="77777777" w:rsidR="00091F6C" w:rsidRDefault="00091F6C">
      <w:pPr>
        <w:tabs>
          <w:tab w:val="left" w:pos="600"/>
        </w:tabs>
        <w:bidi/>
        <w:spacing w:line="320" w:lineRule="exact"/>
        <w:ind w:left="1080" w:hanging="600"/>
        <w:rPr>
          <w:rFonts w:cs="David"/>
          <w:sz w:val="24"/>
          <w:szCs w:val="24"/>
          <w:rtl/>
        </w:rPr>
      </w:pPr>
      <w:r>
        <w:rPr>
          <w:rFonts w:cs="David"/>
          <w:sz w:val="24"/>
          <w:szCs w:val="24"/>
          <w:rtl/>
        </w:rPr>
        <w:tab/>
        <w:t>"</w:t>
      </w:r>
      <w:r>
        <w:rPr>
          <w:rFonts w:cs="David"/>
          <w:bCs/>
          <w:sz w:val="24"/>
          <w:szCs w:val="24"/>
          <w:rtl/>
        </w:rPr>
        <w:t xml:space="preserve">העושה מעשה מגונה באדם </w:t>
      </w:r>
      <w:r>
        <w:rPr>
          <w:rFonts w:cs="David"/>
          <w:bCs/>
          <w:sz w:val="24"/>
          <w:szCs w:val="24"/>
          <w:u w:val="single"/>
          <w:rtl/>
        </w:rPr>
        <w:t>בלא הסכמתו</w:t>
      </w:r>
      <w:r>
        <w:rPr>
          <w:rFonts w:cs="David"/>
          <w:bCs/>
          <w:sz w:val="24"/>
          <w:szCs w:val="24"/>
          <w:rtl/>
        </w:rPr>
        <w:t xml:space="preserve"> אך שלא בנסיבות המנויות</w:t>
      </w:r>
      <w:r>
        <w:rPr>
          <w:rFonts w:cs="David"/>
          <w:sz w:val="24"/>
          <w:szCs w:val="24"/>
          <w:rtl/>
        </w:rPr>
        <w:t xml:space="preserve"> </w:t>
      </w:r>
      <w:r>
        <w:rPr>
          <w:rFonts w:cs="David"/>
          <w:bCs/>
          <w:sz w:val="24"/>
          <w:szCs w:val="24"/>
          <w:rtl/>
        </w:rPr>
        <w:t xml:space="preserve">בסעיף </w:t>
      </w:r>
      <w:r>
        <w:rPr>
          <w:rFonts w:ascii="Rod" w:hAnsi="Rod" w:cs="David"/>
          <w:b/>
          <w:bCs/>
          <w:szCs w:val="24"/>
          <w:rtl/>
        </w:rPr>
        <w:t>345</w:t>
      </w:r>
      <w:r>
        <w:rPr>
          <w:rFonts w:cs="David"/>
          <w:bCs/>
          <w:sz w:val="24"/>
          <w:szCs w:val="24"/>
          <w:rtl/>
        </w:rPr>
        <w:t>, דינו - מאסר שלוש שנים</w:t>
      </w:r>
      <w:r>
        <w:rPr>
          <w:rFonts w:cs="David"/>
          <w:sz w:val="24"/>
          <w:szCs w:val="24"/>
          <w:rtl/>
        </w:rPr>
        <w:t>.</w:t>
      </w:r>
      <w:r>
        <w:rPr>
          <w:rFonts w:cs="David"/>
          <w:bCs/>
          <w:sz w:val="24"/>
          <w:szCs w:val="24"/>
          <w:rtl/>
        </w:rPr>
        <w:t>"</w:t>
      </w:r>
    </w:p>
    <w:p w14:paraId="6428E823" w14:textId="77777777" w:rsidR="00091F6C" w:rsidRDefault="00091F6C">
      <w:pPr>
        <w:tabs>
          <w:tab w:val="left" w:pos="120"/>
        </w:tabs>
        <w:bidi/>
        <w:spacing w:line="320" w:lineRule="exact"/>
        <w:rPr>
          <w:rFonts w:cs="David"/>
          <w:sz w:val="24"/>
          <w:szCs w:val="24"/>
          <w:rtl/>
        </w:rPr>
      </w:pPr>
    </w:p>
    <w:p w14:paraId="105E7DEE" w14:textId="77777777" w:rsidR="00091F6C" w:rsidRDefault="00091F6C">
      <w:pPr>
        <w:tabs>
          <w:tab w:val="left" w:pos="120"/>
        </w:tabs>
        <w:bidi/>
        <w:spacing w:line="320" w:lineRule="exact"/>
        <w:ind w:left="480" w:hanging="480"/>
        <w:rPr>
          <w:rFonts w:cs="David"/>
          <w:sz w:val="24"/>
          <w:szCs w:val="24"/>
          <w:rtl/>
        </w:rPr>
      </w:pPr>
      <w:r>
        <w:rPr>
          <w:rFonts w:cs="David"/>
          <w:sz w:val="24"/>
          <w:szCs w:val="24"/>
          <w:rtl/>
        </w:rPr>
        <w:tab/>
        <w:t>מאחר שקבענו שהמועד הרלבנטי הוא עד הגיעה המתלוננת לגיל שש עשרה ובטרם מלאו לה גיל זה, אין חשיבות לשוני בנוסחים, בענין זה.</w:t>
      </w:r>
    </w:p>
    <w:p w14:paraId="1411C691" w14:textId="77777777" w:rsidR="00091F6C" w:rsidRDefault="00091F6C">
      <w:pPr>
        <w:tabs>
          <w:tab w:val="left" w:pos="600"/>
        </w:tabs>
        <w:bidi/>
        <w:spacing w:line="320" w:lineRule="exact"/>
        <w:ind w:left="480"/>
        <w:rPr>
          <w:rFonts w:cs="David"/>
          <w:sz w:val="24"/>
          <w:szCs w:val="24"/>
          <w:rtl/>
        </w:rPr>
      </w:pPr>
    </w:p>
    <w:p w14:paraId="08FB5782" w14:textId="77777777" w:rsidR="00091F6C" w:rsidRDefault="00091F6C">
      <w:pPr>
        <w:tabs>
          <w:tab w:val="left" w:pos="120"/>
        </w:tabs>
        <w:bidi/>
        <w:spacing w:line="320" w:lineRule="exact"/>
        <w:ind w:left="480" w:hanging="480"/>
        <w:rPr>
          <w:rFonts w:cs="David"/>
          <w:sz w:val="24"/>
          <w:szCs w:val="24"/>
          <w:rtl/>
        </w:rPr>
      </w:pPr>
      <w:r>
        <w:rPr>
          <w:rFonts w:cs="David"/>
          <w:sz w:val="24"/>
          <w:szCs w:val="24"/>
          <w:rtl/>
        </w:rPr>
        <w:tab/>
        <w:t>כל הנוסחים של ההוראות הנ"ל מדגישים את הרכיב של עשיית המעשה "בלא הסכמתו של הקורבן". על אף שהדרישה אינה ל"הסכמה חופשית", כפי שזו מופיעה בעבירת האינוס, יש לדעתי, לראות במעשים שנעשו על ידי הנאשם עד הגיע המתלוננת לגיל שש עשרה, כלומר גם לאחר גיל ארבע עשרה, כמעשים שנעשו ללא הסכמתה.</w:t>
      </w:r>
    </w:p>
    <w:p w14:paraId="2D58DDDC" w14:textId="77777777" w:rsidR="00091F6C" w:rsidRDefault="00091F6C">
      <w:pPr>
        <w:tabs>
          <w:tab w:val="left" w:pos="600"/>
        </w:tabs>
        <w:bidi/>
        <w:spacing w:line="320" w:lineRule="exact"/>
        <w:ind w:left="480"/>
        <w:rPr>
          <w:rFonts w:cs="David"/>
          <w:sz w:val="24"/>
          <w:szCs w:val="24"/>
          <w:rtl/>
        </w:rPr>
      </w:pPr>
      <w:r>
        <w:rPr>
          <w:rFonts w:cs="David"/>
          <w:sz w:val="24"/>
          <w:szCs w:val="24"/>
          <w:rtl/>
        </w:rPr>
        <w:t>יש להזכיר, כי הנאשם היה בוגר מן המתלוננת בשמונה שנים וכן את מערכת היחסים הקרובה והמיוחדת שהיתה, כפי שהובאה בפנינו וכפי שפורטה בפסק-הדין של כבוד השופט פיזם.</w:t>
      </w:r>
    </w:p>
    <w:p w14:paraId="45440D46" w14:textId="77777777" w:rsidR="00091F6C" w:rsidRDefault="00091F6C">
      <w:pPr>
        <w:tabs>
          <w:tab w:val="left" w:pos="600"/>
        </w:tabs>
        <w:bidi/>
        <w:spacing w:line="320" w:lineRule="exact"/>
        <w:ind w:left="480"/>
        <w:rPr>
          <w:rFonts w:cs="David"/>
          <w:sz w:val="24"/>
          <w:szCs w:val="24"/>
          <w:rtl/>
        </w:rPr>
      </w:pPr>
      <w:r>
        <w:rPr>
          <w:rFonts w:cs="David"/>
          <w:sz w:val="24"/>
          <w:szCs w:val="24"/>
          <w:rtl/>
        </w:rPr>
        <w:t>כל אלה מצביעים על "העדר הסכמה", גם לאחר גיל ארבע עשרה.</w:t>
      </w:r>
    </w:p>
    <w:p w14:paraId="5EBE13CA" w14:textId="77777777" w:rsidR="00091F6C" w:rsidRDefault="00091F6C">
      <w:pPr>
        <w:tabs>
          <w:tab w:val="left" w:pos="600"/>
        </w:tabs>
        <w:bidi/>
        <w:spacing w:line="320" w:lineRule="exact"/>
        <w:ind w:left="480"/>
        <w:rPr>
          <w:rFonts w:cs="David"/>
          <w:sz w:val="24"/>
          <w:szCs w:val="24"/>
          <w:rtl/>
        </w:rPr>
      </w:pPr>
    </w:p>
    <w:p w14:paraId="3D0A12A9" w14:textId="77777777" w:rsidR="00091F6C" w:rsidRDefault="00091F6C">
      <w:pPr>
        <w:tabs>
          <w:tab w:val="left" w:pos="480"/>
        </w:tabs>
        <w:bidi/>
        <w:spacing w:line="320" w:lineRule="exact"/>
        <w:ind w:left="480" w:hanging="480"/>
        <w:rPr>
          <w:rFonts w:cs="David"/>
          <w:sz w:val="24"/>
          <w:szCs w:val="24"/>
          <w:rtl/>
        </w:rPr>
      </w:pPr>
      <w:r>
        <w:rPr>
          <w:rFonts w:cs="David"/>
          <w:sz w:val="24"/>
          <w:szCs w:val="24"/>
          <w:rtl/>
        </w:rPr>
        <w:t>5.</w:t>
      </w:r>
      <w:r>
        <w:rPr>
          <w:rFonts w:cs="David"/>
          <w:sz w:val="24"/>
          <w:szCs w:val="24"/>
          <w:rtl/>
        </w:rPr>
        <w:tab/>
        <w:t xml:space="preserve">כאמור, אינני סבורה שהוכחה עבירת האינוס גם לא לגבי ביצוע עבירת המין האוראלי, הנחשבת למעשה סדום, כהגדרתה </w:t>
      </w:r>
      <w:hyperlink r:id="rId44" w:history="1">
        <w:r w:rsidRPr="00091F6C">
          <w:rPr>
            <w:rStyle w:val="Hyperlink"/>
            <w:rFonts w:cs="David" w:hint="eastAsia"/>
            <w:sz w:val="24"/>
            <w:szCs w:val="24"/>
            <w:rtl/>
          </w:rPr>
          <w:t>בסעיף</w:t>
        </w:r>
        <w:r w:rsidRPr="00091F6C">
          <w:rPr>
            <w:rStyle w:val="Hyperlink"/>
            <w:rFonts w:cs="David"/>
            <w:sz w:val="24"/>
            <w:szCs w:val="24"/>
            <w:rtl/>
          </w:rPr>
          <w:t xml:space="preserve"> 346(</w:t>
        </w:r>
        <w:r w:rsidRPr="00091F6C">
          <w:rPr>
            <w:rStyle w:val="Hyperlink"/>
            <w:rFonts w:cs="David" w:hint="eastAsia"/>
            <w:sz w:val="24"/>
            <w:szCs w:val="24"/>
            <w:rtl/>
          </w:rPr>
          <w:t>ג</w:t>
        </w:r>
        <w:r w:rsidRPr="00091F6C">
          <w:rPr>
            <w:rStyle w:val="Hyperlink"/>
            <w:rFonts w:cs="David"/>
            <w:sz w:val="24"/>
            <w:szCs w:val="24"/>
            <w:rtl/>
          </w:rPr>
          <w:t>)</w:t>
        </w:r>
      </w:hyperlink>
      <w:r>
        <w:rPr>
          <w:rFonts w:cs="David"/>
          <w:sz w:val="24"/>
          <w:szCs w:val="24"/>
          <w:rtl/>
        </w:rPr>
        <w:t xml:space="preserve"> ל</w:t>
      </w:r>
      <w:hyperlink r:id="rId45"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w:t>
      </w:r>
    </w:p>
    <w:p w14:paraId="467AB4E9"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אעיר עוד, כפי שהוזכר לעיל, שעל-פי </w:t>
      </w:r>
      <w:hyperlink r:id="rId46" w:history="1">
        <w:r w:rsidRPr="00091F6C">
          <w:rPr>
            <w:rStyle w:val="Hyperlink"/>
            <w:rFonts w:cs="David" w:hint="eastAsia"/>
            <w:sz w:val="24"/>
            <w:szCs w:val="24"/>
            <w:rtl/>
          </w:rPr>
          <w:t>סעיף</w:t>
        </w:r>
        <w:r w:rsidRPr="00091F6C">
          <w:rPr>
            <w:rStyle w:val="Hyperlink"/>
            <w:rFonts w:cs="David"/>
            <w:sz w:val="24"/>
            <w:szCs w:val="24"/>
            <w:rtl/>
          </w:rPr>
          <w:t xml:space="preserve"> 5(</w:t>
        </w:r>
        <w:r w:rsidRPr="00091F6C">
          <w:rPr>
            <w:rStyle w:val="Hyperlink"/>
            <w:rFonts w:cs="David" w:hint="eastAsia"/>
            <w:sz w:val="24"/>
            <w:szCs w:val="24"/>
            <w:rtl/>
          </w:rPr>
          <w:t>א</w:t>
        </w:r>
        <w:r w:rsidRPr="00091F6C">
          <w:rPr>
            <w:rStyle w:val="Hyperlink"/>
            <w:rFonts w:cs="David"/>
            <w:sz w:val="24"/>
            <w:szCs w:val="24"/>
            <w:rtl/>
          </w:rPr>
          <w:t>)</w:t>
        </w:r>
      </w:hyperlink>
      <w:r>
        <w:rPr>
          <w:rFonts w:cs="David"/>
          <w:sz w:val="24"/>
          <w:szCs w:val="24"/>
          <w:rtl/>
        </w:rPr>
        <w:t xml:space="preserve"> ל</w:t>
      </w:r>
      <w:hyperlink r:id="rId47"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 עבירה שלגביה חל שינוי בחיקוק, בטרם ניתן פסק דין, יש להחיל את השינוי בנוגע להגדרתה או לאחריות לה, לפיכך, הנוסח הקובע הוא הנוסח הקיים, עובר למועד מתן הכרעת הדין.</w:t>
      </w:r>
    </w:p>
    <w:p w14:paraId="6C7B2E7A" w14:textId="77777777" w:rsidR="00091F6C" w:rsidRDefault="00091F6C">
      <w:pPr>
        <w:tabs>
          <w:tab w:val="left" w:pos="960"/>
        </w:tabs>
        <w:bidi/>
        <w:spacing w:line="320" w:lineRule="exact"/>
        <w:ind w:left="480"/>
        <w:rPr>
          <w:rFonts w:cs="David"/>
          <w:sz w:val="24"/>
          <w:szCs w:val="24"/>
          <w:rtl/>
        </w:rPr>
      </w:pPr>
    </w:p>
    <w:p w14:paraId="4CB2E45F" w14:textId="77777777" w:rsidR="00091F6C" w:rsidRDefault="00091F6C">
      <w:pPr>
        <w:tabs>
          <w:tab w:val="left" w:pos="480"/>
        </w:tabs>
        <w:bidi/>
        <w:spacing w:line="320" w:lineRule="exact"/>
        <w:ind w:left="480" w:hanging="480"/>
        <w:rPr>
          <w:rFonts w:cs="David"/>
          <w:sz w:val="24"/>
          <w:szCs w:val="24"/>
          <w:rtl/>
        </w:rPr>
      </w:pPr>
      <w:r>
        <w:rPr>
          <w:rFonts w:cs="David"/>
          <w:sz w:val="24"/>
          <w:szCs w:val="24"/>
          <w:rtl/>
        </w:rPr>
        <w:t>6.</w:t>
      </w:r>
      <w:r>
        <w:rPr>
          <w:rFonts w:cs="David"/>
          <w:sz w:val="24"/>
          <w:szCs w:val="24"/>
          <w:rtl/>
        </w:rPr>
        <w:tab/>
        <w:t>המקום היחיד בו המתלוננת העידה בפנינו על החדרת איבר המין של הנאשם לפיה, הוא בעמ' 8 לפרוטוקול, במסגרת חקירתה העיקרית. המתלוננת לא חזרה, לא פירטה מעשים אלה ובמיוחד לא מיקדה את השנים שבהן קרו ארועים כגון אלה.</w:t>
      </w:r>
    </w:p>
    <w:p w14:paraId="05EFF9A4" w14:textId="77777777" w:rsidR="00091F6C" w:rsidRDefault="00091F6C">
      <w:pPr>
        <w:tabs>
          <w:tab w:val="left" w:pos="960"/>
        </w:tabs>
        <w:bidi/>
        <w:spacing w:line="320" w:lineRule="exact"/>
        <w:ind w:left="480"/>
        <w:rPr>
          <w:rFonts w:cs="David"/>
          <w:sz w:val="24"/>
          <w:szCs w:val="24"/>
          <w:rtl/>
        </w:rPr>
      </w:pPr>
      <w:r>
        <w:rPr>
          <w:rFonts w:cs="David"/>
          <w:sz w:val="24"/>
          <w:szCs w:val="24"/>
          <w:rtl/>
        </w:rPr>
        <w:t xml:space="preserve">נהפוך הוא, בעמ' </w:t>
      </w:r>
      <w:r>
        <w:rPr>
          <w:rFonts w:ascii="Rod" w:hAnsi="Rod" w:cs="David"/>
          <w:szCs w:val="24"/>
          <w:rtl/>
        </w:rPr>
        <w:t>30</w:t>
      </w:r>
      <w:r>
        <w:rPr>
          <w:rFonts w:cs="David"/>
          <w:sz w:val="24"/>
          <w:szCs w:val="24"/>
          <w:rtl/>
        </w:rPr>
        <w:t xml:space="preserve"> לפרוטוקול הודתה המתלוננת כי איננה יכולה להגדיר גיל מדויק לגבי כל אחד מן המעשים שייחסה לנאשם.</w:t>
      </w:r>
    </w:p>
    <w:p w14:paraId="6248B5FC" w14:textId="77777777" w:rsidR="00091F6C" w:rsidRDefault="00091F6C">
      <w:pPr>
        <w:tabs>
          <w:tab w:val="left" w:pos="960"/>
        </w:tabs>
        <w:bidi/>
        <w:spacing w:line="320" w:lineRule="exact"/>
        <w:ind w:left="480"/>
        <w:rPr>
          <w:rFonts w:cs="David"/>
          <w:sz w:val="24"/>
          <w:szCs w:val="24"/>
          <w:rtl/>
        </w:rPr>
      </w:pPr>
      <w:r>
        <w:rPr>
          <w:rFonts w:cs="David"/>
          <w:sz w:val="24"/>
          <w:szCs w:val="24"/>
          <w:rtl/>
        </w:rPr>
        <w:t>למרות שבהודעה במשטרה שמסרה המתלוננת, יש אזכור למעשה כגון זה (נ/2, עמ' 2, שורה ראשונה), יש לתת אמון בעדות המתלוננת שהושמעה בפני בית המשפט.</w:t>
      </w:r>
    </w:p>
    <w:p w14:paraId="1A7A613C" w14:textId="77777777" w:rsidR="00091F6C" w:rsidRDefault="00091F6C">
      <w:pPr>
        <w:tabs>
          <w:tab w:val="left" w:pos="960"/>
        </w:tabs>
        <w:bidi/>
        <w:spacing w:line="320" w:lineRule="exact"/>
        <w:ind w:left="480"/>
        <w:rPr>
          <w:rFonts w:cs="David"/>
          <w:sz w:val="24"/>
          <w:szCs w:val="24"/>
          <w:rtl/>
        </w:rPr>
      </w:pPr>
      <w:r>
        <w:rPr>
          <w:rFonts w:cs="David"/>
          <w:sz w:val="24"/>
          <w:szCs w:val="24"/>
          <w:rtl/>
        </w:rPr>
        <w:t>בנסיבות אלה, מחמת הספק הסביר, הייתי מציעה לזכות את הנאשם מאשמה של מעשה סדום.</w:t>
      </w:r>
    </w:p>
    <w:p w14:paraId="63F108B8" w14:textId="77777777" w:rsidR="00091F6C" w:rsidRDefault="00091F6C">
      <w:pPr>
        <w:tabs>
          <w:tab w:val="left" w:pos="960"/>
        </w:tabs>
        <w:bidi/>
        <w:spacing w:line="320" w:lineRule="exact"/>
        <w:ind w:left="480"/>
        <w:rPr>
          <w:rFonts w:cs="David"/>
          <w:sz w:val="24"/>
          <w:szCs w:val="24"/>
          <w:rtl/>
        </w:rPr>
      </w:pPr>
    </w:p>
    <w:p w14:paraId="30E87773" w14:textId="77777777" w:rsidR="00091F6C" w:rsidRDefault="00091F6C">
      <w:pPr>
        <w:tabs>
          <w:tab w:val="left" w:pos="480"/>
        </w:tabs>
        <w:bidi/>
        <w:spacing w:line="320" w:lineRule="exact"/>
        <w:ind w:left="480" w:hanging="480"/>
        <w:rPr>
          <w:rFonts w:cs="David"/>
          <w:sz w:val="24"/>
          <w:szCs w:val="24"/>
          <w:rtl/>
        </w:rPr>
      </w:pPr>
      <w:r>
        <w:rPr>
          <w:rFonts w:cs="David"/>
          <w:sz w:val="24"/>
          <w:szCs w:val="24"/>
          <w:rtl/>
        </w:rPr>
        <w:t>7.</w:t>
      </w:r>
      <w:r>
        <w:rPr>
          <w:rFonts w:cs="David"/>
          <w:sz w:val="24"/>
          <w:szCs w:val="24"/>
          <w:rtl/>
        </w:rPr>
        <w:tab/>
        <w:t>לפיכך, אילו דעתי היתה נשמעת, הייתי מציעה להרשיע את הנאשם במעשים מגונים בלבד, שנעשו על-ידי הנאשם במתלוננת, שהשתרעו במשך שנים, כמפורט בכתב האישום, עד הגיע המתלוננת לגיל שש עשרה, וכן בעבירה של איומים כמפורט בחוות דעתו של כבוד השופט ח' פיזם.</w:t>
      </w:r>
    </w:p>
    <w:p w14:paraId="613B533D" w14:textId="77777777" w:rsidR="00091F6C" w:rsidRDefault="00091F6C">
      <w:pPr>
        <w:tabs>
          <w:tab w:val="left" w:pos="480"/>
        </w:tabs>
        <w:bidi/>
        <w:spacing w:line="320" w:lineRule="exact"/>
        <w:rPr>
          <w:rFonts w:cs="David"/>
          <w:sz w:val="24"/>
          <w:szCs w:val="24"/>
          <w:rtl/>
        </w:rPr>
      </w:pPr>
    </w:p>
    <w:p w14:paraId="3BF52A8B" w14:textId="77777777" w:rsidR="00091F6C" w:rsidRDefault="00091F6C">
      <w:pPr>
        <w:tabs>
          <w:tab w:val="left" w:pos="6000"/>
        </w:tabs>
        <w:bidi/>
        <w:spacing w:line="320" w:lineRule="exact"/>
        <w:ind w:left="480"/>
        <w:rPr>
          <w:rFonts w:cs="David"/>
          <w:sz w:val="24"/>
          <w:szCs w:val="24"/>
          <w:rtl/>
        </w:rPr>
      </w:pPr>
      <w:r>
        <w:rPr>
          <w:rFonts w:cs="David"/>
          <w:sz w:val="24"/>
          <w:szCs w:val="24"/>
          <w:rtl/>
        </w:rPr>
        <w:t xml:space="preserve"> </w:t>
      </w:r>
      <w:r>
        <w:rPr>
          <w:rFonts w:cs="David"/>
          <w:sz w:val="24"/>
          <w:szCs w:val="24"/>
          <w:rtl/>
        </w:rPr>
        <w:tab/>
      </w:r>
      <w:r>
        <w:rPr>
          <w:rFonts w:cs="David"/>
          <w:sz w:val="24"/>
          <w:szCs w:val="24"/>
          <w:rtl/>
        </w:rPr>
        <w:tab/>
      </w:r>
      <w:r>
        <w:rPr>
          <w:rFonts w:cs="David"/>
          <w:bCs/>
          <w:sz w:val="24"/>
          <w:szCs w:val="24"/>
          <w:u w:val="single"/>
          <w:rtl/>
        </w:rPr>
        <w:t>_________________</w:t>
      </w:r>
      <w:r>
        <w:rPr>
          <w:rFonts w:cs="David"/>
          <w:bCs/>
          <w:sz w:val="24"/>
          <w:szCs w:val="24"/>
          <w:rtl/>
        </w:rPr>
        <w:t xml:space="preserve"> </w:t>
      </w:r>
    </w:p>
    <w:p w14:paraId="476DF91A" w14:textId="77777777" w:rsidR="00091F6C" w:rsidRDefault="00091F6C">
      <w:pPr>
        <w:tabs>
          <w:tab w:val="left" w:pos="6000"/>
        </w:tabs>
        <w:bidi/>
        <w:spacing w:line="320" w:lineRule="exact"/>
        <w:ind w:left="480"/>
        <w:rPr>
          <w:rFonts w:cs="David"/>
          <w:sz w:val="24"/>
          <w:szCs w:val="24"/>
          <w:rtl/>
        </w:rPr>
      </w:pPr>
      <w:r>
        <w:rPr>
          <w:rFonts w:cs="David"/>
          <w:sz w:val="24"/>
          <w:szCs w:val="24"/>
          <w:rtl/>
        </w:rPr>
        <w:t xml:space="preserve"> </w:t>
      </w:r>
      <w:r>
        <w:rPr>
          <w:rFonts w:cs="David"/>
          <w:sz w:val="24"/>
          <w:szCs w:val="24"/>
          <w:rtl/>
        </w:rPr>
        <w:tab/>
      </w:r>
      <w:r>
        <w:rPr>
          <w:rFonts w:cs="David"/>
          <w:sz w:val="24"/>
          <w:szCs w:val="24"/>
          <w:rtl/>
        </w:rPr>
        <w:tab/>
      </w:r>
      <w:r>
        <w:rPr>
          <w:rFonts w:cs="David"/>
          <w:bCs/>
          <w:sz w:val="24"/>
          <w:szCs w:val="24"/>
          <w:rtl/>
        </w:rPr>
        <w:t xml:space="preserve">ש' וסרקרוג, שופטת </w:t>
      </w:r>
    </w:p>
    <w:p w14:paraId="60FA35C8" w14:textId="77777777" w:rsidR="00091F6C" w:rsidRDefault="00091F6C">
      <w:pPr>
        <w:tabs>
          <w:tab w:val="left" w:pos="6000"/>
        </w:tabs>
        <w:bidi/>
        <w:spacing w:line="320" w:lineRule="exact"/>
        <w:ind w:left="480"/>
        <w:rPr>
          <w:rFonts w:cs="David"/>
          <w:sz w:val="24"/>
          <w:szCs w:val="24"/>
          <w:rtl/>
        </w:rPr>
      </w:pPr>
    </w:p>
    <w:p w14:paraId="79EE239A" w14:textId="77777777" w:rsidR="00091F6C" w:rsidRDefault="00091F6C">
      <w:pPr>
        <w:tabs>
          <w:tab w:val="left" w:pos="5520"/>
        </w:tabs>
        <w:bidi/>
        <w:spacing w:line="320" w:lineRule="exact"/>
        <w:rPr>
          <w:rFonts w:cs="David"/>
          <w:sz w:val="24"/>
          <w:szCs w:val="24"/>
          <w:rtl/>
        </w:rPr>
      </w:pPr>
      <w:r>
        <w:rPr>
          <w:rFonts w:cs="David"/>
          <w:bCs/>
          <w:sz w:val="24"/>
          <w:szCs w:val="24"/>
          <w:u w:val="single"/>
          <w:rtl/>
        </w:rPr>
        <w:t>השופט י' גריל:</w:t>
      </w:r>
      <w:r>
        <w:rPr>
          <w:rFonts w:cs="David" w:hint="eastAsia"/>
          <w:bCs/>
          <w:color w:val="FFFFFF"/>
          <w:sz w:val="4"/>
          <w:szCs w:val="4"/>
          <w:u w:val="single"/>
          <w:rtl/>
        </w:rPr>
        <w:t>ב</w:t>
      </w:r>
    </w:p>
    <w:p w14:paraId="3FD8C501" w14:textId="77777777" w:rsidR="00091F6C" w:rsidRDefault="00091F6C">
      <w:pPr>
        <w:tabs>
          <w:tab w:val="left" w:pos="120"/>
        </w:tabs>
        <w:bidi/>
        <w:spacing w:line="320" w:lineRule="exact"/>
        <w:ind w:left="480" w:hanging="480"/>
        <w:rPr>
          <w:rFonts w:cs="David"/>
          <w:sz w:val="24"/>
          <w:szCs w:val="24"/>
          <w:rtl/>
        </w:rPr>
      </w:pPr>
      <w:r>
        <w:rPr>
          <w:rFonts w:cs="David"/>
          <w:sz w:val="24"/>
          <w:szCs w:val="24"/>
          <w:rtl/>
        </w:rPr>
        <w:tab/>
        <w:t xml:space="preserve">מן הנימוקים שפרטה כב' השופטת ש' וסרקרוג בפסק דינה סבור גם אני שיש להרשיע את הנאשם במעשים מגונים בלבד, שנעשה על ידי הנאשם במתלוננת, במשך השנים כמפורט בכתב האישום עד הגיע המתלוננת לגיל </w:t>
      </w:r>
      <w:r>
        <w:rPr>
          <w:rFonts w:ascii="Rod" w:hAnsi="Rod" w:cs="David"/>
          <w:szCs w:val="24"/>
          <w:rtl/>
        </w:rPr>
        <w:t>16</w:t>
      </w:r>
      <w:r>
        <w:rPr>
          <w:rFonts w:cs="David"/>
          <w:sz w:val="24"/>
          <w:szCs w:val="24"/>
          <w:rtl/>
        </w:rPr>
        <w:t xml:space="preserve">. וכן בעבירה של איומים לפי </w:t>
      </w:r>
      <w:hyperlink r:id="rId48" w:history="1">
        <w:r w:rsidRPr="00091F6C">
          <w:rPr>
            <w:rStyle w:val="Hyperlink"/>
            <w:rFonts w:ascii="Rod" w:hAnsi="Rod" w:cs="David"/>
            <w:szCs w:val="24"/>
            <w:rtl/>
          </w:rPr>
          <w:t>סעיף 192</w:t>
        </w:r>
      </w:hyperlink>
      <w:r>
        <w:rPr>
          <w:rFonts w:cs="David"/>
          <w:sz w:val="24"/>
          <w:szCs w:val="24"/>
          <w:rtl/>
        </w:rPr>
        <w:t xml:space="preserve"> ל</w:t>
      </w:r>
      <w:hyperlink r:id="rId49" w:history="1">
        <w:r w:rsidRPr="00091F6C">
          <w:rPr>
            <w:rStyle w:val="Hyperlink"/>
            <w:rFonts w:cs="David" w:hint="eastAsia"/>
            <w:sz w:val="24"/>
            <w:szCs w:val="24"/>
            <w:rtl/>
          </w:rPr>
          <w:t>חוק</w:t>
        </w:r>
        <w:r w:rsidRPr="00091F6C">
          <w:rPr>
            <w:rStyle w:val="Hyperlink"/>
            <w:rFonts w:cs="David"/>
            <w:sz w:val="24"/>
            <w:szCs w:val="24"/>
            <w:rtl/>
          </w:rPr>
          <w:t xml:space="preserve"> </w:t>
        </w:r>
        <w:r w:rsidRPr="00091F6C">
          <w:rPr>
            <w:rStyle w:val="Hyperlink"/>
            <w:rFonts w:cs="David" w:hint="eastAsia"/>
            <w:sz w:val="24"/>
            <w:szCs w:val="24"/>
            <w:rtl/>
          </w:rPr>
          <w:t>העונשין</w:t>
        </w:r>
      </w:hyperlink>
      <w:r>
        <w:rPr>
          <w:rFonts w:cs="David"/>
          <w:sz w:val="24"/>
          <w:szCs w:val="24"/>
          <w:rtl/>
        </w:rPr>
        <w:t xml:space="preserve"> תשל"ז - </w:t>
      </w:r>
      <w:r>
        <w:rPr>
          <w:rFonts w:ascii="Rod" w:hAnsi="Rod" w:cs="David"/>
          <w:szCs w:val="24"/>
          <w:rtl/>
        </w:rPr>
        <w:t>1977</w:t>
      </w:r>
      <w:r>
        <w:rPr>
          <w:rFonts w:cs="David"/>
          <w:sz w:val="24"/>
          <w:szCs w:val="24"/>
          <w:rtl/>
        </w:rPr>
        <w:t>.</w:t>
      </w:r>
    </w:p>
    <w:p w14:paraId="7A0A8D27" w14:textId="77777777" w:rsidR="00091F6C" w:rsidRDefault="00091F6C">
      <w:pPr>
        <w:tabs>
          <w:tab w:val="left" w:pos="120"/>
        </w:tabs>
        <w:bidi/>
        <w:spacing w:line="320" w:lineRule="exact"/>
        <w:rPr>
          <w:rFonts w:cs="David"/>
          <w:sz w:val="24"/>
          <w:szCs w:val="24"/>
          <w:rtl/>
        </w:rPr>
      </w:pPr>
    </w:p>
    <w:p w14:paraId="01D6108D" w14:textId="77777777" w:rsidR="00091F6C" w:rsidRDefault="00091F6C">
      <w:pPr>
        <w:tabs>
          <w:tab w:val="left" w:pos="6000"/>
        </w:tabs>
        <w:bidi/>
        <w:spacing w:line="320" w:lineRule="exact"/>
        <w:rPr>
          <w:rFonts w:cs="David"/>
          <w:sz w:val="24"/>
          <w:szCs w:val="24"/>
          <w:rtl/>
        </w:rPr>
      </w:pPr>
      <w:r>
        <w:rPr>
          <w:rFonts w:cs="David"/>
          <w:sz w:val="24"/>
          <w:szCs w:val="24"/>
          <w:rtl/>
        </w:rPr>
        <w:t xml:space="preserve"> </w:t>
      </w:r>
      <w:r>
        <w:rPr>
          <w:rFonts w:cs="David"/>
          <w:sz w:val="24"/>
          <w:szCs w:val="24"/>
          <w:rtl/>
        </w:rPr>
        <w:tab/>
      </w:r>
      <w:r>
        <w:rPr>
          <w:rFonts w:cs="David"/>
          <w:bCs/>
          <w:sz w:val="24"/>
          <w:szCs w:val="24"/>
          <w:u w:val="single"/>
          <w:rtl/>
        </w:rPr>
        <w:t>_____________</w:t>
      </w:r>
      <w:r>
        <w:rPr>
          <w:rFonts w:cs="David"/>
          <w:bCs/>
          <w:sz w:val="24"/>
          <w:szCs w:val="24"/>
          <w:rtl/>
        </w:rPr>
        <w:t xml:space="preserve"> </w:t>
      </w:r>
    </w:p>
    <w:p w14:paraId="0C459C9C" w14:textId="77777777" w:rsidR="00091F6C" w:rsidRDefault="00091F6C">
      <w:pPr>
        <w:tabs>
          <w:tab w:val="left" w:pos="6000"/>
        </w:tabs>
        <w:bidi/>
        <w:spacing w:line="320" w:lineRule="exact"/>
        <w:rPr>
          <w:rFonts w:cs="David"/>
          <w:sz w:val="24"/>
          <w:szCs w:val="24"/>
          <w:rtl/>
        </w:rPr>
      </w:pPr>
      <w:r>
        <w:rPr>
          <w:rFonts w:cs="David"/>
          <w:sz w:val="24"/>
          <w:szCs w:val="24"/>
          <w:rtl/>
        </w:rPr>
        <w:t xml:space="preserve"> </w:t>
      </w:r>
      <w:r>
        <w:rPr>
          <w:rFonts w:cs="David"/>
          <w:sz w:val="24"/>
          <w:szCs w:val="24"/>
          <w:rtl/>
        </w:rPr>
        <w:tab/>
      </w:r>
      <w:r>
        <w:rPr>
          <w:rFonts w:cs="David"/>
          <w:bCs/>
          <w:sz w:val="24"/>
          <w:szCs w:val="24"/>
          <w:rtl/>
        </w:rPr>
        <w:t>י' גריל, שופט</w:t>
      </w:r>
    </w:p>
    <w:p w14:paraId="6595C6AB" w14:textId="77777777" w:rsidR="00091F6C" w:rsidRDefault="00091F6C">
      <w:pPr>
        <w:tabs>
          <w:tab w:val="left" w:pos="6000"/>
        </w:tabs>
        <w:bidi/>
        <w:spacing w:line="320" w:lineRule="exact"/>
        <w:rPr>
          <w:rFonts w:cs="David"/>
          <w:sz w:val="24"/>
          <w:szCs w:val="24"/>
          <w:rtl/>
        </w:rPr>
      </w:pPr>
    </w:p>
    <w:p w14:paraId="3DF36F38" w14:textId="77777777" w:rsidR="00091F6C" w:rsidRDefault="00091F6C">
      <w:pPr>
        <w:tabs>
          <w:tab w:val="left" w:pos="120"/>
        </w:tabs>
        <w:bidi/>
        <w:spacing w:line="320" w:lineRule="exact"/>
        <w:ind w:left="480" w:hanging="480"/>
        <w:rPr>
          <w:rFonts w:cs="David"/>
          <w:sz w:val="24"/>
          <w:szCs w:val="24"/>
          <w:rtl/>
        </w:rPr>
      </w:pPr>
      <w:r>
        <w:rPr>
          <w:rFonts w:cs="David"/>
          <w:sz w:val="24"/>
          <w:szCs w:val="24"/>
          <w:rtl/>
        </w:rPr>
        <w:tab/>
      </w:r>
      <w:r>
        <w:rPr>
          <w:rFonts w:cs="David"/>
          <w:bCs/>
          <w:sz w:val="24"/>
          <w:szCs w:val="24"/>
          <w:rtl/>
        </w:rPr>
        <w:t>לפיכך, הוחלט ברוב דעות, להרשיע את הנאשם בעבירות של מעשים מגונים שנמשכו</w:t>
      </w:r>
      <w:r>
        <w:rPr>
          <w:rFonts w:cs="David"/>
          <w:sz w:val="24"/>
          <w:szCs w:val="24"/>
          <w:rtl/>
        </w:rPr>
        <w:t xml:space="preserve"> </w:t>
      </w:r>
      <w:r>
        <w:rPr>
          <w:rFonts w:cs="David"/>
          <w:bCs/>
          <w:sz w:val="24"/>
          <w:szCs w:val="24"/>
          <w:rtl/>
        </w:rPr>
        <w:t>במשך שנים עד הגיע המתלוננת לגיל שש עשרה שנים ובטרם מלאו לה שש עשרה</w:t>
      </w:r>
      <w:r>
        <w:rPr>
          <w:rFonts w:cs="David"/>
          <w:sz w:val="24"/>
          <w:szCs w:val="24"/>
          <w:rtl/>
        </w:rPr>
        <w:t xml:space="preserve"> </w:t>
      </w:r>
      <w:r>
        <w:rPr>
          <w:rFonts w:cs="David"/>
          <w:bCs/>
          <w:sz w:val="24"/>
          <w:szCs w:val="24"/>
          <w:rtl/>
        </w:rPr>
        <w:t>שנים</w:t>
      </w:r>
      <w:r>
        <w:rPr>
          <w:rFonts w:cs="David"/>
          <w:sz w:val="24"/>
          <w:szCs w:val="24"/>
          <w:rtl/>
        </w:rPr>
        <w:t>,</w:t>
      </w:r>
      <w:r>
        <w:rPr>
          <w:rFonts w:cs="David"/>
          <w:bCs/>
          <w:sz w:val="24"/>
          <w:szCs w:val="24"/>
          <w:rtl/>
        </w:rPr>
        <w:t xml:space="preserve"> וכן להרשיע, על-פי חוות הדעת של כבוד השופט פיזם, בעבירה של איומים, לפי </w:t>
      </w:r>
      <w:hyperlink r:id="rId50" w:history="1">
        <w:r w:rsidRPr="00091F6C">
          <w:rPr>
            <w:rStyle w:val="Hyperlink"/>
            <w:rFonts w:ascii="Rod" w:hAnsi="Rod" w:cs="David"/>
            <w:b/>
            <w:bCs/>
            <w:szCs w:val="24"/>
            <w:rtl/>
          </w:rPr>
          <w:t>סעיף 192</w:t>
        </w:r>
      </w:hyperlink>
      <w:r>
        <w:rPr>
          <w:rFonts w:cs="David"/>
          <w:bCs/>
          <w:sz w:val="24"/>
          <w:szCs w:val="24"/>
          <w:rtl/>
        </w:rPr>
        <w:t xml:space="preserve"> ל</w:t>
      </w:r>
      <w:hyperlink r:id="rId51" w:history="1">
        <w:r w:rsidRPr="00091F6C">
          <w:rPr>
            <w:rStyle w:val="Hyperlink"/>
            <w:rFonts w:cs="David" w:hint="eastAsia"/>
            <w:bCs/>
            <w:sz w:val="24"/>
            <w:szCs w:val="24"/>
            <w:rtl/>
          </w:rPr>
          <w:t>חוק</w:t>
        </w:r>
        <w:r w:rsidRPr="00091F6C">
          <w:rPr>
            <w:rStyle w:val="Hyperlink"/>
            <w:rFonts w:cs="David"/>
            <w:bCs/>
            <w:sz w:val="24"/>
            <w:szCs w:val="24"/>
            <w:rtl/>
          </w:rPr>
          <w:t xml:space="preserve"> </w:t>
        </w:r>
        <w:r w:rsidRPr="00091F6C">
          <w:rPr>
            <w:rStyle w:val="Hyperlink"/>
            <w:rFonts w:cs="David" w:hint="eastAsia"/>
            <w:bCs/>
            <w:sz w:val="24"/>
            <w:szCs w:val="24"/>
            <w:rtl/>
          </w:rPr>
          <w:t>העונשין</w:t>
        </w:r>
      </w:hyperlink>
      <w:r>
        <w:rPr>
          <w:rFonts w:cs="David"/>
          <w:bCs/>
          <w:sz w:val="24"/>
          <w:szCs w:val="24"/>
          <w:rtl/>
        </w:rPr>
        <w:t xml:space="preserve"> תשל"ז</w:t>
      </w:r>
      <w:r>
        <w:rPr>
          <w:rFonts w:ascii="Rod" w:hAnsi="Rod" w:cs="David"/>
          <w:b/>
          <w:bCs/>
          <w:szCs w:val="24"/>
          <w:rtl/>
        </w:rPr>
        <w:t>1977-</w:t>
      </w:r>
      <w:r>
        <w:rPr>
          <w:rFonts w:cs="David"/>
          <w:bCs/>
          <w:sz w:val="24"/>
          <w:szCs w:val="24"/>
          <w:rtl/>
        </w:rPr>
        <w:t>. אנו מזכים את הנאשם, בדעת רוב,</w:t>
      </w:r>
      <w:r>
        <w:rPr>
          <w:rFonts w:cs="David"/>
          <w:sz w:val="24"/>
          <w:szCs w:val="24"/>
          <w:rtl/>
        </w:rPr>
        <w:t xml:space="preserve"> </w:t>
      </w:r>
      <w:r>
        <w:rPr>
          <w:rFonts w:cs="David"/>
          <w:bCs/>
          <w:sz w:val="24"/>
          <w:szCs w:val="24"/>
          <w:rtl/>
        </w:rPr>
        <w:t>מעבירות האינוס, מחמת הספק.</w:t>
      </w:r>
    </w:p>
    <w:p w14:paraId="3EFE917C" w14:textId="77777777" w:rsidR="00091F6C" w:rsidRDefault="00091F6C">
      <w:pPr>
        <w:tabs>
          <w:tab w:val="left" w:pos="120"/>
        </w:tabs>
        <w:bidi/>
        <w:spacing w:line="320" w:lineRule="exact"/>
        <w:rPr>
          <w:rFonts w:cs="David"/>
          <w:sz w:val="24"/>
          <w:szCs w:val="24"/>
          <w:rtl/>
        </w:rPr>
      </w:pPr>
    </w:p>
    <w:p w14:paraId="4720093B" w14:textId="77777777" w:rsidR="00091F6C" w:rsidRDefault="00091F6C">
      <w:pPr>
        <w:tabs>
          <w:tab w:val="left" w:pos="120"/>
        </w:tabs>
        <w:bidi/>
        <w:spacing w:line="320" w:lineRule="exact"/>
        <w:rPr>
          <w:rFonts w:cs="David"/>
          <w:sz w:val="24"/>
          <w:szCs w:val="24"/>
          <w:rtl/>
        </w:rPr>
      </w:pPr>
      <w:r>
        <w:rPr>
          <w:rFonts w:cs="David"/>
          <w:bCs/>
          <w:sz w:val="24"/>
          <w:szCs w:val="24"/>
          <w:rtl/>
        </w:rPr>
        <w:t xml:space="preserve">ניתן והודע היום </w:t>
      </w:r>
      <w:r>
        <w:rPr>
          <w:rFonts w:ascii="Rod" w:hAnsi="Rod" w:cs="David"/>
          <w:b/>
          <w:bCs/>
          <w:szCs w:val="24"/>
          <w:rtl/>
        </w:rPr>
        <w:t>98</w:t>
      </w:r>
      <w:r>
        <w:rPr>
          <w:rFonts w:cs="David"/>
          <w:bCs/>
          <w:sz w:val="24"/>
          <w:szCs w:val="24"/>
          <w:rtl/>
        </w:rPr>
        <w:t>/</w:t>
      </w:r>
      <w:r>
        <w:rPr>
          <w:rFonts w:ascii="Rod" w:hAnsi="Rod" w:cs="David"/>
          <w:b/>
          <w:bCs/>
          <w:szCs w:val="24"/>
          <w:rtl/>
        </w:rPr>
        <w:t>03</w:t>
      </w:r>
      <w:r>
        <w:rPr>
          <w:rFonts w:cs="David"/>
          <w:bCs/>
          <w:sz w:val="24"/>
          <w:szCs w:val="24"/>
          <w:rtl/>
        </w:rPr>
        <w:t>/</w:t>
      </w:r>
      <w:r>
        <w:rPr>
          <w:rFonts w:ascii="Rod" w:hAnsi="Rod" w:cs="David"/>
          <w:b/>
          <w:bCs/>
          <w:szCs w:val="24"/>
          <w:rtl/>
        </w:rPr>
        <w:t>09</w:t>
      </w:r>
      <w:r>
        <w:rPr>
          <w:rFonts w:cs="David"/>
          <w:bCs/>
          <w:sz w:val="24"/>
          <w:szCs w:val="24"/>
          <w:rtl/>
        </w:rPr>
        <w:t xml:space="preserve"> בנוכחות הצדדים. </w:t>
      </w:r>
    </w:p>
    <w:p w14:paraId="330EE557" w14:textId="77777777" w:rsidR="00091F6C" w:rsidRDefault="00091F6C">
      <w:pPr>
        <w:tabs>
          <w:tab w:val="left" w:pos="120"/>
        </w:tabs>
        <w:bidi/>
        <w:spacing w:line="320" w:lineRule="exact"/>
        <w:rPr>
          <w:rFonts w:cs="David"/>
          <w:sz w:val="24"/>
          <w:szCs w:val="24"/>
          <w:rtl/>
        </w:rPr>
      </w:pPr>
    </w:p>
    <w:p w14:paraId="5D810A54" w14:textId="77777777" w:rsidR="00091F6C" w:rsidRDefault="00091F6C">
      <w:pPr>
        <w:tabs>
          <w:tab w:val="left" w:pos="3000"/>
          <w:tab w:val="left" w:pos="5520"/>
        </w:tabs>
        <w:bidi/>
        <w:spacing w:line="320" w:lineRule="exact"/>
        <w:rPr>
          <w:rFonts w:cs="David"/>
          <w:sz w:val="24"/>
          <w:szCs w:val="24"/>
          <w:rtl/>
        </w:rPr>
      </w:pPr>
      <w:r>
        <w:rPr>
          <w:rFonts w:cs="David"/>
          <w:bCs/>
          <w:sz w:val="24"/>
          <w:szCs w:val="24"/>
          <w:rtl/>
        </w:rPr>
        <w:t>______________</w:t>
      </w:r>
      <w:r>
        <w:rPr>
          <w:rFonts w:cs="David"/>
          <w:sz w:val="24"/>
          <w:szCs w:val="24"/>
          <w:rtl/>
        </w:rPr>
        <w:t xml:space="preserve"> </w:t>
      </w:r>
      <w:r>
        <w:rPr>
          <w:rFonts w:cs="David"/>
          <w:sz w:val="24"/>
          <w:szCs w:val="24"/>
          <w:rtl/>
        </w:rPr>
        <w:tab/>
        <w:t>___</w:t>
      </w:r>
      <w:r>
        <w:rPr>
          <w:rFonts w:cs="David"/>
          <w:bCs/>
          <w:sz w:val="24"/>
          <w:szCs w:val="24"/>
          <w:rtl/>
        </w:rPr>
        <w:t xml:space="preserve">___________ </w:t>
      </w:r>
      <w:r>
        <w:rPr>
          <w:rFonts w:cs="David"/>
          <w:bCs/>
          <w:sz w:val="24"/>
          <w:szCs w:val="24"/>
          <w:rtl/>
        </w:rPr>
        <w:tab/>
        <w:t>__________________</w:t>
      </w:r>
    </w:p>
    <w:p w14:paraId="3A761C8C" w14:textId="77777777" w:rsidR="00091F6C" w:rsidRDefault="00091F6C">
      <w:pPr>
        <w:tabs>
          <w:tab w:val="left" w:pos="3000"/>
          <w:tab w:val="left" w:pos="5520"/>
        </w:tabs>
        <w:bidi/>
        <w:spacing w:line="320" w:lineRule="exact"/>
        <w:rPr>
          <w:rFonts w:cs="David"/>
          <w:bCs/>
          <w:color w:val="FFFFFF"/>
          <w:sz w:val="4"/>
          <w:szCs w:val="4"/>
          <w:rtl/>
        </w:rPr>
      </w:pPr>
    </w:p>
    <w:p w14:paraId="6031ED24" w14:textId="77777777" w:rsidR="00091F6C" w:rsidRDefault="00091F6C">
      <w:pPr>
        <w:tabs>
          <w:tab w:val="left" w:pos="3000"/>
          <w:tab w:val="left" w:pos="5520"/>
        </w:tabs>
        <w:bidi/>
        <w:spacing w:line="320" w:lineRule="exact"/>
        <w:rPr>
          <w:rFonts w:cs="David"/>
          <w:sz w:val="24"/>
          <w:szCs w:val="24"/>
          <w:rtl/>
        </w:rPr>
      </w:pPr>
      <w:r w:rsidRPr="00091F6C">
        <w:rPr>
          <w:rFonts w:cs="David"/>
          <w:bCs/>
          <w:color w:val="FFFFFF"/>
          <w:sz w:val="2"/>
          <w:szCs w:val="2"/>
          <w:rtl/>
        </w:rPr>
        <w:t>5129371</w:t>
      </w:r>
      <w:r>
        <w:rPr>
          <w:rFonts w:cs="David"/>
          <w:bCs/>
          <w:color w:val="FFFFFF"/>
          <w:sz w:val="4"/>
          <w:szCs w:val="4"/>
          <w:rtl/>
        </w:rPr>
        <w:t>5129371</w:t>
      </w:r>
      <w:r>
        <w:rPr>
          <w:rFonts w:cs="David"/>
          <w:bCs/>
          <w:sz w:val="24"/>
          <w:szCs w:val="24"/>
          <w:rtl/>
        </w:rPr>
        <w:t xml:space="preserve">ח' פיזם - שופט </w:t>
      </w:r>
      <w:r>
        <w:rPr>
          <w:rFonts w:cs="David"/>
          <w:bCs/>
          <w:sz w:val="24"/>
          <w:szCs w:val="24"/>
          <w:rtl/>
        </w:rPr>
        <w:tab/>
        <w:t xml:space="preserve">י' גריל - שופט </w:t>
      </w:r>
      <w:r>
        <w:rPr>
          <w:rFonts w:cs="David"/>
          <w:bCs/>
          <w:sz w:val="24"/>
          <w:szCs w:val="24"/>
          <w:rtl/>
        </w:rPr>
        <w:tab/>
        <w:t>ש' וסרקרוג - שופטת</w:t>
      </w:r>
    </w:p>
    <w:p w14:paraId="76636673" w14:textId="77777777" w:rsidR="00091F6C" w:rsidRDefault="00091F6C">
      <w:pPr>
        <w:tabs>
          <w:tab w:val="left" w:pos="360"/>
        </w:tabs>
        <w:bidi/>
        <w:spacing w:line="320" w:lineRule="exact"/>
        <w:rPr>
          <w:rFonts w:cs="David"/>
          <w:sz w:val="24"/>
          <w:szCs w:val="24"/>
          <w:rtl/>
        </w:rPr>
      </w:pPr>
      <w:r w:rsidRPr="00091F6C">
        <w:rPr>
          <w:rFonts w:cs="David"/>
          <w:color w:val="FFFFFF"/>
          <w:sz w:val="2"/>
          <w:szCs w:val="2"/>
          <w:rtl/>
        </w:rPr>
        <w:t>54678313</w:t>
      </w:r>
      <w:r>
        <w:rPr>
          <w:rFonts w:cs="David"/>
          <w:sz w:val="24"/>
          <w:szCs w:val="24"/>
          <w:rtl/>
        </w:rPr>
        <w:t xml:space="preserve"> </w:t>
      </w:r>
      <w:r>
        <w:rPr>
          <w:rFonts w:cs="David"/>
          <w:sz w:val="24"/>
          <w:szCs w:val="24"/>
          <w:rtl/>
        </w:rPr>
        <w:tab/>
      </w:r>
      <w:r>
        <w:rPr>
          <w:rFonts w:cs="David"/>
          <w:bCs/>
          <w:sz w:val="24"/>
          <w:szCs w:val="24"/>
          <w:rtl/>
        </w:rPr>
        <w:t>[אב"ד]</w:t>
      </w:r>
    </w:p>
    <w:p w14:paraId="5E5E4AF4" w14:textId="77777777" w:rsidR="00091F6C" w:rsidRDefault="00091F6C">
      <w:pPr>
        <w:tabs>
          <w:tab w:val="left" w:pos="360"/>
        </w:tabs>
        <w:bidi/>
        <w:spacing w:line="320" w:lineRule="exact"/>
        <w:rPr>
          <w:rFonts w:cs="David"/>
          <w:sz w:val="24"/>
          <w:szCs w:val="24"/>
          <w:rtl/>
        </w:rPr>
      </w:pPr>
    </w:p>
    <w:p w14:paraId="626E522C" w14:textId="77777777" w:rsidR="00091F6C" w:rsidRDefault="00091F6C">
      <w:pPr>
        <w:tabs>
          <w:tab w:val="left" w:pos="360"/>
        </w:tabs>
        <w:bidi/>
        <w:spacing w:line="320" w:lineRule="exact"/>
        <w:rPr>
          <w:rFonts w:cs="David"/>
          <w:bCs/>
          <w:sz w:val="24"/>
          <w:szCs w:val="24"/>
          <w:rtl/>
        </w:rPr>
      </w:pPr>
      <w:r>
        <w:rPr>
          <w:rFonts w:cs="David"/>
          <w:bCs/>
          <w:sz w:val="24"/>
          <w:szCs w:val="24"/>
          <w:rtl/>
        </w:rPr>
        <w:t xml:space="preserve"> קלדניות:</w:t>
      </w:r>
      <w:r>
        <w:rPr>
          <w:rFonts w:cs="David" w:hint="eastAsia"/>
          <w:bCs/>
          <w:color w:val="FFFFFF"/>
          <w:sz w:val="4"/>
          <w:szCs w:val="4"/>
          <w:rtl/>
        </w:rPr>
        <w:t>ו</w:t>
      </w:r>
      <w:r>
        <w:rPr>
          <w:rFonts w:cs="David"/>
          <w:bCs/>
          <w:sz w:val="24"/>
          <w:szCs w:val="24"/>
          <w:rtl/>
        </w:rPr>
        <w:t xml:space="preserve"> איריס/ליאת </w:t>
      </w:r>
    </w:p>
    <w:p w14:paraId="3D535287" w14:textId="77777777" w:rsidR="00091F6C" w:rsidRDefault="00091F6C">
      <w:pPr>
        <w:tabs>
          <w:tab w:val="left" w:pos="360"/>
        </w:tabs>
        <w:bidi/>
        <w:spacing w:line="320" w:lineRule="exact"/>
        <w:rPr>
          <w:rFonts w:cs="David"/>
          <w:sz w:val="24"/>
          <w:szCs w:val="24"/>
          <w:rtl/>
        </w:rPr>
      </w:pPr>
    </w:p>
    <w:p w14:paraId="4091D824" w14:textId="77777777" w:rsidR="00091F6C" w:rsidRPr="00091F6C" w:rsidRDefault="00091F6C" w:rsidP="00091F6C">
      <w:pPr>
        <w:keepNext/>
        <w:tabs>
          <w:tab w:val="left" w:pos="360"/>
        </w:tabs>
        <w:bidi/>
        <w:spacing w:line="320" w:lineRule="exact"/>
        <w:rPr>
          <w:rFonts w:ascii="David" w:hAnsi="David" w:cs="David"/>
          <w:color w:val="000000"/>
          <w:sz w:val="22"/>
          <w:szCs w:val="22"/>
          <w:rtl/>
        </w:rPr>
      </w:pPr>
      <w:r w:rsidRPr="00091F6C">
        <w:rPr>
          <w:rFonts w:ascii="David" w:hAnsi="David" w:cs="David" w:hint="eastAsia"/>
          <w:color w:val="000000"/>
          <w:sz w:val="22"/>
          <w:szCs w:val="22"/>
          <w:rtl/>
        </w:rPr>
        <w:t>ח</w:t>
      </w:r>
      <w:r w:rsidRPr="00091F6C">
        <w:rPr>
          <w:rFonts w:ascii="David" w:hAnsi="David" w:cs="David"/>
          <w:color w:val="000000"/>
          <w:sz w:val="22"/>
          <w:szCs w:val="22"/>
          <w:rtl/>
        </w:rPr>
        <w:t xml:space="preserve">. </w:t>
      </w:r>
      <w:r w:rsidRPr="00091F6C">
        <w:rPr>
          <w:rFonts w:ascii="David" w:hAnsi="David" w:cs="David" w:hint="eastAsia"/>
          <w:color w:val="000000"/>
          <w:sz w:val="22"/>
          <w:szCs w:val="22"/>
          <w:rtl/>
        </w:rPr>
        <w:t>פיזם</w:t>
      </w:r>
      <w:r w:rsidRPr="00091F6C">
        <w:rPr>
          <w:rFonts w:ascii="David" w:hAnsi="David" w:cs="David"/>
          <w:color w:val="000000"/>
          <w:sz w:val="22"/>
          <w:szCs w:val="22"/>
          <w:rtl/>
        </w:rPr>
        <w:t xml:space="preserve"> 54678313-3/96</w:t>
      </w:r>
    </w:p>
    <w:p w14:paraId="361DA16A" w14:textId="77777777" w:rsidR="00091F6C" w:rsidRDefault="00091F6C" w:rsidP="00091F6C">
      <w:pPr>
        <w:tabs>
          <w:tab w:val="left" w:pos="360"/>
        </w:tabs>
        <w:bidi/>
        <w:spacing w:line="320" w:lineRule="exact"/>
        <w:rPr>
          <w:rFonts w:cs="David"/>
          <w:sz w:val="24"/>
          <w:szCs w:val="24"/>
          <w:rtl/>
        </w:rPr>
      </w:pPr>
      <w:r w:rsidRPr="00091F6C">
        <w:rPr>
          <w:rFonts w:cs="David" w:hint="eastAsia"/>
          <w:color w:val="000000"/>
          <w:sz w:val="24"/>
          <w:szCs w:val="24"/>
          <w:rtl/>
        </w:rPr>
        <w:t>נוסח</w:t>
      </w:r>
      <w:r w:rsidRPr="00091F6C">
        <w:rPr>
          <w:rFonts w:cs="David"/>
          <w:color w:val="000000"/>
          <w:sz w:val="24"/>
          <w:szCs w:val="24"/>
          <w:rtl/>
        </w:rPr>
        <w:t xml:space="preserve"> </w:t>
      </w:r>
      <w:r w:rsidRPr="00091F6C">
        <w:rPr>
          <w:rFonts w:cs="David" w:hint="eastAsia"/>
          <w:color w:val="000000"/>
          <w:sz w:val="24"/>
          <w:szCs w:val="24"/>
          <w:rtl/>
        </w:rPr>
        <w:t>מסמך</w:t>
      </w:r>
      <w:r w:rsidRPr="00091F6C">
        <w:rPr>
          <w:rFonts w:cs="David"/>
          <w:color w:val="000000"/>
          <w:sz w:val="24"/>
          <w:szCs w:val="24"/>
          <w:rtl/>
        </w:rPr>
        <w:t xml:space="preserve"> </w:t>
      </w:r>
      <w:r w:rsidRPr="00091F6C">
        <w:rPr>
          <w:rFonts w:cs="David" w:hint="eastAsia"/>
          <w:color w:val="000000"/>
          <w:sz w:val="24"/>
          <w:szCs w:val="24"/>
          <w:rtl/>
        </w:rPr>
        <w:t>זה</w:t>
      </w:r>
      <w:r w:rsidRPr="00091F6C">
        <w:rPr>
          <w:rFonts w:cs="David"/>
          <w:color w:val="000000"/>
          <w:sz w:val="24"/>
          <w:szCs w:val="24"/>
          <w:rtl/>
        </w:rPr>
        <w:t xml:space="preserve"> </w:t>
      </w:r>
      <w:r w:rsidRPr="00091F6C">
        <w:rPr>
          <w:rFonts w:cs="David" w:hint="eastAsia"/>
          <w:color w:val="000000"/>
          <w:sz w:val="24"/>
          <w:szCs w:val="24"/>
          <w:rtl/>
        </w:rPr>
        <w:t>כפוף</w:t>
      </w:r>
      <w:r w:rsidRPr="00091F6C">
        <w:rPr>
          <w:rFonts w:cs="David"/>
          <w:color w:val="000000"/>
          <w:sz w:val="24"/>
          <w:szCs w:val="24"/>
          <w:rtl/>
        </w:rPr>
        <w:t xml:space="preserve"> </w:t>
      </w:r>
      <w:r w:rsidRPr="00091F6C">
        <w:rPr>
          <w:rFonts w:cs="David" w:hint="eastAsia"/>
          <w:color w:val="000000"/>
          <w:sz w:val="24"/>
          <w:szCs w:val="24"/>
          <w:rtl/>
        </w:rPr>
        <w:t>לשינויי</w:t>
      </w:r>
      <w:r w:rsidRPr="00091F6C">
        <w:rPr>
          <w:rFonts w:cs="David"/>
          <w:color w:val="000000"/>
          <w:sz w:val="24"/>
          <w:szCs w:val="24"/>
          <w:rtl/>
        </w:rPr>
        <w:t xml:space="preserve"> </w:t>
      </w:r>
      <w:r w:rsidRPr="00091F6C">
        <w:rPr>
          <w:rFonts w:cs="David" w:hint="eastAsia"/>
          <w:color w:val="000000"/>
          <w:sz w:val="24"/>
          <w:szCs w:val="24"/>
          <w:rtl/>
        </w:rPr>
        <w:t>ניסוח</w:t>
      </w:r>
      <w:r w:rsidRPr="00091F6C">
        <w:rPr>
          <w:rFonts w:cs="David"/>
          <w:color w:val="000000"/>
          <w:sz w:val="24"/>
          <w:szCs w:val="24"/>
          <w:rtl/>
        </w:rPr>
        <w:t xml:space="preserve"> </w:t>
      </w:r>
      <w:r w:rsidRPr="00091F6C">
        <w:rPr>
          <w:rFonts w:cs="David" w:hint="eastAsia"/>
          <w:color w:val="000000"/>
          <w:sz w:val="24"/>
          <w:szCs w:val="24"/>
          <w:rtl/>
        </w:rPr>
        <w:t>ועריכה</w:t>
      </w:r>
    </w:p>
    <w:sectPr w:rsidR="00091F6C" w:rsidSect="00091F6C">
      <w:headerReference w:type="even" r:id="rId52"/>
      <w:headerReference w:type="default" r:id="rId53"/>
      <w:footerReference w:type="even" r:id="rId54"/>
      <w:footerReference w:type="default" r:id="rId55"/>
      <w:endnotePr>
        <w:numFmt w:val="lowerLetter"/>
      </w:endnotePr>
      <w:pgSz w:w="11907" w:h="16840" w:code="9"/>
      <w:pgMar w:top="1701" w:right="1134" w:bottom="1701" w:left="1134" w:header="1134" w:footer="1134" w:gutter="0"/>
      <w:pgNumType w:start="1"/>
      <w:cols w:space="720"/>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7DE6B" w14:textId="77777777" w:rsidR="00091F6C" w:rsidRDefault="00091F6C">
      <w:r>
        <w:separator/>
      </w:r>
    </w:p>
  </w:endnote>
  <w:endnote w:type="continuationSeparator" w:id="0">
    <w:p w14:paraId="67BFD6C0" w14:textId="77777777" w:rsidR="00091F6C" w:rsidRDefault="0009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Rod">
    <w:panose1 w:val="02030509050101010101"/>
    <w:charset w:val="00"/>
    <w:family w:val="modern"/>
    <w:pitch w:val="fixed"/>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E4DCB" w14:textId="77777777" w:rsidR="00091F6C" w:rsidRDefault="00091F6C" w:rsidP="00091F6C">
    <w:pPr>
      <w:pStyle w:val="Footer"/>
      <w:jc w:val="center"/>
      <w:rPr>
        <w:rFonts w:ascii="FrankRuehl" w:hAnsi="FrankRuehl" w:cs="FrankRuehl"/>
        <w:sz w:val="24"/>
        <w:szCs w:val="24"/>
      </w:rPr>
    </w:pPr>
    <w:r>
      <w:rPr>
        <w:rFonts w:ascii="FrankRuehl" w:hAnsi="FrankRuehl" w:cs="FrankRuehl"/>
        <w:sz w:val="24"/>
        <w:szCs w:val="24"/>
      </w:rPr>
      <w:fldChar w:fldCharType="begin"/>
    </w:r>
    <w:r>
      <w:rPr>
        <w:rFonts w:ascii="FrankRuehl" w:hAnsi="FrankRuehl" w:cs="FrankRuehl"/>
        <w:sz w:val="24"/>
        <w:szCs w:val="24"/>
      </w:rPr>
      <w:instrText xml:space="preserve"> PAGE  \* MERGEFORMAT </w:instrText>
    </w:r>
    <w:r>
      <w:rPr>
        <w:rFonts w:ascii="FrankRuehl" w:hAnsi="FrankRuehl" w:cs="FrankRuehl"/>
        <w:sz w:val="24"/>
        <w:szCs w:val="24"/>
      </w:rPr>
      <w:fldChar w:fldCharType="separate"/>
    </w:r>
    <w:r>
      <w:rPr>
        <w:rFonts w:ascii="FrankRuehl" w:hAnsi="FrankRuehl" w:cs="FrankRuehl"/>
        <w:noProof/>
        <w:sz w:val="24"/>
        <w:szCs w:val="24"/>
      </w:rPr>
      <w:t>1</w:t>
    </w:r>
    <w:r>
      <w:rPr>
        <w:rFonts w:ascii="FrankRuehl" w:hAnsi="FrankRuehl" w:cs="FrankRuehl"/>
        <w:sz w:val="24"/>
        <w:szCs w:val="24"/>
      </w:rPr>
      <w:fldChar w:fldCharType="end"/>
    </w:r>
  </w:p>
  <w:p w14:paraId="4C0B6F37" w14:textId="77777777" w:rsidR="00091F6C" w:rsidRPr="00091F6C" w:rsidRDefault="00091F6C" w:rsidP="00091F6C">
    <w:pPr>
      <w:pStyle w:val="Footer"/>
      <w:pBdr>
        <w:top w:val="single" w:sz="4" w:space="1" w:color="auto"/>
        <w:between w:val="single" w:sz="4" w:space="0" w:color="auto"/>
      </w:pBdr>
      <w:spacing w:after="60"/>
      <w:jc w:val="center"/>
      <w:rPr>
        <w:rFonts w:ascii="FrankRuehl" w:hAnsi="FrankRuehl" w:cs="FrankRuehl"/>
        <w:color w:val="000000"/>
        <w:sz w:val="24"/>
        <w:szCs w:val="24"/>
      </w:rPr>
    </w:pPr>
    <w:r w:rsidRPr="00091F6C">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E1B1" w14:textId="77777777" w:rsidR="00091F6C" w:rsidRDefault="00091F6C" w:rsidP="00091F6C">
    <w:pPr>
      <w:pStyle w:val="Footer"/>
      <w:jc w:val="center"/>
      <w:rPr>
        <w:rFonts w:ascii="FrankRuehl" w:hAnsi="FrankRuehl" w:cs="FrankRuehl"/>
        <w:sz w:val="24"/>
        <w:szCs w:val="24"/>
      </w:rPr>
    </w:pPr>
    <w:r>
      <w:rPr>
        <w:rFonts w:ascii="FrankRuehl" w:hAnsi="FrankRuehl" w:cs="FrankRuehl"/>
        <w:sz w:val="24"/>
        <w:szCs w:val="24"/>
      </w:rPr>
      <w:fldChar w:fldCharType="begin"/>
    </w:r>
    <w:r>
      <w:rPr>
        <w:rFonts w:ascii="FrankRuehl" w:hAnsi="FrankRuehl" w:cs="FrankRuehl"/>
        <w:sz w:val="24"/>
        <w:szCs w:val="24"/>
      </w:rPr>
      <w:instrText xml:space="preserve"> PAGE  \* MERGEFORMAT </w:instrText>
    </w:r>
    <w:r>
      <w:rPr>
        <w:rFonts w:ascii="FrankRuehl" w:hAnsi="FrankRuehl" w:cs="FrankRuehl"/>
        <w:sz w:val="24"/>
        <w:szCs w:val="24"/>
      </w:rPr>
      <w:fldChar w:fldCharType="separate"/>
    </w:r>
    <w:r w:rsidR="00495B69">
      <w:rPr>
        <w:rFonts w:ascii="FrankRuehl" w:hAnsi="FrankRuehl" w:cs="FrankRuehl"/>
        <w:noProof/>
        <w:sz w:val="24"/>
        <w:szCs w:val="24"/>
      </w:rPr>
      <w:t>1</w:t>
    </w:r>
    <w:r>
      <w:rPr>
        <w:rFonts w:ascii="FrankRuehl" w:hAnsi="FrankRuehl" w:cs="FrankRuehl"/>
        <w:sz w:val="24"/>
        <w:szCs w:val="24"/>
      </w:rPr>
      <w:fldChar w:fldCharType="end"/>
    </w:r>
  </w:p>
  <w:p w14:paraId="1563F847" w14:textId="77777777" w:rsidR="00091F6C" w:rsidRPr="00091F6C" w:rsidRDefault="00091F6C" w:rsidP="00091F6C">
    <w:pPr>
      <w:pStyle w:val="Footer"/>
      <w:pBdr>
        <w:top w:val="single" w:sz="4" w:space="1" w:color="auto"/>
        <w:between w:val="single" w:sz="4" w:space="0" w:color="auto"/>
      </w:pBdr>
      <w:spacing w:after="60"/>
      <w:jc w:val="center"/>
      <w:rPr>
        <w:rFonts w:ascii="FrankRuehl" w:hAnsi="FrankRuehl" w:cs="FrankRuehl"/>
        <w:color w:val="000000"/>
        <w:sz w:val="24"/>
        <w:szCs w:val="24"/>
      </w:rPr>
    </w:pPr>
    <w:r w:rsidRPr="00091F6C">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62C29" w14:textId="77777777" w:rsidR="00091F6C" w:rsidRDefault="00091F6C">
      <w:r>
        <w:separator/>
      </w:r>
    </w:p>
  </w:footnote>
  <w:footnote w:type="continuationSeparator" w:id="0">
    <w:p w14:paraId="30CC7BFF" w14:textId="77777777" w:rsidR="00091F6C" w:rsidRDefault="0009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F0FA" w14:textId="77777777" w:rsidR="00091F6C" w:rsidRPr="00091F6C" w:rsidRDefault="00091F6C" w:rsidP="00091F6C">
    <w:pPr>
      <w:pStyle w:val="Header"/>
      <w:pBdr>
        <w:bottom w:val="single" w:sz="4" w:space="1" w:color="auto"/>
      </w:pBdr>
      <w:tabs>
        <w:tab w:val="clear" w:pos="4153"/>
        <w:tab w:val="clear" w:pos="8306"/>
        <w:tab w:val="right" w:pos="8311"/>
      </w:tabs>
      <w:bidi/>
      <w:spacing w:line="220" w:lineRule="exact"/>
      <w:rPr>
        <w:rFonts w:ascii="David" w:hAnsi="David" w:cs="David"/>
        <w:color w:val="000000"/>
        <w:sz w:val="22"/>
        <w:szCs w:val="22"/>
        <w:rtl/>
      </w:rPr>
    </w:pPr>
    <w:r>
      <w:rPr>
        <w:rFonts w:ascii="David" w:hAnsi="David" w:cs="David"/>
        <w:color w:val="000000"/>
        <w:sz w:val="22"/>
        <w:szCs w:val="22"/>
        <w:rtl/>
      </w:rPr>
      <w:t xml:space="preserve">תפ (חי') 3/96 </w:t>
    </w:r>
    <w:r>
      <w:rPr>
        <w:rFonts w:ascii="David"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1A68" w14:textId="77777777" w:rsidR="00091F6C" w:rsidRPr="00091F6C" w:rsidRDefault="00091F6C" w:rsidP="00091F6C">
    <w:pPr>
      <w:pStyle w:val="Header"/>
      <w:pBdr>
        <w:bottom w:val="single" w:sz="4" w:space="1" w:color="auto"/>
      </w:pBdr>
      <w:tabs>
        <w:tab w:val="clear" w:pos="4153"/>
        <w:tab w:val="clear" w:pos="8306"/>
        <w:tab w:val="right" w:pos="8311"/>
      </w:tabs>
      <w:bidi/>
      <w:spacing w:line="220" w:lineRule="exact"/>
      <w:rPr>
        <w:rFonts w:ascii="David" w:hAnsi="David" w:cs="David"/>
        <w:color w:val="000000"/>
        <w:sz w:val="22"/>
        <w:szCs w:val="22"/>
        <w:rtl/>
      </w:rPr>
    </w:pPr>
    <w:r>
      <w:rPr>
        <w:rFonts w:ascii="David" w:hAnsi="David" w:cs="David"/>
        <w:color w:val="000000"/>
        <w:sz w:val="22"/>
        <w:szCs w:val="22"/>
        <w:rtl/>
      </w:rPr>
      <w:t xml:space="preserve">תפ (חי') 3/96 </w:t>
    </w:r>
    <w:r>
      <w:rPr>
        <w:rFonts w:ascii="David" w:hAnsi="David" w:cs="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20"/>
  <w:displayHorizontalDrawingGridEvery w:val="2"/>
  <w:displayVerticalDrawingGridEvery w:val="0"/>
  <w:doNotShadeFormData/>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5470"/>
    <w:rsid w:val="00091F6C"/>
    <w:rsid w:val="00495B69"/>
    <w:rsid w:val="00605470"/>
    <w:rsid w:val="006E28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2BAB8B"/>
  <w15:chartTrackingRefBased/>
  <w15:docId w15:val="{EC73D122-C558-4B7F-8B86-0BE72AE4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Courier" w:hAnsi="Courier"/>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basedOn w:val="DefaultParagraphFont"/>
    <w:rsid w:val="00091F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a" TargetMode="External"/><Relationship Id="rId18" Type="http://schemas.openxmlformats.org/officeDocument/2006/relationships/hyperlink" Target="http://www.nevo.co.il/law/70348" TargetMode="External"/><Relationship Id="rId26" Type="http://schemas.openxmlformats.org/officeDocument/2006/relationships/hyperlink" Target="http://www.nevo.co.il/law/70301/345.a.2" TargetMode="External"/><Relationship Id="rId39" Type="http://schemas.openxmlformats.org/officeDocument/2006/relationships/hyperlink" Target="http://www.nevo.co.il/law/70301/5.a" TargetMode="External"/><Relationship Id="rId21" Type="http://schemas.openxmlformats.org/officeDocument/2006/relationships/hyperlink" Target="http://www.nevo.co.il/law/70301/345.a.3"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49"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192" TargetMode="External"/><Relationship Id="rId55" Type="http://schemas.openxmlformats.org/officeDocument/2006/relationships/footer" Target="footer2.xml"/><Relationship Id="rId7" Type="http://schemas.openxmlformats.org/officeDocument/2006/relationships/hyperlink" Target="http://www.nevo.co.il/law/70301/5.a" TargetMode="External"/><Relationship Id="rId2" Type="http://schemas.openxmlformats.org/officeDocument/2006/relationships/settings" Target="settings.xml"/><Relationship Id="rId16" Type="http://schemas.openxmlformats.org/officeDocument/2006/relationships/hyperlink" Target="http://www.nevo.co.il/law/70301/349" TargetMode="External"/><Relationship Id="rId29" Type="http://schemas.openxmlformats.org/officeDocument/2006/relationships/hyperlink" Target="http://www.nevo.co.il/law/70348" TargetMode="External"/><Relationship Id="rId11" Type="http://schemas.openxmlformats.org/officeDocument/2006/relationships/hyperlink" Target="http://www.nevo.co.il/law/70301/345.a.3" TargetMode="External"/><Relationship Id="rId24" Type="http://schemas.openxmlformats.org/officeDocument/2006/relationships/hyperlink" Target="http://www.nevo.co.il/law/70301/348" TargetMode="External"/><Relationship Id="rId32" Type="http://schemas.openxmlformats.org/officeDocument/2006/relationships/hyperlink" Target="http://www.nevo.co.il/law/70301/345.a.3" TargetMode="External"/><Relationship Id="rId37" Type="http://schemas.openxmlformats.org/officeDocument/2006/relationships/hyperlink" Target="http://www.nevo.co.il/law/70301/349"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48/14" TargetMode="Externa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hyperlink" Target="http://www.nevo.co.il/law/70301/348" TargetMode="External"/><Relationship Id="rId22" Type="http://schemas.openxmlformats.org/officeDocument/2006/relationships/hyperlink" Target="http://www.nevo.co.il/law/70301/348.c" TargetMode="External"/><Relationship Id="rId27" Type="http://schemas.openxmlformats.org/officeDocument/2006/relationships/hyperlink" Target="http://www.nevo.co.il/law/70301/192" TargetMode="External"/><Relationship Id="rId30" Type="http://schemas.openxmlformats.org/officeDocument/2006/relationships/hyperlink" Target="http://www.nevo.co.il/law/70301/347.a" TargetMode="External"/><Relationship Id="rId35" Type="http://schemas.openxmlformats.org/officeDocument/2006/relationships/hyperlink" Target="http://www.nevo.co.il/law/70301/356" TargetMode="External"/><Relationship Id="rId43" Type="http://schemas.openxmlformats.org/officeDocument/2006/relationships/hyperlink" Target="http://www.nevo.co.il/law/70301/348.c" TargetMode="External"/><Relationship Id="rId48" Type="http://schemas.openxmlformats.org/officeDocument/2006/relationships/hyperlink" Target="http://www.nevo.co.il/law/70301/192" TargetMode="External"/><Relationship Id="rId56" Type="http://schemas.openxmlformats.org/officeDocument/2006/relationships/fontTable" Target="fontTable.xml"/><Relationship Id="rId8" Type="http://schemas.openxmlformats.org/officeDocument/2006/relationships/hyperlink" Target="http://www.nevo.co.il/law/70301/192"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346.c" TargetMode="External"/><Relationship Id="rId17" Type="http://schemas.openxmlformats.org/officeDocument/2006/relationships/hyperlink" Target="http://www.nevo.co.il/law/70301/356" TargetMode="External"/><Relationship Id="rId25" Type="http://schemas.openxmlformats.org/officeDocument/2006/relationships/hyperlink" Target="http://www.nevo.co.il/law/70301/348.c" TargetMode="External"/><Relationship Id="rId33" Type="http://schemas.openxmlformats.org/officeDocument/2006/relationships/hyperlink" Target="http://www.nevo.co.il/law/70301/348" TargetMode="External"/><Relationship Id="rId38" Type="http://schemas.openxmlformats.org/officeDocument/2006/relationships/hyperlink" Target="http://www.nevo.co.il/law/70301/348.c" TargetMode="External"/><Relationship Id="rId46" Type="http://schemas.openxmlformats.org/officeDocument/2006/relationships/hyperlink" Target="http://www.nevo.co.il/law/70301/5.a" TargetMode="External"/><Relationship Id="rId20" Type="http://schemas.openxmlformats.org/officeDocument/2006/relationships/hyperlink" Target="http://www.nevo.co.il/law/70301/345.a.1" TargetMode="External"/><Relationship Id="rId41" Type="http://schemas.openxmlformats.org/officeDocument/2006/relationships/hyperlink" Target="http://www.nevo.co.il/law/70301/356"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8.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48/14"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345.a.2"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346.c"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2277</Words>
  <Characters>12980</Characters>
  <Application>Microsoft Office Word</Application>
  <DocSecurity>0</DocSecurity>
  <Lines>108</Lines>
  <Paragraphs>30</Paragraphs>
  <ScaleCrop>false</ScaleCrop>
  <HeadingPairs>
    <vt:vector size="6" baseType="variant">
      <vt:variant>
        <vt:lpstr>Title</vt:lpstr>
      </vt:variant>
      <vt:variant>
        <vt:i4>1</vt:i4>
      </vt:variant>
      <vt:variant>
        <vt:lpstr>שם</vt:lpstr>
      </vt:variant>
      <vt:variant>
        <vt:i4>1</vt:i4>
      </vt:variant>
      <vt:variant>
        <vt:lpstr>בפני כב' השופטים: ח. פיזם [אב"ד), י. גריל - שופט, ש. וסרקרוג - שופטת </vt:lpstr>
      </vt:variant>
      <vt:variant>
        <vt:i4>0</vt:i4>
      </vt:variant>
    </vt:vector>
  </HeadingPairs>
  <TitlesOfParts>
    <vt:vector size="2" baseType="lpstr">
      <vt:lpstr>nevo.co.il</vt:lpstr>
      <vt:lpstr>בפני כב' השופטים: ח. פיזם [אב"ד), י. גריל - שופט, ש. וסרקרוג - שופטת </vt:lpstr>
    </vt:vector>
  </TitlesOfParts>
  <Company> </Company>
  <LinksUpToDate>false</LinksUpToDate>
  <CharactersWithSpaces>15227</CharactersWithSpaces>
  <SharedDoc>false</SharedDoc>
  <HLinks>
    <vt:vector size="276" baseType="variant">
      <vt:variant>
        <vt:i4>7995492</vt:i4>
      </vt:variant>
      <vt:variant>
        <vt:i4>135</vt:i4>
      </vt:variant>
      <vt:variant>
        <vt:i4>0</vt:i4>
      </vt:variant>
      <vt:variant>
        <vt:i4>5</vt:i4>
      </vt:variant>
      <vt:variant>
        <vt:lpwstr>http://www.nevo.co.il/law/70301</vt:lpwstr>
      </vt:variant>
      <vt:variant>
        <vt:lpwstr/>
      </vt:variant>
      <vt:variant>
        <vt:i4>7077988</vt:i4>
      </vt:variant>
      <vt:variant>
        <vt:i4>132</vt:i4>
      </vt:variant>
      <vt:variant>
        <vt:i4>0</vt:i4>
      </vt:variant>
      <vt:variant>
        <vt:i4>5</vt:i4>
      </vt:variant>
      <vt:variant>
        <vt:lpwstr>http://www.nevo.co.il/law/70301/192</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7077988</vt:i4>
      </vt:variant>
      <vt:variant>
        <vt:i4>126</vt:i4>
      </vt:variant>
      <vt:variant>
        <vt:i4>0</vt:i4>
      </vt:variant>
      <vt:variant>
        <vt:i4>5</vt:i4>
      </vt:variant>
      <vt:variant>
        <vt:lpwstr>http://www.nevo.co.il/law/70301/192</vt:lpwstr>
      </vt:variant>
      <vt:variant>
        <vt:lpwstr/>
      </vt:variant>
      <vt:variant>
        <vt:i4>7995492</vt:i4>
      </vt:variant>
      <vt:variant>
        <vt:i4>123</vt:i4>
      </vt:variant>
      <vt:variant>
        <vt:i4>0</vt:i4>
      </vt:variant>
      <vt:variant>
        <vt:i4>5</vt:i4>
      </vt:variant>
      <vt:variant>
        <vt:lpwstr>http://www.nevo.co.il/law/70301</vt:lpwstr>
      </vt:variant>
      <vt:variant>
        <vt:lpwstr/>
      </vt:variant>
      <vt:variant>
        <vt:i4>8061024</vt:i4>
      </vt:variant>
      <vt:variant>
        <vt:i4>120</vt:i4>
      </vt:variant>
      <vt:variant>
        <vt:i4>0</vt:i4>
      </vt:variant>
      <vt:variant>
        <vt:i4>5</vt:i4>
      </vt:variant>
      <vt:variant>
        <vt:lpwstr>http://www.nevo.co.il/law/70301/5.a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http://www.nevo.co.il/law/70301/346.c</vt:lpwstr>
      </vt:variant>
      <vt:variant>
        <vt:lpwstr/>
      </vt:variant>
      <vt:variant>
        <vt:i4>5177438</vt:i4>
      </vt:variant>
      <vt:variant>
        <vt:i4>111</vt:i4>
      </vt:variant>
      <vt:variant>
        <vt:i4>0</vt:i4>
      </vt:variant>
      <vt:variant>
        <vt:i4>5</vt:i4>
      </vt:variant>
      <vt:variant>
        <vt:lpwstr>http://www.nevo.co.il/law/70301/348.c</vt:lpwstr>
      </vt:variant>
      <vt:variant>
        <vt:lpwstr/>
      </vt:variant>
      <vt:variant>
        <vt:i4>6357094</vt:i4>
      </vt:variant>
      <vt:variant>
        <vt:i4>108</vt:i4>
      </vt:variant>
      <vt:variant>
        <vt:i4>0</vt:i4>
      </vt:variant>
      <vt:variant>
        <vt:i4>5</vt:i4>
      </vt:variant>
      <vt:variant>
        <vt:lpwstr>http://www.nevo.co.il/law/70301/349</vt:lpwstr>
      </vt:variant>
      <vt:variant>
        <vt:lpwstr/>
      </vt:variant>
      <vt:variant>
        <vt:i4>6291558</vt:i4>
      </vt:variant>
      <vt:variant>
        <vt:i4>105</vt:i4>
      </vt:variant>
      <vt:variant>
        <vt:i4>0</vt:i4>
      </vt:variant>
      <vt:variant>
        <vt:i4>5</vt:i4>
      </vt:variant>
      <vt:variant>
        <vt:lpwstr>http://www.nevo.co.il/law/70301/356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8061024</vt:i4>
      </vt:variant>
      <vt:variant>
        <vt:i4>99</vt:i4>
      </vt:variant>
      <vt:variant>
        <vt:i4>0</vt:i4>
      </vt:variant>
      <vt:variant>
        <vt:i4>5</vt:i4>
      </vt:variant>
      <vt:variant>
        <vt:lpwstr>http://www.nevo.co.il/law/70301/5.a</vt:lpwstr>
      </vt:variant>
      <vt:variant>
        <vt:lpwstr/>
      </vt:variant>
      <vt:variant>
        <vt:i4>5177438</vt:i4>
      </vt:variant>
      <vt:variant>
        <vt:i4>96</vt:i4>
      </vt:variant>
      <vt:variant>
        <vt:i4>0</vt:i4>
      </vt:variant>
      <vt:variant>
        <vt:i4>5</vt:i4>
      </vt:variant>
      <vt:variant>
        <vt:lpwstr>http://www.nevo.co.il/law/70301/348.c</vt:lpwstr>
      </vt:variant>
      <vt:variant>
        <vt:lpwstr/>
      </vt:variant>
      <vt:variant>
        <vt:i4>6357094</vt:i4>
      </vt:variant>
      <vt:variant>
        <vt:i4>93</vt:i4>
      </vt:variant>
      <vt:variant>
        <vt:i4>0</vt:i4>
      </vt:variant>
      <vt:variant>
        <vt:i4>5</vt:i4>
      </vt:variant>
      <vt:variant>
        <vt:lpwstr>http://www.nevo.co.il/law/70301/349</vt:lpwstr>
      </vt:variant>
      <vt:variant>
        <vt:lpwstr/>
      </vt:variant>
      <vt:variant>
        <vt:i4>7995492</vt:i4>
      </vt:variant>
      <vt:variant>
        <vt:i4>90</vt:i4>
      </vt:variant>
      <vt:variant>
        <vt:i4>0</vt:i4>
      </vt:variant>
      <vt:variant>
        <vt:i4>5</vt:i4>
      </vt:variant>
      <vt:variant>
        <vt:lpwstr>http://www.nevo.co.il/law/70301</vt:lpwstr>
      </vt:variant>
      <vt:variant>
        <vt:lpwstr/>
      </vt:variant>
      <vt:variant>
        <vt:i4>6291558</vt:i4>
      </vt:variant>
      <vt:variant>
        <vt:i4>87</vt:i4>
      </vt:variant>
      <vt:variant>
        <vt:i4>0</vt:i4>
      </vt:variant>
      <vt:variant>
        <vt:i4>5</vt:i4>
      </vt:variant>
      <vt:variant>
        <vt:lpwstr>http://www.nevo.co.il/law/70301/356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6357094</vt:i4>
      </vt:variant>
      <vt:variant>
        <vt:i4>81</vt:i4>
      </vt:variant>
      <vt:variant>
        <vt:i4>0</vt:i4>
      </vt:variant>
      <vt:variant>
        <vt:i4>5</vt:i4>
      </vt:variant>
      <vt:variant>
        <vt:lpwstr>http://www.nevo.co.il/law/70301/348</vt:lpwstr>
      </vt:variant>
      <vt:variant>
        <vt:lpwstr/>
      </vt:variant>
      <vt:variant>
        <vt:i4>6357042</vt:i4>
      </vt:variant>
      <vt:variant>
        <vt:i4>78</vt:i4>
      </vt:variant>
      <vt:variant>
        <vt:i4>0</vt:i4>
      </vt:variant>
      <vt:variant>
        <vt:i4>5</vt:i4>
      </vt:variant>
      <vt:variant>
        <vt:lpwstr>http://www.nevo.co.il/law/70301/345.a.3</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5177425</vt:i4>
      </vt:variant>
      <vt:variant>
        <vt:i4>72</vt:i4>
      </vt:variant>
      <vt:variant>
        <vt:i4>0</vt:i4>
      </vt:variant>
      <vt:variant>
        <vt:i4>5</vt:i4>
      </vt:variant>
      <vt:variant>
        <vt:lpwstr>http://www.nevo.co.il/law/70301/347.a</vt:lpwstr>
      </vt:variant>
      <vt:variant>
        <vt:lpwstr/>
      </vt:variant>
      <vt:variant>
        <vt:i4>8257636</vt:i4>
      </vt:variant>
      <vt:variant>
        <vt:i4>69</vt:i4>
      </vt:variant>
      <vt:variant>
        <vt:i4>0</vt:i4>
      </vt:variant>
      <vt:variant>
        <vt:i4>5</vt:i4>
      </vt:variant>
      <vt:variant>
        <vt:lpwstr>http://www.nevo.co.il/law/70348</vt:lpwstr>
      </vt:variant>
      <vt:variant>
        <vt:lpwstr/>
      </vt:variant>
      <vt:variant>
        <vt:i4>6619245</vt:i4>
      </vt:variant>
      <vt:variant>
        <vt:i4>66</vt:i4>
      </vt:variant>
      <vt:variant>
        <vt:i4>0</vt:i4>
      </vt:variant>
      <vt:variant>
        <vt:i4>5</vt:i4>
      </vt:variant>
      <vt:variant>
        <vt:lpwstr>http://www.nevo.co.il/law/70348/14</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6357042</vt:i4>
      </vt:variant>
      <vt:variant>
        <vt:i4>60</vt:i4>
      </vt:variant>
      <vt:variant>
        <vt:i4>0</vt:i4>
      </vt:variant>
      <vt:variant>
        <vt:i4>5</vt:i4>
      </vt:variant>
      <vt:variant>
        <vt:lpwstr>http://www.nevo.co.il/law/70301/345.a.2</vt:lpwstr>
      </vt:variant>
      <vt:variant>
        <vt:lpwstr/>
      </vt:variant>
      <vt:variant>
        <vt:i4>5177438</vt:i4>
      </vt:variant>
      <vt:variant>
        <vt:i4>57</vt:i4>
      </vt:variant>
      <vt:variant>
        <vt:i4>0</vt:i4>
      </vt:variant>
      <vt:variant>
        <vt:i4>5</vt:i4>
      </vt:variant>
      <vt:variant>
        <vt:lpwstr>http://www.nevo.co.il/law/70301/348.c</vt:lpwstr>
      </vt:variant>
      <vt:variant>
        <vt:lpwstr/>
      </vt:variant>
      <vt:variant>
        <vt:i4>6357094</vt:i4>
      </vt:variant>
      <vt:variant>
        <vt:i4>54</vt:i4>
      </vt:variant>
      <vt:variant>
        <vt:i4>0</vt:i4>
      </vt:variant>
      <vt:variant>
        <vt:i4>5</vt:i4>
      </vt:variant>
      <vt:variant>
        <vt:lpwstr>http://www.nevo.co.il/law/70301/348</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6357042</vt:i4>
      </vt:variant>
      <vt:variant>
        <vt:i4>45</vt:i4>
      </vt:variant>
      <vt:variant>
        <vt:i4>0</vt:i4>
      </vt:variant>
      <vt:variant>
        <vt:i4>5</vt:i4>
      </vt:variant>
      <vt:variant>
        <vt:lpwstr>http://www.nevo.co.il/law/70301/345.a.3</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6619245</vt:i4>
      </vt:variant>
      <vt:variant>
        <vt:i4>39</vt:i4>
      </vt:variant>
      <vt:variant>
        <vt:i4>0</vt:i4>
      </vt:variant>
      <vt:variant>
        <vt:i4>5</vt:i4>
      </vt:variant>
      <vt:variant>
        <vt:lpwstr>http://www.nevo.co.il/law/70348/14</vt:lpwstr>
      </vt:variant>
      <vt:variant>
        <vt:lpwstr/>
      </vt:variant>
      <vt:variant>
        <vt:i4>8257636</vt:i4>
      </vt:variant>
      <vt:variant>
        <vt:i4>36</vt:i4>
      </vt:variant>
      <vt:variant>
        <vt:i4>0</vt:i4>
      </vt:variant>
      <vt:variant>
        <vt:i4>5</vt:i4>
      </vt:variant>
      <vt:variant>
        <vt:lpwstr>http://www.nevo.co.il/law/70348</vt:lpwstr>
      </vt:variant>
      <vt:variant>
        <vt:lpwstr/>
      </vt:variant>
      <vt:variant>
        <vt:i4>6291558</vt:i4>
      </vt:variant>
      <vt:variant>
        <vt:i4>33</vt:i4>
      </vt:variant>
      <vt:variant>
        <vt:i4>0</vt:i4>
      </vt:variant>
      <vt:variant>
        <vt:i4>5</vt:i4>
      </vt:variant>
      <vt:variant>
        <vt:lpwstr>http://www.nevo.co.il/law/70301/356</vt:lpwstr>
      </vt:variant>
      <vt:variant>
        <vt:lpwstr/>
      </vt:variant>
      <vt:variant>
        <vt:i4>6357094</vt:i4>
      </vt:variant>
      <vt:variant>
        <vt:i4>30</vt:i4>
      </vt:variant>
      <vt:variant>
        <vt:i4>0</vt:i4>
      </vt:variant>
      <vt:variant>
        <vt:i4>5</vt:i4>
      </vt:variant>
      <vt:variant>
        <vt:lpwstr>http://www.nevo.co.il/law/70301/349</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6357094</vt:i4>
      </vt:variant>
      <vt:variant>
        <vt:i4>24</vt:i4>
      </vt:variant>
      <vt:variant>
        <vt:i4>0</vt:i4>
      </vt:variant>
      <vt:variant>
        <vt:i4>5</vt:i4>
      </vt:variant>
      <vt:variant>
        <vt:lpwstr>http://www.nevo.co.il/law/70301/348</vt:lpwstr>
      </vt:variant>
      <vt:variant>
        <vt:lpwstr/>
      </vt:variant>
      <vt:variant>
        <vt:i4>5177425</vt:i4>
      </vt:variant>
      <vt:variant>
        <vt:i4>21</vt:i4>
      </vt:variant>
      <vt:variant>
        <vt:i4>0</vt:i4>
      </vt:variant>
      <vt:variant>
        <vt:i4>5</vt:i4>
      </vt:variant>
      <vt:variant>
        <vt:lpwstr>http://www.nevo.co.il/law/70301/347.a</vt:lpwstr>
      </vt:variant>
      <vt:variant>
        <vt:lpwstr/>
      </vt:variant>
      <vt:variant>
        <vt:i4>5177424</vt:i4>
      </vt:variant>
      <vt:variant>
        <vt:i4>18</vt:i4>
      </vt:variant>
      <vt:variant>
        <vt:i4>0</vt:i4>
      </vt:variant>
      <vt:variant>
        <vt:i4>5</vt:i4>
      </vt:variant>
      <vt:variant>
        <vt:lpwstr>http://www.nevo.co.il/law/70301/346.c</vt:lpwstr>
      </vt:variant>
      <vt:variant>
        <vt:lpwstr/>
      </vt:variant>
      <vt:variant>
        <vt:i4>6357042</vt:i4>
      </vt:variant>
      <vt:variant>
        <vt:i4>15</vt:i4>
      </vt:variant>
      <vt:variant>
        <vt:i4>0</vt:i4>
      </vt:variant>
      <vt:variant>
        <vt:i4>5</vt:i4>
      </vt:variant>
      <vt:variant>
        <vt:lpwstr>http://www.nevo.co.il/law/70301/345.a.3</vt:lpwstr>
      </vt:variant>
      <vt:variant>
        <vt:lpwstr/>
      </vt:variant>
      <vt:variant>
        <vt:i4>6357042</vt:i4>
      </vt:variant>
      <vt:variant>
        <vt:i4>12</vt:i4>
      </vt:variant>
      <vt:variant>
        <vt:i4>0</vt:i4>
      </vt:variant>
      <vt:variant>
        <vt:i4>5</vt:i4>
      </vt:variant>
      <vt:variant>
        <vt:lpwstr>http://www.nevo.co.il/law/70301/345.a.2</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8061024</vt:i4>
      </vt:variant>
      <vt:variant>
        <vt:i4>3</vt:i4>
      </vt:variant>
      <vt:variant>
        <vt:i4>0</vt:i4>
      </vt:variant>
      <vt:variant>
        <vt:i4>5</vt:i4>
      </vt:variant>
      <vt:variant>
        <vt:lpwstr>http://www.nevo.co.il/law/70301/5.a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2022-05-24T10:49:00Z</dcterms:created>
  <dcterms:modified xsi:type="dcterms:W3CDTF">2022-05-24T10:49:00Z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ROCESS">
    <vt:lpwstr>תפ</vt:lpwstr>
  </property>
  <property fmtid="{D5CDD505-2E9C-101B-9397-08002B2CF9AE}" pid="4" name="PROCNUM">
    <vt:lpwstr>3</vt:lpwstr>
  </property>
  <property fmtid="{D5CDD505-2E9C-101B-9397-08002B2CF9AE}" pid="5" name="PROCYEAR">
    <vt:lpwstr>96</vt:lpwstr>
  </property>
  <property fmtid="{D5CDD505-2E9C-101B-9397-08002B2CF9AE}" pid="6" name="DATE">
    <vt:lpwstr>19980309</vt:lpwstr>
  </property>
  <property fmtid="{D5CDD505-2E9C-101B-9397-08002B2CF9AE}" pid="7" name="APPELLEE">
    <vt:lpwstr>פלוני</vt:lpwstr>
  </property>
  <property fmtid="{D5CDD505-2E9C-101B-9397-08002B2CF9AE}" pid="8" name="APPELLANT">
    <vt:lpwstr>מדינת ישראל</vt:lpwstr>
  </property>
  <property fmtid="{D5CDD505-2E9C-101B-9397-08002B2CF9AE}" pid="9" name="JUDGE">
    <vt:lpwstr>ח. פיזם;י. גריל;ש. וסרקרוג</vt:lpwstr>
  </property>
  <property fmtid="{D5CDD505-2E9C-101B-9397-08002B2CF9AE}" pid="10" name="LAWYER">
    <vt:lpwstr/>
  </property>
  <property fmtid="{D5CDD505-2E9C-101B-9397-08002B2CF9AE}" pid="11" name="CITY">
    <vt:lpwstr>חי'</vt:lpwstr>
  </property>
  <property fmtid="{D5CDD505-2E9C-101B-9397-08002B2CF9AE}" pid="12" name="ISABSTRACT">
    <vt:lpwstr>Y</vt:lpwstr>
  </property>
  <property fmtid="{D5CDD505-2E9C-101B-9397-08002B2CF9AE}" pid="13" name="PSAKDIN">
    <vt:lpwstr>הכרעת-דין</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WORDNUMPAGES">
    <vt:lpwstr>6</vt:lpwstr>
  </property>
  <property fmtid="{D5CDD505-2E9C-101B-9397-08002B2CF9AE}" pid="18" name="TYPE_N_DATE">
    <vt:lpwstr>39019980309</vt:lpwstr>
  </property>
  <property fmtid="{D5CDD505-2E9C-101B-9397-08002B2CF9AE}" pid="19" name="TYPE_ABS_DATE">
    <vt:lpwstr>390019980309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CASENOTES1">
    <vt:lpwstr>ProcID=213&amp;PartA=11&amp;PartC=10</vt:lpwstr>
  </property>
  <property fmtid="{D5CDD505-2E9C-101B-9397-08002B2CF9AE}" pid="36" name="LAWLISTTMP1">
    <vt:lpwstr>70301/345.a.1;345.a.3:2;348.c:4;348:2;345.a.2;192:3;347.a;356:2;349:2;005.a:2;346.c</vt:lpwstr>
  </property>
  <property fmtid="{D5CDD505-2E9C-101B-9397-08002B2CF9AE}" pid="37" name="LAWLISTTMP2">
    <vt:lpwstr>70348/014</vt:lpwstr>
  </property>
</Properties>
</file>