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Ind w:w="8" w:type="dxa"/>
        <w:tblLayout w:type="fixed"/>
        <w:tblCellMar>
          <w:left w:w="0" w:type="dxa"/>
          <w:right w:w="0" w:type="dxa"/>
        </w:tblCellMar>
        <w:tblLook w:val="0000" w:firstRow="0" w:lastRow="0" w:firstColumn="0" w:lastColumn="0" w:noHBand="0" w:noVBand="0"/>
      </w:tblPr>
      <w:tblGrid>
        <w:gridCol w:w="658"/>
        <w:gridCol w:w="5223"/>
        <w:gridCol w:w="2641"/>
      </w:tblGrid>
      <w:tr w:rsidR="00395959" w14:paraId="6342679B" w14:textId="77777777">
        <w:tblPrEx>
          <w:tblCellMar>
            <w:top w:w="0" w:type="dxa"/>
            <w:left w:w="0" w:type="dxa"/>
            <w:bottom w:w="0" w:type="dxa"/>
            <w:right w:w="0" w:type="dxa"/>
          </w:tblCellMar>
        </w:tblPrEx>
        <w:tc>
          <w:tcPr>
            <w:tcW w:w="5881" w:type="dxa"/>
            <w:gridSpan w:val="2"/>
          </w:tcPr>
          <w:p w14:paraId="72343F08" w14:textId="77777777" w:rsidR="00395959" w:rsidRDefault="00395959">
            <w:pPr>
              <w:jc w:val="left"/>
              <w:rPr>
                <w:spacing w:val="0"/>
                <w:u w:val="single"/>
                <w:rtl/>
              </w:rPr>
            </w:pPr>
            <w:r>
              <w:rPr>
                <w:spacing w:val="0"/>
                <w:u w:val="single"/>
                <w:rtl/>
              </w:rPr>
              <w:t>בבית המשפט המחוזי בירושלים</w:t>
            </w:r>
          </w:p>
          <w:p w14:paraId="59630327" w14:textId="77777777" w:rsidR="00395959" w:rsidRDefault="00395959">
            <w:pPr>
              <w:jc w:val="left"/>
              <w:rPr>
                <w:spacing w:val="0"/>
                <w:rtl/>
              </w:rPr>
            </w:pPr>
            <w:r>
              <w:rPr>
                <w:spacing w:val="0"/>
                <w:u w:val="single"/>
                <w:rtl/>
              </w:rPr>
              <w:t>בשבתו כבית משפט לנוער</w:t>
            </w:r>
          </w:p>
          <w:p w14:paraId="467CC2B7" w14:textId="77777777" w:rsidR="00395959" w:rsidRDefault="00395959">
            <w:pPr>
              <w:jc w:val="left"/>
              <w:rPr>
                <w:spacing w:val="0"/>
                <w:rtl/>
              </w:rPr>
            </w:pPr>
          </w:p>
        </w:tc>
        <w:tc>
          <w:tcPr>
            <w:tcW w:w="2641" w:type="dxa"/>
          </w:tcPr>
          <w:p w14:paraId="3B46AE43" w14:textId="77777777" w:rsidR="00395959" w:rsidRDefault="00395959">
            <w:pPr>
              <w:jc w:val="left"/>
              <w:rPr>
                <w:spacing w:val="0"/>
                <w:u w:val="single"/>
                <w:rtl/>
              </w:rPr>
            </w:pPr>
            <w:r>
              <w:rPr>
                <w:spacing w:val="0"/>
                <w:u w:val="single"/>
                <w:rtl/>
              </w:rPr>
              <w:t>ת"פ  201/98</w:t>
            </w:r>
          </w:p>
          <w:p w14:paraId="21981AA1" w14:textId="77777777" w:rsidR="00395959" w:rsidRDefault="00395959">
            <w:pPr>
              <w:jc w:val="left"/>
              <w:rPr>
                <w:spacing w:val="0"/>
                <w:rtl/>
              </w:rPr>
            </w:pPr>
            <w:r>
              <w:rPr>
                <w:spacing w:val="0"/>
                <w:rtl/>
              </w:rPr>
              <w:t xml:space="preserve"> </w:t>
            </w:r>
          </w:p>
        </w:tc>
      </w:tr>
      <w:tr w:rsidR="00395959" w14:paraId="5D63C7BD" w14:textId="77777777">
        <w:tblPrEx>
          <w:tblCellMar>
            <w:top w:w="0" w:type="dxa"/>
            <w:left w:w="0" w:type="dxa"/>
            <w:bottom w:w="0" w:type="dxa"/>
            <w:right w:w="0" w:type="dxa"/>
          </w:tblCellMar>
        </w:tblPrEx>
        <w:tc>
          <w:tcPr>
            <w:tcW w:w="658" w:type="dxa"/>
          </w:tcPr>
          <w:p w14:paraId="058D8C57" w14:textId="77777777" w:rsidR="00395959" w:rsidRDefault="00395959">
            <w:pPr>
              <w:jc w:val="left"/>
              <w:rPr>
                <w:spacing w:val="0"/>
                <w:rtl/>
              </w:rPr>
            </w:pPr>
            <w:r>
              <w:rPr>
                <w:spacing w:val="0"/>
                <w:rtl/>
              </w:rPr>
              <w:t xml:space="preserve">לפני </w:t>
            </w:r>
          </w:p>
        </w:tc>
        <w:tc>
          <w:tcPr>
            <w:tcW w:w="5223" w:type="dxa"/>
          </w:tcPr>
          <w:p w14:paraId="224D8FB8" w14:textId="77777777" w:rsidR="00395959" w:rsidRDefault="00395959">
            <w:pPr>
              <w:jc w:val="left"/>
              <w:rPr>
                <w:spacing w:val="0"/>
                <w:rtl/>
              </w:rPr>
            </w:pPr>
            <w:r>
              <w:rPr>
                <w:spacing w:val="0"/>
                <w:rtl/>
              </w:rPr>
              <w:t xml:space="preserve"> כב' השופט יעקב צמח, סגן-נשיא</w:t>
            </w:r>
          </w:p>
          <w:p w14:paraId="148F3C78" w14:textId="77777777" w:rsidR="00395959" w:rsidRDefault="00395959">
            <w:pPr>
              <w:jc w:val="left"/>
              <w:rPr>
                <w:spacing w:val="0"/>
                <w:rtl/>
              </w:rPr>
            </w:pPr>
            <w:r>
              <w:rPr>
                <w:spacing w:val="0"/>
                <w:rtl/>
              </w:rPr>
              <w:t xml:space="preserve"> כב' השופטת מרים נאור</w:t>
            </w:r>
          </w:p>
          <w:p w14:paraId="560F8B07" w14:textId="77777777" w:rsidR="00395959" w:rsidRDefault="00395959">
            <w:pPr>
              <w:jc w:val="left"/>
              <w:rPr>
                <w:spacing w:val="0"/>
                <w:rtl/>
              </w:rPr>
            </w:pPr>
            <w:r>
              <w:rPr>
                <w:spacing w:val="0"/>
                <w:rtl/>
              </w:rPr>
              <w:t xml:space="preserve"> כב' השופטת מוסיה ארד</w:t>
            </w:r>
          </w:p>
        </w:tc>
        <w:tc>
          <w:tcPr>
            <w:tcW w:w="2641" w:type="dxa"/>
            <w:tcBorders>
              <w:top w:val="single" w:sz="6" w:space="0" w:color="auto"/>
              <w:left w:val="single" w:sz="6" w:space="0" w:color="auto"/>
              <w:bottom w:val="single" w:sz="6" w:space="0" w:color="auto"/>
              <w:right w:val="single" w:sz="6" w:space="0" w:color="auto"/>
            </w:tcBorders>
          </w:tcPr>
          <w:p w14:paraId="2D5577AA" w14:textId="77777777" w:rsidR="00395959" w:rsidRDefault="00395959">
            <w:pPr>
              <w:jc w:val="center"/>
              <w:rPr>
                <w:b/>
                <w:bCs/>
                <w:spacing w:val="0"/>
                <w:rtl/>
              </w:rPr>
            </w:pPr>
            <w:r>
              <w:rPr>
                <w:b/>
                <w:bCs/>
                <w:spacing w:val="0"/>
                <w:u w:val="single"/>
                <w:rtl/>
              </w:rPr>
              <w:t>איסור פרסום</w:t>
            </w:r>
          </w:p>
          <w:p w14:paraId="42DC92B8" w14:textId="77777777" w:rsidR="00395959" w:rsidRDefault="00395959">
            <w:pPr>
              <w:jc w:val="center"/>
              <w:rPr>
                <w:b/>
                <w:bCs/>
                <w:spacing w:val="0"/>
                <w:rtl/>
              </w:rPr>
            </w:pPr>
            <w:r>
              <w:rPr>
                <w:b/>
                <w:bCs/>
                <w:spacing w:val="0"/>
                <w:rtl/>
              </w:rPr>
              <w:t>שם הנאשם</w:t>
            </w:r>
          </w:p>
          <w:p w14:paraId="22F56E25" w14:textId="77777777" w:rsidR="00395959" w:rsidRDefault="00395959">
            <w:pPr>
              <w:jc w:val="center"/>
              <w:rPr>
                <w:b/>
                <w:bCs/>
                <w:spacing w:val="0"/>
                <w:rtl/>
              </w:rPr>
            </w:pPr>
            <w:r>
              <w:rPr>
                <w:b/>
                <w:bCs/>
                <w:spacing w:val="0"/>
                <w:rtl/>
              </w:rPr>
              <w:t>שם המתלונן</w:t>
            </w:r>
          </w:p>
          <w:p w14:paraId="3C8F37FD" w14:textId="77777777" w:rsidR="00395959" w:rsidRDefault="00395959">
            <w:pPr>
              <w:jc w:val="center"/>
              <w:rPr>
                <w:b/>
                <w:bCs/>
                <w:spacing w:val="0"/>
                <w:u w:val="single"/>
                <w:rtl/>
              </w:rPr>
            </w:pPr>
            <w:r>
              <w:rPr>
                <w:b/>
                <w:bCs/>
                <w:spacing w:val="0"/>
                <w:rtl/>
              </w:rPr>
              <w:t>וכל פרט העלול לזהותם</w:t>
            </w:r>
          </w:p>
        </w:tc>
      </w:tr>
    </w:tbl>
    <w:p w14:paraId="57F28DE7" w14:textId="77777777" w:rsidR="004C760F" w:rsidRDefault="004C760F">
      <w:pPr>
        <w:pStyle w:val="a3"/>
        <w:suppressLineNumbers/>
        <w:jc w:val="both"/>
        <w:rPr>
          <w:rFonts w:hint="cs"/>
          <w:spacing w:val="0"/>
          <w:rtl/>
        </w:rPr>
      </w:pPr>
    </w:p>
    <w:p w14:paraId="0F3AB482" w14:textId="77777777" w:rsidR="004C760F" w:rsidRDefault="004C760F">
      <w:pPr>
        <w:pStyle w:val="a3"/>
        <w:suppressLineNumbers/>
        <w:jc w:val="both"/>
        <w:rPr>
          <w:rFonts w:hint="cs"/>
          <w:spacing w:val="0"/>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4820"/>
        <w:gridCol w:w="2409"/>
      </w:tblGrid>
      <w:tr w:rsidR="00395959" w14:paraId="1A5521EE" w14:textId="77777777">
        <w:tblPrEx>
          <w:tblCellMar>
            <w:top w:w="0" w:type="dxa"/>
            <w:bottom w:w="0" w:type="dxa"/>
          </w:tblCellMar>
        </w:tblPrEx>
        <w:tc>
          <w:tcPr>
            <w:tcW w:w="1418" w:type="dxa"/>
          </w:tcPr>
          <w:p w14:paraId="5A2B8DAE" w14:textId="77777777" w:rsidR="00395959" w:rsidRDefault="00395959">
            <w:pPr>
              <w:pStyle w:val="a4"/>
              <w:jc w:val="both"/>
              <w:rPr>
                <w:spacing w:val="0"/>
                <w:rtl/>
              </w:rPr>
            </w:pPr>
            <w:r>
              <w:rPr>
                <w:spacing w:val="0"/>
                <w:rtl/>
              </w:rPr>
              <w:t>בעניין</w:t>
            </w:r>
            <w:r>
              <w:rPr>
                <w:spacing w:val="0"/>
                <w:sz w:val="24"/>
                <w:szCs w:val="24"/>
                <w:rtl/>
              </w:rPr>
              <w:t>:</w:t>
            </w:r>
            <w:r>
              <w:rPr>
                <w:color w:val="FFFFFF"/>
                <w:spacing w:val="0"/>
                <w:sz w:val="4"/>
                <w:szCs w:val="4"/>
                <w:rtl/>
              </w:rPr>
              <w:t>נ</w:t>
            </w:r>
          </w:p>
        </w:tc>
        <w:tc>
          <w:tcPr>
            <w:tcW w:w="4820" w:type="dxa"/>
          </w:tcPr>
          <w:p w14:paraId="53E73DBA" w14:textId="77777777" w:rsidR="00395959" w:rsidRDefault="00395959">
            <w:pPr>
              <w:pStyle w:val="a4"/>
              <w:jc w:val="both"/>
              <w:rPr>
                <w:spacing w:val="0"/>
                <w:rtl/>
              </w:rPr>
            </w:pPr>
            <w:r>
              <w:rPr>
                <w:spacing w:val="0"/>
                <w:rtl/>
              </w:rPr>
              <w:t>מדינת ישראל</w:t>
            </w:r>
          </w:p>
        </w:tc>
        <w:tc>
          <w:tcPr>
            <w:tcW w:w="2409" w:type="dxa"/>
          </w:tcPr>
          <w:p w14:paraId="6937E986" w14:textId="77777777" w:rsidR="00395959" w:rsidRDefault="00395959">
            <w:pPr>
              <w:pStyle w:val="a4"/>
              <w:jc w:val="both"/>
              <w:rPr>
                <w:spacing w:val="0"/>
                <w:u w:val="single"/>
                <w:rtl/>
              </w:rPr>
            </w:pPr>
          </w:p>
          <w:p w14:paraId="2106BB88" w14:textId="77777777" w:rsidR="00395959" w:rsidRDefault="00395959">
            <w:pPr>
              <w:pStyle w:val="a4"/>
              <w:jc w:val="both"/>
              <w:rPr>
                <w:spacing w:val="0"/>
                <w:u w:val="single"/>
                <w:rtl/>
              </w:rPr>
            </w:pPr>
            <w:r>
              <w:rPr>
                <w:spacing w:val="0"/>
                <w:u w:val="single"/>
                <w:rtl/>
              </w:rPr>
              <w:t>המאשימה</w:t>
            </w:r>
          </w:p>
        </w:tc>
      </w:tr>
      <w:tr w:rsidR="00395959" w14:paraId="1AB552B7" w14:textId="77777777">
        <w:tblPrEx>
          <w:tblCellMar>
            <w:top w:w="0" w:type="dxa"/>
            <w:bottom w:w="0" w:type="dxa"/>
          </w:tblCellMar>
        </w:tblPrEx>
        <w:tc>
          <w:tcPr>
            <w:tcW w:w="1418" w:type="dxa"/>
          </w:tcPr>
          <w:p w14:paraId="4F0372EA" w14:textId="77777777" w:rsidR="00395959" w:rsidRDefault="00395959">
            <w:pPr>
              <w:pStyle w:val="a4"/>
              <w:spacing w:before="600"/>
              <w:jc w:val="both"/>
              <w:rPr>
                <w:spacing w:val="0"/>
                <w:rtl/>
              </w:rPr>
            </w:pPr>
          </w:p>
        </w:tc>
        <w:tc>
          <w:tcPr>
            <w:tcW w:w="4820" w:type="dxa"/>
          </w:tcPr>
          <w:p w14:paraId="525C5179" w14:textId="77777777" w:rsidR="00395959" w:rsidRDefault="00395959">
            <w:pPr>
              <w:pStyle w:val="a4"/>
              <w:spacing w:before="600"/>
              <w:jc w:val="both"/>
              <w:rPr>
                <w:spacing w:val="0"/>
                <w:rtl/>
              </w:rPr>
            </w:pPr>
            <w:r>
              <w:rPr>
                <w:spacing w:val="0"/>
                <w:rtl/>
              </w:rPr>
              <w:t>- נ ג ד -</w:t>
            </w:r>
          </w:p>
          <w:p w14:paraId="3AAE8053" w14:textId="77777777" w:rsidR="00395959" w:rsidRDefault="00395959">
            <w:pPr>
              <w:pStyle w:val="a4"/>
              <w:jc w:val="both"/>
              <w:rPr>
                <w:spacing w:val="0"/>
                <w:rtl/>
              </w:rPr>
            </w:pPr>
          </w:p>
        </w:tc>
        <w:tc>
          <w:tcPr>
            <w:tcW w:w="2409" w:type="dxa"/>
          </w:tcPr>
          <w:p w14:paraId="537DC32C" w14:textId="77777777" w:rsidR="00395959" w:rsidRDefault="00395959">
            <w:pPr>
              <w:pStyle w:val="a4"/>
              <w:jc w:val="both"/>
              <w:rPr>
                <w:spacing w:val="0"/>
                <w:rtl/>
              </w:rPr>
            </w:pPr>
          </w:p>
        </w:tc>
      </w:tr>
      <w:tr w:rsidR="00395959" w14:paraId="1FCFD3FF" w14:textId="77777777">
        <w:tblPrEx>
          <w:tblCellMar>
            <w:top w:w="0" w:type="dxa"/>
            <w:bottom w:w="0" w:type="dxa"/>
          </w:tblCellMar>
        </w:tblPrEx>
        <w:tc>
          <w:tcPr>
            <w:tcW w:w="1418" w:type="dxa"/>
          </w:tcPr>
          <w:p w14:paraId="39330741" w14:textId="77777777" w:rsidR="00395959" w:rsidRDefault="00395959">
            <w:pPr>
              <w:pStyle w:val="a4"/>
              <w:jc w:val="both"/>
              <w:rPr>
                <w:spacing w:val="0"/>
                <w:rtl/>
              </w:rPr>
            </w:pPr>
          </w:p>
        </w:tc>
        <w:tc>
          <w:tcPr>
            <w:tcW w:w="4820" w:type="dxa"/>
          </w:tcPr>
          <w:p w14:paraId="75AA1B1B" w14:textId="77777777" w:rsidR="00395959" w:rsidRDefault="00395959">
            <w:pPr>
              <w:pStyle w:val="a4"/>
              <w:jc w:val="both"/>
              <w:rPr>
                <w:spacing w:val="0"/>
                <w:rtl/>
              </w:rPr>
            </w:pPr>
            <w:r>
              <w:rPr>
                <w:spacing w:val="0"/>
                <w:rtl/>
              </w:rPr>
              <w:t>פלוני  (קטין)</w:t>
            </w:r>
          </w:p>
        </w:tc>
        <w:tc>
          <w:tcPr>
            <w:tcW w:w="2409" w:type="dxa"/>
          </w:tcPr>
          <w:p w14:paraId="19DEDA7D" w14:textId="77777777" w:rsidR="00395959" w:rsidRDefault="00395959">
            <w:pPr>
              <w:pStyle w:val="a4"/>
              <w:jc w:val="both"/>
              <w:rPr>
                <w:spacing w:val="0"/>
                <w:u w:val="single"/>
                <w:rtl/>
              </w:rPr>
            </w:pPr>
          </w:p>
          <w:p w14:paraId="1570B4AB" w14:textId="77777777" w:rsidR="00395959" w:rsidRDefault="00395959">
            <w:pPr>
              <w:pStyle w:val="a4"/>
              <w:jc w:val="both"/>
              <w:rPr>
                <w:spacing w:val="0"/>
                <w:u w:val="single"/>
                <w:rtl/>
              </w:rPr>
            </w:pPr>
            <w:r>
              <w:rPr>
                <w:spacing w:val="0"/>
                <w:u w:val="single"/>
                <w:rtl/>
              </w:rPr>
              <w:t>הנאשם</w:t>
            </w:r>
          </w:p>
        </w:tc>
      </w:tr>
    </w:tbl>
    <w:p w14:paraId="0304A93E" w14:textId="77777777" w:rsidR="004C760F" w:rsidRDefault="004C760F">
      <w:pPr>
        <w:pStyle w:val="a3"/>
        <w:suppressLineNumbers/>
        <w:jc w:val="both"/>
        <w:rPr>
          <w:spacing w:val="0"/>
          <w:rtl/>
        </w:rPr>
      </w:pPr>
    </w:p>
    <w:p w14:paraId="64DD6D90" w14:textId="77777777" w:rsidR="004C760F" w:rsidRDefault="004C760F">
      <w:pPr>
        <w:pStyle w:val="a3"/>
        <w:suppressLineNumbers/>
        <w:jc w:val="both"/>
        <w:rPr>
          <w:rFonts w:hint="cs"/>
          <w:spacing w:val="0"/>
          <w:rtl/>
        </w:rPr>
      </w:pPr>
    </w:p>
    <w:p w14:paraId="1DC11671" w14:textId="77777777" w:rsidR="004C760F" w:rsidRDefault="004C760F">
      <w:pPr>
        <w:pStyle w:val="a3"/>
        <w:suppressLineNumbers/>
        <w:jc w:val="both"/>
        <w:rPr>
          <w:spacing w:val="0"/>
          <w:rtl/>
        </w:rPr>
      </w:pPr>
    </w:p>
    <w:p w14:paraId="1386B177" w14:textId="77777777" w:rsidR="004C760F" w:rsidRDefault="004C760F">
      <w:pPr>
        <w:pStyle w:val="a3"/>
        <w:suppressLineNumbers/>
        <w:jc w:val="both"/>
        <w:rPr>
          <w:b/>
          <w:bCs/>
          <w:spacing w:val="0"/>
          <w:rtl/>
        </w:rPr>
      </w:pPr>
      <w:r>
        <w:rPr>
          <w:b/>
          <w:bCs/>
          <w:spacing w:val="0"/>
          <w:rtl/>
        </w:rPr>
        <w:t>למאשימה</w:t>
      </w:r>
      <w:r>
        <w:rPr>
          <w:b/>
          <w:bCs/>
          <w:spacing w:val="0"/>
          <w:sz w:val="24"/>
          <w:szCs w:val="24"/>
          <w:rtl/>
        </w:rPr>
        <w:t>:</w:t>
      </w:r>
      <w:r>
        <w:rPr>
          <w:b/>
          <w:bCs/>
          <w:color w:val="FFFFFF"/>
          <w:spacing w:val="0"/>
          <w:sz w:val="4"/>
          <w:szCs w:val="4"/>
          <w:rtl/>
        </w:rPr>
        <w:t>ב</w:t>
      </w:r>
      <w:r>
        <w:rPr>
          <w:b/>
          <w:bCs/>
          <w:spacing w:val="0"/>
          <w:rtl/>
        </w:rPr>
        <w:t xml:space="preserve"> עו"ד גרינבוים</w:t>
      </w:r>
    </w:p>
    <w:p w14:paraId="3152CF7D" w14:textId="77777777" w:rsidR="003F7165" w:rsidRDefault="004C760F">
      <w:pPr>
        <w:pStyle w:val="a3"/>
        <w:suppressLineNumbers/>
        <w:jc w:val="both"/>
        <w:rPr>
          <w:b/>
          <w:bCs/>
          <w:spacing w:val="0"/>
          <w:rtl/>
        </w:rPr>
      </w:pPr>
      <w:r>
        <w:rPr>
          <w:b/>
          <w:bCs/>
          <w:spacing w:val="0"/>
          <w:rtl/>
        </w:rPr>
        <w:t>לנאשם</w:t>
      </w:r>
      <w:r>
        <w:rPr>
          <w:b/>
          <w:bCs/>
          <w:spacing w:val="0"/>
          <w:sz w:val="24"/>
          <w:szCs w:val="24"/>
          <w:rtl/>
        </w:rPr>
        <w:t>:</w:t>
      </w:r>
      <w:r>
        <w:rPr>
          <w:b/>
          <w:bCs/>
          <w:color w:val="FFFFFF"/>
          <w:spacing w:val="0"/>
          <w:sz w:val="4"/>
          <w:szCs w:val="4"/>
          <w:rtl/>
        </w:rPr>
        <w:t>ו</w:t>
      </w:r>
      <w:r>
        <w:rPr>
          <w:b/>
          <w:bCs/>
          <w:spacing w:val="0"/>
          <w:rtl/>
        </w:rPr>
        <w:t xml:space="preserve"> עו"ד קרוואני</w:t>
      </w:r>
      <w:bookmarkStart w:id="0" w:name="LawTable"/>
      <w:bookmarkEnd w:id="0"/>
    </w:p>
    <w:p w14:paraId="50EEBD29" w14:textId="77777777" w:rsidR="003F7165" w:rsidRPr="003F7165" w:rsidRDefault="003F7165" w:rsidP="003F7165">
      <w:pPr>
        <w:pStyle w:val="a3"/>
        <w:suppressLineNumbers/>
        <w:spacing w:after="120" w:line="240" w:lineRule="exact"/>
        <w:ind w:left="283" w:hanging="283"/>
        <w:jc w:val="both"/>
        <w:rPr>
          <w:rFonts w:ascii="FrankRuehl" w:hAnsi="FrankRuehl" w:cs="FrankRuehl"/>
          <w:spacing w:val="0"/>
          <w:sz w:val="24"/>
          <w:szCs w:val="24"/>
          <w:rtl/>
        </w:rPr>
      </w:pPr>
    </w:p>
    <w:p w14:paraId="71DBA40F" w14:textId="77777777" w:rsidR="003F7165" w:rsidRPr="003F7165" w:rsidRDefault="003F7165" w:rsidP="003F7165">
      <w:pPr>
        <w:pStyle w:val="a3"/>
        <w:suppressLineNumbers/>
        <w:spacing w:after="120" w:line="240" w:lineRule="exact"/>
        <w:ind w:left="283" w:hanging="283"/>
        <w:jc w:val="both"/>
        <w:rPr>
          <w:rFonts w:ascii="FrankRuehl" w:hAnsi="FrankRuehl" w:cs="FrankRuehl"/>
          <w:spacing w:val="0"/>
          <w:sz w:val="24"/>
          <w:szCs w:val="24"/>
          <w:rtl/>
        </w:rPr>
      </w:pPr>
      <w:r w:rsidRPr="003F7165">
        <w:rPr>
          <w:rFonts w:ascii="FrankRuehl" w:hAnsi="FrankRuehl" w:cs="FrankRuehl"/>
          <w:spacing w:val="0"/>
          <w:sz w:val="24"/>
          <w:szCs w:val="24"/>
          <w:rtl/>
        </w:rPr>
        <w:t xml:space="preserve">חקיקה שאוזכרה: </w:t>
      </w:r>
    </w:p>
    <w:p w14:paraId="1231CF4F" w14:textId="77777777" w:rsidR="003F7165" w:rsidRPr="003F7165" w:rsidRDefault="003F7165" w:rsidP="003F7165">
      <w:pPr>
        <w:pStyle w:val="a3"/>
        <w:suppressLineNumbers/>
        <w:spacing w:after="120" w:line="240" w:lineRule="exact"/>
        <w:ind w:left="283" w:hanging="283"/>
        <w:jc w:val="both"/>
        <w:rPr>
          <w:rFonts w:ascii="FrankRuehl" w:hAnsi="FrankRuehl" w:cs="FrankRuehl"/>
          <w:color w:val="0000FF"/>
          <w:spacing w:val="0"/>
          <w:sz w:val="24"/>
          <w:szCs w:val="24"/>
          <w:u w:val="single"/>
          <w:rtl/>
        </w:rPr>
      </w:pPr>
      <w:hyperlink r:id="rId6" w:history="1">
        <w:r w:rsidRPr="003F7165">
          <w:rPr>
            <w:rStyle w:val="Hyperlink"/>
            <w:rFonts w:ascii="FrankRuehl" w:hAnsi="FrankRuehl" w:cs="FrankRuehl"/>
            <w:noProof/>
            <w:spacing w:val="0"/>
            <w:sz w:val="24"/>
            <w:szCs w:val="24"/>
            <w:rtl/>
          </w:rPr>
          <w:t>פקודת הראיות [נוסח חדש], תשל"א-1971</w:t>
        </w:r>
      </w:hyperlink>
      <w:r w:rsidRPr="003F7165">
        <w:rPr>
          <w:rFonts w:ascii="FrankRuehl" w:hAnsi="FrankRuehl" w:cs="FrankRuehl"/>
          <w:color w:val="0000FF"/>
          <w:spacing w:val="0"/>
          <w:sz w:val="24"/>
          <w:szCs w:val="24"/>
          <w:u w:val="single"/>
          <w:rtl/>
        </w:rPr>
        <w:t xml:space="preserve">: סע'  </w:t>
      </w:r>
      <w:hyperlink r:id="rId7" w:history="1">
        <w:r w:rsidRPr="003F7165">
          <w:rPr>
            <w:rStyle w:val="Hyperlink"/>
            <w:rFonts w:ascii="FrankRuehl" w:hAnsi="FrankRuehl" w:cs="FrankRuehl"/>
            <w:noProof/>
            <w:spacing w:val="0"/>
            <w:sz w:val="24"/>
            <w:szCs w:val="24"/>
          </w:rPr>
          <w:t xml:space="preserve">54 </w:t>
        </w:r>
        <w:r w:rsidRPr="003F7165">
          <w:rPr>
            <w:rStyle w:val="Hyperlink"/>
            <w:rFonts w:ascii="FrankRuehl" w:hAnsi="FrankRuehl" w:cs="FrankRuehl"/>
            <w:noProof/>
            <w:spacing w:val="0"/>
            <w:sz w:val="24"/>
            <w:szCs w:val="24"/>
            <w:rtl/>
          </w:rPr>
          <w:t>א(ב)</w:t>
        </w:r>
      </w:hyperlink>
    </w:p>
    <w:p w14:paraId="1BEAC6EB" w14:textId="77777777" w:rsidR="003F7165" w:rsidRPr="003F7165" w:rsidRDefault="003F7165" w:rsidP="003F7165">
      <w:pPr>
        <w:pStyle w:val="a3"/>
        <w:suppressLineNumbers/>
        <w:spacing w:after="120" w:line="240" w:lineRule="exact"/>
        <w:ind w:left="283" w:hanging="283"/>
        <w:jc w:val="both"/>
        <w:rPr>
          <w:rFonts w:ascii="FrankRuehl" w:hAnsi="FrankRuehl" w:cs="FrankRuehl"/>
          <w:color w:val="0000FF"/>
          <w:spacing w:val="0"/>
          <w:sz w:val="24"/>
          <w:szCs w:val="24"/>
          <w:u w:val="single"/>
          <w:rtl/>
        </w:rPr>
      </w:pPr>
      <w:hyperlink r:id="rId8" w:history="1">
        <w:r w:rsidRPr="003F7165">
          <w:rPr>
            <w:rStyle w:val="Hyperlink"/>
            <w:rFonts w:ascii="FrankRuehl" w:hAnsi="FrankRuehl" w:cs="FrankRuehl"/>
            <w:noProof/>
            <w:spacing w:val="0"/>
            <w:sz w:val="24"/>
            <w:szCs w:val="24"/>
            <w:rtl/>
          </w:rPr>
          <w:t>חוק העונשין, תשל"ז-1977</w:t>
        </w:r>
      </w:hyperlink>
      <w:r w:rsidRPr="003F7165">
        <w:rPr>
          <w:rFonts w:ascii="FrankRuehl" w:hAnsi="FrankRuehl" w:cs="FrankRuehl"/>
          <w:color w:val="0000FF"/>
          <w:spacing w:val="0"/>
          <w:sz w:val="24"/>
          <w:szCs w:val="24"/>
          <w:u w:val="single"/>
          <w:rtl/>
        </w:rPr>
        <w:t xml:space="preserve">: סע'  </w:t>
      </w:r>
      <w:hyperlink r:id="rId9" w:history="1">
        <w:r w:rsidRPr="003F7165">
          <w:rPr>
            <w:rStyle w:val="Hyperlink"/>
            <w:rFonts w:ascii="FrankRuehl" w:hAnsi="FrankRuehl" w:cs="FrankRuehl"/>
            <w:noProof/>
            <w:spacing w:val="0"/>
            <w:sz w:val="24"/>
            <w:szCs w:val="24"/>
          </w:rPr>
          <w:t>25</w:t>
        </w:r>
      </w:hyperlink>
      <w:r w:rsidRPr="003F7165">
        <w:rPr>
          <w:rFonts w:ascii="FrankRuehl" w:hAnsi="FrankRuehl" w:cs="FrankRuehl"/>
          <w:color w:val="0000FF"/>
          <w:spacing w:val="0"/>
          <w:sz w:val="24"/>
          <w:szCs w:val="24"/>
          <w:u w:val="single"/>
          <w:rtl/>
        </w:rPr>
        <w:t xml:space="preserve">, </w:t>
      </w:r>
      <w:hyperlink r:id="rId10" w:history="1">
        <w:r w:rsidRPr="003F7165">
          <w:rPr>
            <w:rStyle w:val="Hyperlink"/>
            <w:rFonts w:ascii="FrankRuehl" w:hAnsi="FrankRuehl" w:cs="FrankRuehl"/>
            <w:noProof/>
            <w:spacing w:val="0"/>
            <w:sz w:val="24"/>
            <w:szCs w:val="24"/>
          </w:rPr>
          <w:t>192</w:t>
        </w:r>
      </w:hyperlink>
      <w:r w:rsidRPr="003F7165">
        <w:rPr>
          <w:rFonts w:ascii="FrankRuehl" w:hAnsi="FrankRuehl" w:cs="FrankRuehl"/>
          <w:color w:val="0000FF"/>
          <w:spacing w:val="0"/>
          <w:sz w:val="24"/>
          <w:szCs w:val="24"/>
          <w:u w:val="single"/>
          <w:rtl/>
        </w:rPr>
        <w:t xml:space="preserve">, </w:t>
      </w:r>
      <w:hyperlink r:id="rId11" w:history="1">
        <w:r w:rsidRPr="003F7165">
          <w:rPr>
            <w:rStyle w:val="Hyperlink"/>
            <w:rFonts w:ascii="FrankRuehl" w:hAnsi="FrankRuehl" w:cs="FrankRuehl"/>
            <w:noProof/>
            <w:spacing w:val="0"/>
            <w:sz w:val="24"/>
            <w:szCs w:val="24"/>
          </w:rPr>
          <w:t>345</w:t>
        </w:r>
        <w:r w:rsidRPr="003F7165">
          <w:rPr>
            <w:rStyle w:val="Hyperlink"/>
            <w:rFonts w:ascii="FrankRuehl" w:hAnsi="FrankRuehl" w:cs="FrankRuehl"/>
            <w:noProof/>
            <w:spacing w:val="0"/>
            <w:sz w:val="24"/>
            <w:szCs w:val="24"/>
            <w:rtl/>
          </w:rPr>
          <w:t>(א)</w:t>
        </w:r>
        <w:r w:rsidRPr="003F7165">
          <w:rPr>
            <w:rStyle w:val="Hyperlink"/>
            <w:rFonts w:ascii="FrankRuehl" w:hAnsi="FrankRuehl" w:cs="FrankRuehl"/>
            <w:noProof/>
            <w:spacing w:val="0"/>
            <w:sz w:val="24"/>
            <w:szCs w:val="24"/>
          </w:rPr>
          <w:t>(1)</w:t>
        </w:r>
      </w:hyperlink>
      <w:r w:rsidRPr="003F7165">
        <w:rPr>
          <w:rFonts w:ascii="FrankRuehl" w:hAnsi="FrankRuehl" w:cs="FrankRuehl"/>
          <w:color w:val="0000FF"/>
          <w:spacing w:val="0"/>
          <w:sz w:val="24"/>
          <w:szCs w:val="24"/>
          <w:u w:val="single"/>
          <w:rtl/>
        </w:rPr>
        <w:t xml:space="preserve">, </w:t>
      </w:r>
      <w:hyperlink r:id="rId12" w:history="1">
        <w:r w:rsidRPr="003F7165">
          <w:rPr>
            <w:rStyle w:val="Hyperlink"/>
            <w:rFonts w:ascii="FrankRuehl" w:hAnsi="FrankRuehl" w:cs="FrankRuehl"/>
            <w:noProof/>
            <w:spacing w:val="0"/>
            <w:sz w:val="24"/>
            <w:szCs w:val="24"/>
          </w:rPr>
          <w:t>345</w:t>
        </w:r>
        <w:r w:rsidRPr="003F7165">
          <w:rPr>
            <w:rStyle w:val="Hyperlink"/>
            <w:rFonts w:ascii="FrankRuehl" w:hAnsi="FrankRuehl" w:cs="FrankRuehl"/>
            <w:noProof/>
            <w:spacing w:val="0"/>
            <w:sz w:val="24"/>
            <w:szCs w:val="24"/>
            <w:rtl/>
          </w:rPr>
          <w:t>(ב)</w:t>
        </w:r>
        <w:r w:rsidRPr="003F7165">
          <w:rPr>
            <w:rStyle w:val="Hyperlink"/>
            <w:rFonts w:ascii="FrankRuehl" w:hAnsi="FrankRuehl" w:cs="FrankRuehl"/>
            <w:noProof/>
            <w:spacing w:val="0"/>
            <w:sz w:val="24"/>
            <w:szCs w:val="24"/>
          </w:rPr>
          <w:t>(1)</w:t>
        </w:r>
      </w:hyperlink>
      <w:r w:rsidRPr="003F7165">
        <w:rPr>
          <w:rFonts w:ascii="FrankRuehl" w:hAnsi="FrankRuehl" w:cs="FrankRuehl"/>
          <w:color w:val="0000FF"/>
          <w:spacing w:val="0"/>
          <w:sz w:val="24"/>
          <w:szCs w:val="24"/>
          <w:u w:val="single"/>
          <w:rtl/>
        </w:rPr>
        <w:t xml:space="preserve">, </w:t>
      </w:r>
      <w:hyperlink r:id="rId13" w:history="1">
        <w:r w:rsidRPr="003F7165">
          <w:rPr>
            <w:rStyle w:val="Hyperlink"/>
            <w:rFonts w:ascii="FrankRuehl" w:hAnsi="FrankRuehl" w:cs="FrankRuehl"/>
            <w:noProof/>
            <w:spacing w:val="0"/>
            <w:sz w:val="24"/>
            <w:szCs w:val="24"/>
          </w:rPr>
          <w:t>347(</w:t>
        </w:r>
        <w:r w:rsidRPr="003F7165">
          <w:rPr>
            <w:rStyle w:val="Hyperlink"/>
            <w:rFonts w:ascii="FrankRuehl" w:hAnsi="FrankRuehl" w:cs="FrankRuehl"/>
            <w:noProof/>
            <w:spacing w:val="0"/>
            <w:sz w:val="24"/>
            <w:szCs w:val="24"/>
            <w:rtl/>
          </w:rPr>
          <w:t>ב</w:t>
        </w:r>
        <w:r w:rsidRPr="003F7165">
          <w:rPr>
            <w:rStyle w:val="Hyperlink"/>
            <w:rFonts w:ascii="FrankRuehl" w:hAnsi="FrankRuehl" w:cs="FrankRuehl"/>
            <w:noProof/>
            <w:spacing w:val="0"/>
            <w:sz w:val="24"/>
            <w:szCs w:val="24"/>
          </w:rPr>
          <w:t>)</w:t>
        </w:r>
      </w:hyperlink>
      <w:r w:rsidRPr="003F7165">
        <w:rPr>
          <w:rFonts w:ascii="FrankRuehl" w:hAnsi="FrankRuehl" w:cs="FrankRuehl"/>
          <w:color w:val="0000FF"/>
          <w:spacing w:val="0"/>
          <w:sz w:val="24"/>
          <w:szCs w:val="24"/>
          <w:u w:val="single"/>
          <w:rtl/>
        </w:rPr>
        <w:t xml:space="preserve">, </w:t>
      </w:r>
      <w:hyperlink r:id="rId14" w:history="1">
        <w:r w:rsidRPr="003F7165">
          <w:rPr>
            <w:rStyle w:val="Hyperlink"/>
            <w:rFonts w:ascii="FrankRuehl" w:hAnsi="FrankRuehl" w:cs="FrankRuehl"/>
            <w:noProof/>
            <w:spacing w:val="0"/>
            <w:sz w:val="24"/>
            <w:szCs w:val="24"/>
          </w:rPr>
          <w:t>348(</w:t>
        </w:r>
        <w:r w:rsidRPr="003F7165">
          <w:rPr>
            <w:rStyle w:val="Hyperlink"/>
            <w:rFonts w:ascii="FrankRuehl" w:hAnsi="FrankRuehl" w:cs="FrankRuehl"/>
            <w:noProof/>
            <w:spacing w:val="0"/>
            <w:sz w:val="24"/>
            <w:szCs w:val="24"/>
            <w:rtl/>
          </w:rPr>
          <w:t>ב</w:t>
        </w:r>
        <w:r w:rsidRPr="003F7165">
          <w:rPr>
            <w:rStyle w:val="Hyperlink"/>
            <w:rFonts w:ascii="FrankRuehl" w:hAnsi="FrankRuehl" w:cs="FrankRuehl"/>
            <w:noProof/>
            <w:spacing w:val="0"/>
            <w:sz w:val="24"/>
            <w:szCs w:val="24"/>
          </w:rPr>
          <w:t>)</w:t>
        </w:r>
      </w:hyperlink>
    </w:p>
    <w:p w14:paraId="18DDE836" w14:textId="77777777" w:rsidR="003F7165" w:rsidRPr="003F7165" w:rsidRDefault="003F7165" w:rsidP="003F7165">
      <w:pPr>
        <w:pStyle w:val="a3"/>
        <w:suppressLineNumbers/>
        <w:spacing w:after="120" w:line="240" w:lineRule="exact"/>
        <w:ind w:left="283" w:hanging="283"/>
        <w:jc w:val="both"/>
        <w:rPr>
          <w:rFonts w:ascii="FrankRuehl" w:hAnsi="FrankRuehl" w:cs="FrankRuehl"/>
          <w:color w:val="0000FF"/>
          <w:spacing w:val="0"/>
          <w:sz w:val="24"/>
          <w:szCs w:val="24"/>
          <w:u w:val="single"/>
          <w:rtl/>
        </w:rPr>
      </w:pPr>
      <w:hyperlink r:id="rId15" w:history="1">
        <w:r w:rsidRPr="003F7165">
          <w:rPr>
            <w:rStyle w:val="Hyperlink"/>
            <w:rFonts w:ascii="FrankRuehl" w:hAnsi="FrankRuehl" w:cs="FrankRuehl"/>
            <w:noProof/>
            <w:spacing w:val="0"/>
            <w:sz w:val="24"/>
            <w:szCs w:val="24"/>
            <w:rtl/>
          </w:rPr>
          <w:t>חוק הנוער (שפיטה, ענישה ודרכי טיפול), תשל"א-1971</w:t>
        </w:r>
      </w:hyperlink>
      <w:r w:rsidRPr="003F7165">
        <w:rPr>
          <w:rFonts w:ascii="FrankRuehl" w:hAnsi="FrankRuehl" w:cs="FrankRuehl"/>
          <w:color w:val="0000FF"/>
          <w:spacing w:val="0"/>
          <w:sz w:val="24"/>
          <w:szCs w:val="24"/>
          <w:u w:val="single"/>
          <w:rtl/>
        </w:rPr>
        <w:t xml:space="preserve">: סע'  </w:t>
      </w:r>
      <w:hyperlink r:id="rId16" w:history="1">
        <w:r w:rsidRPr="003F7165">
          <w:rPr>
            <w:rStyle w:val="Hyperlink"/>
            <w:rFonts w:ascii="FrankRuehl" w:hAnsi="FrankRuehl" w:cs="FrankRuehl"/>
            <w:noProof/>
            <w:spacing w:val="0"/>
            <w:sz w:val="24"/>
            <w:szCs w:val="24"/>
          </w:rPr>
          <w:t>21</w:t>
        </w:r>
      </w:hyperlink>
    </w:p>
    <w:p w14:paraId="142213FF" w14:textId="77777777" w:rsidR="003F7165" w:rsidRPr="003F7165" w:rsidRDefault="003F7165" w:rsidP="003F7165">
      <w:pPr>
        <w:pStyle w:val="a3"/>
        <w:suppressLineNumbers/>
        <w:spacing w:after="120" w:line="240" w:lineRule="exact"/>
        <w:ind w:left="283" w:hanging="283"/>
        <w:jc w:val="both"/>
        <w:rPr>
          <w:rFonts w:ascii="FrankRuehl" w:hAnsi="FrankRuehl" w:cs="FrankRuehl"/>
          <w:spacing w:val="0"/>
          <w:sz w:val="24"/>
          <w:szCs w:val="24"/>
          <w:rtl/>
        </w:rPr>
      </w:pPr>
    </w:p>
    <w:p w14:paraId="7A65CFD6" w14:textId="77777777" w:rsidR="003F7165" w:rsidRPr="003F7165" w:rsidRDefault="003F7165">
      <w:pPr>
        <w:pStyle w:val="a3"/>
        <w:suppressLineNumbers/>
        <w:jc w:val="both"/>
        <w:rPr>
          <w:spacing w:val="0"/>
          <w:rtl/>
        </w:rPr>
      </w:pPr>
      <w:bookmarkStart w:id="1" w:name="LawTable_End"/>
      <w:bookmarkEnd w:id="1"/>
    </w:p>
    <w:p w14:paraId="2EE33968" w14:textId="77777777" w:rsidR="003F7165" w:rsidRPr="003F7165" w:rsidRDefault="003F7165">
      <w:pPr>
        <w:pStyle w:val="a3"/>
        <w:suppressLineNumbers/>
        <w:jc w:val="both"/>
        <w:rPr>
          <w:b/>
          <w:bCs/>
          <w:spacing w:val="0"/>
          <w:rtl/>
        </w:rPr>
      </w:pPr>
    </w:p>
    <w:p w14:paraId="5E1E1D93" w14:textId="77777777" w:rsidR="004C760F" w:rsidRPr="003F7165" w:rsidRDefault="004C760F">
      <w:pPr>
        <w:pStyle w:val="a3"/>
        <w:suppressLineNumbers/>
        <w:jc w:val="both"/>
        <w:rPr>
          <w:b/>
          <w:bCs/>
          <w:spacing w:val="0"/>
          <w:rtl/>
        </w:rPr>
      </w:pPr>
    </w:p>
    <w:p w14:paraId="44618597" w14:textId="77777777" w:rsidR="002D7FB2" w:rsidRPr="002D7FB2" w:rsidRDefault="002D7FB2">
      <w:pPr>
        <w:pStyle w:val="a3"/>
        <w:suppressLineNumbers/>
        <w:jc w:val="both"/>
        <w:rPr>
          <w:spacing w:val="0"/>
          <w:rtl/>
        </w:rPr>
      </w:pPr>
    </w:p>
    <w:p w14:paraId="6C4ECEFD" w14:textId="77777777" w:rsidR="002D7FB2" w:rsidRPr="002D7FB2" w:rsidRDefault="002D7FB2">
      <w:pPr>
        <w:pStyle w:val="a3"/>
        <w:suppressLineNumbers/>
        <w:jc w:val="both"/>
        <w:rPr>
          <w:spacing w:val="0"/>
          <w:rtl/>
        </w:rPr>
      </w:pPr>
    </w:p>
    <w:p w14:paraId="2667B7A6" w14:textId="77777777" w:rsidR="004C760F" w:rsidRPr="002D7FB2" w:rsidRDefault="004C760F">
      <w:pPr>
        <w:pStyle w:val="a3"/>
        <w:suppressLineNumbers/>
        <w:jc w:val="both"/>
        <w:rPr>
          <w:spacing w:val="0"/>
          <w:rtl/>
        </w:rPr>
      </w:pPr>
    </w:p>
    <w:p w14:paraId="73FD18F8" w14:textId="77777777" w:rsidR="004C760F" w:rsidRDefault="004C760F">
      <w:pPr>
        <w:pStyle w:val="a3"/>
        <w:jc w:val="center"/>
        <w:rPr>
          <w:rFonts w:ascii="Arial" w:hAnsi="Arial"/>
          <w:b/>
          <w:bCs/>
          <w:noProof/>
          <w:spacing w:val="0"/>
          <w:kern w:val="28"/>
          <w:szCs w:val="32"/>
          <w:u w:val="single"/>
          <w:rtl/>
        </w:rPr>
      </w:pPr>
      <w:bookmarkStart w:id="2" w:name="Status"/>
      <w:bookmarkStart w:id="3" w:name="PsakDin"/>
      <w:bookmarkEnd w:id="2"/>
      <w:r>
        <w:rPr>
          <w:rFonts w:ascii="Arial" w:hAnsi="Arial"/>
          <w:b/>
          <w:bCs/>
          <w:noProof/>
          <w:spacing w:val="0"/>
          <w:kern w:val="28"/>
          <w:szCs w:val="32"/>
          <w:u w:val="single"/>
          <w:rtl/>
        </w:rPr>
        <w:t>הכרעת דין</w:t>
      </w:r>
    </w:p>
    <w:bookmarkEnd w:id="3"/>
    <w:p w14:paraId="4FB3CEBD" w14:textId="77777777" w:rsidR="004C760F" w:rsidRDefault="004C760F">
      <w:pPr>
        <w:pStyle w:val="a3"/>
        <w:jc w:val="both"/>
        <w:rPr>
          <w:spacing w:val="0"/>
          <w:rtl/>
        </w:rPr>
      </w:pPr>
    </w:p>
    <w:p w14:paraId="400F112F" w14:textId="77777777" w:rsidR="004C760F" w:rsidRDefault="004C760F">
      <w:pPr>
        <w:pStyle w:val="a3"/>
        <w:jc w:val="both"/>
        <w:rPr>
          <w:spacing w:val="0"/>
          <w:rtl/>
        </w:rPr>
      </w:pPr>
      <w:r>
        <w:rPr>
          <w:spacing w:val="0"/>
          <w:rtl/>
        </w:rPr>
        <w:lastRenderedPageBreak/>
        <w:t>הנאשם, פלוני, שהוא קטין, יליד 1983 מואשם בשני אישומים בגין עבירות מיניות ואיומים שנעשו כלפי בן-דודו, קטין יליד 1986 (להלן - המתלונן).</w:t>
      </w:r>
    </w:p>
    <w:p w14:paraId="1D1320D4" w14:textId="77777777" w:rsidR="004C760F" w:rsidRDefault="004C760F">
      <w:pPr>
        <w:pStyle w:val="a3"/>
        <w:jc w:val="both"/>
        <w:rPr>
          <w:color w:val="FFFFFF"/>
          <w:spacing w:val="0"/>
          <w:sz w:val="4"/>
          <w:szCs w:val="4"/>
          <w:rtl/>
        </w:rPr>
      </w:pPr>
    </w:p>
    <w:p w14:paraId="01DF15F3" w14:textId="77777777" w:rsidR="004C760F" w:rsidRDefault="004C760F">
      <w:pPr>
        <w:pStyle w:val="a3"/>
        <w:jc w:val="both"/>
        <w:rPr>
          <w:spacing w:val="0"/>
          <w:rtl/>
        </w:rPr>
      </w:pPr>
      <w:r>
        <w:rPr>
          <w:color w:val="FFFFFF"/>
          <w:spacing w:val="0"/>
          <w:sz w:val="4"/>
          <w:szCs w:val="4"/>
          <w:rtl/>
        </w:rPr>
        <w:t>5129371</w:t>
      </w:r>
    </w:p>
    <w:p w14:paraId="6659AFD7" w14:textId="77777777" w:rsidR="004C760F" w:rsidRDefault="004C760F">
      <w:pPr>
        <w:pStyle w:val="a3"/>
        <w:jc w:val="both"/>
        <w:rPr>
          <w:spacing w:val="0"/>
          <w:rtl/>
        </w:rPr>
      </w:pPr>
      <w:r>
        <w:rPr>
          <w:spacing w:val="0"/>
          <w:rtl/>
        </w:rPr>
        <w:t xml:space="preserve">בני משפחתו של הנאשם ובני משפחתו של המתלונן מתגוררים באותו בית בכפר </w:t>
      </w:r>
      <w:r>
        <w:rPr>
          <w:rFonts w:hint="cs"/>
          <w:spacing w:val="0"/>
          <w:rtl/>
        </w:rPr>
        <w:t>.........</w:t>
      </w:r>
      <w:r>
        <w:rPr>
          <w:spacing w:val="0"/>
          <w:rtl/>
        </w:rPr>
        <w:t xml:space="preserve"> בירושלים. משפחת הנאשם מתגוררת מעל דירת המתלונן.</w:t>
      </w:r>
      <w:r>
        <w:rPr>
          <w:color w:val="FFFFFF"/>
          <w:spacing w:val="0"/>
          <w:sz w:val="4"/>
          <w:szCs w:val="4"/>
          <w:rtl/>
        </w:rPr>
        <w:t>נ</w:t>
      </w:r>
    </w:p>
    <w:p w14:paraId="19BBBD87" w14:textId="77777777" w:rsidR="004C760F" w:rsidRDefault="004C760F">
      <w:pPr>
        <w:pStyle w:val="a3"/>
        <w:jc w:val="both"/>
        <w:rPr>
          <w:spacing w:val="0"/>
          <w:rtl/>
        </w:rPr>
      </w:pPr>
      <w:r>
        <w:rPr>
          <w:spacing w:val="0"/>
          <w:rtl/>
        </w:rPr>
        <w:br w:type="page"/>
      </w:r>
      <w:r>
        <w:rPr>
          <w:spacing w:val="0"/>
          <w:rtl/>
        </w:rPr>
        <w:lastRenderedPageBreak/>
        <w:br/>
        <w:t>בקצרה נאמר כי המתלונן מייחס לנאשם שני אירועים בעלי אופי מיני. הארוע הראשון עליו הוא מעיד התרחש בסוף דצמבר 97 במקום הקרוי "משנקה" בהר הסמוך לבית מגוריהם של השניים. האירוע השני התרחש במערה שבהר ב16.2.98- או בסמוך לכך.</w:t>
      </w:r>
      <w:r>
        <w:rPr>
          <w:color w:val="FFFFFF"/>
          <w:spacing w:val="0"/>
          <w:sz w:val="4"/>
          <w:szCs w:val="4"/>
          <w:rtl/>
        </w:rPr>
        <w:t>ב</w:t>
      </w:r>
    </w:p>
    <w:p w14:paraId="5262962B" w14:textId="77777777" w:rsidR="004C760F" w:rsidRDefault="004C760F">
      <w:pPr>
        <w:pStyle w:val="a3"/>
        <w:jc w:val="both"/>
        <w:rPr>
          <w:spacing w:val="0"/>
          <w:rtl/>
        </w:rPr>
      </w:pPr>
    </w:p>
    <w:p w14:paraId="2B27DD51" w14:textId="77777777" w:rsidR="004C760F" w:rsidRDefault="004C760F">
      <w:pPr>
        <w:pStyle w:val="a3"/>
        <w:jc w:val="both"/>
        <w:rPr>
          <w:spacing w:val="0"/>
          <w:rtl/>
        </w:rPr>
      </w:pPr>
      <w:r>
        <w:rPr>
          <w:spacing w:val="0"/>
          <w:sz w:val="24"/>
          <w:szCs w:val="24"/>
          <w:rtl/>
        </w:rPr>
        <w:t>ה</w:t>
      </w:r>
      <w:r>
        <w:rPr>
          <w:spacing w:val="0"/>
          <w:rtl/>
        </w:rPr>
        <w:t>נאשם מצידו טען הן בהודעותיו במשטרה והן בעדותו לפנינו כי שני הארועים המיוחסים לו לא היו ולא נבראו, וכי מעולם לא היה אירוע בו הלך בכלל עם  המתלונן להר הסמוך למקום מגוריהם.</w:t>
      </w:r>
      <w:r>
        <w:rPr>
          <w:color w:val="FFFFFF"/>
          <w:spacing w:val="0"/>
          <w:sz w:val="4"/>
          <w:szCs w:val="4"/>
          <w:rtl/>
        </w:rPr>
        <w:t>ו</w:t>
      </w:r>
    </w:p>
    <w:p w14:paraId="33624345" w14:textId="77777777" w:rsidR="004C760F" w:rsidRDefault="004C760F">
      <w:pPr>
        <w:pStyle w:val="a3"/>
        <w:jc w:val="both"/>
        <w:rPr>
          <w:spacing w:val="0"/>
          <w:rtl/>
        </w:rPr>
      </w:pPr>
    </w:p>
    <w:p w14:paraId="5BBB758C" w14:textId="77777777" w:rsidR="004C760F" w:rsidRDefault="004C760F">
      <w:pPr>
        <w:pStyle w:val="a3"/>
        <w:jc w:val="both"/>
        <w:rPr>
          <w:spacing w:val="0"/>
          <w:rtl/>
        </w:rPr>
      </w:pPr>
      <w:r>
        <w:rPr>
          <w:spacing w:val="0"/>
          <w:rtl/>
        </w:rPr>
        <w:t>התלונה במשטרה הוגשה בסמוך לאחר האירוע השני. על האירוע הראשון לא סיפר המתלונן בזמן אמת לאיש - לטענתו בשל איומים שאיים עליו הנאשם לא לספר דבר. אולם, לאחר הארוע השני התגלגלו הדברים כך שהמתלונן  סיפר על מה שארע לו.  וכך התגלגלו הדברים</w:t>
      </w:r>
      <w:r>
        <w:rPr>
          <w:spacing w:val="0"/>
          <w:sz w:val="24"/>
          <w:szCs w:val="24"/>
          <w:rtl/>
        </w:rPr>
        <w:t>:</w:t>
      </w:r>
      <w:r>
        <w:rPr>
          <w:color w:val="FFFFFF"/>
          <w:spacing w:val="0"/>
          <w:sz w:val="4"/>
          <w:szCs w:val="4"/>
          <w:rtl/>
        </w:rPr>
        <w:t>נ</w:t>
      </w:r>
    </w:p>
    <w:p w14:paraId="419960A3" w14:textId="77777777" w:rsidR="004C760F" w:rsidRDefault="004C760F">
      <w:pPr>
        <w:pStyle w:val="a3"/>
        <w:jc w:val="both"/>
        <w:rPr>
          <w:spacing w:val="0"/>
          <w:rtl/>
        </w:rPr>
      </w:pPr>
    </w:p>
    <w:p w14:paraId="341D32D2" w14:textId="77777777" w:rsidR="004C760F" w:rsidRDefault="004C760F">
      <w:pPr>
        <w:pStyle w:val="a3"/>
        <w:jc w:val="both"/>
        <w:rPr>
          <w:spacing w:val="0"/>
          <w:rtl/>
        </w:rPr>
      </w:pPr>
      <w:r>
        <w:rPr>
          <w:spacing w:val="0"/>
          <w:rtl/>
        </w:rPr>
        <w:t>ח', אחיו התאום של המתלונן העיד לפנינו, וכן לפני חוקר הנוער, כי כמה נערים ובהם המתלונן והוא עצמו הדליקו מדורה ולאחר מכן הלך המתלונן עם הנאשם להר וח' עצמו חזר הביתה. כעבור זמן שלחה האם את ח' לחפש את המתלונן. ח' יצא מהבית וראה את הנאשם ואת המתלונן יורדים מההר כשהמתלונן בוכה. בידי הנאשם היה צינור מגומי. ח' שראה את אחיו בוכה קרא לאביהם מתוך הבית. האב יצא החוצה. על פי עדותו של האב בנו המתלונן נראה נפוח ובוכה והוא סיפר לו שהמתלונן היכה אותו ועוד אמר לו שהנאשם עשה בו "כלאם סאפל" - מילים בערבית שמשמעותן היא שהמתלונן עשה בו מעשה מגונה או מעשה מביש. גם האח ח' שמע את המתלונן אומר את הדברים הללו. האב סטר לבנו, המתלונן, ועלה לבית הנאשם שם מצא את אחיו הגדול של הנאשם, ח. שמו. הוא אמר לח. שהנאשם עשה בבנו, המתלונן, "כלאם סאפל" והכהו. ח. היכה את אחיו הנאשם וכך עשה גם אביו של המתלונן. בינתיים סיפר המתלונן לאימו את סיפור המעשה, הכל כפי שתואר גם בפנינו בהרחבה. האם, שהעידה בפנינו, חזרה בעדותה על מה שסיפר לה המתלונן. למחרת לקחה אותו האם לבית החולים. הוא נבדק, ואין מחלוקת על כך שלא נמצאו ממצאים חיצוניים. גם עובדת סוציאלית עורבה בענין. כעבור יום הוגשה תלונה למשטרה והמתלונן מסר עדות ראשונה בפני חוקר הנוער נאסר מחאמיד.</w:t>
      </w:r>
      <w:r>
        <w:rPr>
          <w:color w:val="FFFFFF"/>
          <w:spacing w:val="0"/>
          <w:sz w:val="4"/>
          <w:szCs w:val="4"/>
          <w:rtl/>
        </w:rPr>
        <w:t>נ</w:t>
      </w:r>
    </w:p>
    <w:p w14:paraId="5F336174" w14:textId="77777777" w:rsidR="004C760F" w:rsidRDefault="004C760F">
      <w:pPr>
        <w:pStyle w:val="a3"/>
        <w:jc w:val="both"/>
        <w:rPr>
          <w:spacing w:val="0"/>
          <w:rtl/>
        </w:rPr>
      </w:pPr>
    </w:p>
    <w:p w14:paraId="512E7DB3" w14:textId="77777777" w:rsidR="004C760F" w:rsidRDefault="004C760F">
      <w:pPr>
        <w:pStyle w:val="a3"/>
        <w:jc w:val="both"/>
        <w:rPr>
          <w:spacing w:val="0"/>
          <w:rtl/>
        </w:rPr>
      </w:pPr>
      <w:r>
        <w:rPr>
          <w:spacing w:val="0"/>
          <w:rtl/>
        </w:rPr>
        <w:t>פתחנו בסופו של הסיפור - באופן שבו הגיעו הדברים להגשת התלונה במשטרה לאחר הארוע השני, משום שבסופם של הדברים יש חיזוק ממשי לעדותו של המתלונן לפנינו. חזית המריבה היא חזית רחבה</w:t>
      </w:r>
      <w:r>
        <w:rPr>
          <w:spacing w:val="0"/>
          <w:sz w:val="24"/>
          <w:szCs w:val="24"/>
          <w:rtl/>
        </w:rPr>
        <w:t>:</w:t>
      </w:r>
      <w:r>
        <w:rPr>
          <w:color w:val="FFFFFF"/>
          <w:spacing w:val="0"/>
          <w:sz w:val="4"/>
          <w:szCs w:val="4"/>
          <w:rtl/>
        </w:rPr>
        <w:t>ב</w:t>
      </w:r>
      <w:r>
        <w:rPr>
          <w:spacing w:val="0"/>
          <w:rtl/>
        </w:rPr>
        <w:t xml:space="preserve"> הנאשם מכחיש  כל אירוע ספציפי שאירע בהר בינו לבין המתלונן. בחקירתו הנגדית אמר ברורות (עמ' 78) </w:t>
      </w:r>
      <w:r>
        <w:rPr>
          <w:spacing w:val="0"/>
          <w:u w:val="single"/>
          <w:rtl/>
        </w:rPr>
        <w:t>שמעולם</w:t>
      </w:r>
      <w:r>
        <w:rPr>
          <w:spacing w:val="0"/>
          <w:rtl/>
        </w:rPr>
        <w:t xml:space="preserve"> לא הלך עם המתלונן להר. כשזוהי חזית המחלוקת עדות </w:t>
      </w:r>
      <w:r>
        <w:rPr>
          <w:spacing w:val="0"/>
          <w:rtl/>
        </w:rPr>
        <w:lastRenderedPageBreak/>
        <w:t>הילד ח' לפנינו (ולפני חוקר הנוער), ועדות האב והאם על כך שהמתלונן והנאשם נראו יורדים יחד מההר, עדותם על מצבו של המתלונן באותה עת וכן אמירתו המיידית בדבר מה שעשה לו הנאשם - יש בהם חיזוק של ממש לעדות המתלונן.</w:t>
      </w:r>
      <w:r>
        <w:rPr>
          <w:color w:val="FFFFFF"/>
          <w:spacing w:val="0"/>
          <w:sz w:val="4"/>
          <w:szCs w:val="4"/>
          <w:rtl/>
        </w:rPr>
        <w:t>ב</w:t>
      </w:r>
    </w:p>
    <w:p w14:paraId="7F991EB4" w14:textId="77777777" w:rsidR="004C760F" w:rsidRDefault="004C760F">
      <w:pPr>
        <w:pStyle w:val="a3"/>
        <w:jc w:val="both"/>
        <w:rPr>
          <w:spacing w:val="0"/>
          <w:rtl/>
        </w:rPr>
      </w:pPr>
    </w:p>
    <w:p w14:paraId="303BE810" w14:textId="77777777" w:rsidR="004C760F" w:rsidRDefault="004C760F">
      <w:pPr>
        <w:pStyle w:val="a3"/>
        <w:jc w:val="both"/>
        <w:rPr>
          <w:spacing w:val="0"/>
          <w:rtl/>
        </w:rPr>
      </w:pPr>
      <w:r>
        <w:rPr>
          <w:spacing w:val="0"/>
          <w:rtl/>
        </w:rPr>
        <w:t xml:space="preserve">עוד נוסיף ונאמר כי ח., אחיו של הנאשם, שהעיד כעד הגנה, התבקש בחקירתו להגיב על הטענה כי אביו של המתלונן בא אליו באחד הימים וסיפר לו שהנאשם עשה למתלונן "מעשה שפל" והכה אותו ועל כן הוא, ח., היכה את אחיו. תחילה השיב ח. נחרצות לשאלה במילה קצרה "לא" (עמוד 83), ומיד תיקן את עצמו ואמר </w:t>
      </w:r>
      <w:r>
        <w:rPr>
          <w:spacing w:val="0"/>
          <w:u w:val="single"/>
          <w:rtl/>
        </w:rPr>
        <w:t>שתמיד</w:t>
      </w:r>
      <w:r>
        <w:rPr>
          <w:spacing w:val="0"/>
          <w:rtl/>
        </w:rPr>
        <w:t xml:space="preserve"> האב פונה אליו ומספר שאחיו, הנאשם, מכה את הילדים.</w:t>
      </w:r>
      <w:r>
        <w:rPr>
          <w:color w:val="FFFFFF"/>
          <w:spacing w:val="0"/>
          <w:sz w:val="4"/>
          <w:szCs w:val="4"/>
          <w:rtl/>
        </w:rPr>
        <w:t>ו</w:t>
      </w:r>
    </w:p>
    <w:p w14:paraId="05426D48" w14:textId="77777777" w:rsidR="004C760F" w:rsidRDefault="004C760F">
      <w:pPr>
        <w:pStyle w:val="a3"/>
        <w:jc w:val="both"/>
        <w:rPr>
          <w:spacing w:val="0"/>
          <w:rtl/>
        </w:rPr>
      </w:pPr>
    </w:p>
    <w:p w14:paraId="606710DC" w14:textId="77777777" w:rsidR="004C760F" w:rsidRDefault="004C760F">
      <w:pPr>
        <w:pStyle w:val="a3"/>
        <w:jc w:val="both"/>
        <w:rPr>
          <w:spacing w:val="0"/>
          <w:rtl/>
        </w:rPr>
      </w:pPr>
      <w:r>
        <w:rPr>
          <w:spacing w:val="0"/>
          <w:rtl/>
        </w:rPr>
        <w:t>בכך ניסה ח. ללא הצלחה יתירה לנסות "לנטרל" את העוקץ מהחיזוק המשמעותי שיש בהתנהגותו של האב ובהתנהגותו שלו עצמו מיד לאחר האירוע. על אי-מהימנותו של ח. נרחיב יותר את הדיבור כשנדון בטענה המרכזית של ההגנה שהיא כי היה למתלונן אירוע מיני דומה לזה שבו מתואר באישום, אך לא עם הנאשם אלא עם אדם אחר.</w:t>
      </w:r>
      <w:r>
        <w:rPr>
          <w:color w:val="FFFFFF"/>
          <w:spacing w:val="0"/>
          <w:sz w:val="4"/>
          <w:szCs w:val="4"/>
          <w:rtl/>
        </w:rPr>
        <w:t>נ</w:t>
      </w:r>
    </w:p>
    <w:p w14:paraId="6CFEC07B" w14:textId="77777777" w:rsidR="004C760F" w:rsidRDefault="004C760F">
      <w:pPr>
        <w:pStyle w:val="a3"/>
        <w:jc w:val="both"/>
        <w:rPr>
          <w:spacing w:val="0"/>
          <w:rtl/>
        </w:rPr>
      </w:pPr>
    </w:p>
    <w:p w14:paraId="042B127E" w14:textId="77777777" w:rsidR="004C760F" w:rsidRDefault="004C760F">
      <w:pPr>
        <w:pStyle w:val="a3"/>
        <w:jc w:val="both"/>
        <w:rPr>
          <w:spacing w:val="0"/>
          <w:rtl/>
        </w:rPr>
      </w:pPr>
      <w:r>
        <w:rPr>
          <w:spacing w:val="0"/>
          <w:rtl/>
        </w:rPr>
        <w:t xml:space="preserve">עתה נפנה לעדותו של המתלונן, ולחקירותיו בידי חוקר הנוער. החקירה הראשונה של המתלונן בידי חוקר הנוער (ת1/) היתה בסמוך לאירוע, ביום 19.2.98. בחקירה זו לא הצליח חוקר הנוער להציל דבר ברור מפי </w:t>
      </w:r>
      <w:r>
        <w:rPr>
          <w:spacing w:val="0"/>
          <w:rtl/>
        </w:rPr>
        <w:br/>
      </w:r>
      <w:r>
        <w:rPr>
          <w:spacing w:val="0"/>
          <w:rtl/>
        </w:rPr>
        <w:br/>
      </w:r>
      <w:r>
        <w:rPr>
          <w:spacing w:val="0"/>
          <w:rtl/>
        </w:rPr>
        <w:br/>
        <w:t>המתלונן. עם זאת, ברור עוד מעדות זו שהיה אירוע כלשהו משום שהמתלונן ביקש שאימו תספר את אשר קרה (עמוד 15 לחקירה). ברור גם מעדות זו כי מה שקרה למתלונן קרה לו עם בן-דודו הנאשם שבשמו הוא נוקב (עמוד 16). עוד ברור שהאירוע היה על ההר ולא היה שם איש לבד מהשניים (עמודים 17 ו19-). המתלונן אמר גם שהוא זוכר מה קרה איתו, אך אין הוא רוצה לספר. עוד אמר, בתשובה לשאלה, שעוד לפני כן היו בעיות בינו לבין הנאשם (עמוד 34). לגבי האירוע הראשון סיפר גם שתחילת הדברים היתה שהוא והנאשם הלכו לחפש אחר חמורים ב"משנקה" (עמ' 37). עם זאת נמנע המתלונן מלספר מה קרה בשני האירועים וחזר ואמר שהוא מבקש שאימו תענה. הדברים הסתיימו בכך שחוקר הנוער הפסיק את החקירה וקבע מפגש נוסף עם המתלונן,  והמתלונן הבטיח לו שיספר באותה הזדמנות.</w:t>
      </w:r>
      <w:r>
        <w:rPr>
          <w:color w:val="FFFFFF"/>
          <w:spacing w:val="0"/>
          <w:sz w:val="4"/>
          <w:szCs w:val="4"/>
          <w:rtl/>
        </w:rPr>
        <w:t>ב</w:t>
      </w:r>
    </w:p>
    <w:p w14:paraId="03711D28" w14:textId="77777777" w:rsidR="004C760F" w:rsidRDefault="004C760F">
      <w:pPr>
        <w:pStyle w:val="a3"/>
        <w:jc w:val="both"/>
        <w:rPr>
          <w:spacing w:val="0"/>
          <w:rtl/>
        </w:rPr>
      </w:pPr>
    </w:p>
    <w:p w14:paraId="25782F8B" w14:textId="77777777" w:rsidR="004C760F" w:rsidRDefault="004C760F">
      <w:pPr>
        <w:pStyle w:val="a3"/>
        <w:jc w:val="both"/>
        <w:rPr>
          <w:spacing w:val="0"/>
          <w:rtl/>
        </w:rPr>
      </w:pPr>
      <w:r>
        <w:rPr>
          <w:spacing w:val="0"/>
          <w:rtl/>
        </w:rPr>
        <w:t>את סיפורו המלא סיפר לו המתלונן בחקירה נוספת, כמה ימים לאחר מכן ביום 22.2.98 (ת2/). לא נחזור כאן על פרטי הדברים שנמסרו משום שבעקרון הדברים עולים בקנה אחד עם מה שסופר בעדות לפנינו.</w:t>
      </w:r>
      <w:r>
        <w:rPr>
          <w:color w:val="FFFFFF"/>
          <w:spacing w:val="0"/>
          <w:sz w:val="4"/>
          <w:szCs w:val="4"/>
          <w:rtl/>
        </w:rPr>
        <w:t>ו</w:t>
      </w:r>
    </w:p>
    <w:p w14:paraId="0EC4C130" w14:textId="77777777" w:rsidR="004C760F" w:rsidRDefault="004C760F">
      <w:pPr>
        <w:pStyle w:val="a3"/>
        <w:jc w:val="both"/>
        <w:rPr>
          <w:spacing w:val="0"/>
          <w:rtl/>
        </w:rPr>
      </w:pPr>
    </w:p>
    <w:p w14:paraId="2D34122D" w14:textId="77777777" w:rsidR="004C760F" w:rsidRDefault="004C760F">
      <w:pPr>
        <w:pStyle w:val="a3"/>
        <w:jc w:val="both"/>
        <w:rPr>
          <w:spacing w:val="0"/>
          <w:rtl/>
        </w:rPr>
      </w:pPr>
      <w:r>
        <w:rPr>
          <w:spacing w:val="0"/>
          <w:rtl/>
        </w:rPr>
        <w:t>ב21.4.98- יצאו השוטר ברוך ארגוב יחד עם חוקר הנוער אל הכפר (דו"ח זכרון דברים של ברוך ארגוב, ת16/, שהוגש בהסכמה וללא חקירה נגדית). כשחוקר הנוער ניגש למתלונן, ברח המתלונן מן המקום.</w:t>
      </w:r>
      <w:r>
        <w:rPr>
          <w:color w:val="FFFFFF"/>
          <w:spacing w:val="0"/>
          <w:sz w:val="4"/>
          <w:szCs w:val="4"/>
          <w:rtl/>
        </w:rPr>
        <w:t>נ</w:t>
      </w:r>
    </w:p>
    <w:p w14:paraId="41AA039E" w14:textId="77777777" w:rsidR="004C760F" w:rsidRDefault="004C760F">
      <w:pPr>
        <w:pStyle w:val="a3"/>
        <w:jc w:val="both"/>
        <w:rPr>
          <w:spacing w:val="0"/>
          <w:rtl/>
        </w:rPr>
      </w:pPr>
      <w:r>
        <w:rPr>
          <w:spacing w:val="0"/>
          <w:rtl/>
        </w:rPr>
        <w:t>כעבור ימים אחדים שב חוקר הנוער אל המקום והמתלונן יצא איתו והראה לו את המערה ואת ה"משנקה" וחזר ופירט באוזניו כיצד התגלגלו הדברים (ת3/ מיום 28.4.98). באותה הזדמנות נשאל המתלונן מדוע ברח בפעם הקודמת והוא השיב שהתבייש (עמוד 22 לת3/). באותו מועד נחקר גם אחיו של המתלונן, ח' (ת4/ מיום 28.4.98) והוא סיפר בפני חוקר הנוער את הדברים עליהם העיד לפנינו.</w:t>
      </w:r>
      <w:r>
        <w:rPr>
          <w:color w:val="FFFFFF"/>
          <w:spacing w:val="0"/>
          <w:sz w:val="4"/>
          <w:szCs w:val="4"/>
          <w:rtl/>
        </w:rPr>
        <w:t>ב</w:t>
      </w:r>
    </w:p>
    <w:p w14:paraId="325991E0" w14:textId="77777777" w:rsidR="004C760F" w:rsidRDefault="004C760F">
      <w:pPr>
        <w:pStyle w:val="a3"/>
        <w:jc w:val="both"/>
        <w:rPr>
          <w:spacing w:val="0"/>
          <w:rtl/>
        </w:rPr>
      </w:pPr>
      <w:r>
        <w:rPr>
          <w:spacing w:val="0"/>
          <w:rtl/>
        </w:rPr>
        <w:t xml:space="preserve">עתה נפנה לעדותו של המתלונן לפנינו. המתלונן העיד בביטחה, אף כי בבישנות מסוימת. לגבי האירוע הראשון ב"משנקה" סיפר כי הנאשם לקח אותו לחפש חמורים. חמורים - לא מצאו, אבל הנאשם התיישב על </w:t>
      </w:r>
      <w:r>
        <w:rPr>
          <w:spacing w:val="0"/>
          <w:rtl/>
        </w:rPr>
        <w:br/>
      </w:r>
      <w:r>
        <w:rPr>
          <w:spacing w:val="0"/>
          <w:rtl/>
        </w:rPr>
        <w:br/>
        <w:t xml:space="preserve">הארץ, הוציא את איבר מינו, התחיל להרביץ למתלונן, דרש ממנו להתפשט, הורה לו לשכב על הבטן ולעמוד, ואחר כך שם את איבר מינו בין רגליו של המתלונן, ושוב הכה אותו. אחר הדברים האלה אמר לו הנאשם, כשהוא מחזיק בידו סכין יפנית, שאם יספר לאימו - הוא ידקור אותו בסכין. אירוע זה התרחש לדבריו יום לפני החג וכך ממוקם האירוע בערך בסוף דצמבר 97. </w:t>
      </w:r>
    </w:p>
    <w:p w14:paraId="313E112C" w14:textId="77777777" w:rsidR="004C760F" w:rsidRDefault="004C760F">
      <w:pPr>
        <w:pStyle w:val="a3"/>
        <w:jc w:val="both"/>
        <w:rPr>
          <w:spacing w:val="0"/>
          <w:rtl/>
        </w:rPr>
      </w:pPr>
    </w:p>
    <w:p w14:paraId="352593CF" w14:textId="77777777" w:rsidR="004C760F" w:rsidRDefault="004C760F">
      <w:pPr>
        <w:pStyle w:val="a3"/>
        <w:jc w:val="both"/>
        <w:rPr>
          <w:spacing w:val="0"/>
          <w:rtl/>
        </w:rPr>
      </w:pPr>
      <w:r>
        <w:rPr>
          <w:spacing w:val="0"/>
          <w:rtl/>
        </w:rPr>
        <w:t>האירוע השני, עליו העיד המתלונן, תחילתו בכך שכמה ילדים הדליקו מדורה וחיממו תפוחי-אדמה ואז הופיע הנאשם. שוב פיתה הנאשם את המתלונן בדבר שקר. הוא אמר לו שהוא הולך להביא מהבית תפוחי-אדמה, אך במקום זאת הוא הביא מהבית קרם. המתלונן והנאשם הלכו למערה שבהר. הנאשם החל לעשן סגריה. הנאשם התפשט ודרש מהמתלונן, תוך שהוא מכה אותו, להתפשט גם הוא. הנאשם שם את אצבעו בפי הטבעת של המתלונן. המתלונן בכה והנאשם הכה אותו. המתלונן הבהיר שהנאשם לא הכניס ממש את אצבעו לפי הטבעת שלו אלא כמעט הכניס אותה ובכל פעם שהוא זז היכה אותו הנאשם. אחר כך דרש הנאשם מהמתלונן לעמוד, שם את איבר מינו בתוך פיו של המתלונן ודרש ממנו למצוץ אותו. אחר כך, כך העיד, יצא "משהו לבן" מאיבר מינו של הנאשם. עוד במערה איים עליו הנאשם כי אם יאמר משהו לאביו - הוא יכה אותו, ובדרך מן המערה דרש ממנו הנאשם לשתוק והיכה אותו בצינור מפלסטיק.</w:t>
      </w:r>
      <w:r>
        <w:rPr>
          <w:color w:val="FFFFFF"/>
          <w:spacing w:val="0"/>
          <w:sz w:val="4"/>
          <w:szCs w:val="4"/>
          <w:rtl/>
        </w:rPr>
        <w:t>ו</w:t>
      </w:r>
    </w:p>
    <w:p w14:paraId="7DA44955" w14:textId="77777777" w:rsidR="004C760F" w:rsidRDefault="004C760F">
      <w:pPr>
        <w:pStyle w:val="a3"/>
        <w:jc w:val="both"/>
        <w:rPr>
          <w:spacing w:val="0"/>
          <w:rtl/>
        </w:rPr>
      </w:pPr>
    </w:p>
    <w:p w14:paraId="229E399E" w14:textId="77777777" w:rsidR="004C760F" w:rsidRDefault="004C760F">
      <w:pPr>
        <w:pStyle w:val="a3"/>
        <w:jc w:val="both"/>
        <w:rPr>
          <w:spacing w:val="0"/>
          <w:rtl/>
        </w:rPr>
      </w:pPr>
      <w:r>
        <w:rPr>
          <w:spacing w:val="0"/>
          <w:rtl/>
        </w:rPr>
        <w:t xml:space="preserve">התיאור שניתן לפני חוקר הנוער הוא אמנם מפורט יותר וכולל פרטים "מביכים" נוספים כגון מה עשה הנאשם בקרם שהביא עמו. בעיקרו של דבר, מסר המתלונן לפנינו את עיקרי הדברים. יתרה מזו, הן מהעדות בבית המשפט (עמוד 9 שורה 9) והן מקטעים שונים בעדות לפני חוקר הנוער עולה שבאירוע השני הנאשם גם ניסה להכניס את איבר מינו לפי הטבעת של המתלונן. משום מה לא נכלל ענין זה בכתב האישום וגם לא חודד די הצורך בחקירה הראשית של המתלונן. כיוון שהענין אינו נזכר בכתב האישום, לא נשתית עליו רכיב בהרשעה, אך החשוב לענייננו הוא שגם בנקודה זו  ישנה עקביות בין העדויות המפורטות לפני חוקר הנוער לבין העדות בפנינו. </w:t>
      </w:r>
    </w:p>
    <w:p w14:paraId="2B152011" w14:textId="77777777" w:rsidR="004C760F" w:rsidRDefault="004C760F">
      <w:pPr>
        <w:pStyle w:val="a3"/>
        <w:jc w:val="both"/>
        <w:rPr>
          <w:spacing w:val="0"/>
          <w:rtl/>
        </w:rPr>
      </w:pPr>
    </w:p>
    <w:p w14:paraId="647BF275" w14:textId="77777777" w:rsidR="004C760F" w:rsidRDefault="004C760F">
      <w:pPr>
        <w:pStyle w:val="a3"/>
        <w:jc w:val="both"/>
        <w:rPr>
          <w:spacing w:val="0"/>
          <w:rtl/>
        </w:rPr>
      </w:pPr>
      <w:r>
        <w:rPr>
          <w:spacing w:val="0"/>
          <w:rtl/>
        </w:rPr>
        <w:t xml:space="preserve">עדותו של המתלונן היתה זהירה. כך למשל, בתשובה לשאלה בחקירה הראשית הוצג לו שהנאשם </w:t>
      </w:r>
      <w:r>
        <w:rPr>
          <w:spacing w:val="0"/>
          <w:u w:val="single"/>
          <w:rtl/>
        </w:rPr>
        <w:t>הכניס</w:t>
      </w:r>
      <w:r>
        <w:rPr>
          <w:spacing w:val="0"/>
          <w:rtl/>
        </w:rPr>
        <w:t xml:space="preserve"> אצבע לפי הטבעת שלו אבל המתלונן הבהיר כי הנאשם לא הכניס את אצבעו אלא רק </w:t>
      </w:r>
      <w:r>
        <w:rPr>
          <w:spacing w:val="0"/>
          <w:u w:val="single"/>
          <w:rtl/>
        </w:rPr>
        <w:t>ניסה</w:t>
      </w:r>
      <w:r>
        <w:rPr>
          <w:spacing w:val="0"/>
          <w:rtl/>
        </w:rPr>
        <w:t xml:space="preserve"> להכניס אותה ושם אותה בפתח פי הטבעת. התובעת בסיכומיה הסכימה שלאור דברים אלה אין היא מבקשת לקבוע שהנאשם החדיר את אצבעו אלא רק שהוא ניסה להחדירה (עמוד 12). </w:t>
      </w:r>
    </w:p>
    <w:p w14:paraId="02115AE2" w14:textId="77777777" w:rsidR="004C760F" w:rsidRDefault="004C760F">
      <w:pPr>
        <w:pStyle w:val="a3"/>
        <w:jc w:val="both"/>
        <w:rPr>
          <w:spacing w:val="0"/>
          <w:rtl/>
        </w:rPr>
      </w:pPr>
    </w:p>
    <w:p w14:paraId="6ED8448D" w14:textId="77777777" w:rsidR="004C760F" w:rsidRDefault="004C760F">
      <w:pPr>
        <w:pStyle w:val="a3"/>
        <w:jc w:val="both"/>
        <w:rPr>
          <w:spacing w:val="0"/>
          <w:rtl/>
        </w:rPr>
      </w:pPr>
      <w:r>
        <w:rPr>
          <w:spacing w:val="0"/>
          <w:rtl/>
        </w:rPr>
        <w:t xml:space="preserve">נוכח דבריו הכנים הפשוטים והבהירים של המתלונן נקטה ההגנה קו לפיו אכן היה המתלונן מעורב במעשה מיני כמתואר על-ידו בערך באותה התקופה אך </w:t>
      </w:r>
      <w:r>
        <w:rPr>
          <w:spacing w:val="0"/>
          <w:u w:val="single"/>
          <w:rtl/>
        </w:rPr>
        <w:t>לא</w:t>
      </w:r>
      <w:r>
        <w:rPr>
          <w:spacing w:val="0"/>
          <w:rtl/>
        </w:rPr>
        <w:t xml:space="preserve"> עם הנאשם, אלא עם נער אחר, אלמוני. קו זה ביקשה ההגנה לנקוט באמצעות עדותם של אחיו של הנאשם, ח., שכבר הוזכר לעיל, ובאמצעות חברו של הנאשם (אף כי דבר החברות נתגלה רק במהלך העדות), ע. שמו. השניים סיפרו על מעשה שאירע לטענתם במערה שבהר. השניים עלו להביא סוס שברח מהמערה על-ידי ניתוק החוט בו היה קשור ועלה להר. באירוע זה שמעו רעש מהמערה, נכנסו פנימה וראו את המתלונן מוצץ את איבר מינו של בן אדם בן 15-16 ואז נמלט המתלונן. הנער עמו היה המתלונן, הצליח להשתחרר מאחיזתו של ע., כך הם מעידים, ונמלט גם הוא, כך שאין הם יודעים את זהותו. השניים הלכו לספר לדודו של ח., אביו של המתלונן, על מה שאירע לבנו, והדוד ענה להם שהם שניהם שקרנים. ח. אמר לו לשאול את בנו המתלונן, אך המתלונן לא ענה אלא בכה. </w:t>
      </w:r>
    </w:p>
    <w:p w14:paraId="79CAB4C1" w14:textId="77777777" w:rsidR="004C760F" w:rsidRDefault="004C760F">
      <w:pPr>
        <w:pStyle w:val="a3"/>
        <w:jc w:val="both"/>
        <w:rPr>
          <w:spacing w:val="0"/>
          <w:rtl/>
        </w:rPr>
      </w:pPr>
      <w:r>
        <w:rPr>
          <w:spacing w:val="0"/>
          <w:rtl/>
        </w:rPr>
        <w:t>זוהי גירסה כבושה ובלתי מהימנה. באת כוח הנאשמים הצהירה כי שמעה על הטענה, שאדם אחר היה מעורב במעשה מיני במתלונן, רק יום לפני הדיון. באותו שלב, לדבריה, הטענה נטענה באופן כללי והיא לא שמעה פרטים שיצדיקו הזמנת עד כלשהו. רק למחרת, עם תום פרשת התביעה, נודעו לבאת כוח הנאשם פרטי הטענה והיא הזמינה על אתר את אחיו של הנאשם ואת חברו להשמיעה לפנינו.</w:t>
      </w:r>
      <w:r>
        <w:rPr>
          <w:color w:val="FFFFFF"/>
          <w:spacing w:val="0"/>
          <w:sz w:val="4"/>
          <w:szCs w:val="4"/>
          <w:rtl/>
        </w:rPr>
        <w:t>נ</w:t>
      </w:r>
    </w:p>
    <w:p w14:paraId="708557A8" w14:textId="77777777" w:rsidR="004C760F" w:rsidRDefault="004C760F">
      <w:pPr>
        <w:pStyle w:val="a3"/>
        <w:jc w:val="both"/>
        <w:rPr>
          <w:spacing w:val="0"/>
          <w:rtl/>
        </w:rPr>
      </w:pPr>
      <w:r>
        <w:rPr>
          <w:spacing w:val="0"/>
          <w:rtl/>
        </w:rPr>
        <w:t>אין זה סביר בעינינו שאחיו של הנאשם יראה אדם אחר מבצע במתלונן מעשה מיני כמיוחס לנאשם באישום השני, והוא ובני משפחתו ינצרו את לשונם ולא יספרו על כך מיד למשטרה או לבאת כוח הנאשם. זאת במיוחד כאשר הנאשם נמצא במעצר בגין עבירה זו. העובדה שהגירסה נכבשה עד שלב כה מאוחר מעוררת חשד שמדובר בבדותה שהומצאה ברגע האחרון. נראה כי סיפורם של שני עדי ההגנה - אחיו של הנאשם וחברו של הנאשם - כי נעשה במתלונן מעשה, כמתואר באישום השני, בידי אדם אחר, הוא סיפור בדים שנועד לסייע לנאשם, ברגע האחרון. אין אנו מאמינים לסיפור זה.</w:t>
      </w:r>
      <w:r>
        <w:rPr>
          <w:color w:val="FFFFFF"/>
          <w:spacing w:val="0"/>
          <w:sz w:val="4"/>
          <w:szCs w:val="4"/>
          <w:rtl/>
        </w:rPr>
        <w:t>ב</w:t>
      </w:r>
    </w:p>
    <w:p w14:paraId="4680B880" w14:textId="77777777" w:rsidR="004C760F" w:rsidRDefault="004C760F">
      <w:pPr>
        <w:pStyle w:val="a3"/>
        <w:jc w:val="both"/>
        <w:rPr>
          <w:spacing w:val="0"/>
          <w:rtl/>
        </w:rPr>
      </w:pPr>
    </w:p>
    <w:p w14:paraId="5332D2B4" w14:textId="77777777" w:rsidR="004C760F" w:rsidRDefault="004C760F">
      <w:pPr>
        <w:pStyle w:val="a3"/>
        <w:jc w:val="both"/>
        <w:rPr>
          <w:spacing w:val="0"/>
          <w:rtl/>
        </w:rPr>
      </w:pPr>
      <w:r>
        <w:rPr>
          <w:spacing w:val="0"/>
          <w:rtl/>
        </w:rPr>
        <w:t>אך אפילו היינו מניחים - וכאמור אין זו דעתנו, שהמעשה שתיארו השניים אכן אירע, אין בכך כדי לאצול על הענין נשוא האישום כלל ועיקר. כפי שכבר פירטנו, נראו המתלונן עם הנאשם יורדים מההר כשהמתלונן בוכה, ומיד בסמוך לכך סיפר המתלונן מה שסיפר. הנאשם הכחיש שהיה ארוע כלשהו בו היה עם המתלונן על ההר. ברור איפוא שהיה ארוע בו היו מעורבים השנים, ארוע לגביו אין הנאשם מציג גירסה.</w:t>
      </w:r>
      <w:r>
        <w:rPr>
          <w:color w:val="FFFFFF"/>
          <w:spacing w:val="0"/>
          <w:sz w:val="4"/>
          <w:szCs w:val="4"/>
          <w:rtl/>
        </w:rPr>
        <w:t>ו</w:t>
      </w:r>
    </w:p>
    <w:p w14:paraId="5FCA12D0" w14:textId="77777777" w:rsidR="004C760F" w:rsidRDefault="004C760F">
      <w:pPr>
        <w:pStyle w:val="a3"/>
        <w:jc w:val="both"/>
        <w:rPr>
          <w:spacing w:val="0"/>
          <w:rtl/>
        </w:rPr>
      </w:pPr>
    </w:p>
    <w:p w14:paraId="6640A414" w14:textId="77777777" w:rsidR="004C760F" w:rsidRDefault="004C760F">
      <w:pPr>
        <w:pStyle w:val="a3"/>
        <w:jc w:val="both"/>
        <w:rPr>
          <w:spacing w:val="0"/>
          <w:rtl/>
        </w:rPr>
      </w:pPr>
      <w:r>
        <w:rPr>
          <w:spacing w:val="0"/>
          <w:rtl/>
        </w:rPr>
        <w:t xml:space="preserve">עדותו של המתלונן נשמעה בפנינו ועל כן אין צורך בסיוע. לפי </w:t>
      </w:r>
      <w:hyperlink r:id="rId17" w:history="1">
        <w:r w:rsidR="003F7165" w:rsidRPr="003F7165">
          <w:rPr>
            <w:rStyle w:val="Hyperlink"/>
            <w:spacing w:val="0"/>
            <w:rtl/>
          </w:rPr>
          <w:t>סעיף 54 א(ב)</w:t>
        </w:r>
      </w:hyperlink>
      <w:r>
        <w:rPr>
          <w:spacing w:val="0"/>
          <w:rtl/>
        </w:rPr>
        <w:t xml:space="preserve"> ל</w:t>
      </w:r>
      <w:hyperlink r:id="rId18" w:history="1">
        <w:r w:rsidR="002D7FB2" w:rsidRPr="002D7FB2">
          <w:rPr>
            <w:rStyle w:val="Hyperlink"/>
            <w:spacing w:val="0"/>
            <w:rtl/>
          </w:rPr>
          <w:t>פקודת הראיות</w:t>
        </w:r>
      </w:hyperlink>
      <w:r>
        <w:rPr>
          <w:spacing w:val="0"/>
          <w:rtl/>
        </w:rPr>
        <w:t xml:space="preserve"> [נוסח חדש], התשל"א1971- על בית המשפט המרשיע בעבירה מעין זו על פי עדות יחידה של הנפגע לפרט בהכרעת הדין מה הניע אותו להסתפק בעדות זו. עדותו של המתלונן היתה כנה ופשוטה. הוא לא ניסה לייחס לנאשם מעשים שלא עשה ואף דייק ומנע טעות לענין מה שעשה הנאשם באצבעו. לא שמענו גם על שום סכסוך של ממש שהיה מביא את המתלונן להעליל עלילת שווא על הנאשם.  אילו בא המתלונן להעליל עלילת שוא - הוא לא היה נבוך כל כך בעדותו הראשונה בפני חוקר הנוער. לא רק אמינה ובטוחה גרסת המתלונן בעינינו, אלא גם מתחזקת היא חיזוק של ממש בראיות אחרות. בכללן - עדות האח ח', עדות האב ועדות האם. כל אחת מהן מחזקת את עדות הילד נוכח החזית הרחבה של יריעת המחלוקת.</w:t>
      </w:r>
      <w:r>
        <w:rPr>
          <w:color w:val="FFFFFF"/>
          <w:spacing w:val="0"/>
          <w:sz w:val="4"/>
          <w:szCs w:val="4"/>
          <w:rtl/>
        </w:rPr>
        <w:t>נ</w:t>
      </w:r>
    </w:p>
    <w:p w14:paraId="58E39065" w14:textId="77777777" w:rsidR="004C760F" w:rsidRDefault="004C760F">
      <w:pPr>
        <w:pStyle w:val="a3"/>
        <w:jc w:val="both"/>
        <w:rPr>
          <w:spacing w:val="0"/>
          <w:rtl/>
        </w:rPr>
      </w:pPr>
    </w:p>
    <w:p w14:paraId="2D275992" w14:textId="77777777" w:rsidR="004C760F" w:rsidRDefault="004C760F">
      <w:pPr>
        <w:pStyle w:val="a3"/>
        <w:jc w:val="both"/>
        <w:rPr>
          <w:spacing w:val="0"/>
          <w:rtl/>
        </w:rPr>
      </w:pPr>
    </w:p>
    <w:p w14:paraId="59A3F893" w14:textId="77777777" w:rsidR="004C760F" w:rsidRDefault="004C760F">
      <w:pPr>
        <w:pStyle w:val="a3"/>
        <w:jc w:val="both"/>
        <w:rPr>
          <w:spacing w:val="0"/>
          <w:rtl/>
        </w:rPr>
      </w:pPr>
      <w:r>
        <w:rPr>
          <w:spacing w:val="0"/>
          <w:rtl/>
        </w:rPr>
        <w:t>סוף דבר</w:t>
      </w:r>
      <w:r>
        <w:rPr>
          <w:spacing w:val="0"/>
          <w:sz w:val="24"/>
          <w:szCs w:val="24"/>
          <w:rtl/>
        </w:rPr>
        <w:t>:</w:t>
      </w:r>
      <w:r>
        <w:rPr>
          <w:color w:val="FFFFFF"/>
          <w:spacing w:val="0"/>
          <w:sz w:val="4"/>
          <w:szCs w:val="4"/>
          <w:rtl/>
        </w:rPr>
        <w:t>ו</w:t>
      </w:r>
      <w:r>
        <w:rPr>
          <w:spacing w:val="0"/>
          <w:rtl/>
        </w:rPr>
        <w:t xml:space="preserve"> שמענו את המתלונן ושמענו את הנאשם, כן שמענו את הראיות המחזקות,  ואנו קובעים שהמתלונן אמר אמת, וכי נוכל לקבוע ממצאים וודאיים על יסוד עדותו.</w:t>
      </w:r>
      <w:r>
        <w:rPr>
          <w:color w:val="FFFFFF"/>
          <w:spacing w:val="0"/>
          <w:sz w:val="4"/>
          <w:szCs w:val="4"/>
          <w:rtl/>
        </w:rPr>
        <w:t>ב</w:t>
      </w:r>
    </w:p>
    <w:p w14:paraId="028404A2" w14:textId="77777777" w:rsidR="004C760F" w:rsidRDefault="004C760F">
      <w:pPr>
        <w:pStyle w:val="a3"/>
        <w:jc w:val="both"/>
        <w:rPr>
          <w:spacing w:val="0"/>
          <w:rtl/>
        </w:rPr>
      </w:pPr>
    </w:p>
    <w:p w14:paraId="1DB27D8A" w14:textId="77777777" w:rsidR="004C760F" w:rsidRDefault="004C760F">
      <w:pPr>
        <w:pStyle w:val="a3"/>
        <w:jc w:val="both"/>
        <w:rPr>
          <w:spacing w:val="0"/>
          <w:rtl/>
        </w:rPr>
      </w:pPr>
      <w:r>
        <w:rPr>
          <w:spacing w:val="0"/>
          <w:rtl/>
        </w:rPr>
        <w:t xml:space="preserve">לפיכך אנו קובעים כי הנאשם - ביצע את העבירות המפורטות  באישום הראשון, דהיינו,  נסיון לביצוע מעשה סדום - עבירה על </w:t>
      </w:r>
      <w:hyperlink r:id="rId19" w:history="1">
        <w:r w:rsidR="003F7165" w:rsidRPr="003F7165">
          <w:rPr>
            <w:rStyle w:val="Hyperlink"/>
            <w:spacing w:val="0"/>
            <w:rtl/>
          </w:rPr>
          <w:t>סעיף 347(ב)</w:t>
        </w:r>
      </w:hyperlink>
      <w:r>
        <w:rPr>
          <w:spacing w:val="0"/>
          <w:rtl/>
        </w:rPr>
        <w:t xml:space="preserve"> + </w:t>
      </w:r>
      <w:hyperlink r:id="rId20" w:history="1">
        <w:r w:rsidR="003F7165" w:rsidRPr="003F7165">
          <w:rPr>
            <w:rStyle w:val="Hyperlink"/>
            <w:spacing w:val="0"/>
            <w:rtl/>
          </w:rPr>
          <w:t>סעיף 345(ב)(1)</w:t>
        </w:r>
      </w:hyperlink>
      <w:r>
        <w:rPr>
          <w:spacing w:val="0"/>
          <w:rtl/>
        </w:rPr>
        <w:t xml:space="preserve"> + </w:t>
      </w:r>
      <w:hyperlink r:id="rId21" w:history="1">
        <w:r w:rsidR="003F7165" w:rsidRPr="003F7165">
          <w:rPr>
            <w:rStyle w:val="Hyperlink"/>
            <w:spacing w:val="0"/>
            <w:rtl/>
          </w:rPr>
          <w:t>סעיף 345(א)(1)</w:t>
        </w:r>
      </w:hyperlink>
      <w:r>
        <w:rPr>
          <w:spacing w:val="0"/>
          <w:rtl/>
        </w:rPr>
        <w:t xml:space="preserve"> בצירוף </w:t>
      </w:r>
      <w:hyperlink r:id="rId22" w:history="1">
        <w:r w:rsidR="003F7165" w:rsidRPr="003F7165">
          <w:rPr>
            <w:rStyle w:val="Hyperlink"/>
            <w:spacing w:val="0"/>
            <w:rtl/>
          </w:rPr>
          <w:t>סעיף 25</w:t>
        </w:r>
      </w:hyperlink>
      <w:r>
        <w:rPr>
          <w:spacing w:val="0"/>
          <w:rtl/>
        </w:rPr>
        <w:t xml:space="preserve"> ל</w:t>
      </w:r>
      <w:hyperlink r:id="rId23" w:history="1">
        <w:r w:rsidR="002D7FB2" w:rsidRPr="002D7FB2">
          <w:rPr>
            <w:rStyle w:val="Hyperlink"/>
            <w:spacing w:val="0"/>
            <w:rtl/>
          </w:rPr>
          <w:t>חוק העונשין</w:t>
        </w:r>
      </w:hyperlink>
      <w:r>
        <w:rPr>
          <w:spacing w:val="0"/>
          <w:rtl/>
        </w:rPr>
        <w:t xml:space="preserve"> התשל"ז1977- (להלן - החוק),  ואיומים - עבירה על </w:t>
      </w:r>
      <w:hyperlink r:id="rId24" w:history="1">
        <w:r w:rsidR="003F7165" w:rsidRPr="003F7165">
          <w:rPr>
            <w:rStyle w:val="Hyperlink"/>
            <w:spacing w:val="0"/>
            <w:rtl/>
          </w:rPr>
          <w:t>סעיף 192</w:t>
        </w:r>
      </w:hyperlink>
      <w:r>
        <w:rPr>
          <w:spacing w:val="0"/>
          <w:rtl/>
        </w:rPr>
        <w:t xml:space="preserve"> לחוק, וכן את העבירות המפורטות באישום השני, דהיינו - מעשה סדום בענין הכנסת איבר מינו לפיו של המתלונן - עבירה על </w:t>
      </w:r>
      <w:hyperlink r:id="rId25" w:history="1">
        <w:r w:rsidR="003F7165" w:rsidRPr="003F7165">
          <w:rPr>
            <w:rStyle w:val="Hyperlink"/>
            <w:spacing w:val="0"/>
            <w:rtl/>
          </w:rPr>
          <w:t>סעיף 347(ב)</w:t>
        </w:r>
      </w:hyperlink>
      <w:r>
        <w:rPr>
          <w:spacing w:val="0"/>
          <w:rtl/>
        </w:rPr>
        <w:t xml:space="preserve"> + </w:t>
      </w:r>
      <w:hyperlink r:id="rId26" w:history="1">
        <w:r w:rsidR="003F7165" w:rsidRPr="003F7165">
          <w:rPr>
            <w:rStyle w:val="Hyperlink"/>
            <w:spacing w:val="0"/>
            <w:rtl/>
          </w:rPr>
          <w:t>סעיף 345(ב)(1)</w:t>
        </w:r>
      </w:hyperlink>
      <w:r>
        <w:rPr>
          <w:spacing w:val="0"/>
          <w:rtl/>
        </w:rPr>
        <w:t xml:space="preserve"> + </w:t>
      </w:r>
      <w:hyperlink r:id="rId27" w:history="1">
        <w:r w:rsidR="003F7165" w:rsidRPr="003F7165">
          <w:rPr>
            <w:rStyle w:val="Hyperlink"/>
            <w:spacing w:val="0"/>
            <w:rtl/>
          </w:rPr>
          <w:t>סעיף 345(א)(1)</w:t>
        </w:r>
      </w:hyperlink>
      <w:r>
        <w:rPr>
          <w:spacing w:val="0"/>
          <w:rtl/>
        </w:rPr>
        <w:t xml:space="preserve"> לחוק, ומעשה מגונה - עבירה על </w:t>
      </w:r>
      <w:hyperlink r:id="rId28" w:history="1">
        <w:r w:rsidR="003F7165" w:rsidRPr="003F7165">
          <w:rPr>
            <w:rStyle w:val="Hyperlink"/>
            <w:spacing w:val="0"/>
            <w:rtl/>
          </w:rPr>
          <w:t>סעיף 348(ב)</w:t>
        </w:r>
      </w:hyperlink>
      <w:r>
        <w:rPr>
          <w:spacing w:val="0"/>
          <w:rtl/>
        </w:rPr>
        <w:t xml:space="preserve"> + </w:t>
      </w:r>
      <w:hyperlink r:id="rId29" w:history="1">
        <w:r w:rsidR="003F7165" w:rsidRPr="003F7165">
          <w:rPr>
            <w:rStyle w:val="Hyperlink"/>
            <w:spacing w:val="0"/>
            <w:rtl/>
          </w:rPr>
          <w:t>345(ב)(1)</w:t>
        </w:r>
      </w:hyperlink>
      <w:r>
        <w:rPr>
          <w:spacing w:val="0"/>
          <w:rtl/>
        </w:rPr>
        <w:t xml:space="preserve"> + </w:t>
      </w:r>
      <w:hyperlink r:id="rId30" w:history="1">
        <w:r w:rsidR="003F7165" w:rsidRPr="003F7165">
          <w:rPr>
            <w:rStyle w:val="Hyperlink"/>
            <w:spacing w:val="0"/>
            <w:rtl/>
          </w:rPr>
          <w:t>סעיף 345(א)(1)</w:t>
        </w:r>
      </w:hyperlink>
      <w:r>
        <w:rPr>
          <w:spacing w:val="0"/>
          <w:rtl/>
        </w:rPr>
        <w:t xml:space="preserve"> לחוק, בענין הנסיון להכניס אצבעו לפי הטבעת, וכן איומים - עבירה על </w:t>
      </w:r>
      <w:hyperlink r:id="rId31" w:history="1">
        <w:r w:rsidR="003F7165" w:rsidRPr="003F7165">
          <w:rPr>
            <w:rStyle w:val="Hyperlink"/>
            <w:spacing w:val="0"/>
            <w:rtl/>
          </w:rPr>
          <w:t>סעיף  192</w:t>
        </w:r>
      </w:hyperlink>
      <w:r>
        <w:rPr>
          <w:spacing w:val="0"/>
          <w:rtl/>
        </w:rPr>
        <w:t xml:space="preserve"> לחוק.</w:t>
      </w:r>
      <w:r>
        <w:rPr>
          <w:color w:val="FFFFFF"/>
          <w:spacing w:val="0"/>
          <w:sz w:val="4"/>
          <w:szCs w:val="4"/>
          <w:rtl/>
        </w:rPr>
        <w:t>ו</w:t>
      </w:r>
    </w:p>
    <w:p w14:paraId="6386E3EF" w14:textId="77777777" w:rsidR="004C760F" w:rsidRDefault="004C760F">
      <w:pPr>
        <w:pStyle w:val="a3"/>
        <w:jc w:val="both"/>
        <w:rPr>
          <w:spacing w:val="0"/>
          <w:rtl/>
        </w:rPr>
      </w:pPr>
    </w:p>
    <w:p w14:paraId="48E33FA2" w14:textId="77777777" w:rsidR="004C760F" w:rsidRDefault="004C760F">
      <w:pPr>
        <w:pStyle w:val="a3"/>
        <w:jc w:val="both"/>
        <w:rPr>
          <w:spacing w:val="0"/>
          <w:rtl/>
        </w:rPr>
      </w:pPr>
      <w:r>
        <w:rPr>
          <w:spacing w:val="0"/>
          <w:rtl/>
        </w:rPr>
        <w:t xml:space="preserve">כיוון שהנאשם קטין, וכמצוות </w:t>
      </w:r>
      <w:hyperlink r:id="rId32" w:history="1">
        <w:r w:rsidR="003F7165" w:rsidRPr="003F7165">
          <w:rPr>
            <w:rStyle w:val="Hyperlink"/>
            <w:spacing w:val="0"/>
            <w:rtl/>
          </w:rPr>
          <w:t>סעיף 21</w:t>
        </w:r>
      </w:hyperlink>
      <w:r>
        <w:rPr>
          <w:spacing w:val="0"/>
          <w:rtl/>
        </w:rPr>
        <w:t xml:space="preserve"> ל</w:t>
      </w:r>
      <w:hyperlink r:id="rId33" w:history="1">
        <w:r w:rsidR="002D7FB2" w:rsidRPr="002D7FB2">
          <w:rPr>
            <w:rStyle w:val="Hyperlink"/>
            <w:spacing w:val="0"/>
            <w:rtl/>
          </w:rPr>
          <w:t>חוק הנוער (שפיטה, ענישה ודרכי טיפול)</w:t>
        </w:r>
      </w:hyperlink>
      <w:r>
        <w:rPr>
          <w:spacing w:val="0"/>
          <w:rtl/>
        </w:rPr>
        <w:t>, התשל"א1971-, נדון בשאלת הרשעתו או אי-הרשעתו אחרי קבלת תסקיר שירות המבחן לנוער.</w:t>
      </w:r>
      <w:r>
        <w:rPr>
          <w:color w:val="FFFFFF"/>
          <w:spacing w:val="0"/>
          <w:sz w:val="4"/>
          <w:szCs w:val="4"/>
          <w:rtl/>
        </w:rPr>
        <w:t>נ</w:t>
      </w:r>
    </w:p>
    <w:p w14:paraId="510D14B3" w14:textId="77777777" w:rsidR="004C760F" w:rsidRDefault="004C760F">
      <w:pPr>
        <w:pStyle w:val="a3"/>
        <w:jc w:val="both"/>
        <w:rPr>
          <w:spacing w:val="0"/>
          <w:rtl/>
        </w:rPr>
      </w:pPr>
    </w:p>
    <w:p w14:paraId="7DDFF19D" w14:textId="77777777" w:rsidR="004C760F" w:rsidRDefault="004C760F">
      <w:pPr>
        <w:suppressLineNumbers/>
        <w:rPr>
          <w:spacing w:val="0"/>
          <w:rtl/>
        </w:rPr>
      </w:pPr>
      <w:r>
        <w:rPr>
          <w:b/>
          <w:bCs/>
          <w:spacing w:val="0"/>
          <w:rtl/>
        </w:rPr>
        <w:t>ניתנה היום, י"ח באב התשנ"ח (10.8.98), במעמד עו"ד גרינבוים, באת-כח המאשימה, הנאשם ובא-כוחו עו"ד חלבי, מטעם הסניגוריה הציבורית.</w:t>
      </w:r>
      <w:r>
        <w:rPr>
          <w:b/>
          <w:bCs/>
          <w:color w:val="FFFFFF"/>
          <w:spacing w:val="0"/>
          <w:sz w:val="4"/>
          <w:szCs w:val="4"/>
          <w:rtl/>
        </w:rPr>
        <w:t>ב</w:t>
      </w:r>
    </w:p>
    <w:p w14:paraId="13450508" w14:textId="77777777" w:rsidR="004C760F" w:rsidRDefault="004C760F">
      <w:pPr>
        <w:suppressLineNumbers/>
        <w:ind w:left="567" w:hanging="567"/>
        <w:rPr>
          <w:b/>
          <w:bCs/>
          <w:spacing w:val="0"/>
          <w:rtl/>
        </w:rPr>
      </w:pPr>
    </w:p>
    <w:tbl>
      <w:tblPr>
        <w:tblW w:w="0" w:type="auto"/>
        <w:jc w:val="right"/>
        <w:tblLayout w:type="fixed"/>
        <w:tblLook w:val="0000" w:firstRow="0" w:lastRow="0" w:firstColumn="0" w:lastColumn="0" w:noHBand="0" w:noVBand="0"/>
      </w:tblPr>
      <w:tblGrid>
        <w:gridCol w:w="2916"/>
        <w:gridCol w:w="238"/>
        <w:gridCol w:w="2598"/>
        <w:gridCol w:w="522"/>
        <w:gridCol w:w="2834"/>
      </w:tblGrid>
      <w:tr w:rsidR="004C760F" w14:paraId="1DEB8A06" w14:textId="77777777">
        <w:tblPrEx>
          <w:tblCellMar>
            <w:top w:w="0" w:type="dxa"/>
            <w:bottom w:w="0" w:type="dxa"/>
          </w:tblCellMar>
        </w:tblPrEx>
        <w:trPr>
          <w:jc w:val="right"/>
        </w:trPr>
        <w:tc>
          <w:tcPr>
            <w:tcW w:w="2916" w:type="dxa"/>
            <w:tcBorders>
              <w:top w:val="single" w:sz="6" w:space="0" w:color="auto"/>
            </w:tcBorders>
          </w:tcPr>
          <w:p w14:paraId="59DEB415" w14:textId="77777777" w:rsidR="004C760F" w:rsidRDefault="004C760F">
            <w:pPr>
              <w:pStyle w:val="a"/>
              <w:rPr>
                <w:b/>
                <w:bCs/>
                <w:color w:val="FFFFFF"/>
                <w:spacing w:val="0"/>
                <w:sz w:val="4"/>
                <w:szCs w:val="4"/>
                <w:rtl/>
              </w:rPr>
            </w:pPr>
          </w:p>
          <w:p w14:paraId="4FAF81F7" w14:textId="77777777" w:rsidR="004C760F" w:rsidRDefault="004C760F">
            <w:pPr>
              <w:pStyle w:val="a"/>
              <w:rPr>
                <w:b/>
                <w:bCs/>
                <w:spacing w:val="0"/>
                <w:rtl/>
              </w:rPr>
            </w:pPr>
            <w:r>
              <w:rPr>
                <w:b/>
                <w:bCs/>
                <w:color w:val="FFFFFF"/>
                <w:spacing w:val="0"/>
                <w:sz w:val="4"/>
                <w:szCs w:val="4"/>
                <w:rtl/>
              </w:rPr>
              <w:t>5129371</w:t>
            </w:r>
            <w:r>
              <w:rPr>
                <w:b/>
                <w:bCs/>
                <w:spacing w:val="0"/>
                <w:rtl/>
              </w:rPr>
              <w:t xml:space="preserve"> מוסיה ארד, שופטת</w:t>
            </w:r>
          </w:p>
        </w:tc>
        <w:tc>
          <w:tcPr>
            <w:tcW w:w="238" w:type="dxa"/>
          </w:tcPr>
          <w:p w14:paraId="1B19AFA2" w14:textId="77777777" w:rsidR="004C760F" w:rsidRDefault="004C760F">
            <w:pPr>
              <w:suppressLineNumbers/>
              <w:rPr>
                <w:b/>
                <w:bCs/>
                <w:spacing w:val="0"/>
                <w:rtl/>
              </w:rPr>
            </w:pPr>
          </w:p>
        </w:tc>
        <w:tc>
          <w:tcPr>
            <w:tcW w:w="2598" w:type="dxa"/>
            <w:tcBorders>
              <w:top w:val="single" w:sz="6" w:space="0" w:color="auto"/>
            </w:tcBorders>
          </w:tcPr>
          <w:p w14:paraId="43739798" w14:textId="77777777" w:rsidR="004C760F" w:rsidRDefault="004C760F">
            <w:pPr>
              <w:pStyle w:val="a"/>
              <w:rPr>
                <w:b/>
                <w:bCs/>
                <w:spacing w:val="0"/>
                <w:rtl/>
              </w:rPr>
            </w:pPr>
            <w:r>
              <w:rPr>
                <w:b/>
                <w:bCs/>
                <w:spacing w:val="0"/>
                <w:rtl/>
              </w:rPr>
              <w:t xml:space="preserve"> מרים נאור, שופטת </w:t>
            </w:r>
          </w:p>
        </w:tc>
        <w:tc>
          <w:tcPr>
            <w:tcW w:w="522" w:type="dxa"/>
          </w:tcPr>
          <w:p w14:paraId="448B6F78" w14:textId="77777777" w:rsidR="004C760F" w:rsidRDefault="004C760F">
            <w:pPr>
              <w:suppressLineNumbers/>
              <w:rPr>
                <w:b/>
                <w:bCs/>
                <w:spacing w:val="0"/>
                <w:rtl/>
              </w:rPr>
            </w:pPr>
          </w:p>
        </w:tc>
        <w:tc>
          <w:tcPr>
            <w:tcW w:w="2834" w:type="dxa"/>
            <w:tcBorders>
              <w:top w:val="single" w:sz="6" w:space="0" w:color="auto"/>
            </w:tcBorders>
          </w:tcPr>
          <w:p w14:paraId="344032D9" w14:textId="77777777" w:rsidR="004C760F" w:rsidRDefault="004C760F">
            <w:pPr>
              <w:pStyle w:val="a"/>
              <w:rPr>
                <w:b/>
                <w:bCs/>
                <w:spacing w:val="0"/>
                <w:rtl/>
              </w:rPr>
            </w:pPr>
            <w:r>
              <w:rPr>
                <w:b/>
                <w:bCs/>
                <w:spacing w:val="0"/>
                <w:rtl/>
              </w:rPr>
              <w:t xml:space="preserve">יעקב צמח, סגן-נשיא </w:t>
            </w:r>
          </w:p>
        </w:tc>
      </w:tr>
    </w:tbl>
    <w:p w14:paraId="701ABDD3" w14:textId="77777777" w:rsidR="004C760F" w:rsidRDefault="004C760F">
      <w:pPr>
        <w:rPr>
          <w:spacing w:val="0"/>
          <w:rtl/>
        </w:rPr>
      </w:pPr>
    </w:p>
    <w:p w14:paraId="4CF149F4" w14:textId="77777777" w:rsidR="004C760F" w:rsidRDefault="004C760F">
      <w:pPr>
        <w:rPr>
          <w:spacing w:val="0"/>
          <w:rtl/>
        </w:rPr>
      </w:pPr>
    </w:p>
    <w:p w14:paraId="5FAEEAAF" w14:textId="77777777" w:rsidR="004C760F" w:rsidRDefault="004C760F">
      <w:pPr>
        <w:rPr>
          <w:spacing w:val="0"/>
          <w:rtl/>
        </w:rPr>
      </w:pPr>
      <w:r>
        <w:rPr>
          <w:spacing w:val="0"/>
          <w:rtl/>
        </w:rPr>
        <w:t xml:space="preserve">/ </w:t>
      </w:r>
      <w:r>
        <w:rPr>
          <w:spacing w:val="0"/>
          <w:rtl/>
        </w:rPr>
        <w:fldChar w:fldCharType="begin"/>
      </w:r>
      <w:r>
        <w:rPr>
          <w:spacing w:val="0"/>
          <w:rtl/>
        </w:rPr>
        <w:instrText xml:space="preserve"> </w:instrText>
      </w:r>
      <w:r>
        <w:rPr>
          <w:spacing w:val="0"/>
        </w:rPr>
        <w:instrText>filename</w:instrText>
      </w:r>
      <w:r>
        <w:rPr>
          <w:spacing w:val="0"/>
          <w:rtl/>
        </w:rPr>
        <w:instrText xml:space="preserve"> </w:instrText>
      </w:r>
      <w:r>
        <w:rPr>
          <w:spacing w:val="0"/>
          <w:rtl/>
        </w:rPr>
        <w:fldChar w:fldCharType="separate"/>
      </w:r>
      <w:r>
        <w:rPr>
          <w:spacing w:val="0"/>
        </w:rPr>
        <w:t>k00020198p.1</w:t>
      </w:r>
      <w:r>
        <w:rPr>
          <w:spacing w:val="0"/>
          <w:rtl/>
        </w:rPr>
        <w:fldChar w:fldCharType="end"/>
      </w:r>
    </w:p>
    <w:p w14:paraId="546E1BA2" w14:textId="77777777" w:rsidR="004C760F" w:rsidRDefault="004C760F">
      <w:pPr>
        <w:rPr>
          <w:spacing w:val="0"/>
          <w:rtl/>
        </w:rPr>
      </w:pPr>
    </w:p>
    <w:p w14:paraId="1F26EA73" w14:textId="77777777" w:rsidR="004C760F" w:rsidRDefault="004C760F">
      <w:pPr>
        <w:rPr>
          <w:rFonts w:hint="cs"/>
          <w:spacing w:val="0"/>
          <w:rtl/>
        </w:rPr>
      </w:pPr>
      <w:r>
        <w:rPr>
          <w:spacing w:val="0"/>
          <w:rtl/>
        </w:rPr>
        <w:t>נוסח מסמך זה כפוף לשינויי ניסוח ועריכה</w:t>
      </w:r>
    </w:p>
    <w:p w14:paraId="32FCF407" w14:textId="77777777" w:rsidR="004C760F" w:rsidRDefault="004C760F">
      <w:pPr>
        <w:rPr>
          <w:rFonts w:hint="cs"/>
          <w:spacing w:val="0"/>
          <w:rtl/>
        </w:rPr>
      </w:pPr>
    </w:p>
    <w:sectPr w:rsidR="004C760F">
      <w:headerReference w:type="even" r:id="rId34"/>
      <w:headerReference w:type="default" r:id="rId35"/>
      <w:footerReference w:type="even" r:id="rId36"/>
      <w:footerReference w:type="default" r:id="rId37"/>
      <w:headerReference w:type="first" r:id="rId38"/>
      <w:endnotePr>
        <w:numFmt w:val="lowerLetter"/>
      </w:endnotePr>
      <w:type w:val="continuous"/>
      <w:pgSz w:w="11907" w:h="16840" w:code="9"/>
      <w:pgMar w:top="1701" w:right="1134" w:bottom="1134" w:left="1134" w:header="720" w:footer="720" w:gutter="0"/>
      <w:lnNumType w:countBy="1"/>
      <w:pgNumType w:start="1"/>
      <w:cols w:space="720"/>
      <w:formProt w:val="0"/>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B5B8" w14:textId="77777777" w:rsidR="00A96F44" w:rsidRDefault="00A96F44">
      <w:pPr>
        <w:spacing w:line="240" w:lineRule="auto"/>
      </w:pPr>
      <w:r>
        <w:separator/>
      </w:r>
    </w:p>
  </w:endnote>
  <w:endnote w:type="continuationSeparator" w:id="0">
    <w:p w14:paraId="79E704E4" w14:textId="77777777" w:rsidR="00A96F44" w:rsidRDefault="00A96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E8D25" w14:textId="77777777" w:rsidR="00530DF3" w:rsidRDefault="00530DF3">
    <w:pPr>
      <w:pStyle w:val="Footer"/>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709AA7E" w14:textId="77777777" w:rsidR="00530DF3" w:rsidRDefault="00530DF3">
    <w:pPr>
      <w:pStyle w:val="Footer"/>
      <w:pBdr>
        <w:top w:val="single" w:sz="4" w:space="1" w:color="auto"/>
        <w:between w:val="single" w:sz="4" w:space="0" w:color="auto"/>
      </w:pBdr>
      <w:spacing w:after="60" w:line="240" w:lineRule="auto"/>
      <w:jc w:val="center"/>
      <w:rPr>
        <w:rFonts w:cs="TopType Jerushalmi"/>
        <w:color w:val="000000"/>
        <w:szCs w:val="22"/>
        <w:rtl/>
      </w:rPr>
    </w:pPr>
    <w:r>
      <w:rPr>
        <w:rFonts w:cs="TopType Jerushalmi"/>
        <w:color w:val="000000"/>
        <w:szCs w:val="22"/>
        <w:rtl/>
      </w:rPr>
      <w:t xml:space="preserve">נבו הוצאה לאור בע"מ  </w:t>
    </w:r>
    <w:r>
      <w:rPr>
        <w:rFonts w:cs="TopType Jerushalmi"/>
        <w:color w:val="000000"/>
        <w:szCs w:val="22"/>
      </w:rPr>
      <w:t>nevo.co.il</w:t>
    </w:r>
    <w:r>
      <w:rPr>
        <w:rFonts w:cs="TopType Jerushalmi"/>
        <w:color w:val="000000"/>
        <w:szCs w:val="22"/>
        <w:rtl/>
      </w:rPr>
      <w:t xml:space="preserve">   המאגר המשפטי הישראלי</w:t>
    </w:r>
  </w:p>
  <w:p w14:paraId="28DE8CC0" w14:textId="77777777" w:rsidR="00530DF3" w:rsidRDefault="00530DF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M:\0-000-katin\k00020198p.doc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A40E" w14:textId="77777777" w:rsidR="00530DF3" w:rsidRDefault="00530DF3">
    <w:pPr>
      <w:pStyle w:val="Footer"/>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11304">
      <w:rPr>
        <w:rFonts w:hAnsi="FrankRuehl" w:cs="FrankRuehl"/>
        <w:sz w:val="24"/>
        <w:szCs w:val="24"/>
        <w:rtl/>
      </w:rPr>
      <w:t>1</w:t>
    </w:r>
    <w:r>
      <w:rPr>
        <w:rFonts w:hAnsi="FrankRuehl" w:cs="FrankRuehl"/>
        <w:sz w:val="24"/>
        <w:szCs w:val="24"/>
        <w:rtl/>
      </w:rPr>
      <w:fldChar w:fldCharType="end"/>
    </w:r>
  </w:p>
  <w:p w14:paraId="7346A0B3" w14:textId="77777777" w:rsidR="00530DF3" w:rsidRDefault="00530DF3">
    <w:pPr>
      <w:pStyle w:val="Footer"/>
      <w:pBdr>
        <w:top w:val="single" w:sz="4" w:space="1" w:color="auto"/>
        <w:between w:val="single" w:sz="4" w:space="0" w:color="auto"/>
      </w:pBdr>
      <w:spacing w:after="60" w:line="240" w:lineRule="auto"/>
      <w:jc w:val="center"/>
      <w:rPr>
        <w:rFonts w:cs="TopType Jerushalmi"/>
        <w:color w:val="000000"/>
        <w:szCs w:val="22"/>
        <w:rtl/>
      </w:rPr>
    </w:pPr>
    <w:r>
      <w:rPr>
        <w:rFonts w:cs="TopType Jerushalmi"/>
        <w:color w:val="000000"/>
        <w:szCs w:val="22"/>
        <w:rtl/>
      </w:rPr>
      <w:t xml:space="preserve">נבו הוצאה לאור בע"מ  </w:t>
    </w:r>
    <w:r>
      <w:rPr>
        <w:rFonts w:cs="TopType Jerushalmi"/>
        <w:color w:val="000000"/>
        <w:szCs w:val="22"/>
      </w:rPr>
      <w:t>nevo.co.il</w:t>
    </w:r>
    <w:r>
      <w:rPr>
        <w:rFonts w:cs="TopType Jerushalmi"/>
        <w:color w:val="000000"/>
        <w:szCs w:val="22"/>
        <w:rtl/>
      </w:rPr>
      <w:t xml:space="preserve">   המאגר המשפטי הישראלי</w:t>
    </w:r>
  </w:p>
  <w:p w14:paraId="778FD75A" w14:textId="77777777" w:rsidR="00530DF3" w:rsidRDefault="00530DF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M:\0-000-katin\k00020198p.doc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7780" w14:textId="77777777" w:rsidR="00A96F44" w:rsidRDefault="00A96F44">
      <w:pPr>
        <w:spacing w:line="240" w:lineRule="auto"/>
      </w:pPr>
      <w:r>
        <w:separator/>
      </w:r>
    </w:p>
  </w:footnote>
  <w:footnote w:type="continuationSeparator" w:id="0">
    <w:p w14:paraId="5033515F" w14:textId="77777777" w:rsidR="00A96F44" w:rsidRDefault="00A96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4701" w14:textId="77777777" w:rsidR="00530DF3" w:rsidRDefault="00530DF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201/98</w:t>
    </w:r>
    <w:r>
      <w:rPr>
        <w:rFonts w:hAnsi="David"/>
        <w:color w:val="000000"/>
        <w:sz w:val="22"/>
        <w:szCs w:val="22"/>
        <w:rtl/>
      </w:rPr>
      <w:tab/>
      <w:t xml:space="preserve"> מדינת ישראל נ' פלוני  (קטין)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57B" w14:textId="77777777" w:rsidR="00530DF3" w:rsidRDefault="00530DF3">
    <w:pPr>
      <w:pStyle w:val="Header"/>
      <w:pBdr>
        <w:bottom w:val="single" w:sz="4" w:space="1" w:color="auto"/>
      </w:pBdr>
      <w:tabs>
        <w:tab w:val="clear" w:pos="4153"/>
        <w:tab w:val="clear" w:pos="8306"/>
        <w:tab w:val="right" w:pos="8311"/>
      </w:tabs>
      <w:spacing w:line="220" w:lineRule="exact"/>
      <w:jc w:val="left"/>
      <w:rPr>
        <w:color w:val="000000"/>
        <w:spacing w:val="0"/>
        <w:sz w:val="22"/>
        <w:szCs w:val="22"/>
        <w:rtl/>
      </w:rPr>
    </w:pPr>
    <w:r>
      <w:rPr>
        <w:color w:val="000000"/>
        <w:spacing w:val="0"/>
        <w:sz w:val="22"/>
        <w:szCs w:val="22"/>
        <w:rtl/>
      </w:rPr>
      <w:t>תפ (י-ם) 201/98</w:t>
    </w:r>
    <w:r>
      <w:rPr>
        <w:color w:val="000000"/>
        <w:spacing w:val="0"/>
        <w:sz w:val="22"/>
        <w:szCs w:val="22"/>
        <w:rtl/>
      </w:rPr>
      <w:tab/>
      <w:t xml:space="preserve"> מדינת ישראל נ' פלוני  (קטין)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15D1" w14:textId="77777777" w:rsidR="00530DF3" w:rsidRDefault="00530DF3">
    <w:pPr>
      <w:pStyle w:val="Header"/>
      <w:framePr w:wrap="around" w:vAnchor="text" w:hAnchor="margin" w:xAlign="center" w:y="1"/>
      <w:jc w:val="left"/>
      <w:rPr>
        <w:rStyle w:val="PageNumber"/>
        <w:rtl/>
      </w:rPr>
    </w:pPr>
    <w:r>
      <w:rPr>
        <w:rStyle w:val="PageNumber"/>
        <w:rFonts w:cs="Miriam"/>
        <w:rtl/>
      </w:rPr>
      <w:fldChar w:fldCharType="begin"/>
    </w:r>
    <w:r>
      <w:rPr>
        <w:rStyle w:val="PageNumber"/>
      </w:rPr>
      <w:instrText xml:space="preserve">PAGE  </w:instrText>
    </w:r>
    <w:r>
      <w:rPr>
        <w:rStyle w:val="PageNumber"/>
        <w:rFonts w:cs="Miriam"/>
        <w:rtl/>
      </w:rPr>
      <w:fldChar w:fldCharType="separate"/>
    </w:r>
    <w:r>
      <w:rPr>
        <w:rStyle w:val="PageNumber"/>
        <w:rFonts w:cs="Miriam"/>
        <w:rtl/>
      </w:rPr>
      <w:t>1</w:t>
    </w:r>
    <w:r>
      <w:rPr>
        <w:rStyle w:val="PageNumber"/>
        <w:rFonts w:cs="Miriam"/>
        <w:rtl/>
      </w:rPr>
      <w:fldChar w:fldCharType="end"/>
    </w:r>
  </w:p>
  <w:p w14:paraId="0308D217" w14:textId="77777777" w:rsidR="00530DF3" w:rsidRDefault="00530DF3">
    <w:pPr>
      <w:jc w:val="left"/>
      <w:rPr>
        <w:rtl/>
      </w:rPr>
    </w:pPr>
  </w:p>
  <w:p w14:paraId="047063B2" w14:textId="77777777" w:rsidR="00530DF3" w:rsidRDefault="00530DF3">
    <w:pPr>
      <w:pStyle w:val="Header"/>
      <w:jc w:val="left"/>
      <w:rPr>
        <w:rtl/>
      </w:rPr>
    </w:pPr>
  </w:p>
  <w:p w14:paraId="66AD6500" w14:textId="77777777" w:rsidR="00530DF3" w:rsidRDefault="00530DF3">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567"/>
  <w:drawingGridHorizontalSpacing w:val="160"/>
  <w:drawingGridVerticalSpacing w:val="381"/>
  <w:displayHorizontalDrawingGridEvery w:val="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5959"/>
    <w:rsid w:val="002D7FB2"/>
    <w:rsid w:val="00395959"/>
    <w:rsid w:val="003F7165"/>
    <w:rsid w:val="00412687"/>
    <w:rsid w:val="004C760F"/>
    <w:rsid w:val="00530DF3"/>
    <w:rsid w:val="005E49F9"/>
    <w:rsid w:val="00A11304"/>
    <w:rsid w:val="00A96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D63CEDE"/>
  <w15:chartTrackingRefBased/>
  <w15:docId w15:val="{30503DA5-77FC-4608-A6F2-519E22BA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pacing w:val="20"/>
      <w:sz w:val="28"/>
      <w:szCs w:val="28"/>
      <w:lang w:eastAsia="he-IL"/>
    </w:rPr>
  </w:style>
  <w:style w:type="paragraph" w:styleId="Heading1">
    <w:name w:val="heading 1"/>
    <w:basedOn w:val="Normal"/>
    <w:next w:val="Normal"/>
    <w:qFormat/>
    <w:pPr>
      <w:keepNext/>
      <w:spacing w:before="240" w:after="60"/>
      <w:jc w:val="center"/>
      <w:outlineLvl w:val="0"/>
    </w:pPr>
    <w:rPr>
      <w:rFonts w:ascii="Arial" w:hAnsi="Arial"/>
      <w:b/>
      <w:bCs/>
      <w:kern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3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emiHidden/>
  </w:style>
  <w:style w:type="character" w:styleId="PageNumber">
    <w:name w:val="page number"/>
    <w:basedOn w:val="DefaultParagraphFont"/>
    <w:semiHidden/>
  </w:style>
  <w:style w:type="paragraph" w:styleId="Header">
    <w:name w:val="header"/>
    <w:basedOn w:val="Normal"/>
    <w:semiHidden/>
    <w:pPr>
      <w:tabs>
        <w:tab w:val="center" w:pos="4153"/>
        <w:tab w:val="right" w:pos="8306"/>
      </w:tabs>
      <w:spacing w:line="240" w:lineRule="auto"/>
    </w:pPr>
    <w:rPr>
      <w:noProof w:val="0"/>
      <w:sz w:val="20"/>
    </w:rPr>
  </w:style>
  <w:style w:type="paragraph" w:customStyle="1" w:styleId="a">
    <w:name w:val="חתימה"/>
    <w:basedOn w:val="Normal"/>
    <w:pPr>
      <w:jc w:val="center"/>
    </w:pPr>
  </w:style>
  <w:style w:type="paragraph" w:customStyle="1" w:styleId="a0">
    <w:name w:val="שאלה"/>
    <w:basedOn w:val="Normal"/>
    <w:next w:val="a1"/>
    <w:pPr>
      <w:ind w:left="567" w:hanging="567"/>
    </w:pPr>
    <w:rPr>
      <w:b/>
      <w:bCs/>
      <w:szCs w:val="22"/>
    </w:rPr>
  </w:style>
  <w:style w:type="paragraph" w:customStyle="1" w:styleId="a2">
    <w:name w:val="ציטוט"/>
    <w:basedOn w:val="Normal"/>
    <w:pPr>
      <w:spacing w:line="240" w:lineRule="auto"/>
      <w:ind w:left="1701" w:right="1134"/>
    </w:pPr>
  </w:style>
  <w:style w:type="paragraph" w:customStyle="1" w:styleId="a3">
    <w:name w:val="רגיל"/>
    <w:pPr>
      <w:overflowPunct w:val="0"/>
      <w:autoSpaceDE w:val="0"/>
      <w:autoSpaceDN w:val="0"/>
      <w:bidi/>
      <w:adjustRightInd w:val="0"/>
      <w:spacing w:line="360" w:lineRule="auto"/>
      <w:textAlignment w:val="baseline"/>
    </w:pPr>
    <w:rPr>
      <w:rFonts w:cs="David"/>
      <w:spacing w:val="20"/>
      <w:sz w:val="28"/>
      <w:szCs w:val="28"/>
      <w:lang w:eastAsia="he-IL"/>
    </w:rPr>
  </w:style>
  <w:style w:type="paragraph" w:customStyle="1" w:styleId="a4">
    <w:name w:val="שמות"/>
    <w:basedOn w:val="Normal"/>
    <w:pPr>
      <w:suppressLineNumbers/>
      <w:spacing w:line="240" w:lineRule="auto"/>
      <w:jc w:val="left"/>
    </w:pPr>
    <w:rPr>
      <w:b/>
      <w:noProof w:val="0"/>
    </w:rPr>
  </w:style>
  <w:style w:type="paragraph" w:customStyle="1" w:styleId="a5">
    <w:name w:val="החלטה"/>
    <w:basedOn w:val="a3"/>
    <w:rPr>
      <w:b/>
      <w:bCs/>
    </w:rPr>
  </w:style>
  <w:style w:type="paragraph" w:customStyle="1" w:styleId="a1">
    <w:name w:val="תשובה"/>
    <w:basedOn w:val="Normal"/>
    <w:next w:val="a6"/>
    <w:pPr>
      <w:ind w:left="567" w:hanging="567"/>
    </w:pPr>
  </w:style>
  <w:style w:type="paragraph" w:customStyle="1" w:styleId="a6">
    <w:name w:val="תשובה מוזח"/>
    <w:basedOn w:val="a1"/>
    <w:pPr>
      <w:ind w:firstLine="0"/>
    </w:pPr>
  </w:style>
  <w:style w:type="paragraph" w:styleId="Footer">
    <w:name w:val="footer"/>
    <w:basedOn w:val="Normal"/>
    <w:semiHidden/>
    <w:pPr>
      <w:tabs>
        <w:tab w:val="center" w:pos="4153"/>
        <w:tab w:val="right" w:pos="8306"/>
      </w:tabs>
    </w:pPr>
  </w:style>
  <w:style w:type="paragraph" w:customStyle="1" w:styleId="a7">
    <w:name w:val="עד"/>
    <w:basedOn w:val="a3"/>
  </w:style>
  <w:style w:type="paragraph" w:customStyle="1" w:styleId="a8">
    <w:name w:val="חקירה"/>
    <w:basedOn w:val="a7"/>
  </w:style>
  <w:style w:type="paragraph" w:styleId="DocumentMap">
    <w:name w:val="Document Map"/>
    <w:basedOn w:val="Normal"/>
    <w:semiHidden/>
    <w:pPr>
      <w:shd w:val="clear" w:color="auto" w:fill="000080"/>
    </w:pPr>
    <w:rPr>
      <w:rFonts w:ascii="Tahoma" w:hAnsi="Tahoma" w:cs="Tahoma"/>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styleId="Hyperlink">
    <w:name w:val="Hyperlink"/>
    <w:rsid w:val="002D7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98569" TargetMode="External"/><Relationship Id="rId26" Type="http://schemas.openxmlformats.org/officeDocument/2006/relationships/hyperlink" Target="http://www.nevo.co.il/law/70301/345.b.1" TargetMode="External"/><Relationship Id="rId39" Type="http://schemas.openxmlformats.org/officeDocument/2006/relationships/fontTable" Target="fontTable.xml"/><Relationship Id="rId21" Type="http://schemas.openxmlformats.org/officeDocument/2006/relationships/hyperlink" Target="http://www.nevo.co.il/law/70301/345.a.1" TargetMode="External"/><Relationship Id="rId34" Type="http://schemas.openxmlformats.org/officeDocument/2006/relationships/header" Target="header1.xml"/><Relationship Id="rId7" Type="http://schemas.openxmlformats.org/officeDocument/2006/relationships/hyperlink" Target="http://www.nevo.co.il/law/98569/54a.b" TargetMode="External"/><Relationship Id="rId12" Type="http://schemas.openxmlformats.org/officeDocument/2006/relationships/hyperlink" Target="http://www.nevo.co.il/law/70301/345.b.1"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347.b" TargetMode="External"/><Relationship Id="rId33" Type="http://schemas.openxmlformats.org/officeDocument/2006/relationships/hyperlink" Target="http://www.nevo.co.il/law/70348" TargetMode="External"/><Relationship Id="rId38"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nevo.co.il/law/70348/21" TargetMode="External"/><Relationship Id="rId20" Type="http://schemas.openxmlformats.org/officeDocument/2006/relationships/hyperlink" Target="http://www.nevo.co.il/law/70301/345.b.1" TargetMode="External"/><Relationship Id="rId29" Type="http://schemas.openxmlformats.org/officeDocument/2006/relationships/hyperlink" Target="http://www.nevo.co.il/law/70301/345.b.1" TargetMode="External"/><Relationship Id="rId1" Type="http://schemas.openxmlformats.org/officeDocument/2006/relationships/styles" Target="styles.xml"/><Relationship Id="rId6" Type="http://schemas.openxmlformats.org/officeDocument/2006/relationships/hyperlink" Target="http://www.nevo.co.il/law/98569"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192" TargetMode="External"/><Relationship Id="rId32" Type="http://schemas.openxmlformats.org/officeDocument/2006/relationships/hyperlink" Target="http://www.nevo.co.il/law/70348/21"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48"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8.b" TargetMode="External"/><Relationship Id="rId36" Type="http://schemas.openxmlformats.org/officeDocument/2006/relationships/footer" Target="footer1.xml"/><Relationship Id="rId10" Type="http://schemas.openxmlformats.org/officeDocument/2006/relationships/hyperlink" Target="http://www.nevo.co.il/law/70301/192" TargetMode="External"/><Relationship Id="rId19" Type="http://schemas.openxmlformats.org/officeDocument/2006/relationships/hyperlink" Target="http://www.nevo.co.il/law/70301/347.b" TargetMode="External"/><Relationship Id="rId31" Type="http://schemas.openxmlformats.org/officeDocument/2006/relationships/hyperlink" Target="http://www.nevo.co.il/law/70301/192" TargetMode="External"/><Relationship Id="rId4" Type="http://schemas.openxmlformats.org/officeDocument/2006/relationships/footnotes" Target="footnotes.xml"/><Relationship Id="rId9" Type="http://schemas.openxmlformats.org/officeDocument/2006/relationships/hyperlink" Target="http://www.nevo.co.il/law/70301/25"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5.a.1" TargetMode="External"/><Relationship Id="rId35"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201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00020198p.dot</Template>
  <TotalTime>0</TotalTime>
  <Pages>4</Pages>
  <Words>1912</Words>
  <Characters>10901</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הכרעת דין, תיק מס' 000201/98</vt:lpstr>
    </vt:vector>
  </TitlesOfParts>
  <Company> </Company>
  <LinksUpToDate>false</LinksUpToDate>
  <CharactersWithSpaces>12788</CharactersWithSpaces>
  <SharedDoc>false</SharedDoc>
  <HLinks>
    <vt:vector size="168" baseType="variant">
      <vt:variant>
        <vt:i4>8257636</vt:i4>
      </vt:variant>
      <vt:variant>
        <vt:i4>81</vt:i4>
      </vt:variant>
      <vt:variant>
        <vt:i4>0</vt:i4>
      </vt:variant>
      <vt:variant>
        <vt:i4>5</vt:i4>
      </vt:variant>
      <vt:variant>
        <vt:lpwstr>http://www.nevo.co.il/law/70348</vt:lpwstr>
      </vt:variant>
      <vt:variant>
        <vt:lpwstr/>
      </vt:variant>
      <vt:variant>
        <vt:i4>6291566</vt:i4>
      </vt:variant>
      <vt:variant>
        <vt:i4>78</vt:i4>
      </vt:variant>
      <vt:variant>
        <vt:i4>0</vt:i4>
      </vt:variant>
      <vt:variant>
        <vt:i4>5</vt:i4>
      </vt:variant>
      <vt:variant>
        <vt:lpwstr>http://www.nevo.co.il/law/70348/21</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6357041</vt:i4>
      </vt:variant>
      <vt:variant>
        <vt:i4>69</vt:i4>
      </vt:variant>
      <vt:variant>
        <vt:i4>0</vt:i4>
      </vt:variant>
      <vt:variant>
        <vt:i4>5</vt:i4>
      </vt:variant>
      <vt:variant>
        <vt:lpwstr>http://www.nevo.co.il/law/70301/345.b.1</vt:lpwstr>
      </vt:variant>
      <vt:variant>
        <vt:lpwstr/>
      </vt:variant>
      <vt:variant>
        <vt:i4>5177438</vt:i4>
      </vt:variant>
      <vt:variant>
        <vt:i4>66</vt:i4>
      </vt:variant>
      <vt:variant>
        <vt:i4>0</vt:i4>
      </vt:variant>
      <vt:variant>
        <vt:i4>5</vt:i4>
      </vt:variant>
      <vt:variant>
        <vt:lpwstr>http://www.nevo.co.il/law/70301/348.b</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6357042</vt:i4>
      </vt:variant>
      <vt:variant>
        <vt:i4>45</vt:i4>
      </vt:variant>
      <vt:variant>
        <vt:i4>0</vt:i4>
      </vt:variant>
      <vt:variant>
        <vt:i4>5</vt:i4>
      </vt:variant>
      <vt:variant>
        <vt:lpwstr>http://www.nevo.co.il/law/70301/345.a.1</vt:lpwstr>
      </vt:variant>
      <vt:variant>
        <vt:lpwstr/>
      </vt:variant>
      <vt:variant>
        <vt:i4>6357041</vt:i4>
      </vt:variant>
      <vt:variant>
        <vt:i4>42</vt:i4>
      </vt:variant>
      <vt:variant>
        <vt:i4>0</vt:i4>
      </vt:variant>
      <vt:variant>
        <vt:i4>5</vt:i4>
      </vt:variant>
      <vt:variant>
        <vt:lpwstr>http://www.nevo.co.il/law/70301/345.b.1</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7602284</vt:i4>
      </vt:variant>
      <vt:variant>
        <vt:i4>36</vt:i4>
      </vt:variant>
      <vt:variant>
        <vt:i4>0</vt:i4>
      </vt:variant>
      <vt:variant>
        <vt:i4>5</vt:i4>
      </vt:variant>
      <vt:variant>
        <vt:lpwstr>http://www.nevo.co.il/law/98569</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6291566</vt:i4>
      </vt:variant>
      <vt:variant>
        <vt:i4>30</vt:i4>
      </vt:variant>
      <vt:variant>
        <vt:i4>0</vt:i4>
      </vt:variant>
      <vt:variant>
        <vt:i4>5</vt:i4>
      </vt:variant>
      <vt:variant>
        <vt:lpwstr>http://www.nevo.co.il/law/70348/21</vt:lpwstr>
      </vt:variant>
      <vt:variant>
        <vt:lpwstr/>
      </vt:variant>
      <vt:variant>
        <vt:i4>8257636</vt:i4>
      </vt:variant>
      <vt:variant>
        <vt:i4>27</vt:i4>
      </vt:variant>
      <vt:variant>
        <vt:i4>0</vt:i4>
      </vt:variant>
      <vt:variant>
        <vt:i4>5</vt:i4>
      </vt:variant>
      <vt:variant>
        <vt:lpwstr>http://www.nevo.co.il/law/70348</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4259841</vt:i4>
      </vt:variant>
      <vt:variant>
        <vt:i4>3</vt:i4>
      </vt:variant>
      <vt:variant>
        <vt:i4>0</vt:i4>
      </vt:variant>
      <vt:variant>
        <vt:i4>5</vt:i4>
      </vt:variant>
      <vt:variant>
        <vt:lpwstr>http://www.nevo.co.il/law/98569/54a.b</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1601-01-01T00:00:00Z</cp:lastPrinted>
  <dcterms:created xsi:type="dcterms:W3CDTF">2022-05-24T09:20:00Z</dcterms:created>
  <dcterms:modified xsi:type="dcterms:W3CDTF">2022-05-24T09:20:00Z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E">
    <vt:lpwstr>יעקב צמח; מרים נאור;מוסיה ארד</vt:lpwstr>
  </property>
  <property fmtid="{D5CDD505-2E9C-101B-9397-08002B2CF9AE}" pid="3" name="JudgeHatima">
    <vt:lpwstr>יעקב צמח, סגן נשיא + מרים נאור, שופטת + מוסיה ארד, שופטת</vt:lpwstr>
  </property>
  <property fmtid="{D5CDD505-2E9C-101B-9397-08002B2CF9AE}" pid="4" name="Sod">
    <vt:lpwstr>2</vt:lpwstr>
  </property>
  <property fmtid="{D5CDD505-2E9C-101B-9397-08002B2CF9AE}" pid="5" name="Ver">
    <vt:lpwstr>5</vt:lpwstr>
  </property>
  <property fmtid="{D5CDD505-2E9C-101B-9397-08002B2CF9AE}" pid="6" name="StartPage">
    <vt:lpwstr>1</vt:lpwstr>
  </property>
  <property fmtid="{D5CDD505-2E9C-101B-9397-08002B2CF9AE}" pid="7" name="StartHour">
    <vt:lpwstr>10:32</vt:lpwstr>
  </property>
  <property fmtid="{D5CDD505-2E9C-101B-9397-08002B2CF9AE}" pid="8" name="StartDate">
    <vt:lpwstr>10/08/1998</vt:lpwstr>
  </property>
  <property fmtid="{D5CDD505-2E9C-101B-9397-08002B2CF9AE}" pid="9" name="Status">
    <vt:lpwstr>חתום</vt:lpwstr>
  </property>
  <property fmtid="{D5CDD505-2E9C-101B-9397-08002B2CF9AE}" pid="10" name="ConsType">
    <vt:lpwstr/>
  </property>
  <property fmtid="{D5CDD505-2E9C-101B-9397-08002B2CF9AE}" pid="11" name="ConsRoom">
    <vt:lpwstr/>
  </property>
  <property fmtid="{D5CDD505-2E9C-101B-9397-08002B2CF9AE}" pid="12" name="Typer">
    <vt:lpwstr/>
  </property>
  <property fmtid="{D5CDD505-2E9C-101B-9397-08002B2CF9AE}" pid="13" name="EndDate">
    <vt:lpwstr>10/08/1998</vt:lpwstr>
  </property>
  <property fmtid="{D5CDD505-2E9C-101B-9397-08002B2CF9AE}" pid="14" name="EndHour">
    <vt:lpwstr>10:40</vt:lpwstr>
  </property>
  <property fmtid="{D5CDD505-2E9C-101B-9397-08002B2CF9AE}" pid="15" name="Pirsum">
    <vt:lpwstr>10/08/1998</vt:lpwstr>
  </property>
  <property fmtid="{D5CDD505-2E9C-101B-9397-08002B2CF9AE}" pid="16" name="DateHatima">
    <vt:lpwstr>10/08/1998</vt:lpwstr>
  </property>
  <property fmtid="{D5CDD505-2E9C-101B-9397-08002B2CF9AE}" pid="17" name="TYPE">
    <vt:lpwstr>2</vt:lpwstr>
  </property>
  <property fmtid="{D5CDD505-2E9C-101B-9397-08002B2CF9AE}" pid="18" name="PROCESS">
    <vt:lpwstr>תפ</vt:lpwstr>
  </property>
  <property fmtid="{D5CDD505-2E9C-101B-9397-08002B2CF9AE}" pid="19" name="PROCNUM">
    <vt:lpwstr>201</vt:lpwstr>
  </property>
  <property fmtid="{D5CDD505-2E9C-101B-9397-08002B2CF9AE}" pid="20" name="PROCYEAR">
    <vt:lpwstr>98</vt:lpwstr>
  </property>
  <property fmtid="{D5CDD505-2E9C-101B-9397-08002B2CF9AE}" pid="21" name="DATE">
    <vt:lpwstr>19980810</vt:lpwstr>
  </property>
  <property fmtid="{D5CDD505-2E9C-101B-9397-08002B2CF9AE}" pid="22" name="APPELLEE">
    <vt:lpwstr>פלוני  (קטין)</vt:lpwstr>
  </property>
  <property fmtid="{D5CDD505-2E9C-101B-9397-08002B2CF9AE}" pid="23" name="APPELLANT">
    <vt:lpwstr>מדינת ישראל</vt:lpwstr>
  </property>
  <property fmtid="{D5CDD505-2E9C-101B-9397-08002B2CF9AE}" pid="24" name="LAWYER">
    <vt:lpwstr>גרינבוים;קרוואני</vt:lpwstr>
  </property>
  <property fmtid="{D5CDD505-2E9C-101B-9397-08002B2CF9AE}" pid="25" name="CITY">
    <vt:lpwstr>י-ם</vt:lpwstr>
  </property>
  <property fmtid="{D5CDD505-2E9C-101B-9397-08002B2CF9AE}" pid="26" name="ISABSTRACT">
    <vt:lpwstr/>
  </property>
  <property fmtid="{D5CDD505-2E9C-101B-9397-08002B2CF9AE}" pid="27" name="PSAKDIN">
    <vt:lpwstr>הכרעת-דין</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WORDNUMPAGES">
    <vt:lpwstr>10</vt:lpwstr>
  </property>
  <property fmtid="{D5CDD505-2E9C-101B-9397-08002B2CF9AE}" pid="32" name="NOSE1">
    <vt:lpwstr/>
  </property>
  <property fmtid="{D5CDD505-2E9C-101B-9397-08002B2CF9AE}" pid="33" name="NOSE2">
    <vt:lpwstr/>
  </property>
  <property fmtid="{D5CDD505-2E9C-101B-9397-08002B2CF9AE}" pid="34" name="NOSE3">
    <vt:lpwstr/>
  </property>
  <property fmtid="{D5CDD505-2E9C-101B-9397-08002B2CF9AE}" pid="35" name="PADIMAIL">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INKK6">
    <vt:lpwstr/>
  </property>
  <property fmtid="{D5CDD505-2E9C-101B-9397-08002B2CF9AE}" pid="42" name="LINKK7">
    <vt:lpwstr/>
  </property>
  <property fmtid="{D5CDD505-2E9C-101B-9397-08002B2CF9AE}" pid="43" name="LINKK8">
    <vt:lpwstr/>
  </property>
  <property fmtid="{D5CDD505-2E9C-101B-9397-08002B2CF9AE}" pid="44" name="LINKK9">
    <vt:lpwstr/>
  </property>
  <property fmtid="{D5CDD505-2E9C-101B-9397-08002B2CF9AE}" pid="45" name="LINKK10">
    <vt:lpwstr/>
  </property>
  <property fmtid="{D5CDD505-2E9C-101B-9397-08002B2CF9AE}" pid="46" name="LINKK11">
    <vt:lpwstr/>
  </property>
  <property fmtid="{D5CDD505-2E9C-101B-9397-08002B2CF9AE}" pid="47" name="LINKK12">
    <vt:lpwstr/>
  </property>
  <property fmtid="{D5CDD505-2E9C-101B-9397-08002B2CF9AE}" pid="48" name="LAWLISTTMP1">
    <vt:lpwstr>98569/054a.b</vt:lpwstr>
  </property>
  <property fmtid="{D5CDD505-2E9C-101B-9397-08002B2CF9AE}" pid="49" name="LAWLISTTMP2">
    <vt:lpwstr>70301/347.b:2;345.b.1:3;345.a.1:3;025;192:2;348.b</vt:lpwstr>
  </property>
  <property fmtid="{D5CDD505-2E9C-101B-9397-08002B2CF9AE}" pid="50" name="LAWLISTTMP3">
    <vt:lpwstr>70348/021</vt:lpwstr>
  </property>
</Properties>
</file>