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Layout w:type="fixed"/>
        <w:tblCellMar>
          <w:left w:w="107" w:type="dxa"/>
          <w:right w:w="107" w:type="dxa"/>
        </w:tblCellMar>
        <w:tblLook w:val="0000" w:firstRow="0" w:lastRow="0" w:firstColumn="0" w:lastColumn="0" w:noHBand="0" w:noVBand="0"/>
      </w:tblPr>
      <w:tblGrid>
        <w:gridCol w:w="1418"/>
        <w:gridCol w:w="1701"/>
        <w:gridCol w:w="3119"/>
        <w:gridCol w:w="2409"/>
      </w:tblGrid>
      <w:tr w:rsidR="00093829" w14:paraId="750B9D94" w14:textId="77777777" w:rsidTr="00093829">
        <w:tblPrEx>
          <w:tblCellMar>
            <w:top w:w="0" w:type="dxa"/>
            <w:bottom w:w="0" w:type="dxa"/>
          </w:tblCellMar>
        </w:tblPrEx>
        <w:tc>
          <w:tcPr>
            <w:tcW w:w="1418" w:type="dxa"/>
          </w:tcPr>
          <w:p w14:paraId="46660571" w14:textId="77777777" w:rsidR="00093829" w:rsidRDefault="00093829">
            <w:pPr>
              <w:pStyle w:val="10"/>
              <w:rPr>
                <w:b/>
                <w:bCs/>
                <w:rtl/>
              </w:rPr>
            </w:pPr>
            <w:r>
              <w:rPr>
                <w:b/>
                <w:bCs/>
                <w:rtl/>
              </w:rPr>
              <w:t>בעניין:</w:t>
            </w:r>
            <w:r>
              <w:rPr>
                <w:b/>
                <w:bCs/>
                <w:color w:val="FFFFFF"/>
                <w:sz w:val="4"/>
                <w:szCs w:val="4"/>
                <w:rtl/>
              </w:rPr>
              <w:t>נ</w:t>
            </w:r>
          </w:p>
        </w:tc>
        <w:tc>
          <w:tcPr>
            <w:tcW w:w="4820" w:type="dxa"/>
            <w:gridSpan w:val="2"/>
          </w:tcPr>
          <w:p w14:paraId="52EBA461" w14:textId="77777777" w:rsidR="00093829" w:rsidRDefault="00093829">
            <w:pPr>
              <w:pStyle w:val="a2"/>
              <w:rPr>
                <w:rtl/>
              </w:rPr>
            </w:pPr>
            <w:r>
              <w:rPr>
                <w:rtl/>
              </w:rPr>
              <w:t>מדינת ישראל</w:t>
            </w:r>
          </w:p>
        </w:tc>
        <w:tc>
          <w:tcPr>
            <w:tcW w:w="2409" w:type="dxa"/>
          </w:tcPr>
          <w:p w14:paraId="350DFF65" w14:textId="77777777" w:rsidR="00093829" w:rsidRDefault="00093829">
            <w:pPr>
              <w:pStyle w:val="a2"/>
              <w:rPr>
                <w:szCs w:val="26"/>
                <w:u w:val="single"/>
                <w:rtl/>
              </w:rPr>
            </w:pPr>
          </w:p>
        </w:tc>
      </w:tr>
      <w:tr w:rsidR="00093829" w14:paraId="5E53BA58" w14:textId="77777777" w:rsidTr="00093829">
        <w:tblPrEx>
          <w:tblCellMar>
            <w:top w:w="0" w:type="dxa"/>
            <w:bottom w:w="0" w:type="dxa"/>
          </w:tblCellMar>
        </w:tblPrEx>
        <w:tc>
          <w:tcPr>
            <w:tcW w:w="1418" w:type="dxa"/>
          </w:tcPr>
          <w:p w14:paraId="59A93970" w14:textId="77777777" w:rsidR="00093829" w:rsidRDefault="00093829">
            <w:pPr>
              <w:pStyle w:val="a2"/>
              <w:rPr>
                <w:rtl/>
              </w:rPr>
            </w:pPr>
          </w:p>
        </w:tc>
        <w:tc>
          <w:tcPr>
            <w:tcW w:w="1701" w:type="dxa"/>
          </w:tcPr>
          <w:p w14:paraId="4C0D757F" w14:textId="77777777" w:rsidR="00093829" w:rsidRDefault="00093829">
            <w:pPr>
              <w:pStyle w:val="a2"/>
              <w:rPr>
                <w:rtl/>
              </w:rPr>
            </w:pPr>
            <w:r>
              <w:rPr>
                <w:rtl/>
              </w:rPr>
              <w:t>ע"י ב"כ עוה"ד</w:t>
            </w:r>
          </w:p>
        </w:tc>
        <w:tc>
          <w:tcPr>
            <w:tcW w:w="3119" w:type="dxa"/>
          </w:tcPr>
          <w:p w14:paraId="3B6173FC" w14:textId="77777777" w:rsidR="00093829" w:rsidRDefault="00093829">
            <w:pPr>
              <w:pStyle w:val="a2"/>
              <w:rPr>
                <w:rtl/>
              </w:rPr>
            </w:pPr>
            <w:r>
              <w:rPr>
                <w:rtl/>
              </w:rPr>
              <w:t xml:space="preserve"> </w:t>
            </w:r>
            <w:bookmarkStart w:id="0" w:name="SideALaw"/>
            <w:bookmarkEnd w:id="0"/>
            <w:r>
              <w:rPr>
                <w:rtl/>
              </w:rPr>
              <w:t>גרובר</w:t>
            </w:r>
          </w:p>
        </w:tc>
        <w:tc>
          <w:tcPr>
            <w:tcW w:w="2408" w:type="dxa"/>
          </w:tcPr>
          <w:p w14:paraId="24AB6523" w14:textId="77777777" w:rsidR="00093829" w:rsidRDefault="00093829">
            <w:pPr>
              <w:pStyle w:val="a2"/>
              <w:rPr>
                <w:szCs w:val="26"/>
                <w:u w:val="single"/>
                <w:rtl/>
              </w:rPr>
            </w:pPr>
            <w:r>
              <w:rPr>
                <w:szCs w:val="26"/>
                <w:u w:val="single"/>
                <w:rtl/>
              </w:rPr>
              <w:t>המאשימה</w:t>
            </w:r>
          </w:p>
        </w:tc>
      </w:tr>
      <w:tr w:rsidR="00093829" w14:paraId="5C61A754" w14:textId="77777777" w:rsidTr="00093829">
        <w:tblPrEx>
          <w:tblCellMar>
            <w:top w:w="0" w:type="dxa"/>
            <w:bottom w:w="0" w:type="dxa"/>
          </w:tblCellMar>
        </w:tblPrEx>
        <w:tc>
          <w:tcPr>
            <w:tcW w:w="1418" w:type="dxa"/>
          </w:tcPr>
          <w:p w14:paraId="4D209883" w14:textId="77777777" w:rsidR="00093829" w:rsidRDefault="00093829">
            <w:pPr>
              <w:pStyle w:val="a2"/>
              <w:spacing w:before="600"/>
              <w:jc w:val="center"/>
              <w:rPr>
                <w:rtl/>
              </w:rPr>
            </w:pPr>
          </w:p>
        </w:tc>
        <w:tc>
          <w:tcPr>
            <w:tcW w:w="4820" w:type="dxa"/>
            <w:gridSpan w:val="2"/>
          </w:tcPr>
          <w:p w14:paraId="7687AB8F" w14:textId="77777777" w:rsidR="00093829" w:rsidRDefault="00093829">
            <w:pPr>
              <w:pStyle w:val="a2"/>
              <w:spacing w:before="240"/>
              <w:jc w:val="center"/>
              <w:rPr>
                <w:szCs w:val="32"/>
                <w:rtl/>
              </w:rPr>
            </w:pPr>
            <w:r>
              <w:rPr>
                <w:szCs w:val="32"/>
                <w:rtl/>
              </w:rPr>
              <w:t xml:space="preserve">- נ ג ד - </w:t>
            </w:r>
          </w:p>
          <w:p w14:paraId="4DCD8236" w14:textId="77777777" w:rsidR="00093829" w:rsidRDefault="00093829">
            <w:pPr>
              <w:pStyle w:val="a2"/>
              <w:jc w:val="center"/>
              <w:rPr>
                <w:szCs w:val="32"/>
                <w:rtl/>
              </w:rPr>
            </w:pPr>
          </w:p>
        </w:tc>
        <w:tc>
          <w:tcPr>
            <w:tcW w:w="2409" w:type="dxa"/>
          </w:tcPr>
          <w:p w14:paraId="600935CB" w14:textId="77777777" w:rsidR="00093829" w:rsidRDefault="00093829">
            <w:pPr>
              <w:pStyle w:val="a2"/>
              <w:rPr>
                <w:rtl/>
              </w:rPr>
            </w:pPr>
          </w:p>
        </w:tc>
      </w:tr>
      <w:tr w:rsidR="00093829" w14:paraId="47692D7C" w14:textId="77777777" w:rsidTr="00093829">
        <w:tblPrEx>
          <w:tblCellMar>
            <w:top w:w="0" w:type="dxa"/>
            <w:bottom w:w="0" w:type="dxa"/>
          </w:tblCellMar>
        </w:tblPrEx>
        <w:tc>
          <w:tcPr>
            <w:tcW w:w="1418" w:type="dxa"/>
          </w:tcPr>
          <w:p w14:paraId="295D21A6" w14:textId="77777777" w:rsidR="00093829" w:rsidRDefault="00093829">
            <w:pPr>
              <w:pStyle w:val="a2"/>
              <w:rPr>
                <w:rtl/>
              </w:rPr>
            </w:pPr>
          </w:p>
        </w:tc>
        <w:tc>
          <w:tcPr>
            <w:tcW w:w="4820" w:type="dxa"/>
            <w:gridSpan w:val="2"/>
          </w:tcPr>
          <w:p w14:paraId="74E0B8DD" w14:textId="77777777" w:rsidR="00093829" w:rsidRDefault="00093829">
            <w:pPr>
              <w:pStyle w:val="a2"/>
              <w:rPr>
                <w:rtl/>
              </w:rPr>
            </w:pPr>
            <w:r>
              <w:rPr>
                <w:rtl/>
              </w:rPr>
              <w:t xml:space="preserve">פלוני </w:t>
            </w:r>
          </w:p>
        </w:tc>
        <w:tc>
          <w:tcPr>
            <w:tcW w:w="2409" w:type="dxa"/>
          </w:tcPr>
          <w:p w14:paraId="6C20F523" w14:textId="77777777" w:rsidR="00093829" w:rsidRDefault="00093829">
            <w:pPr>
              <w:pStyle w:val="a2"/>
              <w:rPr>
                <w:szCs w:val="26"/>
                <w:u w:val="single"/>
                <w:rtl/>
              </w:rPr>
            </w:pPr>
          </w:p>
        </w:tc>
      </w:tr>
      <w:tr w:rsidR="00093829" w14:paraId="55D621E4" w14:textId="77777777" w:rsidTr="00093829">
        <w:tblPrEx>
          <w:tblCellMar>
            <w:top w:w="0" w:type="dxa"/>
            <w:bottom w:w="0" w:type="dxa"/>
          </w:tblCellMar>
        </w:tblPrEx>
        <w:tc>
          <w:tcPr>
            <w:tcW w:w="1418" w:type="dxa"/>
          </w:tcPr>
          <w:p w14:paraId="2902CBEF" w14:textId="77777777" w:rsidR="00093829" w:rsidRDefault="00093829">
            <w:pPr>
              <w:pStyle w:val="a2"/>
              <w:rPr>
                <w:rtl/>
              </w:rPr>
            </w:pPr>
          </w:p>
        </w:tc>
        <w:tc>
          <w:tcPr>
            <w:tcW w:w="1701" w:type="dxa"/>
          </w:tcPr>
          <w:p w14:paraId="6B565A27" w14:textId="77777777" w:rsidR="00093829" w:rsidRDefault="00093829">
            <w:pPr>
              <w:pStyle w:val="a2"/>
              <w:rPr>
                <w:rtl/>
              </w:rPr>
            </w:pPr>
            <w:r>
              <w:rPr>
                <w:rtl/>
              </w:rPr>
              <w:t>ע"י ב"כ עוה"ד</w:t>
            </w:r>
          </w:p>
        </w:tc>
        <w:tc>
          <w:tcPr>
            <w:tcW w:w="3119" w:type="dxa"/>
          </w:tcPr>
          <w:p w14:paraId="6ACD6B33" w14:textId="77777777" w:rsidR="00093829" w:rsidRDefault="00093829">
            <w:pPr>
              <w:pStyle w:val="a2"/>
              <w:rPr>
                <w:rtl/>
              </w:rPr>
            </w:pPr>
            <w:r>
              <w:rPr>
                <w:rtl/>
              </w:rPr>
              <w:t xml:space="preserve"> </w:t>
            </w:r>
            <w:bookmarkStart w:id="1" w:name="SideBLaw"/>
            <w:bookmarkEnd w:id="1"/>
            <w:r>
              <w:rPr>
                <w:rtl/>
              </w:rPr>
              <w:t>היכל</w:t>
            </w:r>
          </w:p>
        </w:tc>
        <w:tc>
          <w:tcPr>
            <w:tcW w:w="2408" w:type="dxa"/>
          </w:tcPr>
          <w:p w14:paraId="6596660E" w14:textId="77777777" w:rsidR="00093829" w:rsidRDefault="00093829">
            <w:pPr>
              <w:pStyle w:val="a2"/>
              <w:rPr>
                <w:szCs w:val="26"/>
                <w:u w:val="single"/>
                <w:rtl/>
              </w:rPr>
            </w:pPr>
            <w:r>
              <w:rPr>
                <w:szCs w:val="26"/>
                <w:u w:val="single"/>
                <w:rtl/>
              </w:rPr>
              <w:t>הנאשם</w:t>
            </w:r>
          </w:p>
        </w:tc>
      </w:tr>
    </w:tbl>
    <w:p w14:paraId="12DF1CDF" w14:textId="77777777" w:rsidR="006C6460" w:rsidRDefault="006C6460">
      <w:pPr>
        <w:pStyle w:val="10"/>
        <w:suppressLineNumbers/>
        <w:rPr>
          <w:rtl/>
        </w:rPr>
      </w:pPr>
      <w:bookmarkStart w:id="2" w:name="LawTable"/>
      <w:bookmarkEnd w:id="2"/>
    </w:p>
    <w:p w14:paraId="14633FDA" w14:textId="77777777" w:rsidR="006C6460" w:rsidRPr="006C6460" w:rsidRDefault="006C6460" w:rsidP="006C6460">
      <w:pPr>
        <w:pStyle w:val="10"/>
        <w:suppressLineNumbers/>
        <w:spacing w:after="120" w:line="240" w:lineRule="exact"/>
        <w:ind w:left="283" w:hanging="283"/>
        <w:rPr>
          <w:rFonts w:ascii="FrankRuehl" w:hAnsi="FrankRuehl" w:cs="FrankRuehl"/>
          <w:rtl/>
        </w:rPr>
      </w:pPr>
    </w:p>
    <w:p w14:paraId="3E954172" w14:textId="77777777" w:rsidR="006C6460" w:rsidRPr="006C6460" w:rsidRDefault="006C6460" w:rsidP="006C6460">
      <w:pPr>
        <w:pStyle w:val="10"/>
        <w:suppressLineNumbers/>
        <w:spacing w:after="120" w:line="240" w:lineRule="exact"/>
        <w:ind w:left="283" w:hanging="283"/>
        <w:rPr>
          <w:rFonts w:ascii="FrankRuehl" w:hAnsi="FrankRuehl" w:cs="FrankRuehl"/>
          <w:rtl/>
        </w:rPr>
      </w:pPr>
      <w:r w:rsidRPr="006C6460">
        <w:rPr>
          <w:rFonts w:ascii="FrankRuehl" w:hAnsi="FrankRuehl" w:cs="FrankRuehl"/>
          <w:rtl/>
        </w:rPr>
        <w:t xml:space="preserve">חקיקה שאוזכרה: </w:t>
      </w:r>
    </w:p>
    <w:p w14:paraId="7EFC958A" w14:textId="77777777" w:rsidR="006C6460" w:rsidRPr="006C6460" w:rsidRDefault="006C6460" w:rsidP="006C6460">
      <w:pPr>
        <w:pStyle w:val="10"/>
        <w:suppressLineNumbers/>
        <w:spacing w:after="120" w:line="240" w:lineRule="exact"/>
        <w:ind w:left="283" w:hanging="283"/>
        <w:rPr>
          <w:rFonts w:ascii="FrankRuehl" w:hAnsi="FrankRuehl" w:cs="FrankRuehl"/>
          <w:rtl/>
        </w:rPr>
      </w:pPr>
      <w:hyperlink r:id="rId6" w:history="1">
        <w:r w:rsidRPr="006C6460">
          <w:rPr>
            <w:rFonts w:ascii="FrankRuehl" w:hAnsi="FrankRuehl" w:cs="FrankRuehl"/>
            <w:color w:val="0000FF"/>
            <w:u w:val="single"/>
            <w:rtl/>
          </w:rPr>
          <w:t>חוק העונשין, תשל"ז-1977</w:t>
        </w:r>
      </w:hyperlink>
      <w:r w:rsidRPr="006C6460">
        <w:rPr>
          <w:rFonts w:ascii="FrankRuehl" w:hAnsi="FrankRuehl" w:cs="FrankRuehl"/>
          <w:rtl/>
        </w:rPr>
        <w:t xml:space="preserve">: סע'  </w:t>
      </w:r>
      <w:hyperlink r:id="rId7" w:history="1">
        <w:r w:rsidRPr="006C6460">
          <w:rPr>
            <w:rFonts w:ascii="FrankRuehl" w:hAnsi="FrankRuehl" w:cs="FrankRuehl"/>
            <w:color w:val="0000FF"/>
            <w:u w:val="single"/>
            <w:rtl/>
          </w:rPr>
          <w:t>25</w:t>
        </w:r>
      </w:hyperlink>
      <w:r w:rsidRPr="006C6460">
        <w:rPr>
          <w:rFonts w:ascii="FrankRuehl" w:hAnsi="FrankRuehl" w:cs="FrankRuehl"/>
          <w:rtl/>
        </w:rPr>
        <w:t xml:space="preserve">, </w:t>
      </w:r>
      <w:hyperlink r:id="rId8" w:history="1">
        <w:r w:rsidRPr="006C6460">
          <w:rPr>
            <w:rFonts w:ascii="FrankRuehl" w:hAnsi="FrankRuehl" w:cs="FrankRuehl"/>
            <w:color w:val="0000FF"/>
            <w:u w:val="single"/>
            <w:rtl/>
          </w:rPr>
          <w:t>345 (א)(1)</w:t>
        </w:r>
      </w:hyperlink>
      <w:r w:rsidRPr="006C6460">
        <w:rPr>
          <w:rFonts w:ascii="FrankRuehl" w:hAnsi="FrankRuehl" w:cs="FrankRuehl"/>
          <w:rtl/>
        </w:rPr>
        <w:t xml:space="preserve">, </w:t>
      </w:r>
      <w:hyperlink r:id="rId9" w:history="1">
        <w:r w:rsidRPr="006C6460">
          <w:rPr>
            <w:rFonts w:ascii="FrankRuehl" w:hAnsi="FrankRuehl" w:cs="FrankRuehl"/>
            <w:color w:val="0000FF"/>
            <w:u w:val="single"/>
            <w:rtl/>
          </w:rPr>
          <w:t>345(ב)(1)</w:t>
        </w:r>
      </w:hyperlink>
      <w:r w:rsidRPr="006C6460">
        <w:rPr>
          <w:rFonts w:ascii="FrankRuehl" w:hAnsi="FrankRuehl" w:cs="FrankRuehl"/>
          <w:rtl/>
        </w:rPr>
        <w:t xml:space="preserve">, </w:t>
      </w:r>
      <w:hyperlink r:id="rId10" w:history="1">
        <w:r w:rsidRPr="006C6460">
          <w:rPr>
            <w:rFonts w:ascii="FrankRuehl" w:hAnsi="FrankRuehl" w:cs="FrankRuehl"/>
            <w:color w:val="0000FF"/>
            <w:u w:val="single"/>
            <w:rtl/>
          </w:rPr>
          <w:t>347(ב)</w:t>
        </w:r>
      </w:hyperlink>
      <w:r w:rsidRPr="006C6460">
        <w:rPr>
          <w:rFonts w:ascii="FrankRuehl" w:hAnsi="FrankRuehl" w:cs="FrankRuehl"/>
          <w:rtl/>
        </w:rPr>
        <w:t xml:space="preserve">, </w:t>
      </w:r>
      <w:hyperlink r:id="rId11" w:history="1">
        <w:r w:rsidRPr="006C6460">
          <w:rPr>
            <w:rFonts w:ascii="FrankRuehl" w:hAnsi="FrankRuehl" w:cs="FrankRuehl"/>
            <w:color w:val="0000FF"/>
            <w:u w:val="single"/>
            <w:rtl/>
          </w:rPr>
          <w:t>348(ב)</w:t>
        </w:r>
      </w:hyperlink>
      <w:r w:rsidRPr="006C6460">
        <w:rPr>
          <w:rFonts w:ascii="FrankRuehl" w:hAnsi="FrankRuehl" w:cs="FrankRuehl"/>
          <w:rtl/>
        </w:rPr>
        <w:t xml:space="preserve">, </w:t>
      </w:r>
      <w:hyperlink r:id="rId12" w:history="1">
        <w:r w:rsidRPr="006C6460">
          <w:rPr>
            <w:rFonts w:ascii="FrankRuehl" w:hAnsi="FrankRuehl" w:cs="FrankRuehl"/>
            <w:color w:val="0000FF"/>
            <w:u w:val="single"/>
            <w:rtl/>
          </w:rPr>
          <w:t>349</w:t>
        </w:r>
      </w:hyperlink>
    </w:p>
    <w:p w14:paraId="3B01DB40" w14:textId="77777777" w:rsidR="006C6460" w:rsidRPr="006C6460" w:rsidRDefault="006C6460" w:rsidP="006C6460">
      <w:pPr>
        <w:pStyle w:val="10"/>
        <w:suppressLineNumbers/>
        <w:spacing w:after="120" w:line="240" w:lineRule="exact"/>
        <w:ind w:left="283" w:hanging="283"/>
        <w:rPr>
          <w:rFonts w:ascii="FrankRuehl" w:hAnsi="FrankRuehl" w:cs="FrankRuehl"/>
          <w:rtl/>
        </w:rPr>
      </w:pPr>
    </w:p>
    <w:p w14:paraId="5144F380" w14:textId="77777777" w:rsidR="006C6460" w:rsidRPr="006C6460" w:rsidRDefault="006C6460">
      <w:pPr>
        <w:pStyle w:val="10"/>
        <w:suppressLineNumbers/>
        <w:rPr>
          <w:rtl/>
        </w:rPr>
      </w:pPr>
      <w:bookmarkStart w:id="3" w:name="LawTable_End"/>
      <w:bookmarkEnd w:id="3"/>
    </w:p>
    <w:p w14:paraId="5D3E59C1" w14:textId="77777777" w:rsidR="006C6460" w:rsidRPr="006C6460" w:rsidRDefault="006C6460">
      <w:pPr>
        <w:pStyle w:val="10"/>
        <w:suppressLineNumbers/>
        <w:rPr>
          <w:rtl/>
        </w:rPr>
      </w:pPr>
    </w:p>
    <w:p w14:paraId="3C061C4D" w14:textId="77777777" w:rsidR="006C6460" w:rsidRPr="006C6460" w:rsidRDefault="006C6460">
      <w:pPr>
        <w:pStyle w:val="10"/>
        <w:suppressLineNumbers/>
        <w:rPr>
          <w:rtl/>
        </w:rPr>
      </w:pPr>
    </w:p>
    <w:p w14:paraId="517891FC" w14:textId="77777777" w:rsidR="00AB6B4E" w:rsidRPr="00AB6B4E" w:rsidRDefault="00AB6B4E">
      <w:pPr>
        <w:pStyle w:val="10"/>
        <w:suppressLineNumbers/>
        <w:rPr>
          <w:rtl/>
        </w:rPr>
      </w:pPr>
    </w:p>
    <w:p w14:paraId="19854C7D" w14:textId="77777777" w:rsidR="00AB6B4E" w:rsidRPr="00AB6B4E" w:rsidRDefault="00AB6B4E">
      <w:pPr>
        <w:pStyle w:val="10"/>
        <w:suppressLineNumbers/>
        <w:rPr>
          <w:rtl/>
        </w:rPr>
      </w:pPr>
    </w:p>
    <w:p w14:paraId="29D40604" w14:textId="77777777" w:rsidR="00AB6B4E" w:rsidRPr="00AB6B4E" w:rsidRDefault="00AB6B4E">
      <w:pPr>
        <w:pStyle w:val="10"/>
        <w:suppressLineNumbers/>
        <w:rPr>
          <w:rtl/>
        </w:rPr>
      </w:pPr>
    </w:p>
    <w:p w14:paraId="45F7A08B" w14:textId="77777777" w:rsidR="00AB6B4E" w:rsidRPr="00AB6B4E" w:rsidRDefault="00AB6B4E">
      <w:pPr>
        <w:pStyle w:val="10"/>
        <w:suppressLineNumbers/>
        <w:rPr>
          <w:b/>
          <w:bCs/>
          <w:rtl/>
        </w:rPr>
      </w:pPr>
    </w:p>
    <w:p w14:paraId="47D6CD36" w14:textId="77777777" w:rsidR="00093829" w:rsidRPr="00AB6B4E" w:rsidRDefault="00093829">
      <w:pPr>
        <w:pStyle w:val="10"/>
        <w:suppressLineNumbers/>
        <w:rPr>
          <w:b/>
          <w:bCs/>
          <w:rtl/>
        </w:rPr>
      </w:pPr>
    </w:p>
    <w:p w14:paraId="168B6CDB" w14:textId="77777777" w:rsidR="00356939" w:rsidRPr="00356939" w:rsidRDefault="00356939">
      <w:pPr>
        <w:pStyle w:val="Heading2"/>
        <w:suppressLineNumbers/>
        <w:rPr>
          <w:b w:val="0"/>
          <w:bCs w:val="0"/>
          <w:u w:val="none"/>
          <w:rtl/>
        </w:rPr>
      </w:pPr>
    </w:p>
    <w:p w14:paraId="7DDBD809" w14:textId="77777777" w:rsidR="00356939" w:rsidRPr="00356939" w:rsidRDefault="00356939">
      <w:pPr>
        <w:pStyle w:val="Heading2"/>
        <w:suppressLineNumbers/>
        <w:rPr>
          <w:u w:val="none"/>
          <w:rtl/>
        </w:rPr>
      </w:pPr>
    </w:p>
    <w:p w14:paraId="75FBC03C" w14:textId="77777777" w:rsidR="00093829" w:rsidRPr="00356939" w:rsidRDefault="00093829">
      <w:pPr>
        <w:pStyle w:val="Heading2"/>
        <w:suppressLineNumbers/>
        <w:rPr>
          <w:u w:val="none"/>
          <w:rtl/>
        </w:rPr>
      </w:pPr>
    </w:p>
    <w:p w14:paraId="560ABE73" w14:textId="77777777" w:rsidR="00093829" w:rsidRDefault="00093829">
      <w:pPr>
        <w:pStyle w:val="Tuta"/>
        <w:rPr>
          <w:rFonts w:ascii="Arial" w:hAnsi="Arial"/>
          <w:b/>
          <w:bCs/>
          <w:iCs w:val="0"/>
          <w:noProof w:val="0"/>
          <w:color w:val="auto"/>
          <w:szCs w:val="28"/>
          <w:u w:val="single"/>
          <w:rtl/>
        </w:rPr>
      </w:pPr>
      <w:bookmarkStart w:id="4" w:name="Status"/>
      <w:bookmarkStart w:id="5" w:name="PsakDin"/>
      <w:bookmarkEnd w:id="4"/>
      <w:r>
        <w:rPr>
          <w:rFonts w:ascii="Arial" w:hAnsi="Arial"/>
          <w:b/>
          <w:bCs/>
          <w:iCs w:val="0"/>
          <w:noProof w:val="0"/>
          <w:color w:val="auto"/>
          <w:szCs w:val="28"/>
          <w:u w:val="single"/>
          <w:rtl/>
        </w:rPr>
        <w:t>הכרעת דין</w:t>
      </w:r>
    </w:p>
    <w:bookmarkEnd w:id="5"/>
    <w:p w14:paraId="753916F8" w14:textId="77777777" w:rsidR="00093829" w:rsidRDefault="00093829">
      <w:pPr>
        <w:rPr>
          <w:rtl/>
        </w:rPr>
      </w:pPr>
      <w:r>
        <w:rPr>
          <w:u w:val="single"/>
          <w:rtl/>
        </w:rPr>
        <w:t>השופט ח.פיזם - ס.נשיא (אב"ד)</w:t>
      </w:r>
    </w:p>
    <w:p w14:paraId="2A331617" w14:textId="77777777" w:rsidR="00093829" w:rsidRDefault="00093829">
      <w:pPr>
        <w:ind w:left="567" w:hanging="567"/>
        <w:rPr>
          <w:rtl/>
        </w:rPr>
      </w:pPr>
      <w:r>
        <w:rPr>
          <w:rtl/>
        </w:rPr>
        <w:t>1.</w:t>
      </w:r>
      <w:r>
        <w:rPr>
          <w:rtl/>
        </w:rPr>
        <w:tab/>
        <w:t xml:space="preserve">לנאשם יוחסו עבירות של מעשים מגונים בקטינות שלא בהסכמתן החופשית ועקב שימוש בכח וגרימת סבל גופני וכן מעשה סדום בקטינה שלא מלאו לה 16 שנים, שוב שלא בהסכמתה החופשית ועקב שימוש בכח וגרימת סבל גופני וכן נסיון למעשה סדום בקטינה שלא מלאו לה 16 שנה שלא בהסכמתה החופשית ועקב שימוש בכח וגרימת סבל גופני וכן מעשה מגונה בפני אדם שטרם מלאו לו 16 שנים. </w:t>
      </w:r>
    </w:p>
    <w:p w14:paraId="04E33CB6" w14:textId="77777777" w:rsidR="00093829" w:rsidRDefault="00093829">
      <w:pPr>
        <w:ind w:left="567" w:hanging="567"/>
        <w:rPr>
          <w:rtl/>
        </w:rPr>
      </w:pPr>
    </w:p>
    <w:p w14:paraId="1C9CC91E" w14:textId="77777777" w:rsidR="00093829" w:rsidRDefault="00093829">
      <w:pPr>
        <w:ind w:left="567"/>
        <w:rPr>
          <w:rtl/>
        </w:rPr>
      </w:pPr>
      <w:r>
        <w:rPr>
          <w:rtl/>
        </w:rPr>
        <w:t xml:space="preserve">העבירות לפי </w:t>
      </w:r>
      <w:hyperlink r:id="rId13" w:history="1">
        <w:r w:rsidR="00AB6B4E" w:rsidRPr="00AB6B4E">
          <w:rPr>
            <w:rStyle w:val="Hyperlink"/>
            <w:rtl/>
          </w:rPr>
          <w:t>הסעיפים 348(ב)</w:t>
        </w:r>
      </w:hyperlink>
      <w:r>
        <w:rPr>
          <w:rtl/>
        </w:rPr>
        <w:t xml:space="preserve"> בנסיבות </w:t>
      </w:r>
      <w:hyperlink r:id="rId14" w:history="1">
        <w:r w:rsidR="00AB6B4E" w:rsidRPr="00AB6B4E">
          <w:rPr>
            <w:color w:val="0000FF"/>
            <w:u w:val="single"/>
            <w:rtl/>
          </w:rPr>
          <w:t>345(ב)(1)</w:t>
        </w:r>
      </w:hyperlink>
      <w:r>
        <w:rPr>
          <w:rtl/>
        </w:rPr>
        <w:t xml:space="preserve"> + סעיף </w:t>
      </w:r>
      <w:hyperlink r:id="rId15" w:history="1">
        <w:r w:rsidR="00AB6B4E" w:rsidRPr="00AB6B4E">
          <w:rPr>
            <w:color w:val="0000FF"/>
            <w:u w:val="single"/>
            <w:rtl/>
          </w:rPr>
          <w:t>345 (א)(1)</w:t>
        </w:r>
      </w:hyperlink>
      <w:r>
        <w:rPr>
          <w:rtl/>
        </w:rPr>
        <w:t xml:space="preserve"> ל</w:t>
      </w:r>
      <w:hyperlink r:id="rId16" w:history="1">
        <w:r w:rsidR="00356939" w:rsidRPr="00356939">
          <w:rPr>
            <w:rStyle w:val="Hyperlink"/>
            <w:rtl/>
          </w:rPr>
          <w:t>חוק העונשין</w:t>
        </w:r>
      </w:hyperlink>
      <w:r>
        <w:rPr>
          <w:rtl/>
        </w:rPr>
        <w:t xml:space="preserve"> התשל"ז 1977 (להלן:</w:t>
      </w:r>
      <w:r>
        <w:rPr>
          <w:color w:val="FFFFFF"/>
          <w:sz w:val="4"/>
          <w:szCs w:val="4"/>
          <w:rtl/>
        </w:rPr>
        <w:t>ב</w:t>
      </w:r>
      <w:r>
        <w:rPr>
          <w:rtl/>
        </w:rPr>
        <w:t xml:space="preserve"> חוק העונשין) + </w:t>
      </w:r>
      <w:hyperlink r:id="rId17" w:history="1">
        <w:r w:rsidR="00AB6B4E" w:rsidRPr="00AB6B4E">
          <w:rPr>
            <w:color w:val="0000FF"/>
            <w:u w:val="single"/>
            <w:rtl/>
          </w:rPr>
          <w:t>סעיף 347(ב)</w:t>
        </w:r>
      </w:hyperlink>
      <w:r>
        <w:rPr>
          <w:rtl/>
        </w:rPr>
        <w:t xml:space="preserve"> בנסיבות הנ"ל + </w:t>
      </w:r>
      <w:hyperlink r:id="rId18" w:history="1">
        <w:r w:rsidR="00AB6B4E" w:rsidRPr="00AB6B4E">
          <w:rPr>
            <w:color w:val="0000FF"/>
            <w:u w:val="single"/>
            <w:rtl/>
          </w:rPr>
          <w:t>סעיף 25</w:t>
        </w:r>
      </w:hyperlink>
      <w:r>
        <w:rPr>
          <w:rtl/>
        </w:rPr>
        <w:t xml:space="preserve"> + </w:t>
      </w:r>
      <w:hyperlink r:id="rId19" w:history="1">
        <w:r w:rsidR="00AB6B4E" w:rsidRPr="00AB6B4E">
          <w:rPr>
            <w:color w:val="0000FF"/>
            <w:u w:val="single"/>
            <w:rtl/>
          </w:rPr>
          <w:t>סעיף 349</w:t>
        </w:r>
      </w:hyperlink>
      <w:r>
        <w:rPr>
          <w:rtl/>
        </w:rPr>
        <w:t xml:space="preserve"> לחוק העונשין.</w:t>
      </w:r>
    </w:p>
    <w:p w14:paraId="45DC43D0" w14:textId="77777777" w:rsidR="00093829" w:rsidRDefault="00093829">
      <w:pPr>
        <w:rPr>
          <w:rtl/>
        </w:rPr>
      </w:pPr>
    </w:p>
    <w:p w14:paraId="2E225A15" w14:textId="77777777" w:rsidR="00093829" w:rsidRDefault="00093829">
      <w:pPr>
        <w:rPr>
          <w:u w:val="single"/>
          <w:rtl/>
        </w:rPr>
      </w:pPr>
      <w:r>
        <w:rPr>
          <w:rtl/>
        </w:rPr>
        <w:tab/>
      </w:r>
      <w:r>
        <w:rPr>
          <w:u w:val="single"/>
          <w:rtl/>
        </w:rPr>
        <w:t>לגבי העובדות נטען בכתב האישום כדלקמן:</w:t>
      </w:r>
      <w:r>
        <w:rPr>
          <w:color w:val="FFFFFF"/>
          <w:sz w:val="4"/>
          <w:szCs w:val="4"/>
          <w:u w:val="single"/>
          <w:rtl/>
        </w:rPr>
        <w:t>ו</w:t>
      </w:r>
    </w:p>
    <w:p w14:paraId="76E69119" w14:textId="77777777" w:rsidR="00093829" w:rsidRDefault="00093829">
      <w:pPr>
        <w:ind w:left="567" w:hanging="567"/>
        <w:rPr>
          <w:rtl/>
        </w:rPr>
      </w:pPr>
      <w:r>
        <w:rPr>
          <w:rtl/>
        </w:rPr>
        <w:lastRenderedPageBreak/>
        <w:tab/>
        <w:t>הנאשם אביה של מ. ל. (להלן:</w:t>
      </w:r>
      <w:r>
        <w:rPr>
          <w:color w:val="FFFFFF"/>
          <w:sz w:val="4"/>
          <w:szCs w:val="4"/>
          <w:rtl/>
        </w:rPr>
        <w:t>נ</w:t>
      </w:r>
      <w:r>
        <w:rPr>
          <w:rtl/>
        </w:rPr>
        <w:t xml:space="preserve"> מ.) קטינה ילידת 1987 שהתגוררה עימו ועם אשתו ובנו במועדים הרלוונטים לכתב אישום זה, בדירה ברח' </w:t>
      </w:r>
      <w:r>
        <w:rPr>
          <w:rFonts w:hint="cs"/>
          <w:rtl/>
        </w:rPr>
        <w:t>???????????????</w:t>
      </w:r>
      <w:r>
        <w:rPr>
          <w:rtl/>
        </w:rPr>
        <w:t xml:space="preserve">, ולאחר מכן בדירה ברח' </w:t>
      </w:r>
      <w:r>
        <w:rPr>
          <w:rFonts w:hint="cs"/>
          <w:rtl/>
        </w:rPr>
        <w:t>???????????????.</w:t>
      </w:r>
      <w:r>
        <w:rPr>
          <w:rtl/>
        </w:rPr>
        <w:t xml:space="preserve"> (להלן יכונו שתי הדירות:</w:t>
      </w:r>
      <w:r>
        <w:rPr>
          <w:color w:val="FFFFFF"/>
          <w:sz w:val="4"/>
          <w:szCs w:val="4"/>
          <w:rtl/>
        </w:rPr>
        <w:t>ב</w:t>
      </w:r>
      <w:r>
        <w:rPr>
          <w:rtl/>
        </w:rPr>
        <w:t xml:space="preserve"> "הדירה").</w:t>
      </w:r>
    </w:p>
    <w:p w14:paraId="06595223" w14:textId="77777777" w:rsidR="00093829" w:rsidRDefault="00093829">
      <w:pPr>
        <w:ind w:left="567" w:hanging="567"/>
        <w:rPr>
          <w:rtl/>
        </w:rPr>
      </w:pPr>
      <w:r>
        <w:rPr>
          <w:rtl/>
        </w:rPr>
        <w:tab/>
      </w:r>
    </w:p>
    <w:p w14:paraId="2BB0CB7A" w14:textId="77777777" w:rsidR="00093829" w:rsidRDefault="00093829">
      <w:pPr>
        <w:ind w:left="567" w:hanging="567"/>
        <w:rPr>
          <w:rtl/>
        </w:rPr>
      </w:pPr>
      <w:r>
        <w:rPr>
          <w:rtl/>
        </w:rPr>
        <w:tab/>
        <w:t>חברותיה של מ.:</w:t>
      </w:r>
      <w:r>
        <w:rPr>
          <w:color w:val="FFFFFF"/>
          <w:sz w:val="4"/>
          <w:szCs w:val="4"/>
          <w:rtl/>
        </w:rPr>
        <w:t>ו</w:t>
      </w:r>
      <w:r>
        <w:rPr>
          <w:rtl/>
        </w:rPr>
        <w:t xml:space="preserve"> ע. ע. (להלן:</w:t>
      </w:r>
      <w:r>
        <w:rPr>
          <w:color w:val="FFFFFF"/>
          <w:sz w:val="4"/>
          <w:szCs w:val="4"/>
          <w:rtl/>
        </w:rPr>
        <w:t>נ</w:t>
      </w:r>
      <w:r>
        <w:rPr>
          <w:rtl/>
        </w:rPr>
        <w:t xml:space="preserve"> ע.), קטינה ילידת 1987 וכן א. ד. (להלן:</w:t>
      </w:r>
      <w:r>
        <w:rPr>
          <w:color w:val="FFFFFF"/>
          <w:sz w:val="4"/>
          <w:szCs w:val="4"/>
          <w:rtl/>
        </w:rPr>
        <w:t>ב</w:t>
      </w:r>
      <w:r>
        <w:rPr>
          <w:rtl/>
        </w:rPr>
        <w:t xml:space="preserve"> א.) קטינה ילידת 1986, י. ד. (להלן:</w:t>
      </w:r>
      <w:r>
        <w:rPr>
          <w:color w:val="FFFFFF"/>
          <w:sz w:val="4"/>
          <w:szCs w:val="4"/>
          <w:rtl/>
        </w:rPr>
        <w:t>ו</w:t>
      </w:r>
      <w:r>
        <w:rPr>
          <w:rtl/>
        </w:rPr>
        <w:t xml:space="preserve"> י.) קטינה ילידת 1987, ות. פ.  (להלן:</w:t>
      </w:r>
      <w:r>
        <w:rPr>
          <w:color w:val="FFFFFF"/>
          <w:sz w:val="4"/>
          <w:szCs w:val="4"/>
          <w:rtl/>
        </w:rPr>
        <w:t>נ</w:t>
      </w:r>
      <w:r>
        <w:rPr>
          <w:rtl/>
        </w:rPr>
        <w:t xml:space="preserve"> ת.), קטינה.</w:t>
      </w:r>
    </w:p>
    <w:p w14:paraId="387ADB17" w14:textId="77777777" w:rsidR="00093829" w:rsidRDefault="00093829">
      <w:pPr>
        <w:ind w:left="567" w:hanging="567"/>
        <w:rPr>
          <w:rtl/>
        </w:rPr>
      </w:pPr>
      <w:r>
        <w:rPr>
          <w:rtl/>
        </w:rPr>
        <w:tab/>
        <w:t>החברות הנ"ל, נהגו לבקר את מ. בדירה מפעם לפעם, בתקופות הרלוונטיות לכתב האישום, ובין השאר בשעות בהן שהה הנאשם בדירה.</w:t>
      </w:r>
    </w:p>
    <w:p w14:paraId="5C33DE0A" w14:textId="77777777" w:rsidR="00093829" w:rsidRDefault="00093829">
      <w:pPr>
        <w:ind w:left="567" w:hanging="567"/>
        <w:rPr>
          <w:rtl/>
        </w:rPr>
      </w:pPr>
    </w:p>
    <w:p w14:paraId="4CDA19EC" w14:textId="77777777" w:rsidR="00093829" w:rsidRDefault="00093829">
      <w:pPr>
        <w:ind w:left="567" w:hanging="567"/>
        <w:rPr>
          <w:rtl/>
        </w:rPr>
      </w:pPr>
      <w:r>
        <w:rPr>
          <w:rtl/>
        </w:rPr>
        <w:tab/>
        <w:t>במהלך חופשת קיץ 1997, שעה שי. ביקרה בדירה, תפס הנאשם את ידיה של י.  והכריח אותה להצמיד את ראשה לפלג גופו התחתון ולמצוץ את איבר המין שלו.</w:t>
      </w:r>
    </w:p>
    <w:p w14:paraId="662148FA" w14:textId="77777777" w:rsidR="00093829" w:rsidRDefault="00093829">
      <w:pPr>
        <w:ind w:left="567" w:hanging="567"/>
        <w:rPr>
          <w:rtl/>
        </w:rPr>
      </w:pPr>
      <w:r>
        <w:rPr>
          <w:rtl/>
        </w:rPr>
        <w:tab/>
        <w:t>לאחר מכן החדיר את אצבעו לישבנה של י..</w:t>
      </w:r>
    </w:p>
    <w:p w14:paraId="25F97B49" w14:textId="77777777" w:rsidR="00093829" w:rsidRDefault="00093829">
      <w:pPr>
        <w:ind w:left="567" w:hanging="567"/>
        <w:rPr>
          <w:rtl/>
        </w:rPr>
      </w:pPr>
    </w:p>
    <w:p w14:paraId="6EFB588A" w14:textId="77777777" w:rsidR="00093829" w:rsidRDefault="00093829">
      <w:pPr>
        <w:ind w:left="567" w:hanging="567"/>
        <w:rPr>
          <w:rtl/>
        </w:rPr>
      </w:pPr>
      <w:r>
        <w:rPr>
          <w:rtl/>
        </w:rPr>
        <w:tab/>
        <w:t>כחודש לפני הגשת כתב האישום (דהיינו ביוני 1998) כשביקרה ע. בדירה, מישש הנאשם את רגליה ונגע באיזור המפשעה שלה.</w:t>
      </w:r>
    </w:p>
    <w:p w14:paraId="3B8088BD" w14:textId="77777777" w:rsidR="00093829" w:rsidRDefault="00093829">
      <w:pPr>
        <w:ind w:left="567" w:hanging="567"/>
        <w:rPr>
          <w:rtl/>
        </w:rPr>
      </w:pPr>
    </w:p>
    <w:p w14:paraId="4D0A95FF" w14:textId="77777777" w:rsidR="00093829" w:rsidRDefault="00093829">
      <w:pPr>
        <w:ind w:left="567" w:hanging="567"/>
        <w:rPr>
          <w:rtl/>
        </w:rPr>
      </w:pPr>
      <w:r>
        <w:rPr>
          <w:rtl/>
        </w:rPr>
        <w:tab/>
        <w:t>ב- 4 החודשים האחרונים לפני הגשת כתב האישום, כשביקרה ע. בדירה, נהג הנאשם למשש את רגליה ואת ביטנה למרות שהיא רצתה לחמוק ממנו.</w:t>
      </w:r>
    </w:p>
    <w:p w14:paraId="2A294196" w14:textId="77777777" w:rsidR="00093829" w:rsidRDefault="00093829">
      <w:pPr>
        <w:ind w:left="567" w:hanging="567"/>
        <w:rPr>
          <w:rtl/>
        </w:rPr>
      </w:pPr>
    </w:p>
    <w:p w14:paraId="0BC5EB31" w14:textId="77777777" w:rsidR="00093829" w:rsidRDefault="00093829">
      <w:pPr>
        <w:ind w:left="567" w:hanging="567"/>
        <w:rPr>
          <w:rtl/>
        </w:rPr>
      </w:pPr>
      <w:r>
        <w:rPr>
          <w:rtl/>
        </w:rPr>
        <w:tab/>
        <w:t>ב- 8 מקרים נפרדים, במהלך השנה האחרונה (לפני הגשת כתב האישום) בזמן שביקרה א. בדירה, הזמין הנאשם את א. לשבת לידו, לאחר מכן לקח את ידה בכח והניח אותה על איבר מינו, כמו כן הכניס את ידו מתחת לתחתוניה, מישש את ישבנה ואיבר מינה. הוא גם הניח בכח את ידה על איבר המין שלו, וגרם לה לסגור את כף ידה על איבר מינו.</w:t>
      </w:r>
    </w:p>
    <w:p w14:paraId="42DC6628" w14:textId="77777777" w:rsidR="00093829" w:rsidRDefault="00093829">
      <w:pPr>
        <w:ind w:left="567" w:hanging="567"/>
        <w:rPr>
          <w:rtl/>
        </w:rPr>
      </w:pPr>
    </w:p>
    <w:p w14:paraId="1C47DE95" w14:textId="77777777" w:rsidR="00093829" w:rsidRDefault="00093829">
      <w:pPr>
        <w:ind w:left="567" w:hanging="567"/>
        <w:rPr>
          <w:rtl/>
        </w:rPr>
      </w:pPr>
      <w:r>
        <w:rPr>
          <w:rtl/>
        </w:rPr>
        <w:tab/>
        <w:t>כמו כן חיבק אותה וניסה לאלצה למצוץ את איבר מינו.</w:t>
      </w:r>
    </w:p>
    <w:p w14:paraId="0C32A9A3" w14:textId="77777777" w:rsidR="00093829" w:rsidRDefault="00093829">
      <w:pPr>
        <w:ind w:left="567" w:hanging="567"/>
        <w:rPr>
          <w:rtl/>
        </w:rPr>
      </w:pPr>
    </w:p>
    <w:p w14:paraId="0EA28BD7" w14:textId="77777777" w:rsidR="00093829" w:rsidRDefault="00093829">
      <w:pPr>
        <w:ind w:left="567" w:hanging="567"/>
        <w:rPr>
          <w:rtl/>
        </w:rPr>
      </w:pPr>
      <w:r>
        <w:rPr>
          <w:rtl/>
        </w:rPr>
        <w:tab/>
        <w:t>במועדים שאינם ידועים לתביעה, בעת ביקורי חברותיה הנ"ל של מ. בדירה, נהג הנאשם להסתובב בתחתונים בלבד, ולגעת באיבר המין שלו לפניהם.</w:t>
      </w:r>
    </w:p>
    <w:p w14:paraId="0CDB5E5F" w14:textId="77777777" w:rsidR="00093829" w:rsidRDefault="00093829">
      <w:pPr>
        <w:ind w:left="567" w:hanging="567"/>
        <w:rPr>
          <w:rtl/>
        </w:rPr>
      </w:pPr>
    </w:p>
    <w:p w14:paraId="56C01CE1" w14:textId="77777777" w:rsidR="00093829" w:rsidRDefault="00093829">
      <w:pPr>
        <w:ind w:left="567" w:hanging="567"/>
        <w:rPr>
          <w:rtl/>
        </w:rPr>
      </w:pPr>
      <w:r>
        <w:rPr>
          <w:rtl/>
        </w:rPr>
        <w:tab/>
        <w:t>הנאשם כפר בעובדות ואף התנגד לקבילות הודעותיו כמפורט בהודעתו בכתב מיום 01.09.98. הוא לא הביא טענת אליבי.</w:t>
      </w:r>
    </w:p>
    <w:p w14:paraId="2320D0B0" w14:textId="77777777" w:rsidR="00093829" w:rsidRDefault="00093829">
      <w:pPr>
        <w:ind w:left="567" w:hanging="567"/>
        <w:rPr>
          <w:rtl/>
        </w:rPr>
      </w:pPr>
    </w:p>
    <w:p w14:paraId="3CF2A776" w14:textId="77777777" w:rsidR="00093829" w:rsidRDefault="00093829">
      <w:pPr>
        <w:ind w:left="567" w:hanging="567"/>
        <w:rPr>
          <w:rtl/>
        </w:rPr>
      </w:pPr>
      <w:r>
        <w:rPr>
          <w:rtl/>
        </w:rPr>
        <w:tab/>
        <w:t>ביום 19.10.98, הסכימו הצדדים ביניהם כי ענין קבילות הודעות הנאשם ידון במסגרת הכרעת הדין, ולא ידון בנפרד במשפט הזוטא.</w:t>
      </w:r>
    </w:p>
    <w:p w14:paraId="440F2432" w14:textId="77777777" w:rsidR="00093829" w:rsidRDefault="00093829">
      <w:pPr>
        <w:ind w:left="567" w:hanging="567"/>
        <w:rPr>
          <w:rtl/>
        </w:rPr>
      </w:pPr>
    </w:p>
    <w:p w14:paraId="13EC7333" w14:textId="77777777" w:rsidR="00093829" w:rsidRDefault="00093829">
      <w:pPr>
        <w:ind w:left="567" w:hanging="567"/>
        <w:rPr>
          <w:rtl/>
        </w:rPr>
      </w:pPr>
      <w:r>
        <w:rPr>
          <w:rtl/>
        </w:rPr>
        <w:lastRenderedPageBreak/>
        <w:t>2.</w:t>
      </w:r>
      <w:r>
        <w:rPr>
          <w:rtl/>
        </w:rPr>
        <w:tab/>
        <w:t>הפרטים שהובאו לעיל, מתוך כתב האישום נלקחו מתוך הודעות שמסרו הילדות המתלוננות, כפי שהובאו על ידי חוקרת הנוער (ת3/ - ת25/).</w:t>
      </w:r>
    </w:p>
    <w:p w14:paraId="710C279E" w14:textId="77777777" w:rsidR="00093829" w:rsidRDefault="00093829">
      <w:pPr>
        <w:ind w:left="567" w:hanging="567"/>
        <w:rPr>
          <w:rtl/>
        </w:rPr>
      </w:pPr>
    </w:p>
    <w:p w14:paraId="7A58CC29" w14:textId="77777777" w:rsidR="00093829" w:rsidRDefault="00093829">
      <w:pPr>
        <w:ind w:left="567" w:hanging="567"/>
        <w:rPr>
          <w:rtl/>
        </w:rPr>
      </w:pPr>
      <w:r>
        <w:rPr>
          <w:rtl/>
        </w:rPr>
        <w:tab/>
        <w:t>בהופעתו של הנאשם בפני שופט השלום להארכת מעצרו לצרכי חקירה (ת26/), אמר הנאשם את הדברים הבאים:</w:t>
      </w:r>
      <w:r>
        <w:rPr>
          <w:color w:val="FFFFFF"/>
          <w:sz w:val="4"/>
          <w:szCs w:val="4"/>
          <w:rtl/>
        </w:rPr>
        <w:t>ב</w:t>
      </w:r>
    </w:p>
    <w:p w14:paraId="3B9D3329" w14:textId="77777777" w:rsidR="00093829" w:rsidRDefault="00093829">
      <w:pPr>
        <w:pStyle w:val="a1"/>
        <w:rPr>
          <w:rtl/>
        </w:rPr>
      </w:pPr>
      <w:r>
        <w:rPr>
          <w:rtl/>
        </w:rPr>
        <w:t>"לא היה שום מעשה מגונה, סך הכל ליטפתי אותה, ואני יודע שעשיתי טעות, היה רק ליטוף ולא היה מעשה מגונה, זה קרה לפני כמה חודשים שהיו אצלי בבית, זאת טעות שאני נורא מצטער עליה. אני מבקש סליחה. אני נשוי".</w:t>
      </w:r>
    </w:p>
    <w:p w14:paraId="18C085E3" w14:textId="77777777" w:rsidR="00093829" w:rsidRDefault="00093829">
      <w:pPr>
        <w:pStyle w:val="10"/>
        <w:rPr>
          <w:rtl/>
        </w:rPr>
      </w:pPr>
    </w:p>
    <w:p w14:paraId="2CDD0EB6" w14:textId="77777777" w:rsidR="00093829" w:rsidRDefault="00093829">
      <w:pPr>
        <w:pStyle w:val="10"/>
        <w:rPr>
          <w:rtl/>
        </w:rPr>
      </w:pPr>
      <w:r>
        <w:rPr>
          <w:rtl/>
        </w:rPr>
        <w:tab/>
        <w:t>לעומת זאת, הודה הנאשם בחקירתו במשטרה בעבירות חמורות יותר, בת1/ אומר הנאשם:</w:t>
      </w:r>
      <w:r>
        <w:rPr>
          <w:color w:val="FFFFFF"/>
          <w:sz w:val="4"/>
          <w:szCs w:val="4"/>
          <w:rtl/>
        </w:rPr>
        <w:t>ו</w:t>
      </w:r>
      <w:r>
        <w:rPr>
          <w:rtl/>
        </w:rPr>
        <w:t xml:space="preserve"> </w:t>
      </w:r>
    </w:p>
    <w:p w14:paraId="378A2D44" w14:textId="77777777" w:rsidR="00093829" w:rsidRDefault="00093829">
      <w:pPr>
        <w:pStyle w:val="a1"/>
        <w:rPr>
          <w:rtl/>
        </w:rPr>
      </w:pPr>
      <w:r>
        <w:rPr>
          <w:rtl/>
        </w:rPr>
        <w:t>"הילדה י. נכנסה לחדר שלי, דיברנו והתחלנו לצחוק ולשחק בידיים, ואז הושבתי אותה במיטה לידי, ולקחתי לה את היד והכנסתי את היד שלה מתחת לשמיכה, ושמתי את היד בהתחלה על הבטן ולאט לאט הורדתי לה את היד ונתתי לה לשחק לי בזין, היא החזיקה לי את הזין בערך כמה שניות, בזמן הזה הכנסתי לה את היד שלי מתחת למכנסיים שלה ומתחת לתחתון שלה וליטפתי לה עם האצבע שלי את החריץ של הישבן, אח"כ לקחתי את הראש שלה והכנסתי אותו מתחת לשמיכה ולאט לאט הורדתי לה את הראש לכיוון הזין שלי ושמתי את הפה שלה על הזין שלי, היא לא מצצה לי אותו, אך נישקה לי את הזין עם השפתיים שלה... ואז הבת שלי יצאה מהמקלחת... היו שני מקרים כאלה".</w:t>
      </w:r>
    </w:p>
    <w:p w14:paraId="4AF758AD" w14:textId="77777777" w:rsidR="00093829" w:rsidRDefault="00093829">
      <w:pPr>
        <w:pStyle w:val="a1"/>
        <w:rPr>
          <w:rtl/>
        </w:rPr>
      </w:pPr>
    </w:p>
    <w:p w14:paraId="0E11CFEC" w14:textId="77777777" w:rsidR="00093829" w:rsidRDefault="00093829">
      <w:pPr>
        <w:pStyle w:val="10"/>
        <w:ind w:left="567" w:hanging="567"/>
        <w:rPr>
          <w:rtl/>
        </w:rPr>
      </w:pPr>
      <w:r>
        <w:rPr>
          <w:rtl/>
        </w:rPr>
        <w:tab/>
        <w:t>באשר למעשיו של הנאשם בא., הוא אומר בת1/:</w:t>
      </w:r>
      <w:r>
        <w:rPr>
          <w:color w:val="FFFFFF"/>
          <w:sz w:val="4"/>
          <w:szCs w:val="4"/>
          <w:rtl/>
        </w:rPr>
        <w:t>נ</w:t>
      </w:r>
    </w:p>
    <w:p w14:paraId="5C6259DD" w14:textId="77777777" w:rsidR="00093829" w:rsidRDefault="00093829">
      <w:pPr>
        <w:pStyle w:val="a1"/>
        <w:rPr>
          <w:rtl/>
        </w:rPr>
      </w:pPr>
      <w:r>
        <w:rPr>
          <w:rtl/>
        </w:rPr>
        <w:t>"היתה עוד ילדה בשם א., רוסיה, חברה של מ. לה גם שיחקתי בחריץ של התחת, בערך שלוש ארבע פעמים ואז גם נתתי לה להחזיק לי את הזין, זה מה שקרה, ואני מאוד מצטער... את א. רק ליטפתי בישבן לא הכנסתי אצבעות ולקחתי את היד שלה ושמתי את היד על איבר המין, היא התנגדה וקמה... ליטפתי אותה מתחת לבגדים".</w:t>
      </w:r>
    </w:p>
    <w:p w14:paraId="441E57EA" w14:textId="77777777" w:rsidR="00093829" w:rsidRDefault="00093829">
      <w:pPr>
        <w:pStyle w:val="a1"/>
        <w:rPr>
          <w:rtl/>
        </w:rPr>
      </w:pPr>
    </w:p>
    <w:p w14:paraId="5B1F83AC" w14:textId="77777777" w:rsidR="00093829" w:rsidRDefault="00093829">
      <w:pPr>
        <w:pStyle w:val="10"/>
        <w:ind w:left="567" w:hanging="567"/>
        <w:rPr>
          <w:rtl/>
        </w:rPr>
      </w:pPr>
      <w:r>
        <w:rPr>
          <w:rtl/>
        </w:rPr>
        <w:tab/>
        <w:t>למעשה חזר הנאשם על הודעתו - הודאתו הנ"ל גם בהודעתו ת2/ וכל מה שהיה הוא שהוא עמד על הכחשת מעשיו בע., וכן טען שלא היתה מציצה אלא מגע של שפתיים באיבר מינו.</w:t>
      </w:r>
    </w:p>
    <w:p w14:paraId="630B4B41" w14:textId="77777777" w:rsidR="00093829" w:rsidRDefault="00093829">
      <w:pPr>
        <w:pStyle w:val="10"/>
        <w:ind w:left="567" w:hanging="567"/>
        <w:rPr>
          <w:rtl/>
        </w:rPr>
      </w:pPr>
    </w:p>
    <w:p w14:paraId="4352DA6C" w14:textId="77777777" w:rsidR="00093829" w:rsidRDefault="00093829">
      <w:pPr>
        <w:pStyle w:val="10"/>
        <w:ind w:left="567" w:hanging="567"/>
        <w:rPr>
          <w:rtl/>
        </w:rPr>
      </w:pPr>
      <w:r>
        <w:rPr>
          <w:rtl/>
        </w:rPr>
        <w:tab/>
        <w:t>הנאשם טען כי אנשי משטרה איימו עליו שאם לא יאשר את הטענות כנגדו, הוא לא ישוחרר ממעצרו, ואם יחתום על ההודעה, ויודה ילך הביתה. טענות אלה הפנה הנאשם כנגד חוקריו רס"ל פאליק בצלאל וכן החוקרת שרי מזרחי.</w:t>
      </w:r>
    </w:p>
    <w:p w14:paraId="5C924AF5" w14:textId="77777777" w:rsidR="00093829" w:rsidRDefault="00093829">
      <w:pPr>
        <w:pStyle w:val="10"/>
        <w:ind w:left="567" w:hanging="567"/>
        <w:rPr>
          <w:rtl/>
        </w:rPr>
      </w:pPr>
      <w:r>
        <w:rPr>
          <w:rtl/>
        </w:rPr>
        <w:tab/>
        <w:t>עוד טען הנאשם, כי שני החוקרים הנ"ל לא איפשרו לו לקרוא את הודעותיו, לא איפשרו לו לקבל טיפול רפואי מינימ., לא איפשרו לו להתגלח ולהתרחץ וכן כי נדרש לחתום על ההודעות מבלי לעיין בהן. בהקשר זה טען הנאשם כי הדבר נבע מכך שהוא קצר ראי, לא היו לו משקפיים בעת חקירתו.</w:t>
      </w:r>
    </w:p>
    <w:p w14:paraId="73527E27" w14:textId="77777777" w:rsidR="00093829" w:rsidRDefault="00093829">
      <w:pPr>
        <w:pStyle w:val="10"/>
        <w:ind w:left="567" w:hanging="567"/>
        <w:rPr>
          <w:rtl/>
        </w:rPr>
      </w:pPr>
    </w:p>
    <w:p w14:paraId="3EBEA69D" w14:textId="77777777" w:rsidR="00093829" w:rsidRDefault="00093829">
      <w:pPr>
        <w:pStyle w:val="10"/>
        <w:ind w:left="567" w:hanging="567"/>
        <w:rPr>
          <w:rtl/>
        </w:rPr>
      </w:pPr>
      <w:r>
        <w:rPr>
          <w:rtl/>
        </w:rPr>
        <w:tab/>
        <w:t>חוקריו של הנאשם הכחישו את הטענות הנ"ל ומסרו כי הנאשם מסר את הודעותיו מרצונו החופשי וקיבל אפשרות להתקשר לעו"ד שלו, לפגוש את אשתו וכן הותר לו לקבל סיגריות וצרכים אחרים.</w:t>
      </w:r>
    </w:p>
    <w:p w14:paraId="330AA609" w14:textId="77777777" w:rsidR="00093829" w:rsidRDefault="00093829">
      <w:pPr>
        <w:pStyle w:val="10"/>
        <w:ind w:left="567" w:hanging="567"/>
        <w:rPr>
          <w:rtl/>
        </w:rPr>
      </w:pPr>
    </w:p>
    <w:p w14:paraId="3A90684F" w14:textId="77777777" w:rsidR="00093829" w:rsidRDefault="00093829">
      <w:pPr>
        <w:pStyle w:val="10"/>
        <w:ind w:left="567" w:hanging="567"/>
        <w:rPr>
          <w:rtl/>
        </w:rPr>
      </w:pPr>
      <w:r>
        <w:rPr>
          <w:rtl/>
        </w:rPr>
        <w:t>3.</w:t>
      </w:r>
      <w:r>
        <w:rPr>
          <w:rtl/>
        </w:rPr>
        <w:tab/>
        <w:t>התרשמתי שחוקריו של הנאשם העידו אמת, לא איימו ולא לחצו על הנאשם.</w:t>
      </w:r>
    </w:p>
    <w:p w14:paraId="50FE6BA6" w14:textId="77777777" w:rsidR="00093829" w:rsidRDefault="00093829">
      <w:pPr>
        <w:pStyle w:val="10"/>
        <w:ind w:left="567" w:hanging="567"/>
        <w:rPr>
          <w:rtl/>
        </w:rPr>
      </w:pPr>
    </w:p>
    <w:p w14:paraId="4B74AE0C" w14:textId="77777777" w:rsidR="00093829" w:rsidRDefault="00093829">
      <w:pPr>
        <w:pStyle w:val="10"/>
        <w:ind w:left="567" w:hanging="567"/>
        <w:rPr>
          <w:rtl/>
        </w:rPr>
      </w:pPr>
      <w:r>
        <w:rPr>
          <w:rtl/>
        </w:rPr>
        <w:tab/>
        <w:t>הנה כי כן, לו היה ממש בטענותיו של הנאשם, לא היה אומר דברים די חמורים כשלעצמם בהופעתו בפני שופט השלום (שהזכרתי לעיל - ת26/).</w:t>
      </w:r>
    </w:p>
    <w:p w14:paraId="5645EE08" w14:textId="77777777" w:rsidR="00093829" w:rsidRDefault="00093829">
      <w:pPr>
        <w:pStyle w:val="10"/>
        <w:ind w:left="567" w:hanging="567"/>
        <w:rPr>
          <w:rtl/>
        </w:rPr>
      </w:pPr>
    </w:p>
    <w:p w14:paraId="53C9836B" w14:textId="77777777" w:rsidR="00093829" w:rsidRDefault="00093829">
      <w:pPr>
        <w:pStyle w:val="10"/>
        <w:ind w:left="567" w:hanging="567"/>
        <w:rPr>
          <w:rtl/>
        </w:rPr>
      </w:pPr>
      <w:r>
        <w:rPr>
          <w:rtl/>
        </w:rPr>
        <w:tab/>
        <w:t>גם אם הנאשם לא קרא את הודעותיו אלא רק הקריאו לו אותם, ואפילו אם לא הקריאו לו את ההודעות, זה לא אומר שמה שנרשם מפיו אינו אמת.</w:t>
      </w:r>
    </w:p>
    <w:p w14:paraId="74C389E4" w14:textId="77777777" w:rsidR="00093829" w:rsidRDefault="00093829">
      <w:pPr>
        <w:pStyle w:val="10"/>
        <w:ind w:left="567" w:hanging="567"/>
        <w:rPr>
          <w:rtl/>
        </w:rPr>
      </w:pPr>
    </w:p>
    <w:p w14:paraId="0C8DF0DC" w14:textId="77777777" w:rsidR="00093829" w:rsidRDefault="00093829">
      <w:pPr>
        <w:pStyle w:val="10"/>
        <w:ind w:left="567" w:hanging="567"/>
        <w:rPr>
          <w:rtl/>
        </w:rPr>
      </w:pPr>
      <w:r>
        <w:rPr>
          <w:rtl/>
        </w:rPr>
        <w:tab/>
        <w:t>כמו כן, כשמשווים את אופן הדיבור של הילדות המתלוננות לאופן הדיבור של הנאשם, רואים מיד שאופן הדיבור שלו אופייני לו ואינו "העתקה" של התלונות נגדו. הוא גם הכחיש חלק מהמעשים שיוחסו לו, ולו היה מדובר "בפיברוק" או "בהכתבה" או בלקיחת הודאה באיומים,  הרי שהיו מופיעות בהודעות שלו כל התלונות שיוחסו לו, ולא רק הודיה בחלק מהם.</w:t>
      </w:r>
    </w:p>
    <w:p w14:paraId="3C5DD34E" w14:textId="77777777" w:rsidR="00093829" w:rsidRDefault="00093829">
      <w:pPr>
        <w:pStyle w:val="10"/>
        <w:ind w:left="567" w:hanging="567"/>
        <w:rPr>
          <w:rtl/>
        </w:rPr>
      </w:pPr>
    </w:p>
    <w:p w14:paraId="768037B1" w14:textId="77777777" w:rsidR="00093829" w:rsidRDefault="00093829">
      <w:pPr>
        <w:pStyle w:val="10"/>
        <w:ind w:left="567" w:hanging="567"/>
        <w:rPr>
          <w:rtl/>
        </w:rPr>
      </w:pPr>
      <w:r>
        <w:rPr>
          <w:rtl/>
        </w:rPr>
        <w:tab/>
        <w:t>נכון אומנם שהנאשם הראה שהוא קצר רואי, אך זה עדיין לא מראה שהוא לא מסוגל היה לקרוא באופן זה או אחר טקסט גם ללא משקפיים. בכל מקרה, לא שוכנעתי כי משקפי הנאשם לא היה עימו במהלך החקירה.</w:t>
      </w:r>
    </w:p>
    <w:p w14:paraId="2FE571C5" w14:textId="77777777" w:rsidR="00093829" w:rsidRDefault="00093829">
      <w:pPr>
        <w:pStyle w:val="10"/>
        <w:ind w:left="567" w:hanging="567"/>
        <w:rPr>
          <w:rtl/>
        </w:rPr>
      </w:pPr>
    </w:p>
    <w:p w14:paraId="104A5EC6" w14:textId="77777777" w:rsidR="00093829" w:rsidRDefault="00093829">
      <w:pPr>
        <w:pStyle w:val="10"/>
        <w:ind w:left="567" w:hanging="567"/>
        <w:rPr>
          <w:rtl/>
        </w:rPr>
      </w:pPr>
      <w:r>
        <w:rPr>
          <w:rtl/>
        </w:rPr>
        <w:tab/>
        <w:t>אי לכך, נראה לי שהוכח מעל לכל ספק סביר שהנאשם מסר את הודעותיו במשטרה מרצונו החופשי והוא "נתפס בהן".</w:t>
      </w:r>
    </w:p>
    <w:p w14:paraId="10227AFE" w14:textId="77777777" w:rsidR="00093829" w:rsidRDefault="00093829">
      <w:pPr>
        <w:pStyle w:val="10"/>
        <w:ind w:left="567" w:hanging="567"/>
        <w:rPr>
          <w:rtl/>
        </w:rPr>
      </w:pPr>
      <w:r>
        <w:rPr>
          <w:rtl/>
        </w:rPr>
        <w:t>4.</w:t>
      </w:r>
      <w:r>
        <w:rPr>
          <w:rtl/>
        </w:rPr>
        <w:tab/>
        <w:t>בשעתו, החליטה חוקרת הילדים, העדה אהובה גובני (להלן:</w:t>
      </w:r>
      <w:r>
        <w:rPr>
          <w:color w:val="FFFFFF"/>
          <w:sz w:val="4"/>
          <w:szCs w:val="4"/>
          <w:rtl/>
        </w:rPr>
        <w:t>ב</w:t>
      </w:r>
      <w:r>
        <w:rPr>
          <w:rtl/>
        </w:rPr>
        <w:t xml:space="preserve"> אהובה) להרשות את העדת הילדות, אך היא חזרה בה, ובית משפט החליט כי בנסיבות, אין אפשרות להעיד את הילדות, ולכן התקבלו עדויותיהם של הילדות המתלוננות אשר נגבו על ידי אהובה כראיות במקום עדויות הילדות.</w:t>
      </w:r>
    </w:p>
    <w:p w14:paraId="15D52A6F" w14:textId="77777777" w:rsidR="00093829" w:rsidRDefault="00093829">
      <w:pPr>
        <w:pStyle w:val="10"/>
        <w:ind w:left="567" w:hanging="567"/>
        <w:rPr>
          <w:rtl/>
        </w:rPr>
      </w:pPr>
    </w:p>
    <w:p w14:paraId="2DC994BB" w14:textId="77777777" w:rsidR="00093829" w:rsidRDefault="00093829">
      <w:pPr>
        <w:pStyle w:val="10"/>
        <w:ind w:left="567" w:hanging="567"/>
        <w:rPr>
          <w:rtl/>
        </w:rPr>
      </w:pPr>
      <w:r>
        <w:rPr>
          <w:rtl/>
        </w:rPr>
        <w:tab/>
        <w:t>אכן, אין אפשרות להרשיע נאשם על פי עדות חוקרת ילדים, ללא סיוע.</w:t>
      </w:r>
    </w:p>
    <w:p w14:paraId="295B8A73" w14:textId="77777777" w:rsidR="00093829" w:rsidRDefault="00093829">
      <w:pPr>
        <w:pStyle w:val="10"/>
        <w:ind w:left="567" w:hanging="567"/>
        <w:rPr>
          <w:rtl/>
        </w:rPr>
      </w:pPr>
    </w:p>
    <w:p w14:paraId="37DB2051" w14:textId="77777777" w:rsidR="00093829" w:rsidRDefault="00093829">
      <w:pPr>
        <w:pStyle w:val="10"/>
        <w:ind w:left="567" w:hanging="567"/>
        <w:rPr>
          <w:rtl/>
        </w:rPr>
      </w:pPr>
      <w:r>
        <w:rPr>
          <w:rtl/>
        </w:rPr>
        <w:tab/>
        <w:t>בנדוננו, יש סיוע מירבי לראיות שנגבו על ידי אהובה, הן מכך שכל ילדה בעדותה סייעה לחברתה, והן מההודעות של הנאשם והפרוטוקול בבית משפט השלום.</w:t>
      </w:r>
    </w:p>
    <w:p w14:paraId="6C73824A" w14:textId="77777777" w:rsidR="00093829" w:rsidRDefault="00093829">
      <w:pPr>
        <w:pStyle w:val="10"/>
        <w:ind w:left="567" w:hanging="567"/>
        <w:rPr>
          <w:rtl/>
        </w:rPr>
      </w:pPr>
      <w:r>
        <w:rPr>
          <w:rtl/>
        </w:rPr>
        <w:tab/>
        <w:t xml:space="preserve">(עפ' 949/80 שוהמי נ. מדינת ישראל, פ"ד לה(4) 62, 76. עפ' 551,526/79 </w:t>
      </w:r>
      <w:hyperlink r:id="rId20" w:history="1">
        <w:r w:rsidR="00AB6B4E" w:rsidRPr="00AB6B4E">
          <w:rPr>
            <w:color w:val="0000FF"/>
            <w:u w:val="single"/>
            <w:rtl/>
          </w:rPr>
          <w:t xml:space="preserve">אלחמרן </w:t>
        </w:r>
      </w:hyperlink>
      <w:r>
        <w:rPr>
          <w:rtl/>
        </w:rPr>
        <w:t xml:space="preserve"> נ. מדינת ישראל, פ"ד לד(3)  44, 55).</w:t>
      </w:r>
    </w:p>
    <w:p w14:paraId="265A39EF" w14:textId="77777777" w:rsidR="00093829" w:rsidRDefault="00093829">
      <w:pPr>
        <w:pStyle w:val="10"/>
        <w:ind w:left="567" w:hanging="567"/>
        <w:rPr>
          <w:rtl/>
        </w:rPr>
      </w:pPr>
      <w:r>
        <w:rPr>
          <w:rtl/>
        </w:rPr>
        <w:tab/>
      </w:r>
    </w:p>
    <w:p w14:paraId="6E6D52C6" w14:textId="77777777" w:rsidR="00093829" w:rsidRDefault="00093829">
      <w:pPr>
        <w:pStyle w:val="10"/>
        <w:ind w:left="567"/>
        <w:rPr>
          <w:rtl/>
        </w:rPr>
      </w:pPr>
      <w:r>
        <w:rPr>
          <w:rtl/>
        </w:rPr>
        <w:t>הנאשם טען כי התלונות נגדו הובאו בגלל מריבה של חברותיה של בתו מ., עימה. לא מתקבלת על דעתי  טענה זו, ואני לא מאמין לה.</w:t>
      </w:r>
    </w:p>
    <w:p w14:paraId="730D64AC" w14:textId="77777777" w:rsidR="00093829" w:rsidRDefault="00093829">
      <w:pPr>
        <w:pStyle w:val="10"/>
        <w:ind w:left="567" w:hanging="567"/>
        <w:rPr>
          <w:rtl/>
        </w:rPr>
      </w:pPr>
    </w:p>
    <w:p w14:paraId="63DC064E" w14:textId="77777777" w:rsidR="00093829" w:rsidRDefault="00093829">
      <w:pPr>
        <w:pStyle w:val="10"/>
        <w:ind w:left="567" w:hanging="567"/>
        <w:rPr>
          <w:rtl/>
        </w:rPr>
      </w:pPr>
      <w:r>
        <w:rPr>
          <w:rtl/>
        </w:rPr>
        <w:tab/>
        <w:t xml:space="preserve">מה עוד שהנאשם עצמו הודה במסגרת חקירתו במעשים חמורים מאוד. </w:t>
      </w:r>
    </w:p>
    <w:p w14:paraId="0AEAC6DD" w14:textId="77777777" w:rsidR="00093829" w:rsidRDefault="00093829">
      <w:pPr>
        <w:pStyle w:val="10"/>
        <w:ind w:left="567" w:hanging="567"/>
        <w:rPr>
          <w:rtl/>
        </w:rPr>
      </w:pPr>
    </w:p>
    <w:p w14:paraId="6BDBCEAB" w14:textId="77777777" w:rsidR="00093829" w:rsidRDefault="00093829">
      <w:pPr>
        <w:pStyle w:val="10"/>
        <w:ind w:left="567" w:hanging="567"/>
        <w:rPr>
          <w:rtl/>
        </w:rPr>
      </w:pPr>
      <w:r>
        <w:rPr>
          <w:rtl/>
        </w:rPr>
        <w:tab/>
        <w:t>עדותו של הנאשם בפנינו אינה מהימנת עלי, ואני מעדיף עליה את גירסת הילדות המתלוננות.</w:t>
      </w:r>
    </w:p>
    <w:p w14:paraId="6A9473C6" w14:textId="77777777" w:rsidR="00093829" w:rsidRDefault="00093829">
      <w:pPr>
        <w:pStyle w:val="10"/>
        <w:ind w:left="567" w:hanging="567"/>
        <w:rPr>
          <w:rtl/>
        </w:rPr>
      </w:pPr>
    </w:p>
    <w:p w14:paraId="5C2A644B" w14:textId="77777777" w:rsidR="00093829" w:rsidRDefault="00093829">
      <w:pPr>
        <w:pStyle w:val="10"/>
        <w:ind w:left="567" w:hanging="567"/>
        <w:rPr>
          <w:rtl/>
        </w:rPr>
      </w:pPr>
      <w:r>
        <w:rPr>
          <w:rtl/>
        </w:rPr>
        <w:tab/>
        <w:t>יצויין כי עצם הדמיון בין העבירות  המיוחסות לנאשם, לפחות באשר למעשיו בי. ובא.,  מהווה סיוע לגירסת המתלוננות. (עפ' 4009/90 מ"י נ. פלוני,  פ"ד מז(1) 292, 305).</w:t>
      </w:r>
    </w:p>
    <w:p w14:paraId="61568AA1" w14:textId="77777777" w:rsidR="00093829" w:rsidRDefault="00093829">
      <w:pPr>
        <w:pStyle w:val="10"/>
        <w:ind w:left="567" w:hanging="567"/>
        <w:rPr>
          <w:rtl/>
        </w:rPr>
      </w:pPr>
    </w:p>
    <w:p w14:paraId="50112638" w14:textId="77777777" w:rsidR="00093829" w:rsidRDefault="00093829">
      <w:pPr>
        <w:pStyle w:val="10"/>
        <w:ind w:left="567" w:hanging="567"/>
        <w:rPr>
          <w:rtl/>
        </w:rPr>
      </w:pPr>
      <w:r>
        <w:rPr>
          <w:rtl/>
        </w:rPr>
        <w:t>5.</w:t>
      </w:r>
      <w:r>
        <w:rPr>
          <w:rtl/>
        </w:rPr>
        <w:tab/>
        <w:t>לכאורה, לא ברור עד כמה היתה החדרה של אצבע הנאשם לפי הטבעת של  י. ויתכן שמדובר רק במשחק שלו בעכוזה, בקרבת פי הטבעת. עניין זה כשלעצמו חמור, אך מתעורר ספק בנסיבות אם לגבי י. ביצע הנאשם מעשה סדום על ידי המעשה הנ"ל או מעשה מגונה בלבד.</w:t>
      </w:r>
    </w:p>
    <w:p w14:paraId="3CF4031E" w14:textId="77777777" w:rsidR="00093829" w:rsidRDefault="00093829">
      <w:pPr>
        <w:pStyle w:val="10"/>
        <w:ind w:left="567" w:hanging="567"/>
        <w:rPr>
          <w:rtl/>
        </w:rPr>
      </w:pPr>
    </w:p>
    <w:p w14:paraId="78286864" w14:textId="77777777" w:rsidR="00093829" w:rsidRDefault="00093829">
      <w:pPr>
        <w:pStyle w:val="10"/>
        <w:ind w:left="567" w:hanging="567"/>
        <w:rPr>
          <w:rtl/>
        </w:rPr>
      </w:pPr>
      <w:r>
        <w:rPr>
          <w:rtl/>
        </w:rPr>
        <w:tab/>
        <w:t>יחד עם זאת, זה שהנאשם הביא את איבר מינו לפיה של י., הוא בבחינת מעשה סדום, ללא כל ספק.</w:t>
      </w:r>
    </w:p>
    <w:p w14:paraId="4139C402" w14:textId="77777777" w:rsidR="00093829" w:rsidRDefault="00093829">
      <w:pPr>
        <w:pStyle w:val="10"/>
        <w:ind w:left="567" w:hanging="567"/>
        <w:rPr>
          <w:rtl/>
        </w:rPr>
      </w:pPr>
    </w:p>
    <w:p w14:paraId="602147FB" w14:textId="77777777" w:rsidR="00093829" w:rsidRDefault="00093829">
      <w:pPr>
        <w:pStyle w:val="10"/>
        <w:ind w:left="567" w:hanging="567"/>
        <w:rPr>
          <w:rtl/>
        </w:rPr>
      </w:pPr>
      <w:r>
        <w:rPr>
          <w:rtl/>
        </w:rPr>
        <w:tab/>
        <w:t>כאן אזכיר, לצורך סיכום ביניים את הנסיון של הנאשם לבצע מעשה סדום בא., ואת העובדה שהנאשם נהג להסתובב בביתו בנוכחות חברותיה הקטינות של בתו כשהוא בתחתונים ותוך שהוא נוגע באיבר מינו.</w:t>
      </w:r>
    </w:p>
    <w:p w14:paraId="77D35E6B" w14:textId="77777777" w:rsidR="00093829" w:rsidRDefault="00093829">
      <w:pPr>
        <w:pStyle w:val="10"/>
        <w:ind w:left="567" w:hanging="567"/>
        <w:rPr>
          <w:rtl/>
        </w:rPr>
      </w:pPr>
    </w:p>
    <w:p w14:paraId="02DA20D7" w14:textId="77777777" w:rsidR="00093829" w:rsidRDefault="00093829">
      <w:pPr>
        <w:pStyle w:val="10"/>
        <w:ind w:left="567" w:hanging="567"/>
        <w:rPr>
          <w:rtl/>
        </w:rPr>
      </w:pPr>
      <w:r>
        <w:rPr>
          <w:rtl/>
        </w:rPr>
        <w:tab/>
        <w:t>כך שנראה לי שהוכחו האישומים שיוחסו לנאשם בכתב האישום, ואני מציע להרשיע אותו בכל האישומים הנ"ל.</w:t>
      </w:r>
    </w:p>
    <w:p w14:paraId="052A963A" w14:textId="77777777" w:rsidR="00093829" w:rsidRDefault="00093829">
      <w:pPr>
        <w:pStyle w:val="10"/>
        <w:ind w:left="567" w:hanging="567"/>
        <w:rPr>
          <w:rtl/>
        </w:rPr>
      </w:pPr>
    </w:p>
    <w:p w14:paraId="4DD1D270" w14:textId="77777777" w:rsidR="00093829" w:rsidRDefault="00093829">
      <w:pPr>
        <w:pStyle w:val="10"/>
        <w:ind w:left="567" w:hanging="567"/>
        <w:rPr>
          <w:rtl/>
        </w:rPr>
      </w:pP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t>_______________</w:t>
      </w:r>
    </w:p>
    <w:p w14:paraId="0582F955" w14:textId="77777777" w:rsidR="00093829" w:rsidRDefault="00093829">
      <w:pPr>
        <w:pStyle w:val="10"/>
        <w:ind w:left="567" w:hanging="567"/>
        <w:rPr>
          <w:rtl/>
        </w:rPr>
      </w:pP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t xml:space="preserve">    ח.פיזם - שופט </w:t>
      </w:r>
    </w:p>
    <w:p w14:paraId="0CA3F697" w14:textId="77777777" w:rsidR="00093829" w:rsidRDefault="00093829">
      <w:pPr>
        <w:pStyle w:val="10"/>
        <w:ind w:left="567"/>
        <w:rPr>
          <w:rtl/>
        </w:rPr>
      </w:pPr>
      <w:r>
        <w:rPr>
          <w:rtl/>
        </w:rPr>
        <w:tab/>
      </w:r>
      <w:r>
        <w:rPr>
          <w:rtl/>
        </w:rPr>
        <w:tab/>
      </w:r>
      <w:r>
        <w:rPr>
          <w:rtl/>
        </w:rPr>
        <w:tab/>
      </w:r>
      <w:r>
        <w:rPr>
          <w:rtl/>
        </w:rPr>
        <w:tab/>
      </w:r>
      <w:r>
        <w:rPr>
          <w:rtl/>
        </w:rPr>
        <w:tab/>
      </w:r>
      <w:r>
        <w:rPr>
          <w:rtl/>
        </w:rPr>
        <w:tab/>
      </w:r>
      <w:r>
        <w:rPr>
          <w:rtl/>
        </w:rPr>
        <w:tab/>
      </w:r>
      <w:r>
        <w:rPr>
          <w:rtl/>
        </w:rPr>
        <w:tab/>
      </w:r>
      <w:r>
        <w:rPr>
          <w:rtl/>
        </w:rPr>
        <w:tab/>
        <w:t xml:space="preserve">  </w:t>
      </w:r>
      <w:r>
        <w:rPr>
          <w:rtl/>
        </w:rPr>
        <w:tab/>
        <w:t xml:space="preserve">    ס.נשיא (אב"ד)</w:t>
      </w:r>
    </w:p>
    <w:p w14:paraId="0937C7FD" w14:textId="77777777" w:rsidR="00093829" w:rsidRDefault="00093829">
      <w:pPr>
        <w:pStyle w:val="10"/>
        <w:ind w:left="567" w:hanging="567"/>
        <w:rPr>
          <w:u w:val="single"/>
          <w:rtl/>
        </w:rPr>
      </w:pPr>
      <w:r>
        <w:rPr>
          <w:u w:val="single"/>
          <w:rtl/>
        </w:rPr>
        <w:t>השופט י.דר</w:t>
      </w:r>
    </w:p>
    <w:p w14:paraId="3BFFF32D" w14:textId="77777777" w:rsidR="00093829" w:rsidRDefault="00093829">
      <w:pPr>
        <w:pStyle w:val="10"/>
        <w:ind w:left="567" w:hanging="567"/>
        <w:rPr>
          <w:rtl/>
        </w:rPr>
      </w:pPr>
      <w:r>
        <w:rPr>
          <w:rtl/>
        </w:rPr>
        <w:t>אני מסכים</w:t>
      </w:r>
    </w:p>
    <w:p w14:paraId="6520DD03" w14:textId="77777777" w:rsidR="00093829" w:rsidRDefault="00093829">
      <w:pPr>
        <w:pStyle w:val="10"/>
        <w:ind w:left="567" w:hanging="567"/>
        <w:rPr>
          <w:rtl/>
        </w:rPr>
      </w:pPr>
    </w:p>
    <w:p w14:paraId="38CBA9DC" w14:textId="77777777" w:rsidR="00093829" w:rsidRDefault="00093829">
      <w:pPr>
        <w:pStyle w:val="10"/>
        <w:ind w:left="567" w:hanging="567"/>
        <w:rPr>
          <w:rtl/>
        </w:rPr>
      </w:pP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t>_______________</w:t>
      </w:r>
    </w:p>
    <w:p w14:paraId="78403ABB" w14:textId="77777777" w:rsidR="00093829" w:rsidRDefault="00093829">
      <w:pPr>
        <w:pStyle w:val="10"/>
        <w:ind w:left="567" w:hanging="567"/>
        <w:rPr>
          <w:rtl/>
        </w:rPr>
      </w:pPr>
      <w:r>
        <w:rPr>
          <w:rtl/>
        </w:rPr>
        <w:tab/>
      </w:r>
      <w:r>
        <w:rPr>
          <w:rtl/>
        </w:rPr>
        <w:tab/>
      </w:r>
      <w:r>
        <w:rPr>
          <w:rtl/>
        </w:rPr>
        <w:tab/>
      </w:r>
      <w:r>
        <w:rPr>
          <w:rtl/>
        </w:rPr>
        <w:tab/>
      </w:r>
      <w:r>
        <w:rPr>
          <w:rtl/>
        </w:rPr>
        <w:tab/>
      </w:r>
      <w:r>
        <w:rPr>
          <w:rtl/>
        </w:rPr>
        <w:tab/>
      </w:r>
      <w:r>
        <w:rPr>
          <w:rtl/>
        </w:rPr>
        <w:tab/>
      </w:r>
      <w:r>
        <w:rPr>
          <w:rtl/>
        </w:rPr>
        <w:tab/>
      </w:r>
      <w:r>
        <w:rPr>
          <w:rtl/>
        </w:rPr>
        <w:tab/>
      </w:r>
      <w:r>
        <w:rPr>
          <w:rtl/>
        </w:rPr>
        <w:tab/>
        <w:t xml:space="preserve">      </w:t>
      </w:r>
      <w:r>
        <w:rPr>
          <w:rtl/>
        </w:rPr>
        <w:tab/>
        <w:t xml:space="preserve">     י. דר - שופט</w:t>
      </w:r>
    </w:p>
    <w:p w14:paraId="531A01A8" w14:textId="77777777" w:rsidR="00093829" w:rsidRDefault="00093829">
      <w:pPr>
        <w:pStyle w:val="10"/>
        <w:ind w:left="567" w:hanging="567"/>
        <w:rPr>
          <w:u w:val="single"/>
          <w:rtl/>
        </w:rPr>
      </w:pPr>
    </w:p>
    <w:p w14:paraId="27BE6F43" w14:textId="77777777" w:rsidR="00093829" w:rsidRDefault="00093829">
      <w:pPr>
        <w:pStyle w:val="10"/>
        <w:ind w:left="567" w:hanging="567"/>
        <w:rPr>
          <w:rtl/>
        </w:rPr>
      </w:pPr>
      <w:r>
        <w:rPr>
          <w:u w:val="single"/>
          <w:rtl/>
        </w:rPr>
        <w:t>השופטת ש.שטמר</w:t>
      </w:r>
    </w:p>
    <w:p w14:paraId="4FBF2007" w14:textId="77777777" w:rsidR="00093829" w:rsidRDefault="00093829">
      <w:pPr>
        <w:rPr>
          <w:rtl/>
        </w:rPr>
      </w:pPr>
      <w:r>
        <w:rPr>
          <w:rtl/>
        </w:rPr>
        <w:t>אני מסכימה להכרעת דינו של עמיתי ואב"ד, כב' השופט ח.פיזם.</w:t>
      </w:r>
    </w:p>
    <w:p w14:paraId="723C7957" w14:textId="77777777" w:rsidR="00093829" w:rsidRDefault="00093829">
      <w:pPr>
        <w:rPr>
          <w:rtl/>
        </w:rPr>
      </w:pPr>
    </w:p>
    <w:p w14:paraId="150805C7" w14:textId="77777777" w:rsidR="00093829" w:rsidRDefault="00093829">
      <w:pPr>
        <w:rPr>
          <w:rtl/>
        </w:rPr>
      </w:pPr>
      <w:r>
        <w:rPr>
          <w:rtl/>
        </w:rPr>
        <w:t xml:space="preserve">גם אני, כמו כב' השופט פיזם, שוכנעתי באמינות עדויותיהן של הילדות-המתלוננות. קראתי אותן וכן שמעתי את עדותה של חוקרת הנוער, אשר הביאה בפניננו הסבר על מספר קריטריונים המשמשים לבדיקת אמינות גירסאותיהם של ילדים, המעידים בפני חוקרת נוער. קריטריונים אלו נקבעו עפ"י הנסיון שרכשו לעצמם חוקרי הנוער. בין היתר מסרה חוקרת הנוער על הקריטריון של עקביות במסירת הגירסה, על הקריטריון של מבנה לוגי הקשור למסירת פרטים על המיקום, הזמן, האוביקטים שבזירת העבירה וכיוצב' - פרטים המעידים על השתלבות הגירסה בתנאים אוביקטיבים. </w:t>
      </w:r>
    </w:p>
    <w:p w14:paraId="6FD270D7" w14:textId="77777777" w:rsidR="00093829" w:rsidRDefault="00093829">
      <w:pPr>
        <w:rPr>
          <w:rtl/>
        </w:rPr>
      </w:pPr>
      <w:r>
        <w:rPr>
          <w:rtl/>
        </w:rPr>
        <w:t>כן מסרה חוקרת הנוער כי נהוג לחשוב, שילדים שמשקרים מוסרים גירסה מאורגנת ומסודרת יותר מאשר ילדים שאומרים אמת, וזאת משום שלאחרונים יש נטיה "לברוח מהנושא", דהיינו, לדבר על נושאים שלא קשורים לארוע הטראומטי שעברו. הסיבה להתנהגות זו היא, בין היתר, בשל הקושי לילד לדווח על הארוע הטראומטי.</w:t>
      </w:r>
    </w:p>
    <w:p w14:paraId="773FE83B" w14:textId="77777777" w:rsidR="00093829" w:rsidRDefault="00093829">
      <w:pPr>
        <w:rPr>
          <w:rtl/>
        </w:rPr>
      </w:pPr>
      <w:r>
        <w:rPr>
          <w:rtl/>
        </w:rPr>
        <w:t>בנוסף לרושם הכללי שלי, שעלה מקריאת עדויות הילדות, שהן דיברו אמת, אכן מצאתי "סימני אמת" אלו בהודעות המתלוננות. "סימני אמת" אלו שכנעו אותי כי הנערות דוברות אמת. נצטרפו לכאן הודאות הנאשם במשטרה, המאשרות את דבריהן.</w:t>
      </w:r>
    </w:p>
    <w:p w14:paraId="69BD10A6" w14:textId="77777777" w:rsidR="00093829" w:rsidRDefault="00093829">
      <w:pPr>
        <w:rPr>
          <w:rtl/>
        </w:rPr>
      </w:pPr>
    </w:p>
    <w:p w14:paraId="15349BD4" w14:textId="77777777" w:rsidR="00093829" w:rsidRDefault="00093829">
      <w:pPr>
        <w:rPr>
          <w:rtl/>
        </w:rPr>
      </w:pPr>
      <w:r>
        <w:rPr>
          <w:rtl/>
        </w:rPr>
        <w:t>מסקנתי היא, אם כן, שהמתלוננות סיפרו לחוקרת הנוער על אירועים שארעו להן, וכי אין המדובר בפרי דמיונן או ב"תיאום עמדות" זו עם זו ואימוץ גירסה של אחת מהן על ידי חברותיה.</w:t>
      </w:r>
    </w:p>
    <w:p w14:paraId="1E4AE098" w14:textId="77777777" w:rsidR="00093829" w:rsidRDefault="00093829">
      <w:pPr>
        <w:pStyle w:val="10"/>
        <w:ind w:left="567" w:hanging="567"/>
        <w:rPr>
          <w:rtl/>
        </w:rPr>
      </w:pPr>
    </w:p>
    <w:p w14:paraId="3996F31F" w14:textId="77777777" w:rsidR="00093829" w:rsidRDefault="00093829">
      <w:pPr>
        <w:pStyle w:val="10"/>
        <w:ind w:left="567"/>
        <w:rPr>
          <w:rtl/>
        </w:rPr>
      </w:pPr>
      <w:r>
        <w:rPr>
          <w:rtl/>
        </w:rPr>
        <w:tab/>
      </w:r>
      <w:r>
        <w:rPr>
          <w:rtl/>
        </w:rPr>
        <w:tab/>
      </w:r>
      <w:r>
        <w:rPr>
          <w:rtl/>
        </w:rPr>
        <w:tab/>
      </w:r>
      <w:r>
        <w:rPr>
          <w:rtl/>
        </w:rPr>
        <w:tab/>
      </w:r>
      <w:r>
        <w:rPr>
          <w:rtl/>
        </w:rPr>
        <w:tab/>
      </w:r>
      <w:r>
        <w:rPr>
          <w:rtl/>
        </w:rPr>
        <w:tab/>
      </w:r>
      <w:r>
        <w:rPr>
          <w:rtl/>
        </w:rPr>
        <w:tab/>
      </w:r>
      <w:r>
        <w:rPr>
          <w:rtl/>
        </w:rPr>
        <w:tab/>
      </w:r>
      <w:r>
        <w:rPr>
          <w:rtl/>
        </w:rPr>
        <w:tab/>
      </w:r>
      <w:r>
        <w:rPr>
          <w:rtl/>
        </w:rPr>
        <w:tab/>
        <w:t>______________</w:t>
      </w:r>
    </w:p>
    <w:p w14:paraId="6EF9C62C" w14:textId="77777777" w:rsidR="00093829" w:rsidRDefault="00093829">
      <w:pPr>
        <w:pStyle w:val="10"/>
        <w:ind w:left="567" w:firstLine="567"/>
        <w:rPr>
          <w:rtl/>
        </w:rPr>
      </w:pPr>
      <w:r>
        <w:rPr>
          <w:rtl/>
        </w:rPr>
        <w:tab/>
      </w:r>
      <w:r>
        <w:rPr>
          <w:rtl/>
        </w:rPr>
        <w:tab/>
      </w:r>
      <w:r>
        <w:rPr>
          <w:rtl/>
        </w:rPr>
        <w:tab/>
      </w:r>
      <w:r>
        <w:rPr>
          <w:rtl/>
        </w:rPr>
        <w:tab/>
      </w:r>
      <w:r>
        <w:rPr>
          <w:rtl/>
        </w:rPr>
        <w:tab/>
      </w:r>
      <w:r>
        <w:rPr>
          <w:rtl/>
        </w:rPr>
        <w:tab/>
      </w:r>
      <w:r>
        <w:rPr>
          <w:rtl/>
        </w:rPr>
        <w:tab/>
      </w:r>
      <w:r>
        <w:rPr>
          <w:rtl/>
        </w:rPr>
        <w:tab/>
      </w:r>
      <w:r>
        <w:rPr>
          <w:rtl/>
        </w:rPr>
        <w:tab/>
        <w:t>ש. שטמר - שופטת</w:t>
      </w:r>
      <w:r>
        <w:rPr>
          <w:rtl/>
        </w:rPr>
        <w:tab/>
      </w:r>
    </w:p>
    <w:p w14:paraId="7F3484FC" w14:textId="77777777" w:rsidR="00093829" w:rsidRDefault="00093829">
      <w:pPr>
        <w:pStyle w:val="10"/>
        <w:rPr>
          <w:rtl/>
        </w:rPr>
      </w:pPr>
    </w:p>
    <w:p w14:paraId="1CDEB342" w14:textId="77777777" w:rsidR="00093829" w:rsidRDefault="00093829">
      <w:pPr>
        <w:pStyle w:val="10"/>
        <w:rPr>
          <w:rtl/>
        </w:rPr>
      </w:pPr>
      <w:r>
        <w:rPr>
          <w:rtl/>
        </w:rPr>
        <w:t>לפיכך הוחלט, פה אחד, להרשיע את הנאשם בכל האישומים כמפורט בחוות דעתו של השופט ח.פיזם - אב"ד.</w:t>
      </w:r>
    </w:p>
    <w:p w14:paraId="268F9A42" w14:textId="77777777" w:rsidR="00093829" w:rsidRDefault="00093829">
      <w:pPr>
        <w:pStyle w:val="10"/>
        <w:ind w:left="567" w:hanging="567"/>
        <w:rPr>
          <w:rtl/>
        </w:rPr>
      </w:pPr>
    </w:p>
    <w:p w14:paraId="6E1DA10D" w14:textId="77777777" w:rsidR="00093829" w:rsidRDefault="00093829">
      <w:pPr>
        <w:pStyle w:val="10"/>
        <w:ind w:left="567" w:hanging="567"/>
        <w:rPr>
          <w:rtl/>
        </w:rPr>
      </w:pPr>
    </w:p>
    <w:p w14:paraId="01B87014" w14:textId="77777777" w:rsidR="00093829" w:rsidRDefault="00093829">
      <w:pPr>
        <w:pStyle w:val="10"/>
        <w:ind w:left="567" w:hanging="567"/>
        <w:rPr>
          <w:rtl/>
        </w:rPr>
      </w:pPr>
      <w:r>
        <w:rPr>
          <w:rtl/>
        </w:rPr>
        <w:t xml:space="preserve">ניתן                        תש"ס,                 2000 במעמד הצדדים. </w:t>
      </w:r>
    </w:p>
    <w:p w14:paraId="1BB06897" w14:textId="77777777" w:rsidR="00093829" w:rsidRDefault="00093829">
      <w:pPr>
        <w:pStyle w:val="10"/>
        <w:ind w:left="567" w:hanging="567"/>
        <w:rPr>
          <w:rtl/>
        </w:rPr>
      </w:pPr>
    </w:p>
    <w:p w14:paraId="59A91A9C" w14:textId="77777777" w:rsidR="00093829" w:rsidRDefault="00093829">
      <w:pPr>
        <w:pStyle w:val="10"/>
        <w:ind w:left="567" w:hanging="567"/>
        <w:rPr>
          <w:rtl/>
        </w:rPr>
      </w:pPr>
      <w:r>
        <w:rPr>
          <w:rtl/>
        </w:rPr>
        <w:t xml:space="preserve">  </w:t>
      </w:r>
    </w:p>
    <w:tbl>
      <w:tblPr>
        <w:tblW w:w="0" w:type="auto"/>
        <w:tblLayout w:type="fixed"/>
        <w:tblLook w:val="0000" w:firstRow="0" w:lastRow="0" w:firstColumn="0" w:lastColumn="0" w:noHBand="0" w:noVBand="0"/>
      </w:tblPr>
      <w:tblGrid>
        <w:gridCol w:w="2125"/>
        <w:gridCol w:w="1077"/>
        <w:gridCol w:w="2125"/>
        <w:gridCol w:w="1077"/>
        <w:gridCol w:w="2125"/>
      </w:tblGrid>
      <w:tr w:rsidR="00093829" w14:paraId="7C9A5820" w14:textId="77777777">
        <w:tblPrEx>
          <w:tblCellMar>
            <w:top w:w="0" w:type="dxa"/>
            <w:bottom w:w="0" w:type="dxa"/>
          </w:tblCellMar>
        </w:tblPrEx>
        <w:trPr>
          <w:cantSplit/>
        </w:trPr>
        <w:tc>
          <w:tcPr>
            <w:tcW w:w="2125" w:type="dxa"/>
            <w:tcBorders>
              <w:top w:val="single" w:sz="6" w:space="0" w:color="auto"/>
            </w:tcBorders>
          </w:tcPr>
          <w:p w14:paraId="476EB487" w14:textId="77777777" w:rsidR="00093829" w:rsidRDefault="00093829">
            <w:pPr>
              <w:pStyle w:val="1"/>
              <w:jc w:val="both"/>
              <w:rPr>
                <w:color w:val="FFFFFF"/>
                <w:sz w:val="4"/>
                <w:szCs w:val="4"/>
                <w:rtl/>
              </w:rPr>
            </w:pPr>
          </w:p>
          <w:p w14:paraId="7D10816C" w14:textId="77777777" w:rsidR="00093829" w:rsidRDefault="00093829">
            <w:pPr>
              <w:pStyle w:val="1"/>
              <w:jc w:val="both"/>
              <w:rPr>
                <w:rtl/>
              </w:rPr>
            </w:pPr>
            <w:r>
              <w:rPr>
                <w:color w:val="FFFFFF"/>
                <w:sz w:val="4"/>
                <w:szCs w:val="4"/>
                <w:rtl/>
              </w:rPr>
              <w:t>5129371</w:t>
            </w:r>
            <w:r>
              <w:rPr>
                <w:rtl/>
              </w:rPr>
              <w:t>ש. שטמר, שופטת</w:t>
            </w:r>
          </w:p>
        </w:tc>
        <w:tc>
          <w:tcPr>
            <w:tcW w:w="1077" w:type="dxa"/>
          </w:tcPr>
          <w:p w14:paraId="7D41F907" w14:textId="77777777" w:rsidR="00093829" w:rsidRDefault="00093829">
            <w:pPr>
              <w:pStyle w:val="1"/>
              <w:jc w:val="both"/>
              <w:rPr>
                <w:rtl/>
              </w:rPr>
            </w:pPr>
          </w:p>
        </w:tc>
        <w:tc>
          <w:tcPr>
            <w:tcW w:w="2125" w:type="dxa"/>
            <w:tcBorders>
              <w:top w:val="single" w:sz="6" w:space="0" w:color="auto"/>
            </w:tcBorders>
          </w:tcPr>
          <w:p w14:paraId="66FB77DA" w14:textId="77777777" w:rsidR="00093829" w:rsidRDefault="00093829">
            <w:pPr>
              <w:pStyle w:val="1"/>
              <w:jc w:val="both"/>
              <w:rPr>
                <w:rtl/>
              </w:rPr>
            </w:pPr>
            <w:r>
              <w:rPr>
                <w:rtl/>
              </w:rPr>
              <w:t>י. דר, שופט</w:t>
            </w:r>
          </w:p>
        </w:tc>
        <w:tc>
          <w:tcPr>
            <w:tcW w:w="1077" w:type="dxa"/>
          </w:tcPr>
          <w:p w14:paraId="5831DF34" w14:textId="77777777" w:rsidR="00093829" w:rsidRDefault="00093829">
            <w:pPr>
              <w:pStyle w:val="1"/>
              <w:jc w:val="both"/>
              <w:rPr>
                <w:rtl/>
              </w:rPr>
            </w:pPr>
          </w:p>
        </w:tc>
        <w:tc>
          <w:tcPr>
            <w:tcW w:w="2125" w:type="dxa"/>
            <w:tcBorders>
              <w:top w:val="single" w:sz="6" w:space="0" w:color="auto"/>
            </w:tcBorders>
          </w:tcPr>
          <w:p w14:paraId="0C4CB525" w14:textId="77777777" w:rsidR="00093829" w:rsidRDefault="00093829">
            <w:pPr>
              <w:pStyle w:val="1"/>
              <w:jc w:val="both"/>
              <w:rPr>
                <w:rtl/>
              </w:rPr>
            </w:pPr>
            <w:r>
              <w:rPr>
                <w:rtl/>
              </w:rPr>
              <w:t>ח. פיזם</w:t>
            </w:r>
          </w:p>
          <w:p w14:paraId="75CE0B74" w14:textId="77777777" w:rsidR="00093829" w:rsidRDefault="00093829">
            <w:pPr>
              <w:pStyle w:val="1"/>
              <w:jc w:val="both"/>
              <w:rPr>
                <w:rtl/>
              </w:rPr>
            </w:pPr>
            <w:r>
              <w:rPr>
                <w:rtl/>
              </w:rPr>
              <w:t xml:space="preserve">ס. נשיא [אב"ד] </w:t>
            </w:r>
          </w:p>
        </w:tc>
      </w:tr>
    </w:tbl>
    <w:p w14:paraId="4833AE8C" w14:textId="77777777" w:rsidR="00093829" w:rsidRDefault="00093829">
      <w:pPr>
        <w:pStyle w:val="10"/>
        <w:rPr>
          <w:rtl/>
        </w:rPr>
      </w:pPr>
    </w:p>
    <w:p w14:paraId="01BC127F" w14:textId="77777777" w:rsidR="00093829" w:rsidRDefault="00093829">
      <w:pPr>
        <w:pStyle w:val="10"/>
        <w:ind w:left="567" w:hanging="567"/>
        <w:rPr>
          <w:rtl/>
        </w:rPr>
      </w:pPr>
      <w:r>
        <w:rPr>
          <w:rtl/>
        </w:rPr>
        <w:t xml:space="preserve">אתי עטיאס / </w:t>
      </w:r>
      <w:fldSimple w:instr=" filename ">
        <w:r>
          <w:t>k00027098p.1</w:t>
        </w:r>
      </w:fldSimple>
    </w:p>
    <w:p w14:paraId="271E3940" w14:textId="77777777" w:rsidR="00093829" w:rsidRDefault="00093829">
      <w:pPr>
        <w:pStyle w:val="10"/>
        <w:ind w:left="567" w:hanging="567"/>
        <w:rPr>
          <w:rtl/>
        </w:rPr>
      </w:pPr>
    </w:p>
    <w:p w14:paraId="4D871F0C" w14:textId="77777777" w:rsidR="00093829" w:rsidRDefault="00093829">
      <w:pPr>
        <w:pStyle w:val="10"/>
        <w:ind w:left="567" w:hanging="567"/>
        <w:rPr>
          <w:rtl/>
        </w:rPr>
      </w:pPr>
      <w:r>
        <w:rPr>
          <w:rtl/>
        </w:rPr>
        <w:t>נוסח זה כפוף לשינויי עריכה וניסוח</w:t>
      </w:r>
    </w:p>
    <w:sectPr w:rsidR="00093829">
      <w:headerReference w:type="even" r:id="rId21"/>
      <w:headerReference w:type="default" r:id="rId22"/>
      <w:footerReference w:type="even" r:id="rId23"/>
      <w:footerReference w:type="default" r:id="rId24"/>
      <w:endnotePr>
        <w:numFmt w:val="lowerLetter"/>
      </w:endnotePr>
      <w:type w:val="continuous"/>
      <w:pgSz w:w="11907" w:h="16840" w:code="9"/>
      <w:pgMar w:top="2268" w:right="1797" w:bottom="1440" w:left="1797" w:header="720" w:footer="720" w:gutter="0"/>
      <w:lnNumType w:countBy="1"/>
      <w:pgNumType w:start="1"/>
      <w:cols w:space="720"/>
      <w:formProt w:val="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AD15F" w14:textId="77777777" w:rsidR="00077E8B" w:rsidRPr="001403A9" w:rsidRDefault="00077E8B">
      <w:pPr>
        <w:rPr>
          <w:rFonts w:ascii="Miriam" w:hAnsi="Miriam"/>
          <w:sz w:val="20"/>
        </w:rPr>
      </w:pPr>
      <w:r>
        <w:separator/>
      </w:r>
    </w:p>
  </w:endnote>
  <w:endnote w:type="continuationSeparator" w:id="0">
    <w:p w14:paraId="2F685717" w14:textId="77777777" w:rsidR="00077E8B" w:rsidRPr="001403A9" w:rsidRDefault="00077E8B">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9397E" w14:textId="77777777" w:rsidR="004B33F2" w:rsidRDefault="004B33F2">
    <w:pPr>
      <w:pStyle w:val="Footer"/>
      <w:jc w:val="center"/>
      <w:rPr>
        <w:rFonts w:hAnsi="David"/>
        <w:rtl/>
      </w:rPr>
    </w:pPr>
    <w:r>
      <w:rPr>
        <w:rFonts w:hAnsi="David"/>
        <w:rtl/>
      </w:rPr>
      <w:fldChar w:fldCharType="begin"/>
    </w:r>
    <w:r>
      <w:rPr>
        <w:rFonts w:hAnsi="David"/>
        <w:rtl/>
      </w:rPr>
      <w:instrText xml:space="preserve"> </w:instrText>
    </w:r>
    <w:r>
      <w:rPr>
        <w:rFonts w:hAnsi="David"/>
      </w:rPr>
      <w:instrText xml:space="preserve">PAGE </w:instrText>
    </w:r>
    <w:r>
      <w:rPr>
        <w:rFonts w:hAnsi="David"/>
        <w:rtl/>
      </w:rPr>
      <w:instrText xml:space="preserve"> \* </w:instrText>
    </w:r>
    <w:r>
      <w:rPr>
        <w:rFonts w:hAnsi="David"/>
      </w:rPr>
      <w:instrText>MERGEFORMAT</w:instrText>
    </w:r>
    <w:r>
      <w:rPr>
        <w:rFonts w:hAnsi="David"/>
        <w:rtl/>
      </w:rPr>
      <w:instrText xml:space="preserve"> </w:instrText>
    </w:r>
    <w:r>
      <w:rPr>
        <w:rFonts w:hAnsi="David"/>
        <w:rtl/>
      </w:rPr>
      <w:fldChar w:fldCharType="separate"/>
    </w:r>
    <w:r>
      <w:rPr>
        <w:rFonts w:hAnsi="David"/>
        <w:rtl/>
      </w:rPr>
      <w:t>1</w:t>
    </w:r>
    <w:r>
      <w:rPr>
        <w:rFonts w:hAnsi="David"/>
        <w:rtl/>
      </w:rPr>
      <w:fldChar w:fldCharType="end"/>
    </w:r>
  </w:p>
  <w:p w14:paraId="2ADF6B4B" w14:textId="77777777" w:rsidR="004B33F2" w:rsidRDefault="004B33F2">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23F1E3" w14:textId="77777777" w:rsidR="004B33F2" w:rsidRDefault="004B33F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M:\00000000\katin\03\k027098p.doc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1D844" w14:textId="77777777" w:rsidR="004B33F2" w:rsidRDefault="004B33F2">
    <w:pPr>
      <w:pStyle w:val="Footer"/>
      <w:jc w:val="center"/>
      <w:rPr>
        <w:rFonts w:hAnsi="David"/>
        <w:rtl/>
      </w:rPr>
    </w:pPr>
    <w:r>
      <w:rPr>
        <w:rFonts w:hAnsi="David"/>
        <w:rtl/>
      </w:rPr>
      <w:fldChar w:fldCharType="begin"/>
    </w:r>
    <w:r>
      <w:rPr>
        <w:rFonts w:hAnsi="David"/>
        <w:rtl/>
      </w:rPr>
      <w:instrText xml:space="preserve"> </w:instrText>
    </w:r>
    <w:r>
      <w:rPr>
        <w:rFonts w:hAnsi="David"/>
      </w:rPr>
      <w:instrText xml:space="preserve">PAGE </w:instrText>
    </w:r>
    <w:r>
      <w:rPr>
        <w:rFonts w:hAnsi="David"/>
        <w:rtl/>
      </w:rPr>
      <w:instrText xml:space="preserve"> \* </w:instrText>
    </w:r>
    <w:r>
      <w:rPr>
        <w:rFonts w:hAnsi="David"/>
      </w:rPr>
      <w:instrText>MERGEFORMAT</w:instrText>
    </w:r>
    <w:r>
      <w:rPr>
        <w:rFonts w:hAnsi="David"/>
        <w:rtl/>
      </w:rPr>
      <w:instrText xml:space="preserve"> </w:instrText>
    </w:r>
    <w:r>
      <w:rPr>
        <w:rFonts w:hAnsi="David"/>
        <w:rtl/>
      </w:rPr>
      <w:fldChar w:fldCharType="separate"/>
    </w:r>
    <w:r w:rsidR="000070AC">
      <w:rPr>
        <w:rFonts w:hAnsi="David"/>
        <w:rtl/>
      </w:rPr>
      <w:t>1</w:t>
    </w:r>
    <w:r>
      <w:rPr>
        <w:rFonts w:hAnsi="David"/>
        <w:rtl/>
      </w:rPr>
      <w:fldChar w:fldCharType="end"/>
    </w:r>
  </w:p>
  <w:p w14:paraId="4A92AEC0" w14:textId="77777777" w:rsidR="004B33F2" w:rsidRDefault="004B33F2">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846D3F0" w14:textId="77777777" w:rsidR="004B33F2" w:rsidRDefault="004B33F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M:\00000000\katin\03\k027098p.doc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F530" w14:textId="77777777" w:rsidR="00077E8B" w:rsidRPr="001403A9" w:rsidRDefault="00077E8B">
      <w:pPr>
        <w:rPr>
          <w:rFonts w:ascii="Miriam" w:hAnsi="Miriam"/>
          <w:sz w:val="20"/>
        </w:rPr>
      </w:pPr>
      <w:r>
        <w:separator/>
      </w:r>
    </w:p>
  </w:footnote>
  <w:footnote w:type="continuationSeparator" w:id="0">
    <w:p w14:paraId="70F37B6C" w14:textId="77777777" w:rsidR="00077E8B" w:rsidRPr="001403A9" w:rsidRDefault="00077E8B">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5E8F0" w14:textId="77777777" w:rsidR="004B33F2" w:rsidRDefault="004B33F2">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(חי')   000270/98</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DA979" w14:textId="77777777" w:rsidR="004B33F2" w:rsidRDefault="004B33F2">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 (חי')   000270/98</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20"/>
  <w:drawingGridVerticalSpacing w:val="163"/>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3829"/>
    <w:rsid w:val="000070AC"/>
    <w:rsid w:val="00077E8B"/>
    <w:rsid w:val="00093829"/>
    <w:rsid w:val="00356939"/>
    <w:rsid w:val="004B33F2"/>
    <w:rsid w:val="006C6460"/>
    <w:rsid w:val="00AB6B4E"/>
    <w:rsid w:val="00B260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6A5EDDB"/>
  <w15:chartTrackingRefBased/>
  <w15:docId w15:val="{A6BBBF59-D4D1-4AA2-8B60-8F1140A3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bidi/>
      <w:adjustRightInd w:val="0"/>
      <w:spacing w:line="360" w:lineRule="auto"/>
      <w:jc w:val="both"/>
      <w:textAlignment w:val="baseline"/>
    </w:pPr>
    <w:rPr>
      <w:rFonts w:cs="David"/>
      <w:noProof/>
      <w:sz w:val="24"/>
      <w:szCs w:val="24"/>
      <w:lang w:eastAsia="he-IL"/>
    </w:rPr>
  </w:style>
  <w:style w:type="paragraph" w:styleId="Heading1">
    <w:name w:val="heading 1"/>
    <w:basedOn w:val="Normal"/>
    <w:next w:val="Normal"/>
    <w:qFormat/>
    <w:pPr>
      <w:keepNext/>
      <w:spacing w:before="240" w:after="60"/>
      <w:jc w:val="center"/>
      <w:outlineLvl w:val="0"/>
    </w:pPr>
    <w:rPr>
      <w:rFonts w:ascii="Arial" w:hAnsi="Arial"/>
      <w:b/>
      <w:bCs/>
      <w:kern w:val="28"/>
      <w:sz w:val="28"/>
      <w:szCs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bCs/>
      <w:noProof w:val="0"/>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cs="David"/>
      <w:sz w:val="24"/>
      <w:szCs w:val="24"/>
      <w:lang w:eastAsia="he-IL"/>
    </w:rPr>
  </w:style>
  <w:style w:type="character" w:styleId="LineNumber">
    <w:name w:val="line number"/>
    <w:basedOn w:val="DefaultParagraphFont"/>
  </w:style>
  <w:style w:type="character" w:styleId="PageNumber">
    <w:name w:val="page number"/>
    <w:basedOn w:val="DefaultParagraphFont"/>
  </w:style>
  <w:style w:type="paragraph" w:styleId="Header">
    <w:name w:val="header"/>
    <w:basedOn w:val="Normal"/>
    <w:pPr>
      <w:tabs>
        <w:tab w:val="center" w:pos="4153"/>
        <w:tab w:val="right" w:pos="8306"/>
      </w:tabs>
      <w:spacing w:line="240" w:lineRule="auto"/>
    </w:pPr>
    <w:rPr>
      <w:noProof w:val="0"/>
      <w:sz w:val="20"/>
    </w:rPr>
  </w:style>
  <w:style w:type="paragraph" w:customStyle="1" w:styleId="1">
    <w:name w:val="חתימה1"/>
    <w:basedOn w:val="Normal"/>
    <w:pPr>
      <w:spacing w:line="240" w:lineRule="auto"/>
      <w:jc w:val="center"/>
    </w:pPr>
    <w:rPr>
      <w:b/>
      <w:bCs/>
    </w:rPr>
  </w:style>
  <w:style w:type="paragraph" w:customStyle="1" w:styleId="a">
    <w:name w:val="שאלה"/>
    <w:basedOn w:val="Normal"/>
    <w:next w:val="a0"/>
    <w:pPr>
      <w:ind w:left="567" w:hanging="567"/>
    </w:pPr>
    <w:rPr>
      <w:b/>
      <w:bCs/>
      <w:szCs w:val="22"/>
    </w:rPr>
  </w:style>
  <w:style w:type="paragraph" w:customStyle="1" w:styleId="a1">
    <w:name w:val="ציטוט"/>
    <w:basedOn w:val="Normal"/>
    <w:qFormat/>
    <w:pPr>
      <w:spacing w:line="240" w:lineRule="auto"/>
      <w:ind w:left="851" w:right="851"/>
    </w:pPr>
    <w:rPr>
      <w:b/>
      <w:bCs/>
    </w:rPr>
  </w:style>
  <w:style w:type="paragraph" w:customStyle="1" w:styleId="10">
    <w:name w:val="רגיל1"/>
    <w:pPr>
      <w:overflowPunct w:val="0"/>
      <w:autoSpaceDE w:val="0"/>
      <w:autoSpaceDN w:val="0"/>
      <w:bidi/>
      <w:adjustRightInd w:val="0"/>
      <w:spacing w:line="360" w:lineRule="auto"/>
      <w:jc w:val="both"/>
      <w:textAlignment w:val="baseline"/>
    </w:pPr>
    <w:rPr>
      <w:rFonts w:cs="David"/>
      <w:sz w:val="24"/>
      <w:szCs w:val="24"/>
      <w:lang w:eastAsia="he-IL"/>
    </w:rPr>
  </w:style>
  <w:style w:type="paragraph" w:customStyle="1" w:styleId="a2">
    <w:name w:val="שמות"/>
    <w:basedOn w:val="Normal"/>
    <w:pPr>
      <w:suppressLineNumbers/>
      <w:spacing w:line="240" w:lineRule="auto"/>
      <w:jc w:val="left"/>
    </w:pPr>
    <w:rPr>
      <w:b/>
      <w:bCs/>
      <w:noProof w:val="0"/>
    </w:rPr>
  </w:style>
  <w:style w:type="paragraph" w:customStyle="1" w:styleId="a3">
    <w:name w:val="החלטה"/>
    <w:basedOn w:val="10"/>
  </w:style>
  <w:style w:type="paragraph" w:customStyle="1" w:styleId="a0">
    <w:name w:val="תשובה"/>
    <w:basedOn w:val="Normal"/>
    <w:next w:val="a4"/>
    <w:pPr>
      <w:ind w:left="567" w:hanging="567"/>
    </w:pPr>
  </w:style>
  <w:style w:type="paragraph" w:customStyle="1" w:styleId="a4">
    <w:name w:val="תשובה מוזח"/>
    <w:basedOn w:val="a0"/>
    <w:pPr>
      <w:ind w:firstLine="0"/>
    </w:pPr>
  </w:style>
  <w:style w:type="paragraph" w:styleId="Footer">
    <w:name w:val="footer"/>
    <w:basedOn w:val="Normal"/>
    <w:pPr>
      <w:tabs>
        <w:tab w:val="center" w:pos="4153"/>
        <w:tab w:val="right" w:pos="8306"/>
      </w:tabs>
    </w:pPr>
  </w:style>
  <w:style w:type="paragraph" w:customStyle="1" w:styleId="a5">
    <w:name w:val="עד"/>
    <w:basedOn w:val="10"/>
    <w:rPr>
      <w:b/>
      <w:bCs/>
      <w:u w:val="single"/>
    </w:rPr>
  </w:style>
  <w:style w:type="paragraph" w:customStyle="1" w:styleId="a6">
    <w:name w:val="חקירה"/>
    <w:basedOn w:val="a5"/>
  </w:style>
  <w:style w:type="character" w:styleId="Hyperlink">
    <w:name w:val="Hyperlink"/>
    <w:rsid w:val="00356939"/>
    <w:rPr>
      <w:color w:val="0000FF"/>
      <w:u w:val="single"/>
    </w:rPr>
  </w:style>
  <w:style w:type="paragraph" w:customStyle="1" w:styleId="Tuta">
    <w:name w:val="Tuta"/>
    <w:basedOn w:val="Normal"/>
    <w:next w:val="Normal"/>
    <w:pPr>
      <w:suppressLineNumbers/>
      <w:jc w:val="center"/>
    </w:pPr>
    <w:rPr>
      <w:iCs/>
      <w:color w:val="FF0000"/>
      <w:szCs w:val="32"/>
    </w:rPr>
  </w:style>
  <w:style w:type="paragraph" w:customStyle="1" w:styleId="Hatum">
    <w:name w:val="Hatum"/>
    <w:basedOn w:val="Normal"/>
    <w:next w:val="Normal"/>
    <w:pPr>
      <w:suppressLineNumbers/>
      <w:jc w:val="center"/>
    </w:pPr>
    <w:rPr>
      <w:iCs/>
      <w:color w:val="0000FF"/>
      <w:szCs w:val="32"/>
    </w:rPr>
  </w:style>
  <w:style w:type="paragraph" w:customStyle="1" w:styleId="hasui">
    <w:name w:val="hasui"/>
    <w:basedOn w:val="Normal"/>
    <w:next w:val="Normal"/>
    <w:pPr>
      <w:shd w:val="pct5" w:color="auto" w:fill="auto"/>
    </w:pPr>
    <w:rPr>
      <w:i/>
      <w:iCs/>
      <w:color w:val="C0C0C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1" TargetMode="External"/><Relationship Id="rId13" Type="http://schemas.openxmlformats.org/officeDocument/2006/relationships/hyperlink" Target="http://www.nevo.co.il/law/70301/348.b" TargetMode="External"/><Relationship Id="rId18" Type="http://schemas.openxmlformats.org/officeDocument/2006/relationships/hyperlink" Target="http://www.nevo.co.il/law/70301/25"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25" TargetMode="External"/><Relationship Id="rId12" Type="http://schemas.openxmlformats.org/officeDocument/2006/relationships/hyperlink" Target="http://www.nevo.co.il/law/70301/349" TargetMode="External"/><Relationship Id="rId17" Type="http://schemas.openxmlformats.org/officeDocument/2006/relationships/hyperlink" Target="http://www.nevo.co.il/law/70301/347.b"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1792611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b"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45.a.1" TargetMode="External"/><Relationship Id="rId23" Type="http://schemas.openxmlformats.org/officeDocument/2006/relationships/footer" Target="footer1.xml"/><Relationship Id="rId10" Type="http://schemas.openxmlformats.org/officeDocument/2006/relationships/hyperlink" Target="http://www.nevo.co.il/law/70301/347.b" TargetMode="External"/><Relationship Id="rId19" Type="http://schemas.openxmlformats.org/officeDocument/2006/relationships/hyperlink" Target="http://www.nevo.co.il/law/70301/349" TargetMode="External"/><Relationship Id="rId4" Type="http://schemas.openxmlformats.org/officeDocument/2006/relationships/footnotes" Target="footnotes.xml"/><Relationship Id="rId9" Type="http://schemas.openxmlformats.org/officeDocument/2006/relationships/hyperlink" Target="http://www.nevo.co.il/law/70301/345.b.1" TargetMode="External"/><Relationship Id="rId14" Type="http://schemas.openxmlformats.org/officeDocument/2006/relationships/hyperlink" Target="http://www.nevo.co.il/law/70301/345.b.1"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X:\data\Template\00027098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00027098p.dot</Template>
  <TotalTime>0</TotalTime>
  <Pages>4</Pages>
  <Words>1447</Words>
  <Characters>8248</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9676</CharactersWithSpaces>
  <SharedDoc>false</SharedDoc>
  <HLinks>
    <vt:vector size="90" baseType="variant">
      <vt:variant>
        <vt:i4>4128880</vt:i4>
      </vt:variant>
      <vt:variant>
        <vt:i4>42</vt:i4>
      </vt:variant>
      <vt:variant>
        <vt:i4>0</vt:i4>
      </vt:variant>
      <vt:variant>
        <vt:i4>5</vt:i4>
      </vt:variant>
      <vt:variant>
        <vt:lpwstr>http://www.nevo.co.il/case/17926112</vt:lpwstr>
      </vt:variant>
      <vt:variant>
        <vt:lpwstr/>
      </vt:variant>
      <vt:variant>
        <vt:i4>6357094</vt:i4>
      </vt:variant>
      <vt:variant>
        <vt:i4>39</vt:i4>
      </vt:variant>
      <vt:variant>
        <vt:i4>0</vt:i4>
      </vt:variant>
      <vt:variant>
        <vt:i4>5</vt:i4>
      </vt:variant>
      <vt:variant>
        <vt:lpwstr>http://www.nevo.co.il/law/70301/349</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5177425</vt:i4>
      </vt:variant>
      <vt:variant>
        <vt:i4>33</vt:i4>
      </vt:variant>
      <vt:variant>
        <vt:i4>0</vt:i4>
      </vt:variant>
      <vt:variant>
        <vt:i4>5</vt:i4>
      </vt:variant>
      <vt:variant>
        <vt:lpwstr>http://www.nevo.co.il/law/70301/347.b</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6357041</vt:i4>
      </vt:variant>
      <vt:variant>
        <vt:i4>24</vt:i4>
      </vt:variant>
      <vt:variant>
        <vt:i4>0</vt:i4>
      </vt:variant>
      <vt:variant>
        <vt:i4>5</vt:i4>
      </vt:variant>
      <vt:variant>
        <vt:lpwstr>http://www.nevo.co.il/law/70301/345.b.1</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6357094</vt:i4>
      </vt:variant>
      <vt:variant>
        <vt:i4>18</vt:i4>
      </vt:variant>
      <vt:variant>
        <vt:i4>0</vt:i4>
      </vt:variant>
      <vt:variant>
        <vt:i4>5</vt:i4>
      </vt:variant>
      <vt:variant>
        <vt:lpwstr>http://www.nevo.co.il/law/70301/349</vt:lpwstr>
      </vt:variant>
      <vt:variant>
        <vt:lpwstr/>
      </vt:variant>
      <vt:variant>
        <vt:i4>5177438</vt:i4>
      </vt:variant>
      <vt:variant>
        <vt:i4>15</vt:i4>
      </vt:variant>
      <vt:variant>
        <vt:i4>0</vt:i4>
      </vt:variant>
      <vt:variant>
        <vt:i4>5</vt:i4>
      </vt:variant>
      <vt:variant>
        <vt:lpwstr>http://www.nevo.co.il/law/70301/348.b</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2000-01-10T07:48:00Z</cp:lastPrinted>
  <dcterms:created xsi:type="dcterms:W3CDTF">2022-05-24T11:15:00Z</dcterms:created>
  <dcterms:modified xsi:type="dcterms:W3CDTF">2022-05-24T11:15:00Z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ח. פיזםי. דר;ש. שטמר</vt:lpwstr>
  </property>
  <property fmtid="{D5CDD505-2E9C-101B-9397-08002B2CF9AE}" pid="3" name="JudgeHatima">
    <vt:lpwstr>ח. פיזם;ס. נשיא [אב"ד]+י. דר, שופט+ש. שטמר, שופטת</vt:lpwstr>
  </property>
  <property fmtid="{D5CDD505-2E9C-101B-9397-08002B2CF9AE}" pid="4" name="Sod">
    <vt:lpwstr>1</vt:lpwstr>
  </property>
  <property fmtid="{D5CDD505-2E9C-101B-9397-08002B2CF9AE}" pid="5" name="Ver">
    <vt:lpwstr>5</vt:lpwstr>
  </property>
  <property fmtid="{D5CDD505-2E9C-101B-9397-08002B2CF9AE}" pid="6" name="StartPage">
    <vt:lpwstr>1</vt:lpwstr>
  </property>
  <property fmtid="{D5CDD505-2E9C-101B-9397-08002B2CF9AE}" pid="7" name="StartHour">
    <vt:lpwstr>13:44</vt:lpwstr>
  </property>
  <property fmtid="{D5CDD505-2E9C-101B-9397-08002B2CF9AE}" pid="8" name="StartDate">
    <vt:lpwstr>26/12/1999</vt:lpwstr>
  </property>
  <property fmtid="{D5CDD505-2E9C-101B-9397-08002B2CF9AE}" pid="9" name="Status">
    <vt:lpwstr>חתום</vt:lpwstr>
  </property>
  <property fmtid="{D5CDD505-2E9C-101B-9397-08002B2CF9AE}" pid="10" name="ConsType">
    <vt:lpwstr/>
  </property>
  <property fmtid="{D5CDD505-2E9C-101B-9397-08002B2CF9AE}" pid="11" name="ConsRoom">
    <vt:lpwstr/>
  </property>
  <property fmtid="{D5CDD505-2E9C-101B-9397-08002B2CF9AE}" pid="12" name="Typer">
    <vt:lpwstr>אתי עטיאס</vt:lpwstr>
  </property>
  <property fmtid="{D5CDD505-2E9C-101B-9397-08002B2CF9AE}" pid="13" name="curName">
    <vt:lpwstr>X:\data\HER40\00027098p\k00027098p.001</vt:lpwstr>
  </property>
  <property fmtid="{D5CDD505-2E9C-101B-9397-08002B2CF9AE}" pid="14" name="EndDate">
    <vt:lpwstr>10/01/2000</vt:lpwstr>
  </property>
  <property fmtid="{D5CDD505-2E9C-101B-9397-08002B2CF9AE}" pid="15" name="EndHour">
    <vt:lpwstr>09:15</vt:lpwstr>
  </property>
  <property fmtid="{D5CDD505-2E9C-101B-9397-08002B2CF9AE}" pid="16" name="Pirsum">
    <vt:lpwstr>10/01/2000</vt:lpwstr>
  </property>
  <property fmtid="{D5CDD505-2E9C-101B-9397-08002B2CF9AE}" pid="17" name="DateHatima">
    <vt:lpwstr>10/01/2000</vt:lpwstr>
  </property>
  <property fmtid="{D5CDD505-2E9C-101B-9397-08002B2CF9AE}" pid="18" name="TYPE">
    <vt:lpwstr>2</vt:lpwstr>
  </property>
  <property fmtid="{D5CDD505-2E9C-101B-9397-08002B2CF9AE}" pid="19" name="PROCESS">
    <vt:lpwstr>תפ</vt:lpwstr>
  </property>
  <property fmtid="{D5CDD505-2E9C-101B-9397-08002B2CF9AE}" pid="20" name="PROCNUM">
    <vt:lpwstr>270</vt:lpwstr>
  </property>
  <property fmtid="{D5CDD505-2E9C-101B-9397-08002B2CF9AE}" pid="21" name="PROCYEAR">
    <vt:lpwstr>98</vt:lpwstr>
  </property>
  <property fmtid="{D5CDD505-2E9C-101B-9397-08002B2CF9AE}" pid="22" name="DATE">
    <vt:lpwstr>20001231</vt:lpwstr>
  </property>
  <property fmtid="{D5CDD505-2E9C-101B-9397-08002B2CF9AE}" pid="23" name="APPELLEE">
    <vt:lpwstr>פלוני </vt:lpwstr>
  </property>
  <property fmtid="{D5CDD505-2E9C-101B-9397-08002B2CF9AE}" pid="24" name="APPELLANT">
    <vt:lpwstr>מדינת ישראל</vt:lpwstr>
  </property>
  <property fmtid="{D5CDD505-2E9C-101B-9397-08002B2CF9AE}" pid="25" name="LAWYER">
    <vt:lpwstr>גרובר;היכל</vt:lpwstr>
  </property>
  <property fmtid="{D5CDD505-2E9C-101B-9397-08002B2CF9AE}" pid="26" name="CITY">
    <vt:lpwstr>חי'</vt:lpwstr>
  </property>
  <property fmtid="{D5CDD505-2E9C-101B-9397-08002B2CF9AE}" pid="27" name="ISABSTRACT">
    <vt:lpwstr/>
  </property>
  <property fmtid="{D5CDD505-2E9C-101B-9397-08002B2CF9AE}" pid="28" name="PSAKDIN">
    <vt:lpwstr>הכרעת-דין</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WORDNUMPAGES">
    <vt:lpwstr>8</vt:lpwstr>
  </property>
  <property fmtid="{D5CDD505-2E9C-101B-9397-08002B2CF9AE}" pid="33" name="NOSE1">
    <vt:lpwstr/>
  </property>
  <property fmtid="{D5CDD505-2E9C-101B-9397-08002B2CF9AE}" pid="34" name="NOSE2">
    <vt:lpwstr/>
  </property>
  <property fmtid="{D5CDD505-2E9C-101B-9397-08002B2CF9AE}" pid="35" name="NOSE3">
    <vt:lpwstr/>
  </property>
  <property fmtid="{D5CDD505-2E9C-101B-9397-08002B2CF9AE}" pid="36" name="PADIMAIL">
    <vt:lpwstr/>
  </property>
  <property fmtid="{D5CDD505-2E9C-101B-9397-08002B2CF9AE}" pid="37" name="LINKK1">
    <vt:lpwstr/>
  </property>
  <property fmtid="{D5CDD505-2E9C-101B-9397-08002B2CF9AE}" pid="38" name="LINKK2">
    <vt:lpwstr/>
  </property>
  <property fmtid="{D5CDD505-2E9C-101B-9397-08002B2CF9AE}" pid="39" name="LINKK3">
    <vt:lpwstr/>
  </property>
  <property fmtid="{D5CDD505-2E9C-101B-9397-08002B2CF9AE}" pid="40" name="LINKK4">
    <vt:lpwstr/>
  </property>
  <property fmtid="{D5CDD505-2E9C-101B-9397-08002B2CF9AE}" pid="41" name="LINKK5">
    <vt:lpwstr/>
  </property>
  <property fmtid="{D5CDD505-2E9C-101B-9397-08002B2CF9AE}" pid="42" name="LINKK6">
    <vt:lpwstr/>
  </property>
  <property fmtid="{D5CDD505-2E9C-101B-9397-08002B2CF9AE}" pid="43" name="LINKK7">
    <vt:lpwstr/>
  </property>
  <property fmtid="{D5CDD505-2E9C-101B-9397-08002B2CF9AE}" pid="44" name="LINKK8">
    <vt:lpwstr/>
  </property>
  <property fmtid="{D5CDD505-2E9C-101B-9397-08002B2CF9AE}" pid="45" name="LINKK9">
    <vt:lpwstr/>
  </property>
  <property fmtid="{D5CDD505-2E9C-101B-9397-08002B2CF9AE}" pid="46" name="LINKK10">
    <vt:lpwstr/>
  </property>
  <property fmtid="{D5CDD505-2E9C-101B-9397-08002B2CF9AE}" pid="47" name="LINKK11">
    <vt:lpwstr/>
  </property>
  <property fmtid="{D5CDD505-2E9C-101B-9397-08002B2CF9AE}" pid="48" name="LINKK12">
    <vt:lpwstr/>
  </property>
  <property fmtid="{D5CDD505-2E9C-101B-9397-08002B2CF9AE}" pid="49" name="CASESLISTTMP1">
    <vt:lpwstr>17926112</vt:lpwstr>
  </property>
  <property fmtid="{D5CDD505-2E9C-101B-9397-08002B2CF9AE}" pid="50" name="LAWLISTTMP1">
    <vt:lpwstr>70301/348.b;345.b.1;345.a.1;347.b;025;349</vt:lpwstr>
  </property>
</Properties>
</file>