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C58B" w14:textId="77777777" w:rsidR="006754DF" w:rsidRDefault="006754DF">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6754DF" w14:paraId="6428DCB4" w14:textId="77777777" w:rsidTr="006754DF">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4F834D8" w14:textId="77777777" w:rsidR="006754DF" w:rsidRDefault="006754DF">
            <w:pPr>
              <w:rPr>
                <w:b/>
                <w:bCs/>
                <w:sz w:val="26"/>
                <w:szCs w:val="26"/>
              </w:rPr>
            </w:pPr>
            <w:r>
              <w:rPr>
                <w:rFonts w:hint="cs"/>
                <w:b/>
                <w:bCs/>
                <w:sz w:val="26"/>
                <w:szCs w:val="26"/>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01102A06" w14:textId="77777777" w:rsidR="006754DF" w:rsidRDefault="006754DF">
            <w:pPr>
              <w:rPr>
                <w:b/>
                <w:bCs/>
                <w:sz w:val="26"/>
                <w:szCs w:val="26"/>
              </w:rPr>
            </w:pPr>
            <w:r>
              <w:rPr>
                <w:rFonts w:hint="cs"/>
                <w:b/>
                <w:bCs/>
                <w:sz w:val="26"/>
                <w:szCs w:val="26"/>
                <w:rtl/>
              </w:rPr>
              <w:t>פ  000932/00</w:t>
            </w:r>
          </w:p>
        </w:tc>
      </w:tr>
      <w:tr w:rsidR="006754DF" w14:paraId="51F0F4EF" w14:textId="77777777" w:rsidTr="006754DF">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EA7CBE6" w14:textId="77777777" w:rsidR="006754DF" w:rsidRDefault="006754DF">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5645E1B6" w14:textId="77777777" w:rsidR="006754DF" w:rsidRDefault="006754DF">
            <w:pPr>
              <w:rPr>
                <w:b/>
                <w:bCs/>
                <w:sz w:val="26"/>
                <w:szCs w:val="26"/>
              </w:rPr>
            </w:pPr>
          </w:p>
        </w:tc>
      </w:tr>
      <w:tr w:rsidR="006754DF" w14:paraId="214391AF" w14:textId="77777777" w:rsidTr="006754DF">
        <w:trPr>
          <w:trHeight w:val="286"/>
        </w:trPr>
        <w:tc>
          <w:tcPr>
            <w:tcW w:w="766" w:type="dxa"/>
            <w:tcBorders>
              <w:top w:val="single" w:sz="4" w:space="0" w:color="auto"/>
              <w:left w:val="single" w:sz="4" w:space="0" w:color="auto"/>
              <w:bottom w:val="single" w:sz="4" w:space="0" w:color="auto"/>
              <w:right w:val="single" w:sz="4" w:space="0" w:color="auto"/>
            </w:tcBorders>
          </w:tcPr>
          <w:p w14:paraId="23F14B4B" w14:textId="77777777" w:rsidR="006754DF" w:rsidRDefault="006754DF">
            <w:pPr>
              <w:rPr>
                <w:b/>
                <w:bCs/>
                <w:sz w:val="26"/>
                <w:szCs w:val="26"/>
              </w:rPr>
            </w:pPr>
            <w:r>
              <w:rPr>
                <w:rFonts w:hint="cs"/>
                <w:b/>
                <w:bCs/>
                <w:sz w:val="26"/>
                <w:szCs w:val="26"/>
                <w:rtl/>
              </w:rPr>
              <w:t>בפני:</w:t>
            </w:r>
          </w:p>
        </w:tc>
        <w:tc>
          <w:tcPr>
            <w:tcW w:w="4848" w:type="dxa"/>
            <w:tcBorders>
              <w:top w:val="single" w:sz="4" w:space="0" w:color="auto"/>
              <w:left w:val="single" w:sz="4" w:space="0" w:color="auto"/>
              <w:bottom w:val="single" w:sz="4" w:space="0" w:color="auto"/>
              <w:right w:val="single" w:sz="4" w:space="0" w:color="auto"/>
            </w:tcBorders>
          </w:tcPr>
          <w:p w14:paraId="7AE2473F" w14:textId="77777777" w:rsidR="006754DF" w:rsidRDefault="006754DF">
            <w:pPr>
              <w:rPr>
                <w:b/>
                <w:bCs/>
                <w:sz w:val="26"/>
                <w:szCs w:val="26"/>
              </w:rPr>
            </w:pPr>
            <w:r>
              <w:rPr>
                <w:rFonts w:hint="cs"/>
                <w:b/>
                <w:bCs/>
                <w:sz w:val="26"/>
                <w:szCs w:val="26"/>
                <w:rtl/>
              </w:rPr>
              <w:t>כבוד השופטים:</w:t>
            </w:r>
            <w:r>
              <w:rPr>
                <w:rFonts w:hint="cs"/>
                <w:b/>
                <w:bCs/>
                <w:sz w:val="26"/>
                <w:szCs w:val="26"/>
                <w:rtl/>
              </w:rPr>
              <w:tab/>
              <w:t>ידין טימור – אב"ד</w:t>
            </w:r>
          </w:p>
          <w:p w14:paraId="55D43545" w14:textId="77777777" w:rsidR="006754DF" w:rsidRDefault="006754DF">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שרה דברת – שופטת</w:t>
            </w:r>
          </w:p>
          <w:p w14:paraId="490C7BCC" w14:textId="77777777" w:rsidR="006754DF" w:rsidRDefault="006754DF">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חני סלוטקי - שופטת</w:t>
            </w:r>
          </w:p>
          <w:p w14:paraId="7EF611E1" w14:textId="77777777" w:rsidR="006754DF" w:rsidRDefault="006754DF">
            <w:pPr>
              <w:rPr>
                <w:b/>
                <w:bCs/>
                <w:sz w:val="26"/>
                <w:szCs w:val="26"/>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118DD99" w14:textId="77777777" w:rsidR="006754DF" w:rsidRDefault="006754DF">
            <w:pPr>
              <w:rPr>
                <w:b/>
                <w:bCs/>
                <w:sz w:val="26"/>
                <w:szCs w:val="26"/>
              </w:rPr>
            </w:pPr>
            <w:r>
              <w:rPr>
                <w:rFonts w:hint="cs"/>
                <w:b/>
                <w:bCs/>
                <w:sz w:val="26"/>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71FA0FF8" w14:textId="77777777" w:rsidR="006754DF" w:rsidRDefault="006754DF">
            <w:pPr>
              <w:rPr>
                <w:b/>
                <w:bCs/>
                <w:sz w:val="26"/>
                <w:szCs w:val="26"/>
              </w:rPr>
            </w:pPr>
            <w:r>
              <w:rPr>
                <w:rFonts w:hint="cs"/>
                <w:b/>
                <w:bCs/>
                <w:sz w:val="26"/>
                <w:szCs w:val="26"/>
                <w:rtl/>
              </w:rPr>
              <w:t>14.2.01</w:t>
            </w:r>
          </w:p>
        </w:tc>
      </w:tr>
    </w:tbl>
    <w:p w14:paraId="3838B254" w14:textId="77777777" w:rsidR="006754DF" w:rsidRDefault="006754DF">
      <w:pPr>
        <w:pStyle w:val="Header"/>
        <w:jc w:val="left"/>
        <w:rPr>
          <w:rFonts w:hint="cs"/>
          <w:szCs w:val="20"/>
          <w:rtl/>
        </w:rPr>
      </w:pPr>
    </w:p>
    <w:p w14:paraId="721E0C7D" w14:textId="77777777" w:rsidR="006754DF" w:rsidRDefault="006754DF">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6754DF" w14:paraId="0C6D369F" w14:textId="77777777" w:rsidTr="006754DF">
        <w:tc>
          <w:tcPr>
            <w:tcW w:w="1418" w:type="dxa"/>
          </w:tcPr>
          <w:p w14:paraId="05D21EA9" w14:textId="77777777" w:rsidR="006754DF" w:rsidRDefault="006754DF">
            <w:pPr>
              <w:rPr>
                <w:szCs w:val="26"/>
              </w:rPr>
            </w:pPr>
            <w:bookmarkStart w:id="0" w:name="שם_א" w:colFirst="1" w:colLast="1"/>
            <w:bookmarkStart w:id="1" w:name="FirstAppellant"/>
            <w:r>
              <w:rPr>
                <w:rFonts w:hint="cs"/>
                <w:rtl/>
              </w:rPr>
              <w:t>בעניין:</w:t>
            </w:r>
          </w:p>
        </w:tc>
        <w:tc>
          <w:tcPr>
            <w:tcW w:w="4820" w:type="dxa"/>
            <w:gridSpan w:val="2"/>
          </w:tcPr>
          <w:p w14:paraId="68EEE7A0" w14:textId="77777777" w:rsidR="006754DF" w:rsidRDefault="006754DF">
            <w:r>
              <w:rPr>
                <w:rFonts w:hint="cs"/>
                <w:rtl/>
              </w:rPr>
              <w:t>מדינת ישראל - פ.מ.ד</w:t>
            </w:r>
          </w:p>
        </w:tc>
        <w:tc>
          <w:tcPr>
            <w:tcW w:w="2409" w:type="dxa"/>
          </w:tcPr>
          <w:p w14:paraId="3038C1BD" w14:textId="77777777" w:rsidR="006754DF" w:rsidRDefault="006754DF"/>
        </w:tc>
      </w:tr>
      <w:tr w:rsidR="006754DF" w14:paraId="50D92415" w14:textId="77777777" w:rsidTr="006754DF">
        <w:tc>
          <w:tcPr>
            <w:tcW w:w="1418" w:type="dxa"/>
          </w:tcPr>
          <w:p w14:paraId="54D525C3" w14:textId="77777777" w:rsidR="006754DF" w:rsidRDefault="006754DF">
            <w:pPr>
              <w:rPr>
                <w:szCs w:val="26"/>
              </w:rPr>
            </w:pPr>
            <w:bookmarkStart w:id="2" w:name="בא_כוח_א" w:colFirst="2" w:colLast="2"/>
            <w:bookmarkStart w:id="3" w:name="כינוי_א" w:colFirst="3" w:colLast="3"/>
            <w:bookmarkStart w:id="4" w:name="FirstLawyer"/>
            <w:bookmarkEnd w:id="0"/>
            <w:bookmarkEnd w:id="1"/>
          </w:p>
        </w:tc>
        <w:tc>
          <w:tcPr>
            <w:tcW w:w="1757" w:type="dxa"/>
          </w:tcPr>
          <w:p w14:paraId="101685EE" w14:textId="77777777" w:rsidR="006754DF" w:rsidRDefault="006754DF">
            <w:r>
              <w:rPr>
                <w:rFonts w:hint="cs"/>
                <w:rtl/>
              </w:rPr>
              <w:t>ב"כ עוה"ד</w:t>
            </w:r>
          </w:p>
        </w:tc>
        <w:tc>
          <w:tcPr>
            <w:tcW w:w="3063" w:type="dxa"/>
          </w:tcPr>
          <w:p w14:paraId="4B1CB801" w14:textId="77777777" w:rsidR="006754DF" w:rsidRDefault="006754DF">
            <w:r>
              <w:rPr>
                <w:rFonts w:hint="cs"/>
                <w:rtl/>
              </w:rPr>
              <w:t>עופרה לוי</w:t>
            </w:r>
          </w:p>
        </w:tc>
        <w:tc>
          <w:tcPr>
            <w:tcW w:w="2409" w:type="dxa"/>
          </w:tcPr>
          <w:p w14:paraId="27CBCF36" w14:textId="77777777" w:rsidR="006754DF" w:rsidRDefault="006754DF">
            <w:r>
              <w:rPr>
                <w:rFonts w:hint="cs"/>
                <w:rtl/>
              </w:rPr>
              <w:t>המאשימה</w:t>
            </w:r>
          </w:p>
        </w:tc>
      </w:tr>
      <w:bookmarkEnd w:id="2"/>
      <w:bookmarkEnd w:id="3"/>
      <w:bookmarkEnd w:id="4"/>
      <w:tr w:rsidR="006754DF" w14:paraId="3FB232A9" w14:textId="77777777" w:rsidTr="006754DF">
        <w:tc>
          <w:tcPr>
            <w:tcW w:w="1418" w:type="dxa"/>
          </w:tcPr>
          <w:p w14:paraId="354A0ED3" w14:textId="77777777" w:rsidR="006754DF" w:rsidRDefault="006754DF"/>
        </w:tc>
        <w:tc>
          <w:tcPr>
            <w:tcW w:w="4820" w:type="dxa"/>
            <w:gridSpan w:val="2"/>
          </w:tcPr>
          <w:p w14:paraId="75277C48" w14:textId="77777777" w:rsidR="006754DF" w:rsidRDefault="006754DF">
            <w:pPr>
              <w:jc w:val="center"/>
            </w:pPr>
            <w:r>
              <w:rPr>
                <w:rFonts w:hint="cs"/>
                <w:rtl/>
              </w:rPr>
              <w:t>נגד</w:t>
            </w:r>
          </w:p>
          <w:p w14:paraId="06D7C8E0" w14:textId="77777777" w:rsidR="006754DF" w:rsidRDefault="006754DF">
            <w:pPr>
              <w:jc w:val="center"/>
            </w:pPr>
          </w:p>
        </w:tc>
        <w:tc>
          <w:tcPr>
            <w:tcW w:w="2409" w:type="dxa"/>
          </w:tcPr>
          <w:p w14:paraId="1F41F073" w14:textId="77777777" w:rsidR="006754DF" w:rsidRDefault="006754DF"/>
        </w:tc>
      </w:tr>
      <w:tr w:rsidR="006754DF" w14:paraId="20ACDE56" w14:textId="77777777" w:rsidTr="006754DF">
        <w:tc>
          <w:tcPr>
            <w:tcW w:w="1418" w:type="dxa"/>
          </w:tcPr>
          <w:p w14:paraId="324E50CA" w14:textId="77777777" w:rsidR="006754DF" w:rsidRDefault="006754DF">
            <w:pPr>
              <w:rPr>
                <w:szCs w:val="26"/>
              </w:rPr>
            </w:pPr>
            <w:bookmarkStart w:id="5" w:name="שם_ב" w:colFirst="1" w:colLast="1"/>
          </w:p>
        </w:tc>
        <w:tc>
          <w:tcPr>
            <w:tcW w:w="4820" w:type="dxa"/>
            <w:gridSpan w:val="2"/>
          </w:tcPr>
          <w:p w14:paraId="017E3598" w14:textId="77777777" w:rsidR="006754DF" w:rsidRDefault="006754DF">
            <w:r>
              <w:rPr>
                <w:rFonts w:hint="cs"/>
                <w:rtl/>
              </w:rPr>
              <w:t>פלוני</w:t>
            </w:r>
          </w:p>
        </w:tc>
        <w:tc>
          <w:tcPr>
            <w:tcW w:w="2409" w:type="dxa"/>
          </w:tcPr>
          <w:p w14:paraId="61DAC462" w14:textId="77777777" w:rsidR="006754DF" w:rsidRDefault="006754DF"/>
        </w:tc>
      </w:tr>
      <w:tr w:rsidR="006754DF" w14:paraId="09B1C615" w14:textId="77777777" w:rsidTr="006754DF">
        <w:tc>
          <w:tcPr>
            <w:tcW w:w="1418" w:type="dxa"/>
          </w:tcPr>
          <w:p w14:paraId="22DA5C6A" w14:textId="77777777" w:rsidR="006754DF" w:rsidRDefault="006754DF">
            <w:pPr>
              <w:rPr>
                <w:szCs w:val="26"/>
              </w:rPr>
            </w:pPr>
            <w:bookmarkStart w:id="6" w:name="כינוי_ב" w:colFirst="3" w:colLast="3"/>
            <w:bookmarkStart w:id="7" w:name="בא_כוח_ב" w:colFirst="2" w:colLast="2"/>
            <w:bookmarkEnd w:id="5"/>
          </w:p>
        </w:tc>
        <w:tc>
          <w:tcPr>
            <w:tcW w:w="1757" w:type="dxa"/>
          </w:tcPr>
          <w:p w14:paraId="2E1819D0" w14:textId="77777777" w:rsidR="006754DF" w:rsidRDefault="006754DF">
            <w:r>
              <w:rPr>
                <w:rFonts w:hint="cs"/>
                <w:rtl/>
              </w:rPr>
              <w:t xml:space="preserve">ב"כ עוה"ד </w:t>
            </w:r>
          </w:p>
        </w:tc>
        <w:tc>
          <w:tcPr>
            <w:tcW w:w="3063" w:type="dxa"/>
          </w:tcPr>
          <w:p w14:paraId="6DA30917" w14:textId="77777777" w:rsidR="006754DF" w:rsidRDefault="006754DF">
            <w:r>
              <w:rPr>
                <w:rFonts w:hint="cs"/>
                <w:rtl/>
              </w:rPr>
              <w:t>אלנסאסרה  יוסף</w:t>
            </w:r>
          </w:p>
        </w:tc>
        <w:tc>
          <w:tcPr>
            <w:tcW w:w="2409" w:type="dxa"/>
          </w:tcPr>
          <w:p w14:paraId="22A0B0F7" w14:textId="77777777" w:rsidR="006754DF" w:rsidRDefault="006754DF">
            <w:r>
              <w:rPr>
                <w:rFonts w:hint="cs"/>
                <w:rtl/>
              </w:rPr>
              <w:t>הנאשם</w:t>
            </w:r>
          </w:p>
        </w:tc>
      </w:tr>
      <w:bookmarkEnd w:id="6"/>
      <w:bookmarkEnd w:id="7"/>
    </w:tbl>
    <w:p w14:paraId="0408B8A6" w14:textId="77777777" w:rsidR="006754DF" w:rsidRDefault="006754DF">
      <w:pPr>
        <w:rPr>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6754DF" w14:paraId="4B1CF61D" w14:textId="77777777" w:rsidTr="006754DF">
        <w:tc>
          <w:tcPr>
            <w:tcW w:w="1332" w:type="dxa"/>
          </w:tcPr>
          <w:p w14:paraId="5DA06170" w14:textId="77777777" w:rsidR="006754DF" w:rsidRDefault="006754DF">
            <w:pPr>
              <w:rPr>
                <w:sz w:val="24"/>
              </w:rPr>
            </w:pPr>
            <w:r>
              <w:rPr>
                <w:rFonts w:hint="cs"/>
                <w:sz w:val="24"/>
                <w:rtl/>
              </w:rPr>
              <w:t>מופיעים:</w:t>
            </w:r>
          </w:p>
        </w:tc>
        <w:tc>
          <w:tcPr>
            <w:tcW w:w="7230" w:type="dxa"/>
          </w:tcPr>
          <w:p w14:paraId="6CC6FB2C" w14:textId="77777777" w:rsidR="006754DF" w:rsidRDefault="006754DF">
            <w:r>
              <w:rPr>
                <w:rFonts w:hint="cs"/>
                <w:rtl/>
              </w:rPr>
              <w:t>ב"כ המאשימה עו"ד עופרה לוי</w:t>
            </w:r>
          </w:p>
          <w:p w14:paraId="289EBFFF" w14:textId="77777777" w:rsidR="006754DF" w:rsidRDefault="006754DF">
            <w:pPr>
              <w:rPr>
                <w:rFonts w:hint="cs"/>
                <w:rtl/>
              </w:rPr>
            </w:pPr>
            <w:r>
              <w:rPr>
                <w:rFonts w:hint="cs"/>
                <w:rtl/>
              </w:rPr>
              <w:t xml:space="preserve">הנאשם וב"כ עו"ד אלנסאסרה יוסף </w:t>
            </w:r>
          </w:p>
          <w:p w14:paraId="6D385A99" w14:textId="77777777" w:rsidR="006754DF" w:rsidRDefault="006754DF">
            <w:pPr>
              <w:rPr>
                <w:rFonts w:hint="cs"/>
                <w:rtl/>
              </w:rPr>
            </w:pPr>
            <w:r>
              <w:rPr>
                <w:rFonts w:hint="cs"/>
                <w:rtl/>
              </w:rPr>
              <w:t>בשם עו"ד אבן ברי שחדה</w:t>
            </w:r>
          </w:p>
          <w:p w14:paraId="25F88BEE" w14:textId="77777777" w:rsidR="006754DF" w:rsidRDefault="006754DF"/>
        </w:tc>
      </w:tr>
    </w:tbl>
    <w:p w14:paraId="311A8968" w14:textId="77777777" w:rsidR="006754DF" w:rsidRDefault="006754DF">
      <w:pPr>
        <w:rPr>
          <w:rFonts w:hint="cs"/>
          <w:rtl/>
        </w:rPr>
      </w:pPr>
    </w:p>
    <w:p w14:paraId="62163093" w14:textId="77777777" w:rsidR="006754DF" w:rsidRDefault="006754DF">
      <w:pPr>
        <w:rPr>
          <w:rFonts w:hint="cs"/>
          <w:b/>
          <w:bCs/>
          <w:rtl/>
        </w:rPr>
      </w:pPr>
      <w:r>
        <w:rPr>
          <w:rFonts w:hint="cs"/>
          <w:b/>
          <w:bCs/>
          <w:rtl/>
        </w:rPr>
        <w:t>ב"כ הנאשם:</w:t>
      </w:r>
    </w:p>
    <w:p w14:paraId="0852506C" w14:textId="77777777" w:rsidR="006754DF" w:rsidRDefault="006754DF">
      <w:pPr>
        <w:rPr>
          <w:rFonts w:hint="cs"/>
          <w:rtl/>
        </w:rPr>
      </w:pPr>
      <w:r>
        <w:rPr>
          <w:rFonts w:hint="cs"/>
          <w:rtl/>
        </w:rPr>
        <w:t>עלי לציין כי אני דובר רוסית ואני אתרגם את הכרעת הדין לנאשם.</w:t>
      </w:r>
    </w:p>
    <w:p w14:paraId="58E3EA9E" w14:textId="77777777" w:rsidR="00781B95" w:rsidRDefault="00781B95">
      <w:pPr>
        <w:rPr>
          <w:rtl/>
        </w:rPr>
      </w:pPr>
      <w:bookmarkStart w:id="8" w:name="LawTable"/>
      <w:bookmarkEnd w:id="8"/>
    </w:p>
    <w:p w14:paraId="3AAC8FC2" w14:textId="77777777" w:rsidR="00781B95" w:rsidRPr="00781B95" w:rsidRDefault="00781B95" w:rsidP="00781B95">
      <w:pPr>
        <w:spacing w:after="120" w:line="240" w:lineRule="exact"/>
        <w:ind w:left="283" w:hanging="283"/>
        <w:jc w:val="both"/>
        <w:rPr>
          <w:rFonts w:ascii="FrankRuehl" w:hAnsi="FrankRuehl" w:cs="FrankRuehl"/>
          <w:sz w:val="24"/>
          <w:rtl/>
        </w:rPr>
      </w:pPr>
    </w:p>
    <w:p w14:paraId="0913CF96" w14:textId="77777777" w:rsidR="00781B95" w:rsidRPr="00781B95" w:rsidRDefault="00781B95" w:rsidP="00781B95">
      <w:pPr>
        <w:spacing w:after="120" w:line="240" w:lineRule="exact"/>
        <w:ind w:left="283" w:hanging="283"/>
        <w:jc w:val="both"/>
        <w:rPr>
          <w:rFonts w:ascii="FrankRuehl" w:hAnsi="FrankRuehl" w:cs="FrankRuehl"/>
          <w:sz w:val="24"/>
          <w:rtl/>
        </w:rPr>
      </w:pPr>
      <w:r w:rsidRPr="00781B95">
        <w:rPr>
          <w:rFonts w:ascii="FrankRuehl" w:hAnsi="FrankRuehl" w:cs="FrankRuehl"/>
          <w:sz w:val="24"/>
          <w:rtl/>
        </w:rPr>
        <w:t xml:space="preserve">חקיקה שאוזכרה: </w:t>
      </w:r>
    </w:p>
    <w:p w14:paraId="580F5341" w14:textId="77777777" w:rsidR="00781B95" w:rsidRPr="00781B95" w:rsidRDefault="00781B95" w:rsidP="00781B95">
      <w:pPr>
        <w:spacing w:after="120" w:line="240" w:lineRule="exact"/>
        <w:ind w:left="283" w:hanging="283"/>
        <w:jc w:val="both"/>
        <w:rPr>
          <w:rFonts w:ascii="FrankRuehl" w:hAnsi="FrankRuehl" w:cs="FrankRuehl"/>
          <w:color w:val="0000FF"/>
          <w:sz w:val="24"/>
          <w:u w:val="single"/>
          <w:rtl/>
        </w:rPr>
      </w:pPr>
      <w:hyperlink r:id="rId6" w:history="1">
        <w:r w:rsidRPr="00781B95">
          <w:rPr>
            <w:rStyle w:val="Hyperlink"/>
            <w:rFonts w:ascii="FrankRuehl" w:hAnsi="FrankRuehl" w:cs="FrankRuehl"/>
            <w:sz w:val="24"/>
            <w:rtl/>
          </w:rPr>
          <w:t>חוק העונשין, תשל"ז-1977</w:t>
        </w:r>
      </w:hyperlink>
      <w:r w:rsidRPr="00781B95">
        <w:rPr>
          <w:rFonts w:ascii="FrankRuehl" w:hAnsi="FrankRuehl" w:cs="FrankRuehl"/>
          <w:color w:val="0000FF"/>
          <w:sz w:val="24"/>
          <w:u w:val="single"/>
          <w:rtl/>
        </w:rPr>
        <w:t xml:space="preserve">: סע'  </w:t>
      </w:r>
      <w:hyperlink r:id="rId7" w:history="1">
        <w:r w:rsidRPr="00781B95">
          <w:rPr>
            <w:rStyle w:val="Hyperlink"/>
            <w:rFonts w:ascii="FrankRuehl" w:hAnsi="FrankRuehl" w:cs="FrankRuehl"/>
            <w:sz w:val="24"/>
          </w:rPr>
          <w:t>345 (</w:t>
        </w:r>
        <w:r w:rsidRPr="00781B95">
          <w:rPr>
            <w:rStyle w:val="Hyperlink"/>
            <w:rFonts w:ascii="FrankRuehl" w:hAnsi="FrankRuehl" w:cs="FrankRuehl"/>
            <w:sz w:val="24"/>
            <w:rtl/>
          </w:rPr>
          <w:t>א) (1</w:t>
        </w:r>
        <w:r w:rsidRPr="00781B95">
          <w:rPr>
            <w:rStyle w:val="Hyperlink"/>
            <w:rFonts w:ascii="FrankRuehl" w:hAnsi="FrankRuehl" w:cs="FrankRuehl"/>
            <w:sz w:val="24"/>
          </w:rPr>
          <w:t>)</w:t>
        </w:r>
      </w:hyperlink>
      <w:r w:rsidRPr="00781B95">
        <w:rPr>
          <w:rFonts w:ascii="FrankRuehl" w:hAnsi="FrankRuehl" w:cs="FrankRuehl"/>
          <w:color w:val="0000FF"/>
          <w:sz w:val="24"/>
          <w:u w:val="single"/>
          <w:rtl/>
        </w:rPr>
        <w:t xml:space="preserve">, </w:t>
      </w:r>
      <w:hyperlink r:id="rId8" w:history="1">
        <w:r w:rsidRPr="00781B95">
          <w:rPr>
            <w:rStyle w:val="Hyperlink"/>
            <w:rFonts w:ascii="FrankRuehl" w:hAnsi="FrankRuehl" w:cs="FrankRuehl"/>
            <w:sz w:val="24"/>
          </w:rPr>
          <w:t>345 (</w:t>
        </w:r>
        <w:r w:rsidRPr="00781B95">
          <w:rPr>
            <w:rStyle w:val="Hyperlink"/>
            <w:rFonts w:ascii="FrankRuehl" w:hAnsi="FrankRuehl" w:cs="FrankRuehl"/>
            <w:sz w:val="24"/>
            <w:rtl/>
          </w:rPr>
          <w:t>א) (3</w:t>
        </w:r>
        <w:r w:rsidRPr="00781B95">
          <w:rPr>
            <w:rStyle w:val="Hyperlink"/>
            <w:rFonts w:ascii="FrankRuehl" w:hAnsi="FrankRuehl" w:cs="FrankRuehl"/>
            <w:sz w:val="24"/>
          </w:rPr>
          <w:t>)</w:t>
        </w:r>
      </w:hyperlink>
      <w:r w:rsidRPr="00781B95">
        <w:rPr>
          <w:rFonts w:ascii="FrankRuehl" w:hAnsi="FrankRuehl" w:cs="FrankRuehl"/>
          <w:color w:val="0000FF"/>
          <w:sz w:val="24"/>
          <w:u w:val="single"/>
          <w:rtl/>
        </w:rPr>
        <w:t xml:space="preserve">, </w:t>
      </w:r>
      <w:hyperlink r:id="rId9" w:history="1">
        <w:r w:rsidRPr="00781B95">
          <w:rPr>
            <w:rStyle w:val="Hyperlink"/>
            <w:rFonts w:ascii="FrankRuehl" w:hAnsi="FrankRuehl" w:cs="FrankRuehl"/>
            <w:sz w:val="24"/>
          </w:rPr>
          <w:t>351 (</w:t>
        </w:r>
        <w:r w:rsidRPr="00781B95">
          <w:rPr>
            <w:rStyle w:val="Hyperlink"/>
            <w:rFonts w:ascii="FrankRuehl" w:hAnsi="FrankRuehl" w:cs="FrankRuehl"/>
            <w:sz w:val="24"/>
            <w:rtl/>
          </w:rPr>
          <w:t>ג) (2</w:t>
        </w:r>
        <w:r w:rsidRPr="00781B95">
          <w:rPr>
            <w:rStyle w:val="Hyperlink"/>
            <w:rFonts w:ascii="FrankRuehl" w:hAnsi="FrankRuehl" w:cs="FrankRuehl"/>
            <w:sz w:val="24"/>
          </w:rPr>
          <w:t>)</w:t>
        </w:r>
      </w:hyperlink>
      <w:r w:rsidRPr="00781B95">
        <w:rPr>
          <w:rFonts w:ascii="FrankRuehl" w:hAnsi="FrankRuehl" w:cs="FrankRuehl"/>
          <w:color w:val="0000FF"/>
          <w:sz w:val="24"/>
          <w:u w:val="single"/>
          <w:rtl/>
        </w:rPr>
        <w:t xml:space="preserve">, </w:t>
      </w:r>
      <w:hyperlink r:id="rId10" w:history="1">
        <w:r w:rsidRPr="00781B95">
          <w:rPr>
            <w:rStyle w:val="Hyperlink"/>
            <w:rFonts w:ascii="FrankRuehl" w:hAnsi="FrankRuehl" w:cs="FrankRuehl"/>
            <w:sz w:val="24"/>
          </w:rPr>
          <w:t>351 (</w:t>
        </w:r>
        <w:r w:rsidRPr="00781B95">
          <w:rPr>
            <w:rStyle w:val="Hyperlink"/>
            <w:rFonts w:ascii="FrankRuehl" w:hAnsi="FrankRuehl" w:cs="FrankRuehl"/>
            <w:sz w:val="24"/>
            <w:rtl/>
          </w:rPr>
          <w:t>ה) (1</w:t>
        </w:r>
        <w:r w:rsidRPr="00781B95">
          <w:rPr>
            <w:rStyle w:val="Hyperlink"/>
            <w:rFonts w:ascii="FrankRuehl" w:hAnsi="FrankRuehl" w:cs="FrankRuehl"/>
            <w:sz w:val="24"/>
          </w:rPr>
          <w:t>)</w:t>
        </w:r>
      </w:hyperlink>
      <w:r w:rsidRPr="00781B95">
        <w:rPr>
          <w:rFonts w:ascii="FrankRuehl" w:hAnsi="FrankRuehl" w:cs="FrankRuehl"/>
          <w:color w:val="0000FF"/>
          <w:sz w:val="24"/>
          <w:u w:val="single"/>
          <w:rtl/>
        </w:rPr>
        <w:t xml:space="preserve">, </w:t>
      </w:r>
      <w:hyperlink r:id="rId11" w:history="1">
        <w:r w:rsidRPr="00781B95">
          <w:rPr>
            <w:rStyle w:val="Hyperlink"/>
            <w:rFonts w:ascii="FrankRuehl" w:hAnsi="FrankRuehl" w:cs="FrankRuehl"/>
            <w:sz w:val="24"/>
          </w:rPr>
          <w:t xml:space="preserve">351 </w:t>
        </w:r>
        <w:r w:rsidRPr="00781B95">
          <w:rPr>
            <w:rStyle w:val="Hyperlink"/>
            <w:rFonts w:ascii="FrankRuehl" w:hAnsi="FrankRuehl" w:cs="FrankRuehl"/>
            <w:sz w:val="24"/>
            <w:rtl/>
          </w:rPr>
          <w:t>א</w:t>
        </w:r>
      </w:hyperlink>
      <w:r w:rsidRPr="00781B95">
        <w:rPr>
          <w:rFonts w:ascii="FrankRuehl" w:hAnsi="FrankRuehl" w:cs="FrankRuehl"/>
          <w:color w:val="0000FF"/>
          <w:sz w:val="24"/>
          <w:u w:val="single"/>
          <w:rtl/>
        </w:rPr>
        <w:t xml:space="preserve">, </w:t>
      </w:r>
      <w:hyperlink r:id="rId12" w:history="1">
        <w:r w:rsidRPr="00781B95">
          <w:rPr>
            <w:rStyle w:val="Hyperlink"/>
            <w:rFonts w:ascii="FrankRuehl" w:hAnsi="FrankRuehl" w:cs="FrankRuehl"/>
            <w:sz w:val="24"/>
          </w:rPr>
          <w:t>368 (</w:t>
        </w:r>
        <w:r w:rsidRPr="00781B95">
          <w:rPr>
            <w:rStyle w:val="Hyperlink"/>
            <w:rFonts w:ascii="FrankRuehl" w:hAnsi="FrankRuehl" w:cs="FrankRuehl"/>
            <w:sz w:val="24"/>
            <w:rtl/>
          </w:rPr>
          <w:t>ג</w:t>
        </w:r>
        <w:r w:rsidRPr="00781B95">
          <w:rPr>
            <w:rStyle w:val="Hyperlink"/>
            <w:rFonts w:ascii="FrankRuehl" w:hAnsi="FrankRuehl" w:cs="FrankRuehl"/>
            <w:sz w:val="24"/>
          </w:rPr>
          <w:t>)</w:t>
        </w:r>
      </w:hyperlink>
      <w:r w:rsidRPr="00781B95">
        <w:rPr>
          <w:rFonts w:ascii="FrankRuehl" w:hAnsi="FrankRuehl" w:cs="FrankRuehl"/>
          <w:color w:val="0000FF"/>
          <w:sz w:val="24"/>
          <w:u w:val="single"/>
          <w:rtl/>
        </w:rPr>
        <w:t xml:space="preserve">, </w:t>
      </w:r>
      <w:hyperlink r:id="rId13" w:history="1">
        <w:r w:rsidRPr="00781B95">
          <w:rPr>
            <w:rStyle w:val="Hyperlink"/>
            <w:rFonts w:ascii="FrankRuehl" w:hAnsi="FrankRuehl" w:cs="FrankRuehl"/>
            <w:sz w:val="24"/>
          </w:rPr>
          <w:t xml:space="preserve">368 </w:t>
        </w:r>
        <w:r w:rsidRPr="00781B95">
          <w:rPr>
            <w:rStyle w:val="Hyperlink"/>
            <w:rFonts w:ascii="FrankRuehl" w:hAnsi="FrankRuehl" w:cs="FrankRuehl"/>
            <w:sz w:val="24"/>
            <w:rtl/>
          </w:rPr>
          <w:t>א</w:t>
        </w:r>
      </w:hyperlink>
      <w:r w:rsidRPr="00781B95">
        <w:rPr>
          <w:rFonts w:ascii="FrankRuehl" w:hAnsi="FrankRuehl" w:cs="FrankRuehl"/>
          <w:color w:val="0000FF"/>
          <w:sz w:val="24"/>
          <w:u w:val="single"/>
          <w:rtl/>
        </w:rPr>
        <w:t xml:space="preserve">, </w:t>
      </w:r>
      <w:hyperlink r:id="rId14" w:history="1">
        <w:r w:rsidRPr="00781B95">
          <w:rPr>
            <w:rStyle w:val="Hyperlink"/>
            <w:rFonts w:ascii="FrankRuehl" w:hAnsi="FrankRuehl" w:cs="FrankRuehl"/>
            <w:sz w:val="24"/>
          </w:rPr>
          <w:t xml:space="preserve">368 </w:t>
        </w:r>
        <w:r w:rsidRPr="00781B95">
          <w:rPr>
            <w:rStyle w:val="Hyperlink"/>
            <w:rFonts w:ascii="FrankRuehl" w:hAnsi="FrankRuehl" w:cs="FrankRuehl"/>
            <w:sz w:val="24"/>
            <w:rtl/>
          </w:rPr>
          <w:t>ג</w:t>
        </w:r>
      </w:hyperlink>
    </w:p>
    <w:p w14:paraId="5EF9D36E" w14:textId="77777777" w:rsidR="00781B95" w:rsidRPr="00781B95" w:rsidRDefault="00781B95" w:rsidP="00781B95">
      <w:pPr>
        <w:spacing w:after="120" w:line="240" w:lineRule="exact"/>
        <w:ind w:left="283" w:hanging="283"/>
        <w:jc w:val="both"/>
        <w:rPr>
          <w:rFonts w:ascii="FrankRuehl" w:hAnsi="FrankRuehl" w:cs="FrankRuehl"/>
          <w:color w:val="0000FF"/>
          <w:sz w:val="24"/>
          <w:u w:val="single"/>
          <w:rtl/>
        </w:rPr>
      </w:pPr>
      <w:hyperlink r:id="rId15" w:history="1">
        <w:r w:rsidRPr="00781B95">
          <w:rPr>
            <w:rStyle w:val="Hyperlink"/>
            <w:rFonts w:ascii="FrankRuehl" w:hAnsi="FrankRuehl" w:cs="FrankRuehl"/>
            <w:sz w:val="24"/>
            <w:rtl/>
          </w:rPr>
          <w:t>חוק לתיקון דיני הראיות (הגנת ילדים), תשט"ו-1955</w:t>
        </w:r>
      </w:hyperlink>
      <w:r w:rsidRPr="00781B95">
        <w:rPr>
          <w:rFonts w:ascii="FrankRuehl" w:hAnsi="FrankRuehl" w:cs="FrankRuehl"/>
          <w:color w:val="0000FF"/>
          <w:sz w:val="24"/>
          <w:u w:val="single"/>
          <w:rtl/>
        </w:rPr>
        <w:t xml:space="preserve">: סע'  </w:t>
      </w:r>
      <w:hyperlink r:id="rId16" w:history="1">
        <w:r w:rsidRPr="00781B95">
          <w:rPr>
            <w:rStyle w:val="Hyperlink"/>
            <w:rFonts w:ascii="FrankRuehl" w:hAnsi="FrankRuehl" w:cs="FrankRuehl"/>
            <w:sz w:val="24"/>
          </w:rPr>
          <w:t>9</w:t>
        </w:r>
      </w:hyperlink>
      <w:r w:rsidRPr="00781B95">
        <w:rPr>
          <w:rFonts w:ascii="FrankRuehl" w:hAnsi="FrankRuehl" w:cs="FrankRuehl"/>
          <w:color w:val="0000FF"/>
          <w:sz w:val="24"/>
          <w:u w:val="single"/>
          <w:rtl/>
        </w:rPr>
        <w:t xml:space="preserve">, </w:t>
      </w:r>
      <w:hyperlink r:id="rId17" w:history="1">
        <w:r w:rsidRPr="00781B95">
          <w:rPr>
            <w:rStyle w:val="Hyperlink"/>
            <w:rFonts w:ascii="FrankRuehl" w:hAnsi="FrankRuehl" w:cs="FrankRuehl"/>
            <w:sz w:val="24"/>
          </w:rPr>
          <w:t>11</w:t>
        </w:r>
      </w:hyperlink>
    </w:p>
    <w:p w14:paraId="3131159A" w14:textId="77777777" w:rsidR="00781B95" w:rsidRPr="00781B95" w:rsidRDefault="00781B95" w:rsidP="00781B95">
      <w:pPr>
        <w:spacing w:after="120" w:line="240" w:lineRule="exact"/>
        <w:ind w:left="283" w:hanging="283"/>
        <w:jc w:val="both"/>
        <w:rPr>
          <w:rFonts w:ascii="FrankRuehl" w:hAnsi="FrankRuehl" w:cs="FrankRuehl"/>
          <w:color w:val="0000FF"/>
          <w:sz w:val="24"/>
          <w:u w:val="single"/>
          <w:rtl/>
        </w:rPr>
      </w:pPr>
      <w:hyperlink r:id="rId18" w:history="1">
        <w:r w:rsidRPr="00781B95">
          <w:rPr>
            <w:rStyle w:val="Hyperlink"/>
            <w:rFonts w:ascii="FrankRuehl" w:hAnsi="FrankRuehl" w:cs="FrankRuehl"/>
            <w:sz w:val="24"/>
            <w:rtl/>
          </w:rPr>
          <w:t>חוק סדר הדין הפלילי [נוסח משולב], תשמ"ב-1982</w:t>
        </w:r>
      </w:hyperlink>
      <w:r w:rsidRPr="00781B95">
        <w:rPr>
          <w:rFonts w:ascii="FrankRuehl" w:hAnsi="FrankRuehl" w:cs="FrankRuehl"/>
          <w:color w:val="0000FF"/>
          <w:sz w:val="24"/>
          <w:u w:val="single"/>
          <w:rtl/>
        </w:rPr>
        <w:t xml:space="preserve">: סע'  </w:t>
      </w:r>
      <w:hyperlink r:id="rId19" w:history="1">
        <w:r w:rsidRPr="00781B95">
          <w:rPr>
            <w:rStyle w:val="Hyperlink"/>
            <w:rFonts w:ascii="FrankRuehl" w:hAnsi="FrankRuehl" w:cs="FrankRuehl"/>
            <w:sz w:val="24"/>
          </w:rPr>
          <w:t>184</w:t>
        </w:r>
      </w:hyperlink>
      <w:r w:rsidRPr="00781B95">
        <w:rPr>
          <w:rFonts w:ascii="FrankRuehl" w:hAnsi="FrankRuehl" w:cs="FrankRuehl"/>
          <w:color w:val="0000FF"/>
          <w:sz w:val="24"/>
          <w:u w:val="single"/>
          <w:rtl/>
        </w:rPr>
        <w:t xml:space="preserve">, </w:t>
      </w:r>
      <w:hyperlink r:id="rId20" w:history="1">
        <w:r w:rsidRPr="00781B95">
          <w:rPr>
            <w:rStyle w:val="Hyperlink"/>
            <w:rFonts w:ascii="FrankRuehl" w:hAnsi="FrankRuehl" w:cs="FrankRuehl"/>
            <w:sz w:val="24"/>
          </w:rPr>
          <w:t>187</w:t>
        </w:r>
      </w:hyperlink>
    </w:p>
    <w:p w14:paraId="43168B56" w14:textId="77777777" w:rsidR="00781B95" w:rsidRPr="00781B95" w:rsidRDefault="00781B95" w:rsidP="00781B95">
      <w:pPr>
        <w:spacing w:after="120" w:line="240" w:lineRule="exact"/>
        <w:ind w:left="283" w:hanging="283"/>
        <w:jc w:val="both"/>
        <w:rPr>
          <w:rFonts w:ascii="FrankRuehl" w:hAnsi="FrankRuehl" w:cs="FrankRuehl"/>
          <w:sz w:val="24"/>
          <w:rtl/>
        </w:rPr>
      </w:pPr>
    </w:p>
    <w:p w14:paraId="52EC4CA4" w14:textId="77777777" w:rsidR="00781B95" w:rsidRPr="00781B95" w:rsidRDefault="00781B95">
      <w:pPr>
        <w:rPr>
          <w:rtl/>
        </w:rPr>
      </w:pPr>
      <w:bookmarkStart w:id="9" w:name="LawTable_End"/>
      <w:bookmarkEnd w:id="9"/>
    </w:p>
    <w:p w14:paraId="4E4506B8" w14:textId="77777777" w:rsidR="00781B95" w:rsidRPr="00781B95" w:rsidRDefault="00781B95">
      <w:pPr>
        <w:rPr>
          <w:rtl/>
        </w:rPr>
      </w:pPr>
    </w:p>
    <w:p w14:paraId="491FA433" w14:textId="77777777" w:rsidR="006754DF" w:rsidRPr="00781B95" w:rsidRDefault="006754DF">
      <w:pPr>
        <w:rPr>
          <w:rFonts w:hint="cs"/>
          <w:rtl/>
        </w:rPr>
      </w:pPr>
    </w:p>
    <w:p w14:paraId="5DEB0CD2" w14:textId="77777777" w:rsidR="00C610CB" w:rsidRPr="00C610CB" w:rsidRDefault="00C610CB">
      <w:pPr>
        <w:pStyle w:val="Heading1"/>
        <w:rPr>
          <w:b w:val="0"/>
          <w:bCs w:val="0"/>
          <w:u w:val="none"/>
          <w:rtl/>
        </w:rPr>
      </w:pPr>
      <w:bookmarkStart w:id="10" w:name="סוג_מסמך"/>
      <w:bookmarkEnd w:id="10"/>
    </w:p>
    <w:p w14:paraId="1D57BB65" w14:textId="77777777" w:rsidR="00C610CB" w:rsidRPr="00C610CB" w:rsidRDefault="00C610CB">
      <w:pPr>
        <w:pStyle w:val="Heading1"/>
        <w:rPr>
          <w:u w:val="none"/>
          <w:rtl/>
        </w:rPr>
      </w:pPr>
    </w:p>
    <w:p w14:paraId="49BCC2C5" w14:textId="77777777" w:rsidR="006754DF" w:rsidRPr="00C610CB" w:rsidRDefault="006754DF">
      <w:pPr>
        <w:pStyle w:val="Heading1"/>
        <w:rPr>
          <w:u w:val="none"/>
          <w:rtl/>
        </w:rPr>
      </w:pPr>
    </w:p>
    <w:p w14:paraId="6988D86E" w14:textId="77777777" w:rsidR="006754DF" w:rsidRDefault="006754DF">
      <w:pPr>
        <w:pStyle w:val="Heading1"/>
        <w:rPr>
          <w:rtl/>
        </w:rPr>
      </w:pPr>
      <w:bookmarkStart w:id="11" w:name="PsakDin"/>
      <w:r>
        <w:rPr>
          <w:rtl/>
        </w:rPr>
        <w:t>הכרעת דין</w:t>
      </w:r>
    </w:p>
    <w:bookmarkEnd w:id="11"/>
    <w:p w14:paraId="41E3DE22" w14:textId="77777777" w:rsidR="006754DF" w:rsidRDefault="006754DF">
      <w:pPr>
        <w:pStyle w:val="Heading1"/>
        <w:rPr>
          <w:rtl/>
        </w:rPr>
      </w:pPr>
    </w:p>
    <w:p w14:paraId="5DCDA6F3" w14:textId="77777777" w:rsidR="006754DF" w:rsidRDefault="006754DF">
      <w:pPr>
        <w:pStyle w:val="Heading3"/>
        <w:rPr>
          <w:rFonts w:hint="cs"/>
          <w:rtl/>
        </w:rPr>
      </w:pPr>
      <w:r>
        <w:rPr>
          <w:rFonts w:hint="cs"/>
          <w:rtl/>
        </w:rPr>
        <w:t>סגן הנשיא - י. טימור</w:t>
      </w:r>
    </w:p>
    <w:p w14:paraId="358AA7FF" w14:textId="77777777" w:rsidR="006754DF" w:rsidRDefault="006754DF">
      <w:pPr>
        <w:rPr>
          <w:rFonts w:hint="cs"/>
          <w:rtl/>
        </w:rPr>
      </w:pPr>
    </w:p>
    <w:p w14:paraId="235BB4CF" w14:textId="77777777" w:rsidR="006754DF" w:rsidRDefault="006754DF">
      <w:pPr>
        <w:rPr>
          <w:rFonts w:hint="cs"/>
          <w:rtl/>
        </w:rPr>
      </w:pPr>
      <w:r>
        <w:rPr>
          <w:rFonts w:hint="cs"/>
          <w:rtl/>
        </w:rPr>
        <w:t xml:space="preserve">1. </w:t>
      </w:r>
      <w:bookmarkStart w:id="12" w:name="ABSTRACT_START"/>
      <w:bookmarkEnd w:id="12"/>
      <w:r>
        <w:rPr>
          <w:rFonts w:hint="cs"/>
          <w:rtl/>
        </w:rPr>
        <w:t xml:space="preserve">בכתב האישום הנדון שלושה אישומים. באישום הראשון מואשם הנאשם בהתעללות בקטין, עבירה לפי </w:t>
      </w:r>
      <w:hyperlink r:id="rId21" w:history="1">
        <w:r w:rsidR="00C610CB" w:rsidRPr="00C610CB">
          <w:rPr>
            <w:rStyle w:val="Hyperlink"/>
            <w:rFonts w:hint="eastAsia"/>
            <w:color w:val="0000FF"/>
            <w:rtl/>
          </w:rPr>
          <w:t>סע</w:t>
        </w:r>
        <w:r w:rsidR="00C610CB" w:rsidRPr="00C610CB">
          <w:rPr>
            <w:rStyle w:val="Hyperlink"/>
            <w:color w:val="0000FF"/>
            <w:rtl/>
          </w:rPr>
          <w:t>' 368 (ג)</w:t>
        </w:r>
      </w:hyperlink>
      <w:r>
        <w:rPr>
          <w:rFonts w:hint="cs"/>
          <w:rtl/>
        </w:rPr>
        <w:t xml:space="preserve"> לחוק העונשין תשל"ז 1977 (להלן ייקרא "החוק"). נטען כי הנאשם נהג להתעלל בקטינה שהיה אחראי לה, בכך שבמשך שנתיים שקדמו להגשת כתב האישום, נהג להפשיטה ולהכות אותה בחגורה</w:t>
      </w:r>
      <w:bookmarkStart w:id="13" w:name="ABSTRACT_END"/>
      <w:bookmarkEnd w:id="13"/>
      <w:r>
        <w:rPr>
          <w:rFonts w:hint="cs"/>
          <w:rtl/>
        </w:rPr>
        <w:t xml:space="preserve">. </w:t>
      </w:r>
    </w:p>
    <w:p w14:paraId="10343481" w14:textId="77777777" w:rsidR="006754DF" w:rsidRDefault="006754DF">
      <w:pPr>
        <w:rPr>
          <w:rFonts w:hint="cs"/>
          <w:color w:val="FFFFFF"/>
          <w:sz w:val="4"/>
          <w:szCs w:val="4"/>
          <w:rtl/>
        </w:rPr>
      </w:pPr>
    </w:p>
    <w:p w14:paraId="3DCF0165" w14:textId="77777777" w:rsidR="006754DF" w:rsidRDefault="006754DF">
      <w:pPr>
        <w:rPr>
          <w:rFonts w:hint="cs"/>
          <w:color w:val="FFFFFF"/>
          <w:sz w:val="4"/>
          <w:szCs w:val="4"/>
          <w:rtl/>
        </w:rPr>
      </w:pPr>
      <w:r>
        <w:rPr>
          <w:color w:val="FFFFFF"/>
          <w:sz w:val="4"/>
          <w:szCs w:val="4"/>
          <w:rtl/>
        </w:rPr>
        <w:t>5129371</w:t>
      </w:r>
    </w:p>
    <w:p w14:paraId="497552F0" w14:textId="77777777" w:rsidR="006754DF" w:rsidRDefault="006754DF">
      <w:pPr>
        <w:rPr>
          <w:rFonts w:hint="cs"/>
          <w:rtl/>
        </w:rPr>
      </w:pPr>
      <w:r>
        <w:rPr>
          <w:color w:val="FFFFFF"/>
          <w:sz w:val="4"/>
          <w:szCs w:val="4"/>
          <w:rtl/>
        </w:rPr>
        <w:t>5129371</w:t>
      </w:r>
      <w:r>
        <w:rPr>
          <w:rFonts w:hint="cs"/>
          <w:rtl/>
        </w:rPr>
        <w:t xml:space="preserve">באישום השני מואשם הנאשם בביצוע עבירות מין במשפחה, עבירה לפי </w:t>
      </w:r>
      <w:hyperlink r:id="rId22" w:history="1">
        <w:r w:rsidR="00C610CB" w:rsidRPr="00C610CB">
          <w:rPr>
            <w:rStyle w:val="Hyperlink"/>
            <w:rFonts w:hint="eastAsia"/>
            <w:color w:val="0000FF"/>
            <w:rtl/>
          </w:rPr>
          <w:t>סע</w:t>
        </w:r>
        <w:r w:rsidR="00C610CB" w:rsidRPr="00C610CB">
          <w:rPr>
            <w:rStyle w:val="Hyperlink"/>
            <w:color w:val="0000FF"/>
            <w:rtl/>
          </w:rPr>
          <w:t>' 351 (ג) (2)</w:t>
        </w:r>
      </w:hyperlink>
      <w:r>
        <w:rPr>
          <w:rFonts w:hint="cs"/>
          <w:rtl/>
        </w:rPr>
        <w:t xml:space="preserve"> לחוק. נטען כי בשנתיים שקדמו להגשת כתב האישום ביצע הנאשם מעשים מגונים במתלוננת, היא קטינה, בת משפחתו, בכך שהפשיט אותה וליטף חלקי גופה לשם גירוי, סיפוק, או ביזוי מיניים. </w:t>
      </w:r>
    </w:p>
    <w:p w14:paraId="34FB9376" w14:textId="77777777" w:rsidR="006754DF" w:rsidRDefault="006754DF">
      <w:pPr>
        <w:rPr>
          <w:rFonts w:hint="cs"/>
          <w:rtl/>
        </w:rPr>
      </w:pPr>
      <w:r>
        <w:rPr>
          <w:rFonts w:hint="cs"/>
          <w:rtl/>
        </w:rPr>
        <w:t xml:space="preserve">באישום השלישי מואשם הנאשם בביצוע מעשה אינוס, עבירה לפי </w:t>
      </w:r>
      <w:hyperlink r:id="rId23" w:history="1">
        <w:r w:rsidR="00C610CB" w:rsidRPr="00C610CB">
          <w:rPr>
            <w:rStyle w:val="Hyperlink"/>
            <w:rFonts w:hint="eastAsia"/>
            <w:color w:val="0000FF"/>
            <w:rtl/>
          </w:rPr>
          <w:t>סע</w:t>
        </w:r>
        <w:r w:rsidR="00C610CB" w:rsidRPr="00C610CB">
          <w:rPr>
            <w:rStyle w:val="Hyperlink"/>
            <w:color w:val="0000FF"/>
            <w:rtl/>
          </w:rPr>
          <w:t>' 345 (א) (3)</w:t>
        </w:r>
      </w:hyperlink>
      <w:r>
        <w:rPr>
          <w:rFonts w:hint="cs"/>
          <w:rtl/>
        </w:rPr>
        <w:t xml:space="preserve"> לחוק. </w:t>
      </w:r>
    </w:p>
    <w:p w14:paraId="3254DA47" w14:textId="77777777" w:rsidR="006754DF" w:rsidRDefault="006754DF">
      <w:pPr>
        <w:rPr>
          <w:rFonts w:hint="cs"/>
          <w:rtl/>
        </w:rPr>
      </w:pPr>
      <w:r>
        <w:rPr>
          <w:rFonts w:hint="cs"/>
          <w:rtl/>
        </w:rPr>
        <w:t xml:space="preserve">נטען כי בחודש אפריל שנת 2000, או סמוך לכך, הפשיט הנאשם את המתלוננת והחדיר אצבעותיו לאבר מינה. </w:t>
      </w:r>
    </w:p>
    <w:p w14:paraId="7C46A969" w14:textId="77777777" w:rsidR="006754DF" w:rsidRDefault="006754DF">
      <w:pPr>
        <w:rPr>
          <w:rFonts w:hint="cs"/>
          <w:rtl/>
        </w:rPr>
      </w:pPr>
      <w:r>
        <w:rPr>
          <w:rFonts w:hint="cs"/>
          <w:rtl/>
        </w:rPr>
        <w:t xml:space="preserve">נטען כי בזמנים הרלבנטיים לאמור בכתב האישום חיו הנאשם ואם המתלוננת כבעל ואשה, כאשר הנאשם היה אחראי לצרכי בריאותה, חינוכה ושלומה של המתלוננת שהיתה כבת 10. </w:t>
      </w:r>
    </w:p>
    <w:p w14:paraId="3DDE1642" w14:textId="77777777" w:rsidR="006754DF" w:rsidRDefault="006754DF">
      <w:pPr>
        <w:rPr>
          <w:rFonts w:hint="cs"/>
          <w:rtl/>
        </w:rPr>
      </w:pPr>
    </w:p>
    <w:p w14:paraId="0C08B839" w14:textId="77777777" w:rsidR="006754DF" w:rsidRDefault="006754DF">
      <w:pPr>
        <w:rPr>
          <w:rFonts w:hint="cs"/>
          <w:rtl/>
        </w:rPr>
      </w:pPr>
      <w:r>
        <w:rPr>
          <w:rFonts w:hint="cs"/>
          <w:rtl/>
        </w:rPr>
        <w:t>2. במענה לאישום כפר הנאשם בעובדות ובעבירות שבכתב האישום. יחד עם זאת הוסיף וטען ב"כ הנאשם:</w:t>
      </w:r>
    </w:p>
    <w:p w14:paraId="459018CE" w14:textId="77777777" w:rsidR="006754DF" w:rsidRDefault="006754DF">
      <w:pPr>
        <w:rPr>
          <w:rFonts w:hint="cs"/>
          <w:rtl/>
        </w:rPr>
      </w:pPr>
      <w:r>
        <w:rPr>
          <w:rFonts w:hint="cs"/>
          <w:rtl/>
        </w:rPr>
        <w:t xml:space="preserve">"אנו מודים בכך שהנאשם היה אחראי לקטינה נשוא הערעור הנדון (צ"ל האישום הנדון - י.ט.). נכון שהנאשם תקף אותה מספר פעמים. הדבר היה על רקע משמעת וחינוך..." (פרוט' עמ' 2). </w:t>
      </w:r>
    </w:p>
    <w:p w14:paraId="44147638" w14:textId="77777777" w:rsidR="006754DF" w:rsidRDefault="006754DF">
      <w:pPr>
        <w:rPr>
          <w:rFonts w:hint="cs"/>
          <w:rtl/>
        </w:rPr>
      </w:pPr>
      <w:r>
        <w:rPr>
          <w:rFonts w:hint="cs"/>
          <w:rtl/>
        </w:rPr>
        <w:t xml:space="preserve">הן מעדות הנאשם הן מעדות אם המתלוננת עולה כי השניים התגוררו תחת קורת גג אחת מאז שנת 1998 ואף התכוונו להתחתן (ראה עדות האם פרוט' 11, עדות הנאשם פרוט' 22 והודעותיו ת/4 ו-ת/5). גם עולה מן העדויות הנ"ל, כי הנאשם ראה עצמו שותף לחינוכה של המתלוננת והוא סייע גם בטיפול בה וגם בלימודיה. </w:t>
      </w:r>
    </w:p>
    <w:p w14:paraId="600824F3" w14:textId="77777777" w:rsidR="006754DF" w:rsidRDefault="006754DF">
      <w:pPr>
        <w:rPr>
          <w:rFonts w:hint="cs"/>
          <w:rtl/>
        </w:rPr>
      </w:pPr>
      <w:r>
        <w:rPr>
          <w:rFonts w:hint="cs"/>
          <w:rtl/>
        </w:rPr>
        <w:t>בהתחשב באמור לעיל עונה הנאשם על הגדרה של "בן משפחה" כאמור ב</w:t>
      </w:r>
      <w:hyperlink r:id="rId24" w:history="1">
        <w:r w:rsidR="00C610CB" w:rsidRPr="00C610CB">
          <w:rPr>
            <w:rStyle w:val="Hyperlink"/>
            <w:rFonts w:hint="eastAsia"/>
            <w:color w:val="0000FF"/>
            <w:rtl/>
          </w:rPr>
          <w:t>סע</w:t>
        </w:r>
        <w:r w:rsidR="00C610CB" w:rsidRPr="00C610CB">
          <w:rPr>
            <w:rStyle w:val="Hyperlink"/>
            <w:color w:val="0000FF"/>
            <w:rtl/>
          </w:rPr>
          <w:t>' 351 (ה) (1)</w:t>
        </w:r>
      </w:hyperlink>
      <w:r>
        <w:rPr>
          <w:rFonts w:hint="cs"/>
          <w:rtl/>
        </w:rPr>
        <w:t xml:space="preserve"> לחוק וכן על הגדרה "אחראי על קטין" לפי </w:t>
      </w:r>
      <w:hyperlink r:id="rId25" w:history="1">
        <w:r w:rsidR="00C610CB" w:rsidRPr="00C610CB">
          <w:rPr>
            <w:rStyle w:val="Hyperlink"/>
            <w:rFonts w:hint="eastAsia"/>
            <w:color w:val="0000FF"/>
            <w:rtl/>
          </w:rPr>
          <w:t>סע</w:t>
        </w:r>
        <w:r w:rsidR="00C610CB" w:rsidRPr="00C610CB">
          <w:rPr>
            <w:rStyle w:val="Hyperlink"/>
            <w:color w:val="0000FF"/>
            <w:rtl/>
          </w:rPr>
          <w:t>' 368 א</w:t>
        </w:r>
      </w:hyperlink>
      <w:r>
        <w:rPr>
          <w:rFonts w:hint="cs"/>
          <w:rtl/>
        </w:rPr>
        <w:t xml:space="preserve">' לחוק. המתלוננת הינה קטינה ילידת 2.5.90 (ראה </w:t>
      </w:r>
    </w:p>
    <w:p w14:paraId="337E599E" w14:textId="77777777" w:rsidR="006754DF" w:rsidRDefault="006754DF">
      <w:pPr>
        <w:rPr>
          <w:rFonts w:hint="cs"/>
          <w:rtl/>
        </w:rPr>
      </w:pPr>
      <w:r>
        <w:rPr>
          <w:rFonts w:hint="cs"/>
          <w:rtl/>
        </w:rPr>
        <w:t xml:space="preserve">ת/8). </w:t>
      </w:r>
    </w:p>
    <w:p w14:paraId="1140C5FD" w14:textId="77777777" w:rsidR="006754DF" w:rsidRDefault="006754DF">
      <w:pPr>
        <w:rPr>
          <w:rFonts w:hint="cs"/>
          <w:rtl/>
        </w:rPr>
      </w:pPr>
    </w:p>
    <w:p w14:paraId="7CF8283D" w14:textId="77777777" w:rsidR="006754DF" w:rsidRDefault="006754DF">
      <w:pPr>
        <w:rPr>
          <w:rFonts w:hint="cs"/>
          <w:rtl/>
        </w:rPr>
      </w:pPr>
      <w:r>
        <w:rPr>
          <w:rFonts w:hint="cs"/>
          <w:rtl/>
        </w:rPr>
        <w:lastRenderedPageBreak/>
        <w:t xml:space="preserve">3. למתלוננת היתה חונכת פר"ח הגב' לוקשן ליזה, בתקופה שמאוקטובר 1999 ועד יולי 2000. כחצי שנה לאחר תחילת הקשר גילתה המתלוננת בפני החונכת כי הנאשם נוהג להכותה מאז מלאו לה שש שנים. הוא גם נוהג לגעת בה באבר המין ובחזה. </w:t>
      </w:r>
    </w:p>
    <w:p w14:paraId="572CA83E" w14:textId="77777777" w:rsidR="006754DF" w:rsidRDefault="006754DF">
      <w:pPr>
        <w:rPr>
          <w:rFonts w:hint="cs"/>
          <w:rtl/>
        </w:rPr>
      </w:pPr>
      <w:r>
        <w:rPr>
          <w:rFonts w:hint="cs"/>
          <w:rtl/>
        </w:rPr>
        <w:t xml:space="preserve">בחודש מאי 2000 הקדימה החונכת לבקר את המתלוננת במכוון. היא צלצלה בפעמון הדירה, אך נאלצה להמתין כחמש דקות עד שנפתחה הדלת. היא מצאה הנאשם ערום בפלג גופו העליון ואילו המתלוננת היתה מרושלת בבגדיה ושערה היה לא מסודר. היא ראתה דמעות בעיני המתלוננת. מחוץ לבית גילתה המתלוננת כי הנאשם הפשיט אותה, השליך אותה ארצה ובעט בה. (ראה עדות החונכת פרוט' 9-7). </w:t>
      </w:r>
    </w:p>
    <w:p w14:paraId="673F2491" w14:textId="77777777" w:rsidR="006754DF" w:rsidRDefault="006754DF">
      <w:pPr>
        <w:rPr>
          <w:rFonts w:hint="cs"/>
          <w:rtl/>
        </w:rPr>
      </w:pPr>
      <w:r>
        <w:rPr>
          <w:rFonts w:hint="cs"/>
          <w:rtl/>
        </w:rPr>
        <w:t>החונכת הביעה חשדה, כי הנאשם מתעלל במתלוננת, בפני היועצת בבית סיפרה של המתלוננת - הגב' קרן גולדשטיין - אשר מצידה הביאה הדברים לידיעת פקיד הסעד, במכתב מיום 30.5.00. ימים לאחר מכן הופיעה חוקרת נוער לחקור את המתלוננת.</w:t>
      </w:r>
      <w:r>
        <w:rPr>
          <w:color w:val="FFFFFF"/>
          <w:sz w:val="4"/>
          <w:szCs w:val="4"/>
          <w:rtl/>
        </w:rPr>
        <w:t>נ</w:t>
      </w:r>
    </w:p>
    <w:p w14:paraId="7C6ACAE7" w14:textId="77777777" w:rsidR="006754DF" w:rsidRDefault="006754DF">
      <w:pPr>
        <w:rPr>
          <w:rFonts w:hint="cs"/>
          <w:rtl/>
        </w:rPr>
      </w:pPr>
      <w:r>
        <w:rPr>
          <w:rFonts w:hint="cs"/>
          <w:rtl/>
        </w:rPr>
        <w:t xml:space="preserve">עוד קודם שחוקרת הנוער החלה חקירתה בענין זה, כתבה המתלוננת מכתבים, עפ"י המלצת מחנת הכיתה, משזו התרשמה כי הילדה עצובה. במכתבים אלה מתיחסת המתלוננת למעשים מגונים והתעללות מצד הנאשם, כפי שעוד יפורט להלן (ראה המוצגים ת/1 ו-ת/2 ועדות היועצת עמ' 5-4 לפרוט'). </w:t>
      </w:r>
    </w:p>
    <w:p w14:paraId="27F70644" w14:textId="77777777" w:rsidR="006754DF" w:rsidRDefault="006754DF">
      <w:pPr>
        <w:rPr>
          <w:rFonts w:hint="cs"/>
          <w:rtl/>
        </w:rPr>
      </w:pPr>
    </w:p>
    <w:p w14:paraId="4AB82C67" w14:textId="77777777" w:rsidR="006754DF" w:rsidRDefault="006754DF">
      <w:pPr>
        <w:rPr>
          <w:rFonts w:hint="cs"/>
          <w:rtl/>
        </w:rPr>
      </w:pPr>
      <w:r>
        <w:rPr>
          <w:rFonts w:hint="cs"/>
          <w:rtl/>
        </w:rPr>
        <w:t xml:space="preserve">4.  באישום הראשון הואשם הנאשם בעבירה של התעללות בקטין, עבירה לפי </w:t>
      </w:r>
      <w:hyperlink r:id="rId26" w:history="1">
        <w:r w:rsidR="00C610CB" w:rsidRPr="00C610CB">
          <w:rPr>
            <w:rStyle w:val="Hyperlink"/>
            <w:rFonts w:hint="eastAsia"/>
            <w:color w:val="0000FF"/>
            <w:rtl/>
          </w:rPr>
          <w:t>סע</w:t>
        </w:r>
        <w:r w:rsidR="00C610CB" w:rsidRPr="00C610CB">
          <w:rPr>
            <w:rStyle w:val="Hyperlink"/>
            <w:color w:val="0000FF"/>
            <w:rtl/>
          </w:rPr>
          <w:t>' 368 (ג)</w:t>
        </w:r>
      </w:hyperlink>
      <w:r>
        <w:rPr>
          <w:rFonts w:hint="cs"/>
          <w:rtl/>
        </w:rPr>
        <w:t xml:space="preserve"> לחוק. רק בסיכומיו, הודיע ב"כ הנאשם: "אני לא אכפור באישום הראשון המתיחס להתעללות בקטין". </w:t>
      </w:r>
    </w:p>
    <w:p w14:paraId="168C531F" w14:textId="77777777" w:rsidR="006754DF" w:rsidRDefault="006754DF">
      <w:pPr>
        <w:rPr>
          <w:rFonts w:hint="cs"/>
          <w:rtl/>
        </w:rPr>
      </w:pPr>
      <w:r>
        <w:rPr>
          <w:rFonts w:hint="cs"/>
          <w:rtl/>
        </w:rPr>
        <w:t xml:space="preserve">כבר בהודעתו הראשונה ביום 5.6.00 הודה הנאשם כי היו מקרים בהם היכה המתלוננת בחגורה. הוא נהג כך אף שגם בעבודתו וגם אם המתלוננת היתרו בו שאין לעשות כן. הנאשם חזר והודה בדברים בעדותו בביה"מ. הוא אף הודה כי הורה למתלוננת להפשיל מכנסיה ותחתוניה אז היכה בה בחגורה ובמקרה אחד נותרו סימנים על גופה בהם הבחינה שכנתם. (פרוט' 26-24). הנאשם מודה כי היכה כך במתלוננת כעשר פעמים. הוא עשה כן ע"מ להשיג תוצאות. כך נהג כלפיו גם אביו, מצטדק הנאשם. </w:t>
      </w:r>
    </w:p>
    <w:p w14:paraId="205D8EBA" w14:textId="77777777" w:rsidR="006754DF" w:rsidRDefault="006754DF">
      <w:pPr>
        <w:rPr>
          <w:rFonts w:hint="cs"/>
          <w:rtl/>
        </w:rPr>
      </w:pPr>
      <w:r>
        <w:rPr>
          <w:rFonts w:hint="cs"/>
          <w:rtl/>
        </w:rPr>
        <w:t xml:space="preserve">כבר צויין בפסיקה כי למרבה הצער עדים אנו לתופעה חברתית חמורה החוזרת על עצמה, תופעה המתבטאת בכך, שהורים רואים זכות לעצמם "לחנך" ילדיהם במעשים שיש בהם אלימות, עריצות והתעללות בילדיהם. תופעה זו יש שתלבש צורה של אלימות קשה או צורה אחרת. (ראה </w:t>
      </w:r>
      <w:hyperlink r:id="rId27" w:history="1">
        <w:r w:rsidR="00C610CB" w:rsidRPr="00C610CB">
          <w:rPr>
            <w:rStyle w:val="Hyperlink"/>
            <w:rFonts w:hint="eastAsia"/>
            <w:color w:val="0000FF"/>
            <w:rtl/>
          </w:rPr>
          <w:t>ע</w:t>
        </w:r>
        <w:r w:rsidR="00C610CB" w:rsidRPr="00C610CB">
          <w:rPr>
            <w:rStyle w:val="Hyperlink"/>
            <w:color w:val="0000FF"/>
            <w:rtl/>
          </w:rPr>
          <w:t xml:space="preserve">.פ. 295/94 פלוני נ.מ"י </w:t>
        </w:r>
      </w:hyperlink>
      <w:r>
        <w:rPr>
          <w:rFonts w:hint="cs"/>
          <w:rtl/>
        </w:rPr>
        <w:t xml:space="preserve"> - טרם פורסם; ראה גם </w:t>
      </w:r>
      <w:hyperlink r:id="rId28" w:history="1">
        <w:r w:rsidR="00C610CB" w:rsidRPr="00C610CB">
          <w:rPr>
            <w:rStyle w:val="Hyperlink"/>
            <w:rFonts w:hint="eastAsia"/>
            <w:color w:val="0000FF"/>
            <w:rtl/>
          </w:rPr>
          <w:t>ע</w:t>
        </w:r>
        <w:r w:rsidR="00C610CB" w:rsidRPr="00C610CB">
          <w:rPr>
            <w:rStyle w:val="Hyperlink"/>
            <w:color w:val="0000FF"/>
            <w:rtl/>
          </w:rPr>
          <w:t xml:space="preserve">.פ. 4596/98 פלונית נ. מ"י </w:t>
        </w:r>
      </w:hyperlink>
      <w:r>
        <w:rPr>
          <w:rFonts w:hint="cs"/>
          <w:rtl/>
        </w:rPr>
        <w:t xml:space="preserve"> פד"י נד (1) 145). </w:t>
      </w:r>
    </w:p>
    <w:p w14:paraId="40392D78" w14:textId="77777777" w:rsidR="006754DF" w:rsidRDefault="006754DF">
      <w:pPr>
        <w:rPr>
          <w:rFonts w:hint="cs"/>
          <w:rtl/>
        </w:rPr>
      </w:pPr>
      <w:r>
        <w:rPr>
          <w:rFonts w:hint="cs"/>
          <w:rtl/>
        </w:rPr>
        <w:t>הדרך בה נהג הנאשם במתלוננת אין לראותה כאמצעי חינוך, אלא כעריצות והתעללות לשמה ע"י אדם האחראי למתלוננת הקטינה.</w:t>
      </w:r>
      <w:r>
        <w:rPr>
          <w:color w:val="FFFFFF"/>
          <w:sz w:val="4"/>
          <w:szCs w:val="4"/>
          <w:rtl/>
        </w:rPr>
        <w:t>ב</w:t>
      </w:r>
    </w:p>
    <w:p w14:paraId="6C921B66" w14:textId="77777777" w:rsidR="006754DF" w:rsidRDefault="006754DF">
      <w:pPr>
        <w:rPr>
          <w:rFonts w:hint="cs"/>
          <w:rtl/>
        </w:rPr>
      </w:pPr>
      <w:r>
        <w:rPr>
          <w:rFonts w:hint="cs"/>
          <w:rtl/>
        </w:rPr>
        <w:t xml:space="preserve">יש ע"כ להרשיע הנאשם הן עפ"י הודאתו הן עפ"י הראיות שהובאו בפני ביה"מ, בביצוע העבירה המיוחסת לו בכתב האישום, עבירה לפי </w:t>
      </w:r>
      <w:hyperlink r:id="rId29" w:history="1">
        <w:r w:rsidR="00C610CB" w:rsidRPr="00C610CB">
          <w:rPr>
            <w:rStyle w:val="Hyperlink"/>
            <w:rFonts w:hint="eastAsia"/>
            <w:color w:val="0000FF"/>
            <w:rtl/>
          </w:rPr>
          <w:t>סע</w:t>
        </w:r>
        <w:r w:rsidR="00C610CB" w:rsidRPr="00C610CB">
          <w:rPr>
            <w:rStyle w:val="Hyperlink"/>
            <w:color w:val="0000FF"/>
            <w:rtl/>
          </w:rPr>
          <w:t>' 368 ג</w:t>
        </w:r>
      </w:hyperlink>
      <w:r>
        <w:rPr>
          <w:rFonts w:hint="cs"/>
          <w:rtl/>
        </w:rPr>
        <w:t xml:space="preserve"> לחוק. </w:t>
      </w:r>
    </w:p>
    <w:p w14:paraId="3C320AD8" w14:textId="77777777" w:rsidR="006754DF" w:rsidRDefault="006754DF">
      <w:pPr>
        <w:rPr>
          <w:rFonts w:hint="cs"/>
          <w:rtl/>
        </w:rPr>
      </w:pPr>
    </w:p>
    <w:p w14:paraId="66D6E4CC" w14:textId="77777777" w:rsidR="006754DF" w:rsidRDefault="006754DF">
      <w:pPr>
        <w:rPr>
          <w:rFonts w:hint="cs"/>
          <w:rtl/>
        </w:rPr>
      </w:pPr>
      <w:r>
        <w:rPr>
          <w:rFonts w:hint="cs"/>
          <w:rtl/>
        </w:rPr>
        <w:t xml:space="preserve">5. באישום השני מואשם הנאשם בביצוע מעשים מגונים במתלוננת בשנתיים שקדמו להגשת כתב האישום. לכן מואשם הנאשם בביצוע עבירות מין במשפחה עבירות לפי </w:t>
      </w:r>
      <w:hyperlink r:id="rId30" w:history="1">
        <w:r w:rsidR="00C610CB" w:rsidRPr="00C610CB">
          <w:rPr>
            <w:rStyle w:val="Hyperlink"/>
            <w:rFonts w:hint="eastAsia"/>
            <w:color w:val="0000FF"/>
            <w:rtl/>
          </w:rPr>
          <w:t>סע</w:t>
        </w:r>
        <w:r w:rsidR="00C610CB" w:rsidRPr="00C610CB">
          <w:rPr>
            <w:rStyle w:val="Hyperlink"/>
            <w:color w:val="0000FF"/>
            <w:rtl/>
          </w:rPr>
          <w:t>' 351 (ג) (2)</w:t>
        </w:r>
      </w:hyperlink>
      <w:r>
        <w:rPr>
          <w:rFonts w:hint="cs"/>
          <w:rtl/>
        </w:rPr>
        <w:t xml:space="preserve"> לחוק. </w:t>
      </w:r>
    </w:p>
    <w:p w14:paraId="5D144844" w14:textId="77777777" w:rsidR="006754DF" w:rsidRDefault="006754DF">
      <w:pPr>
        <w:rPr>
          <w:rFonts w:hint="cs"/>
          <w:rtl/>
        </w:rPr>
      </w:pPr>
      <w:r>
        <w:rPr>
          <w:rFonts w:hint="cs"/>
          <w:rtl/>
        </w:rPr>
        <w:lastRenderedPageBreak/>
        <w:t xml:space="preserve">באישום השלישי מואשם הנאשם בביצוע עבירה של אינוס במתלוננת בכך שבחודש אפריל שנת 2000 או סמוך לכך החדיר אצבעותיו לאבר מינה. בכך ביצע הנאשם, כך נטען, עבירה לפי </w:t>
      </w:r>
      <w:hyperlink r:id="rId31" w:history="1">
        <w:r w:rsidR="00C610CB" w:rsidRPr="00C610CB">
          <w:rPr>
            <w:rStyle w:val="Hyperlink"/>
            <w:rFonts w:hint="eastAsia"/>
            <w:color w:val="0000FF"/>
            <w:rtl/>
          </w:rPr>
          <w:t>סע</w:t>
        </w:r>
        <w:r w:rsidR="00C610CB" w:rsidRPr="00C610CB">
          <w:rPr>
            <w:rStyle w:val="Hyperlink"/>
            <w:color w:val="0000FF"/>
            <w:rtl/>
          </w:rPr>
          <w:t>' 345 (א) (3)</w:t>
        </w:r>
      </w:hyperlink>
      <w:r>
        <w:rPr>
          <w:rFonts w:hint="cs"/>
          <w:rtl/>
        </w:rPr>
        <w:t xml:space="preserve"> לחוק. הראיה המרכזית לגבי עברות אלה המיוחסות לנאשם היא הודעתה המפורטת של הקטינה בפני חוקרת נוער. הודעה שכזו כשרה כראיה מכוח </w:t>
      </w:r>
      <w:hyperlink r:id="rId32" w:history="1">
        <w:r w:rsidR="00C610CB" w:rsidRPr="00C610CB">
          <w:rPr>
            <w:rStyle w:val="Hyperlink"/>
            <w:rFonts w:hint="eastAsia"/>
            <w:color w:val="0000FF"/>
            <w:rtl/>
          </w:rPr>
          <w:t>סע</w:t>
        </w:r>
        <w:r w:rsidR="00C610CB" w:rsidRPr="00C610CB">
          <w:rPr>
            <w:rStyle w:val="Hyperlink"/>
            <w:color w:val="0000FF"/>
            <w:rtl/>
          </w:rPr>
          <w:t>' 9</w:t>
        </w:r>
      </w:hyperlink>
      <w:r>
        <w:rPr>
          <w:rFonts w:hint="cs"/>
          <w:rtl/>
        </w:rPr>
        <w:t xml:space="preserve"> לחוק לתיקון דיני הראיות (הגנת ילדים) תשט"ו 1995. עדיין עפ"י </w:t>
      </w:r>
      <w:hyperlink r:id="rId33" w:history="1">
        <w:r w:rsidR="00C610CB" w:rsidRPr="00C610CB">
          <w:rPr>
            <w:rStyle w:val="Hyperlink"/>
            <w:rFonts w:hint="eastAsia"/>
            <w:color w:val="0000FF"/>
            <w:rtl/>
          </w:rPr>
          <w:t>סע</w:t>
        </w:r>
        <w:r w:rsidR="00C610CB" w:rsidRPr="00C610CB">
          <w:rPr>
            <w:rStyle w:val="Hyperlink"/>
            <w:color w:val="0000FF"/>
            <w:rtl/>
          </w:rPr>
          <w:t>' 11</w:t>
        </w:r>
      </w:hyperlink>
      <w:r>
        <w:rPr>
          <w:rFonts w:hint="cs"/>
          <w:rtl/>
        </w:rPr>
        <w:t xml:space="preserve"> לאותו חוק אין להרשיע עפ"י ראיה שכזו אלא אם יש לה סיוע בראיה אחרת. </w:t>
      </w:r>
    </w:p>
    <w:p w14:paraId="6E253097" w14:textId="77777777" w:rsidR="006754DF" w:rsidRDefault="006754DF">
      <w:pPr>
        <w:rPr>
          <w:rFonts w:hint="cs"/>
          <w:rtl/>
        </w:rPr>
      </w:pPr>
      <w:r>
        <w:rPr>
          <w:rFonts w:hint="cs"/>
          <w:rtl/>
        </w:rPr>
        <w:t>יש איפוא לבחון הודעת המתלוננת ולקבוע אם יש בה ראיה לביצוע העבירות המיוחסות לנאשם. היה והמסקנה חיובית, יש לבחון אם עלה בידי התביעה להביא ראיות קבילות העשויות לסייע להודעת המתלוננת.</w:t>
      </w:r>
      <w:r>
        <w:rPr>
          <w:color w:val="FFFFFF"/>
          <w:sz w:val="4"/>
          <w:szCs w:val="4"/>
          <w:rtl/>
        </w:rPr>
        <w:t>ו</w:t>
      </w:r>
    </w:p>
    <w:p w14:paraId="23C61388" w14:textId="77777777" w:rsidR="006754DF" w:rsidRDefault="006754DF">
      <w:pPr>
        <w:rPr>
          <w:rFonts w:hint="cs"/>
          <w:rtl/>
        </w:rPr>
      </w:pPr>
    </w:p>
    <w:p w14:paraId="00E819DC" w14:textId="77777777" w:rsidR="006754DF" w:rsidRDefault="006754DF">
      <w:pPr>
        <w:rPr>
          <w:rFonts w:hint="cs"/>
          <w:rtl/>
        </w:rPr>
      </w:pPr>
      <w:r>
        <w:rPr>
          <w:rFonts w:hint="cs"/>
          <w:rtl/>
        </w:rPr>
        <w:t xml:space="preserve">6. בהודעתה (ת/9) טוענת המתלוננת כי הנאשם נהג לבצע בה מעשים מגונים. </w:t>
      </w:r>
    </w:p>
    <w:p w14:paraId="6334AB0B" w14:textId="77777777" w:rsidR="006754DF" w:rsidRDefault="006754DF">
      <w:pPr>
        <w:rPr>
          <w:rFonts w:hint="cs"/>
          <w:rtl/>
        </w:rPr>
      </w:pPr>
      <w:r>
        <w:rPr>
          <w:rFonts w:hint="cs"/>
          <w:rtl/>
        </w:rPr>
        <w:t>אומרת היא בהודעתה:</w:t>
      </w:r>
    </w:p>
    <w:p w14:paraId="76929F95" w14:textId="77777777" w:rsidR="006754DF" w:rsidRDefault="006754DF">
      <w:pPr>
        <w:rPr>
          <w:rFonts w:hint="cs"/>
          <w:rtl/>
        </w:rPr>
      </w:pPr>
      <w:r>
        <w:rPr>
          <w:rFonts w:hint="cs"/>
          <w:rtl/>
        </w:rPr>
        <w:t>"אחר כך הוא היה כל הזמן נוגע לי במקום שאני לא רוצה שינגעו בי...</w:t>
      </w:r>
      <w:r>
        <w:rPr>
          <w:color w:val="FFFFFF"/>
          <w:sz w:val="4"/>
          <w:szCs w:val="4"/>
          <w:rtl/>
        </w:rPr>
        <w:t>נ</w:t>
      </w:r>
    </w:p>
    <w:p w14:paraId="72011395" w14:textId="77777777" w:rsidR="006754DF" w:rsidRDefault="006754DF">
      <w:pPr>
        <w:rPr>
          <w:rFonts w:hint="cs"/>
          <w:rtl/>
        </w:rPr>
      </w:pPr>
      <w:r>
        <w:rPr>
          <w:rFonts w:hint="cs"/>
          <w:rtl/>
        </w:rPr>
        <w:t xml:space="preserve">אחרי שהוא כבר הרביץ לי, אחרי שקצת גדלתי, אה, הוא התחיל לגעת בי במקום שאני לא רוצה... הוא קודם מרביץ לי, אחר כך נוגע לי במקום הזה... והוא מוריד ממני בגדים, את התחתונים והכל. ואם אני לא רוצה, אז הוא אומר אני ארביץ לך... אם את תגידי שאת לא רוצה. אז אני הייתי חייבת. אבל אני לא רציתי. אף פעם אני לא רציתי שיעשו לי דבר כזה. כי אני לא כל כך מכירה אותו, זה לא אבא שלי". (ראה שם עמ' 5). </w:t>
      </w:r>
    </w:p>
    <w:p w14:paraId="2E593018" w14:textId="77777777" w:rsidR="006754DF" w:rsidRDefault="006754DF">
      <w:pPr>
        <w:rPr>
          <w:rFonts w:hint="cs"/>
          <w:rtl/>
        </w:rPr>
      </w:pPr>
      <w:r>
        <w:rPr>
          <w:rFonts w:hint="cs"/>
          <w:rtl/>
        </w:rPr>
        <w:t>המתלוננת מתארת דפוס התנהגות קבוע מצד הנאשם:</w:t>
      </w:r>
    </w:p>
    <w:p w14:paraId="2E96D107" w14:textId="77777777" w:rsidR="006754DF" w:rsidRDefault="006754DF">
      <w:pPr>
        <w:rPr>
          <w:rFonts w:hint="cs"/>
          <w:rtl/>
        </w:rPr>
      </w:pPr>
      <w:r>
        <w:rPr>
          <w:rFonts w:hint="cs"/>
          <w:rtl/>
        </w:rPr>
        <w:t>"זה היה אותו דבר כל הזמן. הוא היה מוריד ממני בגדים, וזורק אותי על המיטה, והוא מוריד מעצמו בגדים ושוכב אתי על המיטה הזאתי". (שם עמ' 21).</w:t>
      </w:r>
      <w:r>
        <w:rPr>
          <w:color w:val="FFFFFF"/>
          <w:sz w:val="4"/>
          <w:szCs w:val="4"/>
          <w:rtl/>
        </w:rPr>
        <w:t>ב</w:t>
      </w:r>
    </w:p>
    <w:p w14:paraId="6ADDB7E2" w14:textId="77777777" w:rsidR="006754DF" w:rsidRDefault="006754DF">
      <w:pPr>
        <w:rPr>
          <w:rFonts w:hint="cs"/>
          <w:rtl/>
        </w:rPr>
      </w:pPr>
      <w:r>
        <w:rPr>
          <w:rFonts w:hint="cs"/>
          <w:rtl/>
        </w:rPr>
        <w:t>ובהמשך:</w:t>
      </w:r>
    </w:p>
    <w:p w14:paraId="56E437BC" w14:textId="77777777" w:rsidR="006754DF" w:rsidRDefault="006754DF">
      <w:pPr>
        <w:rPr>
          <w:rFonts w:hint="cs"/>
          <w:rtl/>
        </w:rPr>
      </w:pPr>
      <w:r>
        <w:rPr>
          <w:rFonts w:hint="cs"/>
          <w:rtl/>
        </w:rPr>
        <w:t xml:space="preserve">"כשהוא הוריד ממני את הבגדים... הוא אמר לי לשכוב במיטה, והוא רצה לעשות, לגעת לי במקום, במקום הזה אז הוא אמר לי לסגור את העיניים שאני לא אראה". (שם עמ' 26). </w:t>
      </w:r>
    </w:p>
    <w:p w14:paraId="0C3B1106" w14:textId="77777777" w:rsidR="006754DF" w:rsidRDefault="006754DF">
      <w:pPr>
        <w:rPr>
          <w:rFonts w:hint="cs"/>
          <w:rtl/>
        </w:rPr>
      </w:pPr>
      <w:r>
        <w:rPr>
          <w:rFonts w:hint="cs"/>
          <w:rtl/>
        </w:rPr>
        <w:t>ובהמשך:</w:t>
      </w:r>
    </w:p>
    <w:p w14:paraId="5108D1F8" w14:textId="77777777" w:rsidR="006754DF" w:rsidRDefault="006754DF">
      <w:pPr>
        <w:rPr>
          <w:rFonts w:hint="cs"/>
          <w:rtl/>
        </w:rPr>
      </w:pPr>
      <w:r>
        <w:rPr>
          <w:rFonts w:hint="cs"/>
          <w:rtl/>
        </w:rPr>
        <w:t xml:space="preserve">"ואז זה היה כואב. הוא נגע במקומות שכואב ואמרתי לו שזה כואב והוא לא הקשיב הוא היה ממשיך את זה...". (שם עמ' 26). </w:t>
      </w:r>
    </w:p>
    <w:p w14:paraId="5A6BF92C" w14:textId="77777777" w:rsidR="006754DF" w:rsidRDefault="006754DF">
      <w:pPr>
        <w:rPr>
          <w:rFonts w:hint="cs"/>
          <w:rtl/>
        </w:rPr>
      </w:pPr>
      <w:r>
        <w:rPr>
          <w:rFonts w:hint="cs"/>
          <w:rtl/>
        </w:rPr>
        <w:t>משנשאלת המתלוננת מה הם אותם מקומות כואבים, היא משיבה:</w:t>
      </w:r>
    </w:p>
    <w:p w14:paraId="7B430444" w14:textId="77777777" w:rsidR="006754DF" w:rsidRDefault="006754DF">
      <w:pPr>
        <w:rPr>
          <w:rFonts w:hint="cs"/>
          <w:rtl/>
        </w:rPr>
      </w:pPr>
      <w:r>
        <w:rPr>
          <w:rFonts w:hint="cs"/>
          <w:rtl/>
        </w:rPr>
        <w:t xml:space="preserve">"בפנים...בין הרגליים". (שם עמ' 23). </w:t>
      </w:r>
    </w:p>
    <w:p w14:paraId="5507AB80" w14:textId="77777777" w:rsidR="006754DF" w:rsidRDefault="006754DF">
      <w:pPr>
        <w:rPr>
          <w:rFonts w:hint="cs"/>
          <w:rtl/>
        </w:rPr>
      </w:pPr>
      <w:r>
        <w:rPr>
          <w:rFonts w:hint="cs"/>
          <w:rtl/>
        </w:rPr>
        <w:t xml:space="preserve">משמתבקשת המתלוננת לציין מתי ארע המקרה הראשון שהנאשם נגע לה "במקום הזה" המתלוננת משיבה כי הדבר ארע כאשר היתה בכיתה א'. (שם עמ' 14). </w:t>
      </w:r>
    </w:p>
    <w:p w14:paraId="224B1EA6" w14:textId="77777777" w:rsidR="006754DF" w:rsidRDefault="006754DF">
      <w:pPr>
        <w:rPr>
          <w:rFonts w:hint="cs"/>
          <w:rtl/>
        </w:rPr>
      </w:pPr>
    </w:p>
    <w:p w14:paraId="36E39548" w14:textId="77777777" w:rsidR="006754DF" w:rsidRDefault="006754DF">
      <w:pPr>
        <w:rPr>
          <w:rFonts w:hint="cs"/>
          <w:rtl/>
        </w:rPr>
      </w:pPr>
      <w:r>
        <w:rPr>
          <w:rFonts w:hint="cs"/>
          <w:rtl/>
        </w:rPr>
        <w:t xml:space="preserve">7. המתלוננת מעידה בפרוטרוט גם אודות מקרה ספציפי שארע עם הנאשם הוא האירוע נשוא האישום השלישי. </w:t>
      </w:r>
    </w:p>
    <w:p w14:paraId="53E2AFDD" w14:textId="77777777" w:rsidR="006754DF" w:rsidRDefault="006754DF">
      <w:pPr>
        <w:rPr>
          <w:rFonts w:hint="cs"/>
          <w:rtl/>
        </w:rPr>
      </w:pPr>
      <w:r>
        <w:rPr>
          <w:rFonts w:hint="cs"/>
          <w:rtl/>
        </w:rPr>
        <w:t xml:space="preserve">לדברי המתלוננת ארע מקרה זה ארבעה ימים קודם חקירתה הראשונה של חוקרת הנוער שהתקיימה ביום 31.5.00 (ראה ת/9 עמ' 14. לענין מועד החקירה הראשונה ראה ת/6). לפיכך ארע מקרה זה בסמוך ליום 27.5.00. </w:t>
      </w:r>
    </w:p>
    <w:p w14:paraId="3A81A0C7" w14:textId="77777777" w:rsidR="006754DF" w:rsidRDefault="006754DF">
      <w:pPr>
        <w:rPr>
          <w:rFonts w:hint="cs"/>
          <w:rtl/>
        </w:rPr>
      </w:pPr>
      <w:r>
        <w:rPr>
          <w:rFonts w:hint="cs"/>
          <w:rtl/>
        </w:rPr>
        <w:t>מעידה המתלוננת:</w:t>
      </w:r>
    </w:p>
    <w:p w14:paraId="1A01D6ED" w14:textId="77777777" w:rsidR="006754DF" w:rsidRDefault="006754DF">
      <w:pPr>
        <w:rPr>
          <w:rFonts w:hint="cs"/>
          <w:rtl/>
        </w:rPr>
      </w:pPr>
      <w:r>
        <w:rPr>
          <w:rFonts w:hint="cs"/>
          <w:rtl/>
        </w:rPr>
        <w:t>"איזשהו יום אמא שלי הלכה למישהו לקחת ביצים. אז הוא הוריד ממני את הבגדים, חולצה, מכנסיים, תחתונים, הכל, ואמר לי לשכוב ונגע לי כל הזמן במקום הזה, ואני לא רציתי. הוא אמר לי, אם את תגידי שאת לא רוצה אז אני ארביץ לך. ואז אני הייתי חייבת שהוא יעשה את זה. כי אני לא רוצה שירביצו לי...</w:t>
      </w:r>
      <w:r>
        <w:rPr>
          <w:color w:val="FFFFFF"/>
          <w:sz w:val="4"/>
          <w:szCs w:val="4"/>
          <w:rtl/>
        </w:rPr>
        <w:t>ו</w:t>
      </w:r>
    </w:p>
    <w:p w14:paraId="539EF366" w14:textId="77777777" w:rsidR="006754DF" w:rsidRDefault="006754DF">
      <w:pPr>
        <w:rPr>
          <w:rFonts w:hint="cs"/>
          <w:rtl/>
        </w:rPr>
      </w:pPr>
      <w:r>
        <w:rPr>
          <w:rFonts w:hint="cs"/>
          <w:rtl/>
        </w:rPr>
        <w:t>אז אמא שלי דפקה בדלת, אמר לי מהר ללבוש את הבגדים, גם הוא הוריד את הבגדים... אז הוא זה פתח את הדלת וזהו. ואני לא סיפרתי לאמא שלי שהוא נוגע במקום הזה כי הוא אמר שהוא ירביץ לי...</w:t>
      </w:r>
      <w:r>
        <w:rPr>
          <w:color w:val="FFFFFF"/>
          <w:sz w:val="4"/>
          <w:szCs w:val="4"/>
          <w:rtl/>
        </w:rPr>
        <w:t>נ</w:t>
      </w:r>
    </w:p>
    <w:p w14:paraId="13EC7DD4" w14:textId="77777777" w:rsidR="006754DF" w:rsidRDefault="006754DF">
      <w:pPr>
        <w:rPr>
          <w:rFonts w:hint="cs"/>
          <w:rtl/>
        </w:rPr>
      </w:pPr>
      <w:r>
        <w:rPr>
          <w:rFonts w:hint="cs"/>
          <w:rtl/>
        </w:rPr>
        <w:t>קודם הוריד ממני בגדים... אחר כך זרק אותי על המיטה... שאמא שלי והוא יושנים כי זה בסלון (ראה ת/9 עמ' 7-6).</w:t>
      </w:r>
      <w:r>
        <w:rPr>
          <w:color w:val="FFFFFF"/>
          <w:sz w:val="4"/>
          <w:szCs w:val="4"/>
          <w:rtl/>
        </w:rPr>
        <w:t>ב</w:t>
      </w:r>
    </w:p>
    <w:p w14:paraId="72A3E576" w14:textId="77777777" w:rsidR="006754DF" w:rsidRDefault="006754DF">
      <w:pPr>
        <w:rPr>
          <w:rFonts w:hint="cs"/>
          <w:rtl/>
        </w:rPr>
      </w:pPr>
      <w:r>
        <w:rPr>
          <w:rFonts w:hint="cs"/>
          <w:rtl/>
        </w:rPr>
        <w:t>ובהמשך:</w:t>
      </w:r>
    </w:p>
    <w:p w14:paraId="14A6C998" w14:textId="77777777" w:rsidR="006754DF" w:rsidRDefault="006754DF">
      <w:pPr>
        <w:rPr>
          <w:rFonts w:hint="cs"/>
          <w:rtl/>
        </w:rPr>
      </w:pPr>
      <w:r>
        <w:rPr>
          <w:rFonts w:hint="cs"/>
          <w:rtl/>
        </w:rPr>
        <w:t>"הוא נגע לי במקום שאני לא רוצה ובכל הגוף כאילו הוא נגע לי". (שם עמ' 8).</w:t>
      </w:r>
      <w:r>
        <w:rPr>
          <w:color w:val="FFFFFF"/>
          <w:sz w:val="4"/>
          <w:szCs w:val="4"/>
          <w:rtl/>
        </w:rPr>
        <w:t>ו</w:t>
      </w:r>
    </w:p>
    <w:p w14:paraId="5D908B15" w14:textId="77777777" w:rsidR="006754DF" w:rsidRDefault="006754DF">
      <w:pPr>
        <w:rPr>
          <w:rFonts w:hint="cs"/>
          <w:rtl/>
        </w:rPr>
      </w:pPr>
      <w:r>
        <w:rPr>
          <w:rFonts w:hint="cs"/>
          <w:rtl/>
        </w:rPr>
        <w:t xml:space="preserve">המתלוננת מוסיפה ומציינת כי אותו "מקום" שציינה הוא בין הרגליים. (שם עמ' 8). </w:t>
      </w:r>
    </w:p>
    <w:p w14:paraId="0D348DAF" w14:textId="77777777" w:rsidR="006754DF" w:rsidRDefault="006754DF">
      <w:pPr>
        <w:rPr>
          <w:rFonts w:hint="cs"/>
          <w:rtl/>
        </w:rPr>
      </w:pPr>
      <w:r>
        <w:rPr>
          <w:rFonts w:hint="cs"/>
          <w:rtl/>
        </w:rPr>
        <w:t xml:space="preserve">הוא נגע לה בפנים, עם האצבע, והיא חשה בכאב. היא לא ראתה הדברים הואיל והמעשים נעשו תחת שמיכה. (שם עמ' 9). </w:t>
      </w:r>
    </w:p>
    <w:p w14:paraId="342C1903" w14:textId="77777777" w:rsidR="006754DF" w:rsidRDefault="006754DF">
      <w:pPr>
        <w:rPr>
          <w:rFonts w:hint="cs"/>
          <w:rtl/>
        </w:rPr>
      </w:pPr>
      <w:r>
        <w:rPr>
          <w:rFonts w:hint="cs"/>
          <w:rtl/>
        </w:rPr>
        <w:t>הנאשם הוריד ממנה הבגדים ואח"כ הוריד הבגדים גם מעצמו. הוא נשאר עם תחתונים בלבד. משמתבקשת המתלוננת לתאר גופו (הערום) של הנאשם היא משיבה אחר שאלות חוזרות:</w:t>
      </w:r>
    </w:p>
    <w:p w14:paraId="1AC868E6" w14:textId="77777777" w:rsidR="006754DF" w:rsidRDefault="006754DF">
      <w:pPr>
        <w:rPr>
          <w:rFonts w:hint="cs"/>
          <w:rtl/>
        </w:rPr>
      </w:pPr>
      <w:r>
        <w:rPr>
          <w:rFonts w:hint="cs"/>
          <w:rtl/>
        </w:rPr>
        <w:t>"אני לא זוכרת איך הוא היה נראה. הוא כזה קטן". (שם עמ' 11).</w:t>
      </w:r>
      <w:r>
        <w:rPr>
          <w:color w:val="FFFFFF"/>
          <w:sz w:val="4"/>
          <w:szCs w:val="4"/>
          <w:rtl/>
        </w:rPr>
        <w:t>נ</w:t>
      </w:r>
    </w:p>
    <w:p w14:paraId="156D0D1C" w14:textId="77777777" w:rsidR="006754DF" w:rsidRDefault="006754DF">
      <w:pPr>
        <w:rPr>
          <w:rFonts w:hint="cs"/>
          <w:rtl/>
        </w:rPr>
      </w:pPr>
      <w:r>
        <w:rPr>
          <w:rFonts w:hint="cs"/>
          <w:rtl/>
        </w:rPr>
        <w:t xml:space="preserve">באשר לכאב שהיא חשה מסבירה המתלונת "כאילו חותכים לי משהו". (שם עמ' 12). </w:t>
      </w:r>
    </w:p>
    <w:p w14:paraId="139C9E93" w14:textId="77777777" w:rsidR="006754DF" w:rsidRDefault="006754DF">
      <w:pPr>
        <w:rPr>
          <w:rFonts w:hint="cs"/>
          <w:rtl/>
        </w:rPr>
      </w:pPr>
      <w:r>
        <w:rPr>
          <w:rFonts w:hint="cs"/>
          <w:rtl/>
        </w:rPr>
        <w:t xml:space="preserve">הנאשם הזהיר את המתלוננת לבל תספר דבר לאמה ואחרת יכה אותה. (שם עמ' 12). </w:t>
      </w:r>
    </w:p>
    <w:p w14:paraId="7A7C381A" w14:textId="77777777" w:rsidR="006754DF" w:rsidRDefault="006754DF">
      <w:pPr>
        <w:rPr>
          <w:rFonts w:hint="cs"/>
          <w:rtl/>
        </w:rPr>
      </w:pPr>
      <w:r>
        <w:rPr>
          <w:rFonts w:hint="cs"/>
          <w:rtl/>
        </w:rPr>
        <w:t xml:space="preserve">לבסוף חזרה אם המתלוננת, ודפקה הרבה זמן בדלת עם רגלה עד אשר פתחו לה הדלת. הנאשם דאג קודם לנעול הדלתות. (שם עמ' 13). </w:t>
      </w:r>
    </w:p>
    <w:p w14:paraId="0A814153" w14:textId="77777777" w:rsidR="006754DF" w:rsidRDefault="006754DF">
      <w:pPr>
        <w:rPr>
          <w:rFonts w:hint="cs"/>
          <w:rtl/>
        </w:rPr>
      </w:pPr>
      <w:r>
        <w:rPr>
          <w:rFonts w:hint="cs"/>
          <w:rtl/>
        </w:rPr>
        <w:t xml:space="preserve">כפי שיפורט להלן נבדקה המתלוננת ע"י הרופאה דר' המר, וליוותה אותה לשם חוקרת הנוער. בפני הרופאה הדגימה המתלוננת מה עשה בה הנאשם והיא הציגה תנועות מעגליות עם האצבע המורה. (ראה פרוט' 16 ודו"ח ת/11). </w:t>
      </w:r>
    </w:p>
    <w:p w14:paraId="1BB3B4A4" w14:textId="77777777" w:rsidR="006754DF" w:rsidRDefault="006754DF">
      <w:pPr>
        <w:rPr>
          <w:rFonts w:hint="cs"/>
          <w:rtl/>
        </w:rPr>
      </w:pPr>
    </w:p>
    <w:p w14:paraId="5825C6DA" w14:textId="77777777" w:rsidR="006754DF" w:rsidRDefault="006754DF">
      <w:pPr>
        <w:rPr>
          <w:rFonts w:hint="cs"/>
          <w:rtl/>
        </w:rPr>
      </w:pPr>
      <w:r>
        <w:rPr>
          <w:rFonts w:hint="cs"/>
          <w:rtl/>
        </w:rPr>
        <w:t xml:space="preserve">8. המתלוננת התלוננה בפני שכנתה הגב' ליאנה חנן כי הנאשם מכה אותה בחגורה. היא ראתה סימנים לכך על גופה של המתלוננת. הוסיפה גם וטענה המתלוננת כי בפעם אחת הנאשם הוריד תחתוניה וטען כי היא מריחה משתן ואינה מתקלחת. </w:t>
      </w:r>
    </w:p>
    <w:p w14:paraId="3C4A79C7" w14:textId="77777777" w:rsidR="006754DF" w:rsidRDefault="006754DF">
      <w:pPr>
        <w:rPr>
          <w:rFonts w:hint="cs"/>
          <w:rtl/>
        </w:rPr>
      </w:pPr>
      <w:r>
        <w:rPr>
          <w:rFonts w:hint="cs"/>
          <w:rtl/>
        </w:rPr>
        <w:t xml:space="preserve">בפעם אחרת מרח הנאשם דבש על אבר מינה ע"מ לגרום לה להבין שעליה להתקלח. (ראה עדות הגב' חנן עמ' 6 לפרוט'). </w:t>
      </w:r>
    </w:p>
    <w:p w14:paraId="102EA64E" w14:textId="77777777" w:rsidR="006754DF" w:rsidRDefault="006754DF">
      <w:pPr>
        <w:rPr>
          <w:rFonts w:hint="cs"/>
          <w:rtl/>
        </w:rPr>
      </w:pPr>
      <w:r>
        <w:rPr>
          <w:rFonts w:hint="cs"/>
          <w:rtl/>
        </w:rPr>
        <w:t xml:space="preserve">בהודעותיו של הנאשם אין כל התיחסות לארוע זה. בעדותו, בחקירה ראשית מתיחס הנאשם לארוע בו חש לטענתו כי המתלוננת לא התקלחה, אז דחף ידה לתוך תחתוניה ומפשעתה ע"מ שתחוש בריח. (פרוט' 24). בסוף חקירתו הנגדית מאשר הנאשם כי היה מקרה בו מרח דבש במפשעתה של המתלוננת ע"מ לאלצה להתקלח. (פרוט' 30). בעדותו הנאשם מודה, איפוא, הן בגרסת המתלוננת הן גרסת שכנתה. </w:t>
      </w:r>
    </w:p>
    <w:p w14:paraId="68AEBE19" w14:textId="77777777" w:rsidR="006754DF" w:rsidRDefault="006754DF">
      <w:pPr>
        <w:rPr>
          <w:rFonts w:hint="cs"/>
          <w:rtl/>
        </w:rPr>
      </w:pPr>
    </w:p>
    <w:p w14:paraId="12BFB507" w14:textId="77777777" w:rsidR="006754DF" w:rsidRDefault="006754DF">
      <w:pPr>
        <w:rPr>
          <w:rFonts w:hint="cs"/>
          <w:rtl/>
        </w:rPr>
      </w:pPr>
      <w:r>
        <w:rPr>
          <w:rFonts w:hint="cs"/>
          <w:rtl/>
        </w:rPr>
        <w:t>9. בחוות דעת אודות עדותה של המתלוננת מתיחסת חוקרת הנוער להתרשמותה ממהימנות העדות כדלקמן:</w:t>
      </w:r>
    </w:p>
    <w:p w14:paraId="5F908F41" w14:textId="77777777" w:rsidR="006754DF" w:rsidRDefault="006754DF">
      <w:pPr>
        <w:rPr>
          <w:rFonts w:hint="cs"/>
          <w:rtl/>
        </w:rPr>
      </w:pPr>
      <w:r>
        <w:rPr>
          <w:rFonts w:hint="cs"/>
          <w:rtl/>
        </w:rPr>
        <w:t xml:space="preserve">"ליזה תארה שני  ארועים בעלי גוון מיני, כשלטענתה ארעו עוד הרבה כאלה, אך אינה זוכרת כדי לפרט. הארועים היו מעוגנים בזמן ובמקום וכן תוארו במלל חופשי. </w:t>
      </w:r>
    </w:p>
    <w:p w14:paraId="47D495EB" w14:textId="77777777" w:rsidR="006754DF" w:rsidRDefault="006754DF">
      <w:pPr>
        <w:rPr>
          <w:rFonts w:hint="cs"/>
          <w:rtl/>
        </w:rPr>
      </w:pPr>
      <w:r>
        <w:rPr>
          <w:rFonts w:hint="cs"/>
          <w:rtl/>
        </w:rPr>
        <w:t xml:space="preserve">ליזה תארה אינטראקציות, ציטוטים, איומים של החשוד עליה לבל תספר. תארה תחושת כאב כשנגע בה, תארה הפרעה בלתי צפויה כמה פעמים, שהאם בדפיקותיה בדלת - גרמה בעצם לסיום האירוע - לבישת בגדים ופתיחת הדלת. נראתה נבוכה ומבויישת מאוד כשסיפרה כיצד נגע בה. כל הללו פרטים המחזקים מהימנות עדותה ומעלים סבירות שמתארת ארועים אותם אכן חוותה. </w:t>
      </w:r>
    </w:p>
    <w:p w14:paraId="41882207" w14:textId="77777777" w:rsidR="006754DF" w:rsidRDefault="006754DF">
      <w:pPr>
        <w:rPr>
          <w:rFonts w:hint="cs"/>
          <w:rtl/>
        </w:rPr>
      </w:pPr>
      <w:r>
        <w:rPr>
          <w:rFonts w:hint="cs"/>
          <w:rtl/>
        </w:rPr>
        <w:t xml:space="preserve">יחד עם זאת לא ברור לגבי אירועים נוספים, אותם אינה מצליחה לפרט, טוענת שכל הארועים היו דומים במהלכם - (ברצף) ויתכן שאומרת כך בגלל שחוותה ארועים מתמשכים ומתקשה להפריד ביניהם... ברצוני לציין שמסרה גם פרטים מיוחדים, כמו האם שדפקה בדלת עם הרגל, כי החזיקה ביצים, וכן העובדה שהוריד לה משקפים (לא ברור מדוע), שוב פרטים המחזקים מהימנות...". (ראה ת/8). </w:t>
      </w:r>
    </w:p>
    <w:p w14:paraId="1E8E2F3A" w14:textId="77777777" w:rsidR="006754DF" w:rsidRDefault="006754DF">
      <w:pPr>
        <w:rPr>
          <w:rFonts w:hint="cs"/>
          <w:rtl/>
        </w:rPr>
      </w:pPr>
      <w:r>
        <w:rPr>
          <w:rFonts w:hint="cs"/>
          <w:rtl/>
        </w:rPr>
        <w:t xml:space="preserve">בעדותה בביה"מ ציינה החוקרת כי היא מתנגדת להעדת המתלוננת "הואיל ולאחר עדות כזו העדה זקוקה לתמיכה רבה שלא סברנו שהיא יכולה לקבל אותה בביתה". (פרוט' 15). </w:t>
      </w:r>
    </w:p>
    <w:p w14:paraId="4FB67EE3" w14:textId="77777777" w:rsidR="006754DF" w:rsidRDefault="006754DF">
      <w:pPr>
        <w:rPr>
          <w:rFonts w:hint="cs"/>
          <w:rtl/>
        </w:rPr>
      </w:pPr>
      <w:r>
        <w:rPr>
          <w:rFonts w:hint="cs"/>
          <w:rtl/>
        </w:rPr>
        <w:t xml:space="preserve">החוקרת חוזרת ומציינת הפרטים בעדות המתלוננת, אשר הביאו אותה להתרשם ממהימנותה. היא התרשמה מחוסר מוטיבציה של הילדה לגלות הדברים ובכך מתחזקת התחושה כי אין מדובר בסיפור בדים, גם הספונטניות בדברי העדה מלמדים על מהימנותה. העדה חוזרת על אותן מסקנות שפירטה בחוות דעתה, כמצוטט לעיל, תוך הפניה לקטעים מסויימים בעדות הילדה (ראה פרוט' 15-14). </w:t>
      </w:r>
    </w:p>
    <w:p w14:paraId="272EBADC" w14:textId="77777777" w:rsidR="006754DF" w:rsidRDefault="006754DF">
      <w:pPr>
        <w:rPr>
          <w:rFonts w:hint="cs"/>
          <w:rtl/>
        </w:rPr>
      </w:pPr>
      <w:r>
        <w:rPr>
          <w:rFonts w:hint="cs"/>
          <w:rtl/>
        </w:rPr>
        <w:t>לענין החשיבות שיש ליחס להתרשמות חוקר הנוער נאמר כבר בפסיקה:</w:t>
      </w:r>
    </w:p>
    <w:p w14:paraId="46C34F15" w14:textId="77777777" w:rsidR="006754DF" w:rsidRDefault="006754DF">
      <w:pPr>
        <w:rPr>
          <w:rFonts w:hint="cs"/>
          <w:rtl/>
        </w:rPr>
      </w:pPr>
      <w:r>
        <w:rPr>
          <w:rFonts w:hint="cs"/>
          <w:rtl/>
        </w:rPr>
        <w:t xml:space="preserve">"אין לענין מהימנותה של עדות שנגבתה ע"י חוקר נוער ראיה חזקה וחשובה יותר מאשר התרשמותו של חוקר הנוער וחוות דעתו על הילד שחקר, על מידת הבחנתו, על כושר הסתכלותו, על מעוף דמיונו ועל שלב התפתחותו השכלית בדרך כלל". (ראה </w:t>
      </w:r>
      <w:hyperlink r:id="rId34" w:history="1">
        <w:r w:rsidR="00C610CB" w:rsidRPr="00C610CB">
          <w:rPr>
            <w:rStyle w:val="Hyperlink"/>
            <w:rFonts w:hint="eastAsia"/>
            <w:color w:val="0000FF"/>
            <w:rtl/>
          </w:rPr>
          <w:t>ע</w:t>
        </w:r>
        <w:r w:rsidR="00C610CB" w:rsidRPr="00C610CB">
          <w:rPr>
            <w:rStyle w:val="Hyperlink"/>
            <w:color w:val="0000FF"/>
            <w:rtl/>
          </w:rPr>
          <w:t xml:space="preserve">.פ. 433/77 מ"י נ. חג'ג' </w:t>
        </w:r>
      </w:hyperlink>
      <w:r>
        <w:rPr>
          <w:rFonts w:hint="cs"/>
          <w:rtl/>
        </w:rPr>
        <w:t xml:space="preserve"> פד"י לב </w:t>
      </w:r>
    </w:p>
    <w:p w14:paraId="4DBDA535" w14:textId="77777777" w:rsidR="006754DF" w:rsidRDefault="006754DF">
      <w:pPr>
        <w:rPr>
          <w:rFonts w:hint="cs"/>
          <w:rtl/>
        </w:rPr>
      </w:pPr>
      <w:r>
        <w:rPr>
          <w:rFonts w:hint="cs"/>
          <w:rtl/>
        </w:rPr>
        <w:t xml:space="preserve">(1) 550, דברים שצוטטו בהסכמה ב- </w:t>
      </w:r>
      <w:hyperlink r:id="rId35" w:history="1">
        <w:r w:rsidR="00C610CB" w:rsidRPr="00C610CB">
          <w:rPr>
            <w:rStyle w:val="Hyperlink"/>
            <w:rFonts w:hint="eastAsia"/>
            <w:color w:val="0000FF"/>
            <w:rtl/>
          </w:rPr>
          <w:t>ע</w:t>
        </w:r>
        <w:r w:rsidR="00C610CB" w:rsidRPr="00C610CB">
          <w:rPr>
            <w:rStyle w:val="Hyperlink"/>
            <w:color w:val="0000FF"/>
            <w:rtl/>
          </w:rPr>
          <w:t>.פ. 4759/93 מדעי נ. מ"י</w:t>
        </w:r>
      </w:hyperlink>
      <w:r>
        <w:rPr>
          <w:rFonts w:hint="cs"/>
          <w:rtl/>
        </w:rPr>
        <w:t xml:space="preserve"> ובאותו ענין ראה גם </w:t>
      </w:r>
      <w:hyperlink r:id="rId36" w:history="1">
        <w:r w:rsidR="00C610CB" w:rsidRPr="00C610CB">
          <w:rPr>
            <w:rStyle w:val="Hyperlink"/>
            <w:rFonts w:hint="eastAsia"/>
            <w:color w:val="0000FF"/>
            <w:rtl/>
          </w:rPr>
          <w:t>ע</w:t>
        </w:r>
        <w:r w:rsidR="00C610CB" w:rsidRPr="00C610CB">
          <w:rPr>
            <w:rStyle w:val="Hyperlink"/>
            <w:color w:val="0000FF"/>
            <w:rtl/>
          </w:rPr>
          <w:t>.פ. 3043/90 פלוני נ. מ"י</w:t>
        </w:r>
      </w:hyperlink>
      <w:r>
        <w:rPr>
          <w:rFonts w:hint="cs"/>
          <w:rtl/>
        </w:rPr>
        <w:t xml:space="preserve">). </w:t>
      </w:r>
    </w:p>
    <w:p w14:paraId="7F77AE27" w14:textId="77777777" w:rsidR="006754DF" w:rsidRDefault="006754DF">
      <w:pPr>
        <w:rPr>
          <w:rFonts w:hint="cs"/>
          <w:rtl/>
        </w:rPr>
      </w:pPr>
    </w:p>
    <w:p w14:paraId="2D610E72" w14:textId="77777777" w:rsidR="006754DF" w:rsidRDefault="006754DF">
      <w:pPr>
        <w:rPr>
          <w:rFonts w:hint="cs"/>
          <w:rtl/>
        </w:rPr>
      </w:pPr>
      <w:r>
        <w:rPr>
          <w:rFonts w:hint="cs"/>
          <w:rtl/>
        </w:rPr>
        <w:t xml:space="preserve">10. הנאשם מנסה להסביר טענות המתלוננת כנגדו בכך שהעלילה עליו עלילה משום הלחץ שהפעיל עליה ללמוד ועונשים שהטיל עליה. (פרוט' 29). דברים אלה אינם מתיישבים עם דברים שאמר בראשית עדותו כי אמנם המתלוננת התיחסה אליו בתחילה בחשדנות, אך בהמשך הדברים השתפרו דווקא היחסים. (פרוט' 22). </w:t>
      </w:r>
    </w:p>
    <w:p w14:paraId="7F74040D" w14:textId="77777777" w:rsidR="006754DF" w:rsidRDefault="006754DF">
      <w:pPr>
        <w:rPr>
          <w:rFonts w:hint="cs"/>
          <w:rtl/>
        </w:rPr>
      </w:pPr>
      <w:r>
        <w:rPr>
          <w:rFonts w:hint="cs"/>
          <w:rtl/>
        </w:rPr>
        <w:t xml:space="preserve">לענין זה אין להתעלם מהתרשמות חוקרת הנוער לפיה המתלוננת לא גילתה מוטיבציה לסבך הנאשם בעבירה כלשהי, אלא קבלת המידע חייבה את חוקרת הנוער במאמץ ודיבוב המתלוננת. יש להזכיר כי בחקירה ראשונה שנתקיימה סירבה המתלוננת לשוחח כלל עם החוקרת ודרשה כי השיחה תתקיים בנוכחות יועצת בית הספר. גם בחקירה השניה היססה המתלוננת לשוחח אודות נושאים אינטימיים והיתה במבוכה רבה. </w:t>
      </w:r>
    </w:p>
    <w:p w14:paraId="20CC625B" w14:textId="77777777" w:rsidR="006754DF" w:rsidRDefault="006754DF">
      <w:pPr>
        <w:rPr>
          <w:rFonts w:hint="cs"/>
          <w:rtl/>
        </w:rPr>
      </w:pPr>
      <w:r>
        <w:rPr>
          <w:rFonts w:hint="cs"/>
          <w:rtl/>
        </w:rPr>
        <w:t xml:space="preserve">אין, איפוא, בראיות עדות לכך שהמתלוננת ביקשה להעליל עלילה על הנאשם. </w:t>
      </w:r>
    </w:p>
    <w:p w14:paraId="5BE60BCF" w14:textId="77777777" w:rsidR="006754DF" w:rsidRDefault="006754DF">
      <w:pPr>
        <w:rPr>
          <w:rFonts w:hint="cs"/>
          <w:rtl/>
        </w:rPr>
      </w:pPr>
    </w:p>
    <w:p w14:paraId="235FDA5E" w14:textId="77777777" w:rsidR="006754DF" w:rsidRDefault="006754DF">
      <w:pPr>
        <w:rPr>
          <w:rFonts w:hint="cs"/>
          <w:rtl/>
        </w:rPr>
      </w:pPr>
      <w:r>
        <w:rPr>
          <w:rFonts w:hint="cs"/>
          <w:rtl/>
        </w:rPr>
        <w:t>11. יש לבחון בשלב זה מה הן הראיות אשר יש בהן כדי לסייע לעדות המתלוננת.</w:t>
      </w:r>
      <w:r>
        <w:rPr>
          <w:color w:val="FFFFFF"/>
          <w:sz w:val="4"/>
          <w:szCs w:val="4"/>
          <w:rtl/>
        </w:rPr>
        <w:t>ב</w:t>
      </w:r>
    </w:p>
    <w:p w14:paraId="2F491DA5" w14:textId="77777777" w:rsidR="006754DF" w:rsidRDefault="006754DF">
      <w:pPr>
        <w:rPr>
          <w:rFonts w:hint="cs"/>
          <w:rtl/>
        </w:rPr>
      </w:pPr>
      <w:r>
        <w:rPr>
          <w:rFonts w:hint="cs"/>
          <w:rtl/>
        </w:rPr>
        <w:t>באשר לטיבו של הסיוע הנדרש נאמרו לענין זה ב-</w:t>
      </w:r>
      <w:hyperlink r:id="rId37" w:history="1">
        <w:r w:rsidR="00C610CB" w:rsidRPr="00C610CB">
          <w:rPr>
            <w:rStyle w:val="Hyperlink"/>
            <w:rFonts w:hint="eastAsia"/>
            <w:color w:val="0000FF"/>
            <w:rtl/>
          </w:rPr>
          <w:t>ע</w:t>
        </w:r>
        <w:r w:rsidR="00C610CB" w:rsidRPr="00C610CB">
          <w:rPr>
            <w:rStyle w:val="Hyperlink"/>
            <w:color w:val="0000FF"/>
            <w:rtl/>
          </w:rPr>
          <w:t xml:space="preserve">.פ. 6214/94 מ"י נ. פלוני </w:t>
        </w:r>
      </w:hyperlink>
      <w:r>
        <w:rPr>
          <w:rFonts w:hint="cs"/>
          <w:rtl/>
        </w:rPr>
        <w:t xml:space="preserve"> - (טרם פורסם) הדברים שלהלן:</w:t>
      </w:r>
    </w:p>
    <w:p w14:paraId="23030016" w14:textId="77777777" w:rsidR="006754DF" w:rsidRDefault="006754DF">
      <w:pPr>
        <w:rPr>
          <w:rFonts w:hint="cs"/>
          <w:rtl/>
        </w:rPr>
      </w:pPr>
      <w:r>
        <w:rPr>
          <w:rFonts w:hint="cs"/>
          <w:rtl/>
        </w:rPr>
        <w:t>"אמרנו לעיל כי עדותו של הקטין שנגבתה ונרשמה על ידי חוקר נוער טעונה סיוע בראיה אחרת - ראיה אחרת זו מה טיבה?</w:t>
      </w:r>
    </w:p>
    <w:p w14:paraId="452707DC" w14:textId="77777777" w:rsidR="006754DF" w:rsidRDefault="006754DF">
      <w:pPr>
        <w:rPr>
          <w:rFonts w:hint="cs"/>
          <w:rtl/>
        </w:rPr>
      </w:pPr>
      <w:r>
        <w:rPr>
          <w:rFonts w:hint="cs"/>
          <w:rtl/>
        </w:rPr>
        <w:t xml:space="preserve">אפשר שתהיה זו התוודות או ראשית התוודות, הנשמעת מפיו של הנאשם או משתמעת מכלל גרסתו. </w:t>
      </w:r>
    </w:p>
    <w:p w14:paraId="056561C9" w14:textId="77777777" w:rsidR="006754DF" w:rsidRDefault="006754DF">
      <w:pPr>
        <w:rPr>
          <w:rFonts w:hint="cs"/>
          <w:rtl/>
        </w:rPr>
      </w:pPr>
      <w:r>
        <w:rPr>
          <w:rFonts w:hint="cs"/>
          <w:rtl/>
        </w:rPr>
        <w:t xml:space="preserve">יכול שהיא תמצא בראיות אוביקטיביות שנמצאו בשטח. יכול שהיא תוסק מתוך שקרי הנאשם בהצגת גרסתו בבית המשפט. </w:t>
      </w:r>
    </w:p>
    <w:p w14:paraId="1D650DD9" w14:textId="77777777" w:rsidR="006754DF" w:rsidRDefault="006754DF">
      <w:pPr>
        <w:rPr>
          <w:rFonts w:hint="cs"/>
          <w:rtl/>
        </w:rPr>
      </w:pPr>
      <w:r>
        <w:rPr>
          <w:rFonts w:hint="cs"/>
          <w:rtl/>
        </w:rPr>
        <w:t xml:space="preserve">מקובל היה עלינו מאז ומתמיד שראיית סיוע כזו עולה גם מתוך תיאור התנהגותו של קורבן העבירה בהקשר לעבירת המין המיוחסת לנאשם ושעל פי הנטען ביצע בקורבן העבירה. הלך הרוח של הקורבן סמוך לאחר ביצוע העבירה או בסמיכות זמן או בהתייחסות ישירה לארוע הקשור למעשה, שהיה בו כדי להעלות מחדש בתודעת הקורבן את הארוע הטראומטי ולהסעיר את רוחו. (ראה </w:t>
      </w:r>
      <w:r w:rsidR="00C610CB" w:rsidRPr="00C610CB">
        <w:rPr>
          <w:rFonts w:hint="eastAsia"/>
          <w:rtl/>
        </w:rPr>
        <w:t>ע</w:t>
      </w:r>
      <w:r w:rsidR="00C610CB" w:rsidRPr="00C610CB">
        <w:rPr>
          <w:rtl/>
        </w:rPr>
        <w:t>.פ. 556/74 פדידה נ. מדינת ישראל</w:t>
      </w:r>
      <w:r>
        <w:rPr>
          <w:rFonts w:hint="cs"/>
          <w:rtl/>
        </w:rPr>
        <w:t xml:space="preserve">, פ"ד כט (2) 387, 389; </w:t>
      </w:r>
      <w:r w:rsidR="00C610CB" w:rsidRPr="00C610CB">
        <w:rPr>
          <w:rFonts w:hint="eastAsia"/>
          <w:rtl/>
        </w:rPr>
        <w:t>ע</w:t>
      </w:r>
      <w:r w:rsidR="00C610CB" w:rsidRPr="00C610CB">
        <w:rPr>
          <w:rtl/>
        </w:rPr>
        <w:t xml:space="preserve">.פ. 435/78 בגין נ. מדינת ישראל </w:t>
      </w:r>
      <w:r>
        <w:rPr>
          <w:rFonts w:hint="cs"/>
          <w:rtl/>
        </w:rPr>
        <w:t xml:space="preserve"> פ"ד לב (3) 169, 174; </w:t>
      </w:r>
      <w:r w:rsidR="00C610CB" w:rsidRPr="00C610CB">
        <w:rPr>
          <w:rFonts w:hint="eastAsia"/>
          <w:rtl/>
        </w:rPr>
        <w:t>ע</w:t>
      </w:r>
      <w:r w:rsidR="00C610CB" w:rsidRPr="00C610CB">
        <w:rPr>
          <w:rtl/>
        </w:rPr>
        <w:t>.פ. 147/79 קובו נ. מדינת ישאל</w:t>
      </w:r>
      <w:r>
        <w:rPr>
          <w:rFonts w:hint="cs"/>
          <w:rtl/>
        </w:rPr>
        <w:t xml:space="preserve">, פ"ד לג (3) 721, 726). </w:t>
      </w:r>
    </w:p>
    <w:p w14:paraId="48D10FA7" w14:textId="77777777" w:rsidR="006754DF" w:rsidRDefault="006754DF">
      <w:pPr>
        <w:rPr>
          <w:rFonts w:hint="cs"/>
          <w:rtl/>
        </w:rPr>
      </w:pPr>
      <w:r>
        <w:rPr>
          <w:rFonts w:hint="cs"/>
          <w:rtl/>
        </w:rPr>
        <w:t xml:space="preserve">הדוגמאות יכולות להיות רבות ומגוונות והעיקר הוא בכך שראיית הסיוע תהיה ממקור עצמאי ולא מתוך העדות הטעונה סיוע במובן זה או אחר (ראה </w:t>
      </w:r>
      <w:r w:rsidR="00C610CB" w:rsidRPr="00C610CB">
        <w:rPr>
          <w:rFonts w:hint="eastAsia"/>
          <w:rtl/>
        </w:rPr>
        <w:t>ע</w:t>
      </w:r>
      <w:r w:rsidR="00C610CB" w:rsidRPr="00C610CB">
        <w:rPr>
          <w:rtl/>
        </w:rPr>
        <w:t>.פ. 4/51 מרקוס נ. מדינת ישראל</w:t>
      </w:r>
      <w:r>
        <w:rPr>
          <w:rFonts w:hint="cs"/>
          <w:rtl/>
        </w:rPr>
        <w:t xml:space="preserve">, פ"ד לז (1) 255, 253; ע.פ. 238/89 אסקפור נ. מדינת ישראל, פ"ד מג (4) 405, 411. וראה גם א' הרנון, דיני ראיות, כרך ב' (תשל"ז) 23)". </w:t>
      </w:r>
    </w:p>
    <w:p w14:paraId="175260FF" w14:textId="77777777" w:rsidR="006754DF" w:rsidRDefault="006754DF">
      <w:pPr>
        <w:rPr>
          <w:rFonts w:hint="cs"/>
          <w:rtl/>
        </w:rPr>
      </w:pPr>
      <w:r>
        <w:rPr>
          <w:rFonts w:hint="cs"/>
          <w:rtl/>
        </w:rPr>
        <w:t>מה הן, איפוא, הראיות אשר עשויות להוות סיוע לעדות המתלוננת במקרה הנדון:</w:t>
      </w:r>
    </w:p>
    <w:p w14:paraId="4E5FDC9F" w14:textId="77777777" w:rsidR="006754DF" w:rsidRDefault="006754DF">
      <w:pPr>
        <w:rPr>
          <w:rFonts w:hint="cs"/>
          <w:rtl/>
        </w:rPr>
      </w:pPr>
    </w:p>
    <w:p w14:paraId="4E9F8C43" w14:textId="77777777" w:rsidR="006754DF" w:rsidRDefault="006754DF">
      <w:pPr>
        <w:rPr>
          <w:rFonts w:hint="cs"/>
          <w:rtl/>
        </w:rPr>
      </w:pPr>
      <w:r>
        <w:rPr>
          <w:rFonts w:hint="cs"/>
          <w:rtl/>
        </w:rPr>
        <w:t xml:space="preserve">11.1 כפי שהדבר עולה מעדות המתלוננת ההתעללות הפיזית והמעשים המגונים היו כרוכים זה בזה וניתן לראות "כולם כמעשים מגונים שלבשו צורה ופשטו צורה והיוו יחד מסכת אחת...". </w:t>
      </w:r>
    </w:p>
    <w:p w14:paraId="59D4D1A3" w14:textId="77777777" w:rsidR="006754DF" w:rsidRDefault="006754DF">
      <w:pPr>
        <w:rPr>
          <w:rFonts w:hint="cs"/>
          <w:rtl/>
        </w:rPr>
      </w:pPr>
      <w:r>
        <w:rPr>
          <w:rFonts w:hint="cs"/>
          <w:rtl/>
        </w:rPr>
        <w:t xml:space="preserve">לכן בנסיבות שכאלה ניתן לראות סימני המכות והודאת הנאשם בדבר התעללות במתלוננת, בין בהכאתה בחגורה על גופה החשוף, בין במריחת דבש במפשעתה כסיוע לגרסת המתלוננת בכללותה. (ראה לענין זה </w:t>
      </w:r>
      <w:hyperlink r:id="rId38" w:history="1">
        <w:r w:rsidR="00AF12E5" w:rsidRPr="00AF12E5">
          <w:rPr>
            <w:rStyle w:val="Hyperlink"/>
            <w:rFonts w:hint="eastAsia"/>
            <w:color w:val="0000FF"/>
            <w:rtl/>
          </w:rPr>
          <w:t>ע</w:t>
        </w:r>
        <w:r w:rsidR="00AF12E5" w:rsidRPr="00AF12E5">
          <w:rPr>
            <w:rStyle w:val="Hyperlink"/>
            <w:color w:val="0000FF"/>
            <w:rtl/>
          </w:rPr>
          <w:t xml:space="preserve">.פ. 269/79 מ"י נ. בכר </w:t>
        </w:r>
      </w:hyperlink>
      <w:r>
        <w:rPr>
          <w:rFonts w:hint="cs"/>
          <w:rtl/>
        </w:rPr>
        <w:t xml:space="preserve"> פד"י לד (3) 517, בעמ' 525-523 - כך בלי שיש כוונה להשוות בין חומרת הנסיבות אשר בשני המקרים). </w:t>
      </w:r>
    </w:p>
    <w:p w14:paraId="547B3840" w14:textId="77777777" w:rsidR="006754DF" w:rsidRDefault="006754DF">
      <w:pPr>
        <w:rPr>
          <w:rFonts w:hint="cs"/>
          <w:rtl/>
        </w:rPr>
      </w:pPr>
    </w:p>
    <w:p w14:paraId="1629C785" w14:textId="77777777" w:rsidR="006754DF" w:rsidRDefault="006754DF">
      <w:pPr>
        <w:rPr>
          <w:rFonts w:hint="cs"/>
          <w:rtl/>
        </w:rPr>
      </w:pPr>
      <w:r>
        <w:rPr>
          <w:rFonts w:hint="cs"/>
          <w:rtl/>
        </w:rPr>
        <w:t xml:space="preserve">11.2 מצבה הנפשי של המתלוננת במהלך חקירתה יש בו כדי להוות סיוע לעדותה. (ראה </w:t>
      </w:r>
      <w:hyperlink r:id="rId39" w:history="1">
        <w:r w:rsidR="00AF12E5" w:rsidRPr="00AF12E5">
          <w:rPr>
            <w:rStyle w:val="Hyperlink"/>
            <w:rFonts w:hint="eastAsia"/>
            <w:color w:val="0000FF"/>
            <w:rtl/>
          </w:rPr>
          <w:t>ע</w:t>
        </w:r>
        <w:r w:rsidR="00AF12E5" w:rsidRPr="00AF12E5">
          <w:rPr>
            <w:rStyle w:val="Hyperlink"/>
            <w:color w:val="0000FF"/>
            <w:rtl/>
          </w:rPr>
          <w:t>.פ. 4759/93 אברהם מדעי נ. מ"י</w:t>
        </w:r>
      </w:hyperlink>
      <w:r>
        <w:rPr>
          <w:rFonts w:hint="cs"/>
          <w:rtl/>
        </w:rPr>
        <w:t xml:space="preserve"> - טרם פורסם). </w:t>
      </w:r>
    </w:p>
    <w:p w14:paraId="5BD7EBBE" w14:textId="77777777" w:rsidR="006754DF" w:rsidRDefault="006754DF">
      <w:pPr>
        <w:rPr>
          <w:rFonts w:hint="cs"/>
          <w:rtl/>
        </w:rPr>
      </w:pPr>
      <w:r>
        <w:rPr>
          <w:rFonts w:hint="cs"/>
          <w:rtl/>
        </w:rPr>
        <w:t>בחקירה הראשונה היתה המתלוננת במבוכה רבה וסירבה בכל תוקף למסור גרסתה בענין. משנשאלה היא אם מישהו נגע בה או היכה אותה, היא מפנה ליועצת ביה"ס ואומרת:</w:t>
      </w:r>
    </w:p>
    <w:p w14:paraId="057BBB3B" w14:textId="77777777" w:rsidR="006754DF" w:rsidRDefault="006754DF">
      <w:pPr>
        <w:rPr>
          <w:rFonts w:hint="cs"/>
          <w:rtl/>
        </w:rPr>
      </w:pPr>
      <w:r>
        <w:rPr>
          <w:rFonts w:hint="cs"/>
          <w:rtl/>
        </w:rPr>
        <w:t xml:space="preserve">"אני לא אוהבת לספר את הדברים האלה". (ראה ת/6 עמ' 6). </w:t>
      </w:r>
    </w:p>
    <w:p w14:paraId="76CA8CCA" w14:textId="77777777" w:rsidR="006754DF" w:rsidRDefault="006754DF">
      <w:pPr>
        <w:rPr>
          <w:rFonts w:hint="cs"/>
          <w:rtl/>
        </w:rPr>
      </w:pPr>
      <w:r>
        <w:rPr>
          <w:rFonts w:hint="cs"/>
          <w:rtl/>
        </w:rPr>
        <w:t xml:space="preserve">בחוות דעת חוקרת הנוער לענין החקירה השניה שנתקיימה מציינת חוקרת הנוער כי המתלוננת נראתה מבויישת מאוד ומתוחה. היא נראתה "מעט מפוחדת" (ראה ת/8). </w:t>
      </w:r>
    </w:p>
    <w:p w14:paraId="538810BA" w14:textId="77777777" w:rsidR="006754DF" w:rsidRDefault="006754DF">
      <w:pPr>
        <w:rPr>
          <w:rFonts w:hint="cs"/>
          <w:rtl/>
        </w:rPr>
      </w:pPr>
    </w:p>
    <w:p w14:paraId="25F6866A" w14:textId="77777777" w:rsidR="006754DF" w:rsidRDefault="006754DF">
      <w:pPr>
        <w:rPr>
          <w:rFonts w:hint="cs"/>
          <w:rtl/>
        </w:rPr>
      </w:pPr>
      <w:r>
        <w:rPr>
          <w:rFonts w:hint="cs"/>
          <w:rtl/>
        </w:rPr>
        <w:t xml:space="preserve">11.3 כבר צויין בסע' 7 לעיל כי המתלוננת נבדקה ע"י רופאה, דר' המר, ובתעודה רפואית שנערכה על ידיה צויין "קרום הבתולין שקוף ונקי, אך מסביב יש סימני שיפשוף לא ספציפיים...". (ראה </w:t>
      </w:r>
    </w:p>
    <w:p w14:paraId="7D8F57FC" w14:textId="77777777" w:rsidR="006754DF" w:rsidRDefault="006754DF">
      <w:pPr>
        <w:rPr>
          <w:rFonts w:hint="cs"/>
          <w:rtl/>
        </w:rPr>
      </w:pPr>
      <w:r>
        <w:rPr>
          <w:rFonts w:hint="cs"/>
          <w:rtl/>
        </w:rPr>
        <w:t>ת/3 מיום 4.6.00). בעדותה ציינה המומחית:</w:t>
      </w:r>
    </w:p>
    <w:p w14:paraId="7F2F69AF" w14:textId="77777777" w:rsidR="006754DF" w:rsidRDefault="006754DF">
      <w:pPr>
        <w:rPr>
          <w:rFonts w:hint="cs"/>
          <w:rtl/>
        </w:rPr>
      </w:pPr>
      <w:r>
        <w:rPr>
          <w:rFonts w:hint="cs"/>
          <w:rtl/>
        </w:rPr>
        <w:t xml:space="preserve">"בתוך הפות הבחנתי במספר שיפשופים שאיני יכולה לומר מה הסיבות שהביאו להם. השיפשופים האלה יכולים להיות תוצאה של חפץ כלשהו, אצבע או הגיינה לא נכונה. הכוונה שלי לאפשרות, שהשיפשוף נגרם ע"י החדרת אצבע לאבר המין. השיפשוף היה בתך הפות. החדרת אצבע לאבר המין, אינה גורמת בהכרח לבקיעת קרום הבתולין...". (עמ' 19). </w:t>
      </w:r>
    </w:p>
    <w:p w14:paraId="58F66A9D" w14:textId="77777777" w:rsidR="006754DF" w:rsidRDefault="006754DF">
      <w:pPr>
        <w:rPr>
          <w:rFonts w:hint="cs"/>
          <w:rtl/>
        </w:rPr>
      </w:pPr>
      <w:r>
        <w:rPr>
          <w:rFonts w:hint="cs"/>
          <w:rtl/>
        </w:rPr>
        <w:t>ובהמשך:</w:t>
      </w:r>
    </w:p>
    <w:p w14:paraId="0064F59C" w14:textId="77777777" w:rsidR="006754DF" w:rsidRDefault="006754DF">
      <w:pPr>
        <w:rPr>
          <w:rFonts w:hint="cs"/>
          <w:rtl/>
        </w:rPr>
      </w:pPr>
      <w:r>
        <w:rPr>
          <w:rFonts w:hint="cs"/>
          <w:rtl/>
        </w:rPr>
        <w:t xml:space="preserve">"כעקרון הבחנתי שהילדה היתה נקיה... כאשר התייחסתי להגיינה העלולה לגרום לאותם סימנים שפורטו, כוונתי להגיינה לקויה לאורך זמן... אם אני מבחינה בשיפשוף ההנחה היא שמדובר בשפשוף טרי, כוונתי לשיפשוף שנגרם תוך שבוע עד עשרה ימים... אין מדובר בסימנים שיגרתיים שאמורים להופיע אצל ילדה רגילה. אין מדובר בממצא רגיל, פירוש הדבר שקרה משהו, אינני יכולה לומר מה". (פרוט' 20). </w:t>
      </w:r>
    </w:p>
    <w:p w14:paraId="3C2F1CB7" w14:textId="77777777" w:rsidR="006754DF" w:rsidRDefault="006754DF">
      <w:pPr>
        <w:rPr>
          <w:rFonts w:hint="cs"/>
          <w:rtl/>
        </w:rPr>
      </w:pPr>
      <w:r>
        <w:rPr>
          <w:rFonts w:hint="cs"/>
          <w:rtl/>
        </w:rPr>
        <w:t xml:space="preserve">המתלוננת ציינה בהודעתה, כאמור (ראה בסע' 7) כי חשה בכאב, כאשר הנאשם החדיר אצבעו לאבר מינה "כאילו שחותכים לי משהו". </w:t>
      </w:r>
    </w:p>
    <w:p w14:paraId="766D776A" w14:textId="77777777" w:rsidR="006754DF" w:rsidRDefault="006754DF">
      <w:pPr>
        <w:rPr>
          <w:rFonts w:hint="cs"/>
          <w:rtl/>
        </w:rPr>
      </w:pPr>
      <w:r>
        <w:rPr>
          <w:rFonts w:hint="cs"/>
          <w:rtl/>
        </w:rPr>
        <w:t xml:space="preserve">הארוע התרחש ביום 27.5.00 ועד לבדיקה ע"י דר' המר חלפו כ- 8 ימים, תקופת זמן התואמת הערכת המומחית, לגבי הגורם לממצא שנתגלה. </w:t>
      </w:r>
    </w:p>
    <w:p w14:paraId="608B0B0D" w14:textId="77777777" w:rsidR="006754DF" w:rsidRDefault="006754DF">
      <w:pPr>
        <w:rPr>
          <w:rFonts w:hint="cs"/>
          <w:rtl/>
        </w:rPr>
      </w:pPr>
      <w:r>
        <w:rPr>
          <w:rFonts w:hint="cs"/>
          <w:rtl/>
        </w:rPr>
        <w:t>אכן המומחית ציינה, כי לממצא שנמצא יכולים להיות גורמים נוספים, אך עדיין ממצא אפשרי זה  בשילוב עם ממצאים נוספים עשוי לשמש כסיוע להודעת המתלוננת.</w:t>
      </w:r>
      <w:r>
        <w:rPr>
          <w:color w:val="FFFFFF"/>
          <w:sz w:val="4"/>
          <w:szCs w:val="4"/>
          <w:rtl/>
        </w:rPr>
        <w:t>ו</w:t>
      </w:r>
    </w:p>
    <w:p w14:paraId="5133E124" w14:textId="77777777" w:rsidR="006754DF" w:rsidRDefault="006754DF">
      <w:pPr>
        <w:rPr>
          <w:rFonts w:hint="cs"/>
          <w:rtl/>
        </w:rPr>
      </w:pPr>
      <w:r>
        <w:rPr>
          <w:rFonts w:hint="cs"/>
          <w:rtl/>
        </w:rPr>
        <w:t xml:space="preserve">בעדותו בביה"מ ניסה הנאשם לתרץ ממצאי הבדיקה, כמו גם התנהגותו כלפי המתלוננת, בכך שהמתלוננת לא הקפידה להתרחץ, ולא דאגה להגיינה שלה. דבר לא נאמר לענין זה בהודעותיו של הנאשם במשטרה, והנאשם אף לא טרח לחקור את אם המתלוננת לענין זה, אף שהעידה. יותר מכך הנאשם עצמו אומר בעדותו, בחקירה ראשית, "האמא היתה מכריחה את הילדה </w:t>
      </w:r>
      <w:r>
        <w:rPr>
          <w:rFonts w:hint="cs"/>
          <w:u w:val="single"/>
          <w:rtl/>
        </w:rPr>
        <w:t>כל יום</w:t>
      </w:r>
      <w:r>
        <w:rPr>
          <w:rFonts w:hint="cs"/>
          <w:rtl/>
        </w:rPr>
        <w:t xml:space="preserve"> להתקלח". (פרוט' 23). </w:t>
      </w:r>
    </w:p>
    <w:p w14:paraId="4E50FFBD" w14:textId="77777777" w:rsidR="006754DF" w:rsidRDefault="006754DF">
      <w:pPr>
        <w:rPr>
          <w:rFonts w:hint="cs"/>
          <w:rtl/>
        </w:rPr>
      </w:pPr>
      <w:r>
        <w:rPr>
          <w:rFonts w:hint="cs"/>
          <w:rtl/>
        </w:rPr>
        <w:t xml:space="preserve">דר' המר ציינה בעדותה, כאמור, כי הממצאים שמצאה יכולים היו להגרם ע"י הגיינה לקויה </w:t>
      </w:r>
      <w:r>
        <w:rPr>
          <w:rFonts w:hint="cs"/>
          <w:u w:val="single"/>
          <w:rtl/>
        </w:rPr>
        <w:t>לאורך זמן</w:t>
      </w:r>
      <w:r>
        <w:rPr>
          <w:rFonts w:hint="cs"/>
          <w:rtl/>
        </w:rPr>
        <w:t xml:space="preserve">, והיא עצמה הבחינה שהילדה נקיה, מכאן שהנאשם עצמו שולל אפשרות זו בעדותו. אף השכנה ליאנה חנן ידעה לציין בעדותה כי התרשמה מהמתלוננת כי היא ילדה נקיה. (פרוט' 6). </w:t>
      </w:r>
    </w:p>
    <w:p w14:paraId="146FD173" w14:textId="77777777" w:rsidR="006754DF" w:rsidRDefault="006754DF">
      <w:pPr>
        <w:rPr>
          <w:rFonts w:hint="cs"/>
          <w:rtl/>
        </w:rPr>
      </w:pPr>
      <w:r>
        <w:rPr>
          <w:rFonts w:hint="cs"/>
          <w:rtl/>
        </w:rPr>
        <w:t xml:space="preserve">משנשללת גרסת הנאשם אודות הגיינה לקויה, מקבלים הממצאים שנמצאו ע"י הרופאה יתר משמעות, בהעדר הסבר אחר, פרט למעשה העבירה, לאותם ממצאים. </w:t>
      </w:r>
    </w:p>
    <w:p w14:paraId="20C2EFD0" w14:textId="77777777" w:rsidR="006754DF" w:rsidRDefault="006754DF">
      <w:pPr>
        <w:rPr>
          <w:rFonts w:hint="cs"/>
          <w:rtl/>
        </w:rPr>
      </w:pPr>
    </w:p>
    <w:p w14:paraId="7176B987" w14:textId="77777777" w:rsidR="006754DF" w:rsidRDefault="006754DF">
      <w:pPr>
        <w:rPr>
          <w:rFonts w:hint="cs"/>
          <w:rtl/>
        </w:rPr>
      </w:pPr>
      <w:r>
        <w:rPr>
          <w:rFonts w:hint="cs"/>
          <w:rtl/>
        </w:rPr>
        <w:t xml:space="preserve">11.4  מן הראיות עולה כי, הנאשם לא נמנע מקרבה פיסית עם המתלוננת, אף שהדבר היה למורת רוחה של האם. הנאשם מודה בהודעתו כי היו מקרים בהם המתלוננת ישבה על ברכיו אז היה מלטף אותה, כך בתגובה לטענה נגדו, מצד המתלוננת, כי ליטף את חזה (ראה ת/4 עמ' 3). </w:t>
      </w:r>
    </w:p>
    <w:p w14:paraId="72B86E5F" w14:textId="77777777" w:rsidR="006754DF" w:rsidRDefault="006754DF">
      <w:pPr>
        <w:rPr>
          <w:rFonts w:hint="cs"/>
          <w:rtl/>
        </w:rPr>
      </w:pPr>
      <w:r>
        <w:rPr>
          <w:rFonts w:hint="cs"/>
          <w:rtl/>
        </w:rPr>
        <w:t>אם המתלוננת לא ראתה קירבה פיסית זו בעין יפה. אומרת היא בעדותה:</w:t>
      </w:r>
    </w:p>
    <w:p w14:paraId="286F15F1" w14:textId="77777777" w:rsidR="006754DF" w:rsidRDefault="006754DF">
      <w:pPr>
        <w:rPr>
          <w:rFonts w:hint="cs"/>
          <w:rtl/>
        </w:rPr>
      </w:pPr>
      <w:r>
        <w:rPr>
          <w:rFonts w:hint="cs"/>
          <w:rtl/>
        </w:rPr>
        <w:t xml:space="preserve"> "בשנה הראשונה מדי פעם ראיתי את המתלוננת יושבת על ברכיו של הנאשם ואני ביקשתי ממנה לחדול מכך וציינתי שהוא אינו אבא שלה". (פרוט' 11). </w:t>
      </w:r>
    </w:p>
    <w:p w14:paraId="48A999E3" w14:textId="77777777" w:rsidR="006754DF" w:rsidRDefault="006754DF">
      <w:pPr>
        <w:rPr>
          <w:rFonts w:hint="cs"/>
          <w:rtl/>
        </w:rPr>
      </w:pPr>
      <w:r>
        <w:rPr>
          <w:rFonts w:hint="cs"/>
          <w:rtl/>
        </w:rPr>
        <w:t xml:space="preserve">אף שקירבה זו היתה למורת רוחה של האם, הנאשם אף הגדיל לעשות, ועל פי הודעתו הוא בחר לחקור את המתלוננת בנושאי מין, תוך ציור דוגמאות ולדבריו אף הזהיר אותה מפני החדרת חפצים שונים לאבר מינה, וכל זאת בלי שטרח לקבל אישור האם, או אפילו לספר לה על כך. </w:t>
      </w:r>
    </w:p>
    <w:p w14:paraId="2D81836A" w14:textId="77777777" w:rsidR="006754DF" w:rsidRDefault="006754DF">
      <w:pPr>
        <w:rPr>
          <w:rFonts w:hint="cs"/>
          <w:rtl/>
        </w:rPr>
      </w:pPr>
      <w:r>
        <w:rPr>
          <w:rFonts w:hint="cs"/>
          <w:rtl/>
        </w:rPr>
        <w:t xml:space="preserve">בצורה זו בעקיפין מנסה הנאשם להסביר כיצד עלה בדעת המתלוננת להעליל עלילה עליו, כטענתו, לפיה החדיר אצבעותיו לאבר מינה (פרוט' 28-27). </w:t>
      </w:r>
    </w:p>
    <w:p w14:paraId="5C9B4D34" w14:textId="77777777" w:rsidR="006754DF" w:rsidRDefault="006754DF">
      <w:pPr>
        <w:rPr>
          <w:rFonts w:hint="cs"/>
          <w:rtl/>
        </w:rPr>
      </w:pPr>
      <w:r>
        <w:rPr>
          <w:rFonts w:hint="cs"/>
          <w:rtl/>
        </w:rPr>
        <w:t xml:space="preserve">יש לו, לעומת זאת טענות כנגד אם המתלוננת כאילו התנהגה בצורה פרובוקטיבית בנוכחות המתלוננת (ת/4 עמ' 6), אך שוב, אין הוא מציג שאלה כלשהי לאם בענין זה על דוכן העדים. </w:t>
      </w:r>
    </w:p>
    <w:p w14:paraId="4CED999C" w14:textId="77777777" w:rsidR="006754DF" w:rsidRDefault="006754DF">
      <w:pPr>
        <w:rPr>
          <w:rFonts w:hint="cs"/>
          <w:rtl/>
        </w:rPr>
      </w:pPr>
      <w:r>
        <w:rPr>
          <w:rFonts w:hint="cs"/>
          <w:rtl/>
        </w:rPr>
        <w:t>הנאשם עצמו מכיר ברגישות הנושא והשלכותיו האפשריות באומרו בעדותו:</w:t>
      </w:r>
    </w:p>
    <w:p w14:paraId="522AC7B8" w14:textId="77777777" w:rsidR="006754DF" w:rsidRDefault="006754DF">
      <w:pPr>
        <w:rPr>
          <w:rFonts w:hint="cs"/>
          <w:rtl/>
        </w:rPr>
      </w:pPr>
      <w:r>
        <w:rPr>
          <w:rFonts w:hint="cs"/>
          <w:rtl/>
        </w:rPr>
        <w:t xml:space="preserve">"נבהלתי מכך (מידיעות המתלוננת בנושאי מין - י.ט.) וחששתי שאם אני יצא לחופשה להורי, משהו עלול לקרות ועלולים לחשוד בי וזה באמת מה שקורה". (פרוט' 28). </w:t>
      </w:r>
    </w:p>
    <w:p w14:paraId="4E3CB3B6" w14:textId="77777777" w:rsidR="006754DF" w:rsidRDefault="006754DF">
      <w:pPr>
        <w:rPr>
          <w:rFonts w:hint="cs"/>
          <w:rtl/>
        </w:rPr>
      </w:pPr>
      <w:r>
        <w:rPr>
          <w:rFonts w:hint="cs"/>
          <w:rtl/>
        </w:rPr>
        <w:t xml:space="preserve">אם הנאשם אכן חשש מידיעותיה "המופלגות" של המתלוננת בת ה- 10, בנושאי מין כיצד הפליג בהסברים בנושא זה עצמו, תוך הדגמות וציורים, בפני המתלוננת - לסתירה זו אין כל תשובה. </w:t>
      </w:r>
    </w:p>
    <w:p w14:paraId="09C72D1B" w14:textId="77777777" w:rsidR="006754DF" w:rsidRDefault="006754DF">
      <w:pPr>
        <w:rPr>
          <w:rFonts w:hint="cs"/>
          <w:rtl/>
        </w:rPr>
      </w:pPr>
      <w:r>
        <w:rPr>
          <w:rFonts w:hint="cs"/>
          <w:rtl/>
        </w:rPr>
        <w:t xml:space="preserve">בדברים הנ"ל של הנאשם ניתן לראות, כך סבור אני, ראשית הודיה בעבירות המיוחסות לו באישום השני והשלישי. (ראה לענין זה </w:t>
      </w:r>
      <w:hyperlink r:id="rId40" w:history="1">
        <w:r w:rsidR="00AF12E5" w:rsidRPr="00AF12E5">
          <w:rPr>
            <w:rStyle w:val="Hyperlink"/>
            <w:rFonts w:hint="eastAsia"/>
            <w:color w:val="0000FF"/>
            <w:rtl/>
          </w:rPr>
          <w:t>ע</w:t>
        </w:r>
        <w:r w:rsidR="00AF12E5" w:rsidRPr="00AF12E5">
          <w:rPr>
            <w:rStyle w:val="Hyperlink"/>
            <w:color w:val="0000FF"/>
            <w:rtl/>
          </w:rPr>
          <w:t xml:space="preserve">.פ. 6214/96 מ"י נ. פלוני </w:t>
        </w:r>
      </w:hyperlink>
      <w:r>
        <w:rPr>
          <w:rFonts w:hint="cs"/>
          <w:rtl/>
        </w:rPr>
        <w:t xml:space="preserve"> סע' 12 לפסק הדין - טרם פורסם).</w:t>
      </w:r>
      <w:r>
        <w:rPr>
          <w:color w:val="FFFFFF"/>
          <w:sz w:val="4"/>
          <w:szCs w:val="4"/>
          <w:rtl/>
        </w:rPr>
        <w:t>נ</w:t>
      </w:r>
    </w:p>
    <w:p w14:paraId="391A0C12" w14:textId="77777777" w:rsidR="006754DF" w:rsidRDefault="006754DF">
      <w:pPr>
        <w:rPr>
          <w:rFonts w:hint="cs"/>
          <w:rtl/>
        </w:rPr>
      </w:pPr>
    </w:p>
    <w:p w14:paraId="374DEF46" w14:textId="77777777" w:rsidR="006754DF" w:rsidRDefault="006754DF">
      <w:pPr>
        <w:rPr>
          <w:rFonts w:hint="cs"/>
          <w:rtl/>
        </w:rPr>
      </w:pPr>
      <w:r>
        <w:rPr>
          <w:rFonts w:hint="cs"/>
          <w:rtl/>
        </w:rPr>
        <w:t>12. פרט לראיות הנ"ל אשר יש לראות בהן סיוע לעדות המתלוננת קיימות ראיות נוספות אשר יש בהן כדי לחזק את גירסתה.</w:t>
      </w:r>
      <w:r>
        <w:rPr>
          <w:color w:val="FFFFFF"/>
          <w:sz w:val="4"/>
          <w:szCs w:val="4"/>
          <w:rtl/>
        </w:rPr>
        <w:t>ב</w:t>
      </w:r>
    </w:p>
    <w:p w14:paraId="43E11703" w14:textId="77777777" w:rsidR="006754DF" w:rsidRDefault="006754DF">
      <w:pPr>
        <w:rPr>
          <w:rFonts w:hint="cs"/>
          <w:rtl/>
        </w:rPr>
      </w:pPr>
    </w:p>
    <w:p w14:paraId="2D3CABFA" w14:textId="77777777" w:rsidR="006754DF" w:rsidRDefault="006754DF">
      <w:pPr>
        <w:rPr>
          <w:rFonts w:hint="cs"/>
          <w:rtl/>
        </w:rPr>
      </w:pPr>
      <w:r>
        <w:rPr>
          <w:rFonts w:hint="cs"/>
          <w:rtl/>
        </w:rPr>
        <w:t xml:space="preserve">12.1 כפי שכבר פורט לעיל, לטענות שונות של המתלוננת נמצאו תימוכין בראיות נוספות. </w:t>
      </w:r>
    </w:p>
    <w:p w14:paraId="0B9E6027" w14:textId="77777777" w:rsidR="006754DF" w:rsidRDefault="006754DF">
      <w:pPr>
        <w:rPr>
          <w:rFonts w:hint="cs"/>
          <w:rtl/>
        </w:rPr>
      </w:pPr>
      <w:r>
        <w:rPr>
          <w:rFonts w:hint="cs"/>
          <w:rtl/>
        </w:rPr>
        <w:t xml:space="preserve">הן הנאשם עצמו, השכנה ליאנה חנן, חונכת פר"ח הגב' לוקשן ליזה, יועצת ביה"ס הגב' קרן גולדשטיין ואם המתלוננת, כ"א מהם מאשר פרטים שונים שמסרה המתלוננת אודות השתלשלות הארועים בביצוע העבירות השונות. מטבע הדברים, העבירות עצמן בוצעו בדלת אמות בנוכחות הנאשם והמתלוננת בלבד. </w:t>
      </w:r>
    </w:p>
    <w:p w14:paraId="55DB72D6" w14:textId="77777777" w:rsidR="006754DF" w:rsidRDefault="006754DF">
      <w:pPr>
        <w:rPr>
          <w:rFonts w:hint="cs"/>
          <w:rtl/>
        </w:rPr>
      </w:pPr>
      <w:r>
        <w:rPr>
          <w:rFonts w:hint="cs"/>
          <w:rtl/>
        </w:rPr>
        <w:t xml:space="preserve">העדים השונים מאשרים פרטים אודות ארועים שקדמו לביצוע העבירות, או באו לאחריהם. </w:t>
      </w:r>
    </w:p>
    <w:p w14:paraId="5ED15E32" w14:textId="77777777" w:rsidR="006754DF" w:rsidRDefault="006754DF">
      <w:pPr>
        <w:rPr>
          <w:rFonts w:hint="cs"/>
          <w:rtl/>
        </w:rPr>
      </w:pPr>
    </w:p>
    <w:p w14:paraId="211797EE" w14:textId="77777777" w:rsidR="006754DF" w:rsidRDefault="006754DF">
      <w:pPr>
        <w:rPr>
          <w:rFonts w:hint="cs"/>
          <w:rtl/>
        </w:rPr>
      </w:pPr>
      <w:r>
        <w:rPr>
          <w:rFonts w:hint="cs"/>
          <w:rtl/>
        </w:rPr>
        <w:t>12.2 המתלוננת לא מסרה תיאור מילולי בלבד אודות התרחשות הדברים, אלא אף הדגימה בתנועות מעשיו של הנאשם, בפני הרופאה שבדקה אותה (ראה סע' 7 סייפא לעיל). קשה להאמין כי ילדה בגיל המתלוננת תדע להדגים הדברים, אלא חוותה הדברים בעצמה.</w:t>
      </w:r>
      <w:r>
        <w:rPr>
          <w:color w:val="FFFFFF"/>
          <w:sz w:val="4"/>
          <w:szCs w:val="4"/>
          <w:rtl/>
        </w:rPr>
        <w:t>ו</w:t>
      </w:r>
    </w:p>
    <w:p w14:paraId="212C514A" w14:textId="77777777" w:rsidR="006754DF" w:rsidRDefault="006754DF">
      <w:pPr>
        <w:rPr>
          <w:rFonts w:hint="cs"/>
          <w:rtl/>
        </w:rPr>
      </w:pPr>
    </w:p>
    <w:p w14:paraId="3C3756D4" w14:textId="77777777" w:rsidR="006754DF" w:rsidRDefault="006754DF">
      <w:pPr>
        <w:rPr>
          <w:rFonts w:hint="cs"/>
          <w:rtl/>
        </w:rPr>
      </w:pPr>
      <w:r>
        <w:rPr>
          <w:rFonts w:hint="cs"/>
          <w:rtl/>
        </w:rPr>
        <w:t xml:space="preserve">12.3 חוקרת הנוער אשר חקרה המתלוננת התרשמה ממהימנות גירסתה, תוך מתן פירוט מלא להתרשמותה ומסקנותיה. לחשיבותה של התרשמות זו כבר היתה התיחסות. (ראה סע' 9 לעיל). </w:t>
      </w:r>
    </w:p>
    <w:p w14:paraId="320ADFC7" w14:textId="77777777" w:rsidR="006754DF" w:rsidRDefault="006754DF">
      <w:pPr>
        <w:rPr>
          <w:rFonts w:hint="cs"/>
          <w:rtl/>
        </w:rPr>
      </w:pPr>
    </w:p>
    <w:p w14:paraId="6637AA2F" w14:textId="77777777" w:rsidR="006754DF" w:rsidRDefault="006754DF">
      <w:pPr>
        <w:rPr>
          <w:rFonts w:hint="cs"/>
          <w:rtl/>
        </w:rPr>
      </w:pPr>
      <w:r>
        <w:rPr>
          <w:rFonts w:hint="cs"/>
          <w:rtl/>
        </w:rPr>
        <w:t xml:space="preserve">12.4 כזכור, עוד קודם שנחקרה המתלוננת, הבחינה מחנכת הכיתה כי היא עצובה והציעה לה לעלות תחושותיה על הכתב. המתלוננת אכן רשמה דברים בשני מסמכים, עובר לחקירתה, אותם מסרה ליועצת (ראה עדות היועצת פרוט' 5-4 והמסמכים ת/1 ו- ת/2). </w:t>
      </w:r>
    </w:p>
    <w:p w14:paraId="0088C590" w14:textId="77777777" w:rsidR="006754DF" w:rsidRDefault="006754DF">
      <w:pPr>
        <w:rPr>
          <w:rFonts w:hint="cs"/>
          <w:rtl/>
        </w:rPr>
      </w:pPr>
      <w:r>
        <w:rPr>
          <w:rFonts w:hint="cs"/>
          <w:rtl/>
        </w:rPr>
        <w:t xml:space="preserve">במסמך האחד מתארת המתלוננת הכאתה בחגורה ע"י הנאשם ומוסיפה כי שכנתה - הגב' ליאנה חנן - הבחינה בחבלות. לכך אכן אישור בעדות השכנה כפי שפורט לעיל. </w:t>
      </w:r>
    </w:p>
    <w:p w14:paraId="1A0FDBCA" w14:textId="77777777" w:rsidR="006754DF" w:rsidRDefault="006754DF">
      <w:pPr>
        <w:rPr>
          <w:rFonts w:hint="cs"/>
          <w:rtl/>
        </w:rPr>
      </w:pPr>
      <w:r>
        <w:rPr>
          <w:rFonts w:hint="cs"/>
          <w:rtl/>
        </w:rPr>
        <w:t xml:space="preserve">עוד מוסיפה וטוענת המתלוננת, כי הנאשם מפשיט אותה ומאיים עליה לבל תספר לאמה. על גירסה זו חזרה המתלוננת בפני החוקרת. (דברים אלה פורטו בת/2). </w:t>
      </w:r>
    </w:p>
    <w:p w14:paraId="6D6F89E1" w14:textId="77777777" w:rsidR="006754DF" w:rsidRDefault="006754DF">
      <w:pPr>
        <w:rPr>
          <w:rFonts w:hint="cs"/>
          <w:rtl/>
        </w:rPr>
      </w:pPr>
      <w:r>
        <w:rPr>
          <w:rFonts w:hint="cs"/>
          <w:rtl/>
        </w:rPr>
        <w:t xml:space="preserve">במסמך האחר מתיחסת המתלוננת לארוע בו הנאשם הפשיט אותה והופרע ע"י אם המתלוננת אשר הקדימה לחזור. בכך תומכות ראיות נוספות שכבר פורטו לעיל. </w:t>
      </w:r>
    </w:p>
    <w:p w14:paraId="6B097C9A" w14:textId="77777777" w:rsidR="006754DF" w:rsidRDefault="006754DF">
      <w:pPr>
        <w:rPr>
          <w:rFonts w:hint="cs"/>
          <w:rtl/>
        </w:rPr>
      </w:pPr>
      <w:r>
        <w:rPr>
          <w:rFonts w:hint="cs"/>
          <w:rtl/>
        </w:rPr>
        <w:t xml:space="preserve">המתלוננת מציינת כי בארוע זה, לכאורה נשוא האישום השלישי, הנאשם רק נגע בתחתוניה ואין היא מתיחסת לכך שהחדיר אצבעותיו לאבר מינה. עדיין יש לזכור, כי גם בחקירתה בפני חוקרת הנוער לא מיהרה המתלוננת לגלות עובדה זו והדבר נתגלה רק לאחר מאמץ ודיבוב מצד החוקרת כאשר המתלוננת מגלה מבוכה רבה. </w:t>
      </w:r>
    </w:p>
    <w:p w14:paraId="65FE0BEA" w14:textId="77777777" w:rsidR="006754DF" w:rsidRDefault="006754DF">
      <w:pPr>
        <w:rPr>
          <w:rFonts w:hint="cs"/>
          <w:rtl/>
        </w:rPr>
      </w:pPr>
    </w:p>
    <w:p w14:paraId="5E1C0678" w14:textId="77777777" w:rsidR="006754DF" w:rsidRDefault="006754DF">
      <w:pPr>
        <w:rPr>
          <w:rFonts w:hint="cs"/>
          <w:rtl/>
        </w:rPr>
      </w:pPr>
      <w:r>
        <w:rPr>
          <w:rFonts w:hint="cs"/>
          <w:rtl/>
        </w:rPr>
        <w:t xml:space="preserve">13. סוף דבר, הוכח הן מפי הנאשם עצמו והודאתו בעבירה, הן עפ"י הראיות, כי הנאשם ביצע העבירות המיוחסות לו באישום הראשון - התעללות בקטין עבירה לפי </w:t>
      </w:r>
      <w:hyperlink r:id="rId41" w:history="1">
        <w:r w:rsidR="00C610CB" w:rsidRPr="00C610CB">
          <w:rPr>
            <w:rStyle w:val="Hyperlink"/>
            <w:rFonts w:hint="eastAsia"/>
            <w:color w:val="0000FF"/>
            <w:rtl/>
          </w:rPr>
          <w:t>סע</w:t>
        </w:r>
        <w:r w:rsidR="00C610CB" w:rsidRPr="00C610CB">
          <w:rPr>
            <w:rStyle w:val="Hyperlink"/>
            <w:color w:val="0000FF"/>
            <w:rtl/>
          </w:rPr>
          <w:t>' 368 ג</w:t>
        </w:r>
      </w:hyperlink>
      <w:r>
        <w:rPr>
          <w:rFonts w:hint="cs"/>
          <w:rtl/>
        </w:rPr>
        <w:t xml:space="preserve">' לחוק העונשין תשל"ז 1977. </w:t>
      </w:r>
    </w:p>
    <w:p w14:paraId="74310A19" w14:textId="77777777" w:rsidR="006754DF" w:rsidRDefault="006754DF">
      <w:pPr>
        <w:rPr>
          <w:rFonts w:hint="cs"/>
          <w:rtl/>
        </w:rPr>
      </w:pPr>
      <w:r>
        <w:rPr>
          <w:rFonts w:hint="cs"/>
          <w:rtl/>
        </w:rPr>
        <w:t xml:space="preserve">הוכחו גם עבירות מין במשפחה המיוחסות לנאשם באישום השני - עבירות לפי </w:t>
      </w:r>
      <w:hyperlink r:id="rId42" w:history="1">
        <w:r w:rsidR="00C610CB" w:rsidRPr="00C610CB">
          <w:rPr>
            <w:rStyle w:val="Hyperlink"/>
            <w:rFonts w:hint="eastAsia"/>
            <w:color w:val="0000FF"/>
            <w:rtl/>
          </w:rPr>
          <w:t>סע</w:t>
        </w:r>
        <w:r w:rsidR="00C610CB" w:rsidRPr="00C610CB">
          <w:rPr>
            <w:rStyle w:val="Hyperlink"/>
            <w:color w:val="0000FF"/>
            <w:rtl/>
          </w:rPr>
          <w:t>' 351 (ג) (2)</w:t>
        </w:r>
      </w:hyperlink>
      <w:r>
        <w:rPr>
          <w:rFonts w:hint="cs"/>
          <w:rtl/>
        </w:rPr>
        <w:t xml:space="preserve"> לחוק העונשין תשל"ז 1977 וכן עבירה של אינוס - עבירה לפי </w:t>
      </w:r>
      <w:hyperlink r:id="rId43" w:history="1">
        <w:r w:rsidR="00C610CB" w:rsidRPr="00C610CB">
          <w:rPr>
            <w:rStyle w:val="Hyperlink"/>
            <w:rFonts w:hint="eastAsia"/>
            <w:color w:val="0000FF"/>
            <w:rtl/>
          </w:rPr>
          <w:t>סע</w:t>
        </w:r>
        <w:r w:rsidR="00C610CB" w:rsidRPr="00C610CB">
          <w:rPr>
            <w:rStyle w:val="Hyperlink"/>
            <w:color w:val="0000FF"/>
            <w:rtl/>
          </w:rPr>
          <w:t>' 345 (א) (3)</w:t>
        </w:r>
      </w:hyperlink>
      <w:r>
        <w:rPr>
          <w:rFonts w:hint="cs"/>
          <w:rtl/>
        </w:rPr>
        <w:t xml:space="preserve"> לחוק, נשוא האישום השלישי. </w:t>
      </w:r>
    </w:p>
    <w:p w14:paraId="185D5F7D" w14:textId="77777777" w:rsidR="006754DF" w:rsidRDefault="006754DF">
      <w:pPr>
        <w:rPr>
          <w:rFonts w:hint="cs"/>
          <w:rtl/>
        </w:rPr>
      </w:pPr>
      <w:r>
        <w:rPr>
          <w:rFonts w:hint="cs"/>
          <w:rtl/>
        </w:rPr>
        <w:t xml:space="preserve">בסוף סיכומיה מבקשת ב"כ התביעה לקבוע כי הוכחו שני מעשי אינוס אף שהנאשם הואשם במעשה אינוס אחד. </w:t>
      </w:r>
    </w:p>
    <w:p w14:paraId="5125025F" w14:textId="77777777" w:rsidR="006754DF" w:rsidRDefault="006754DF">
      <w:pPr>
        <w:rPr>
          <w:rFonts w:hint="cs"/>
          <w:rtl/>
        </w:rPr>
      </w:pPr>
      <w:r>
        <w:rPr>
          <w:rFonts w:hint="cs"/>
          <w:rtl/>
        </w:rPr>
        <w:t xml:space="preserve">הנני דוחה טענה זו וקובע כי הוכח מעשה אינוס אחד, הוא נשוא האישום השלישי. </w:t>
      </w:r>
    </w:p>
    <w:p w14:paraId="13D8C6B0" w14:textId="77777777" w:rsidR="006754DF" w:rsidRDefault="006754DF">
      <w:pPr>
        <w:rPr>
          <w:rFonts w:hint="cs"/>
          <w:rtl/>
        </w:rPr>
      </w:pPr>
      <w:r>
        <w:rPr>
          <w:rFonts w:hint="cs"/>
          <w:rtl/>
        </w:rPr>
        <w:t xml:space="preserve">עוד מבקשת ב"כ התביעה להמיר סע' האישום </w:t>
      </w:r>
      <w:hyperlink r:id="rId44" w:history="1">
        <w:r w:rsidR="00C610CB" w:rsidRPr="00C610CB">
          <w:rPr>
            <w:rStyle w:val="Hyperlink"/>
            <w:color w:val="0000FF"/>
            <w:rtl/>
          </w:rPr>
          <w:t>345 (א) (3)</w:t>
        </w:r>
      </w:hyperlink>
      <w:r>
        <w:rPr>
          <w:rFonts w:hint="cs"/>
          <w:rtl/>
        </w:rPr>
        <w:t xml:space="preserve"> אשר באישום השלישי, ב</w:t>
      </w:r>
      <w:hyperlink r:id="rId45" w:history="1">
        <w:r w:rsidR="00C610CB" w:rsidRPr="00C610CB">
          <w:rPr>
            <w:rStyle w:val="Hyperlink"/>
            <w:rFonts w:hint="eastAsia"/>
            <w:color w:val="0000FF"/>
            <w:rtl/>
          </w:rPr>
          <w:t>סע</w:t>
        </w:r>
        <w:r w:rsidR="00C610CB" w:rsidRPr="00C610CB">
          <w:rPr>
            <w:rStyle w:val="Hyperlink"/>
            <w:color w:val="0000FF"/>
            <w:rtl/>
          </w:rPr>
          <w:t>' 351 א</w:t>
        </w:r>
      </w:hyperlink>
      <w:r>
        <w:rPr>
          <w:rFonts w:hint="cs"/>
          <w:rtl/>
        </w:rPr>
        <w:t xml:space="preserve"> עם </w:t>
      </w:r>
      <w:hyperlink r:id="rId46" w:history="1">
        <w:r w:rsidR="00C610CB" w:rsidRPr="00C610CB">
          <w:rPr>
            <w:rStyle w:val="Hyperlink"/>
            <w:rFonts w:hint="eastAsia"/>
            <w:color w:val="0000FF"/>
            <w:rtl/>
          </w:rPr>
          <w:t>סע</w:t>
        </w:r>
        <w:r w:rsidR="00C610CB" w:rsidRPr="00C610CB">
          <w:rPr>
            <w:rStyle w:val="Hyperlink"/>
            <w:color w:val="0000FF"/>
            <w:rtl/>
          </w:rPr>
          <w:t>' 345 (א) (1)</w:t>
        </w:r>
      </w:hyperlink>
      <w:r>
        <w:rPr>
          <w:rFonts w:hint="cs"/>
          <w:rtl/>
        </w:rPr>
        <w:t>, הואיל והוכח כי העבירה בוצעה ע"י בן משפחה, ונתנה הזדמנות לנאשם להתגונן כנגד טענה זו. בקשה זו מן הדין לקבל והנני  קובע כי יש להרשיע הנאשם בעבירה של אינוס לפי הסעיפים החליפיים הללו.</w:t>
      </w:r>
      <w:r>
        <w:rPr>
          <w:color w:val="FFFFFF"/>
          <w:sz w:val="4"/>
          <w:szCs w:val="4"/>
          <w:rtl/>
        </w:rPr>
        <w:t>נ</w:t>
      </w:r>
    </w:p>
    <w:p w14:paraId="7E4B0F0C" w14:textId="77777777" w:rsidR="006754DF" w:rsidRDefault="006754DF">
      <w:pPr>
        <w:rPr>
          <w:rFonts w:hint="cs"/>
          <w:rtl/>
        </w:rPr>
      </w:pPr>
    </w:p>
    <w:p w14:paraId="208D39A5" w14:textId="77777777" w:rsidR="006754DF" w:rsidRDefault="006754DF">
      <w:pPr>
        <w:rPr>
          <w:rFonts w:hint="cs"/>
          <w:rtl/>
        </w:rPr>
      </w:pPr>
      <w:r>
        <w:rPr>
          <w:rFonts w:hint="cs"/>
          <w:rtl/>
        </w:rPr>
        <w:t xml:space="preserve">משיובאו טיעונים לעונש יהיה אז מקום להתיחס למשמעות קביעה זו מכוח </w:t>
      </w:r>
      <w:hyperlink r:id="rId47" w:history="1">
        <w:r w:rsidR="00C610CB" w:rsidRPr="00C610CB">
          <w:rPr>
            <w:rStyle w:val="Hyperlink"/>
            <w:rFonts w:hint="eastAsia"/>
            <w:color w:val="0000FF"/>
            <w:rtl/>
          </w:rPr>
          <w:t>סע</w:t>
        </w:r>
        <w:r w:rsidR="00C610CB" w:rsidRPr="00C610CB">
          <w:rPr>
            <w:rStyle w:val="Hyperlink"/>
            <w:color w:val="0000FF"/>
            <w:rtl/>
          </w:rPr>
          <w:t>' 184</w:t>
        </w:r>
      </w:hyperlink>
      <w:r>
        <w:rPr>
          <w:rFonts w:hint="cs"/>
          <w:rtl/>
        </w:rPr>
        <w:t xml:space="preserve"> לחוק סדר הדין הפלילי (נוסח משולב) תשמ"ב 1982. </w:t>
      </w:r>
    </w:p>
    <w:p w14:paraId="64E93333" w14:textId="77777777" w:rsidR="006754DF" w:rsidRDefault="006754DF">
      <w:pPr>
        <w:pStyle w:val="1"/>
        <w:rPr>
          <w:rFonts w:hint="cs"/>
          <w:rtl/>
        </w:rPr>
      </w:pPr>
      <w:bookmarkStart w:id="14" w:name="Decision1"/>
    </w:p>
    <w:p w14:paraId="615E1792" w14:textId="77777777" w:rsidR="006754DF" w:rsidRDefault="006754DF">
      <w:pPr>
        <w:rPr>
          <w:rFonts w:hint="cs"/>
          <w:b/>
          <w:bCs/>
          <w:rtl/>
        </w:rPr>
      </w:pPr>
      <w:bookmarkStart w:id="15" w:name="Decision3"/>
    </w:p>
    <w:p w14:paraId="71BB3964" w14:textId="77777777" w:rsidR="006754DF" w:rsidRDefault="006754DF">
      <w:pPr>
        <w:rPr>
          <w:rFonts w:hint="cs"/>
          <w:b/>
          <w:bCs/>
          <w:rtl/>
        </w:rPr>
      </w:pPr>
      <w:r>
        <w:rPr>
          <w:rFonts w:hint="cs"/>
          <w:b/>
          <w:bCs/>
          <w:rtl/>
        </w:rPr>
        <w:t>ניתנה היום כ"א בשבט, תשס"א (14 בפברואר 2001) במעמד הצדדים</w:t>
      </w:r>
    </w:p>
    <w:p w14:paraId="3695AD1C" w14:textId="77777777" w:rsidR="006754DF" w:rsidRDefault="006754DF">
      <w:pPr>
        <w:rPr>
          <w:rFonts w:hint="cs"/>
          <w:rtl/>
        </w:rPr>
      </w:pPr>
    </w:p>
    <w:p w14:paraId="271EE7B6" w14:textId="77777777" w:rsidR="006754DF" w:rsidRDefault="006754DF">
      <w:pPr>
        <w:spacing w:line="240" w:lineRule="auto"/>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w:t>
      </w:r>
    </w:p>
    <w:p w14:paraId="67ABF11B" w14:textId="77777777" w:rsidR="006754DF" w:rsidRDefault="006754DF">
      <w:pPr>
        <w:spacing w:line="240" w:lineRule="auto"/>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י. טימור - ס. נשיא - אב"ד</w:t>
      </w:r>
      <w:r>
        <w:rPr>
          <w:rFonts w:hint="cs"/>
          <w:rtl/>
        </w:rPr>
        <w:tab/>
        <w:t xml:space="preserve">                     </w:t>
      </w:r>
    </w:p>
    <w:p w14:paraId="4A4D774B" w14:textId="77777777" w:rsidR="006754DF" w:rsidRDefault="006754DF">
      <w:pPr>
        <w:rPr>
          <w:rtl/>
        </w:rPr>
      </w:pPr>
    </w:p>
    <w:p w14:paraId="18E653F6" w14:textId="77777777" w:rsidR="006754DF" w:rsidRDefault="006754DF">
      <w:pPr>
        <w:rPr>
          <w:rFonts w:hint="cs"/>
          <w:rtl/>
        </w:rPr>
      </w:pPr>
      <w:r>
        <w:rPr>
          <w:rFonts w:hint="cs"/>
          <w:rtl/>
        </w:rPr>
        <w:t>אני מסכימה.</w:t>
      </w:r>
      <w:r>
        <w:rPr>
          <w:color w:val="FFFFFF"/>
          <w:sz w:val="4"/>
          <w:szCs w:val="4"/>
          <w:rtl/>
        </w:rPr>
        <w:t>ב</w:t>
      </w:r>
    </w:p>
    <w:p w14:paraId="572FC46E" w14:textId="77777777" w:rsidR="006754DF" w:rsidRDefault="006754DF">
      <w:pPr>
        <w:rPr>
          <w:rFonts w:hint="cs"/>
          <w:rtl/>
        </w:rPr>
      </w:pPr>
    </w:p>
    <w:bookmarkEnd w:id="15"/>
    <w:p w14:paraId="5E8F956A" w14:textId="77777777" w:rsidR="006754DF" w:rsidRDefault="006754DF">
      <w:pPr>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w:t>
      </w:r>
    </w:p>
    <w:p w14:paraId="4563DB19" w14:textId="77777777" w:rsidR="006754DF" w:rsidRDefault="006754DF">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ש. דברת -   שופטת</w:t>
      </w:r>
      <w:r>
        <w:rPr>
          <w:rFonts w:hint="cs"/>
          <w:rtl/>
        </w:rPr>
        <w:tab/>
      </w:r>
      <w:r>
        <w:rPr>
          <w:rFonts w:hint="cs"/>
          <w:rtl/>
        </w:rPr>
        <w:tab/>
      </w:r>
    </w:p>
    <w:p w14:paraId="22D934E3" w14:textId="77777777" w:rsidR="006754DF" w:rsidRDefault="006754DF">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01CEA409" w14:textId="77777777" w:rsidR="006754DF" w:rsidRDefault="006754DF">
      <w:pPr>
        <w:rPr>
          <w:rFonts w:hint="cs"/>
          <w:rtl/>
        </w:rPr>
      </w:pPr>
      <w:r>
        <w:rPr>
          <w:rFonts w:hint="cs"/>
          <w:rtl/>
        </w:rPr>
        <w:t>אני מסכימה.</w:t>
      </w:r>
      <w:r>
        <w:rPr>
          <w:color w:val="FFFFFF"/>
          <w:sz w:val="4"/>
          <w:szCs w:val="4"/>
          <w:rtl/>
        </w:rPr>
        <w:t>ו</w:t>
      </w:r>
    </w:p>
    <w:p w14:paraId="6F77B041" w14:textId="77777777" w:rsidR="006754DF" w:rsidRDefault="006754DF">
      <w:pPr>
        <w:rPr>
          <w:rFonts w:hint="cs"/>
          <w:rtl/>
        </w:rPr>
      </w:pPr>
    </w:p>
    <w:p w14:paraId="5DB1964A" w14:textId="77777777" w:rsidR="006754DF" w:rsidRDefault="006754DF">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w:t>
      </w:r>
    </w:p>
    <w:p w14:paraId="00DF7C37" w14:textId="77777777" w:rsidR="006754DF" w:rsidRDefault="006754DF">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ח. סלוטקי - שופטת</w:t>
      </w:r>
    </w:p>
    <w:p w14:paraId="18ACE99A" w14:textId="77777777" w:rsidR="006754DF" w:rsidRDefault="006754DF">
      <w:pPr>
        <w:rPr>
          <w:rFonts w:hint="cs"/>
          <w:rtl/>
        </w:rPr>
      </w:pPr>
    </w:p>
    <w:p w14:paraId="3C8A8573" w14:textId="77777777" w:rsidR="006754DF" w:rsidRDefault="006754DF">
      <w:pPr>
        <w:rPr>
          <w:rFonts w:hint="cs"/>
          <w:rtl/>
        </w:rPr>
      </w:pPr>
      <w:r>
        <w:rPr>
          <w:rFonts w:hint="cs"/>
          <w:rtl/>
        </w:rPr>
        <w:t>לפיכך הוחלט כאמור בפסק הדין שניתן ע"י סגן נשיא י. טימור.</w:t>
      </w:r>
      <w:r>
        <w:rPr>
          <w:color w:val="FFFFFF"/>
          <w:sz w:val="4"/>
          <w:szCs w:val="4"/>
          <w:rtl/>
        </w:rPr>
        <w:t>נ</w:t>
      </w:r>
    </w:p>
    <w:p w14:paraId="292E5D37" w14:textId="77777777" w:rsidR="006754DF" w:rsidRDefault="006754DF">
      <w:pPr>
        <w:rPr>
          <w:rFonts w:hint="cs"/>
          <w:rtl/>
        </w:rPr>
      </w:pPr>
      <w:bookmarkStart w:id="16" w:name="Decision4"/>
    </w:p>
    <w:p w14:paraId="72BACD43" w14:textId="77777777" w:rsidR="006754DF" w:rsidRDefault="006754DF">
      <w:pPr>
        <w:rPr>
          <w:rFonts w:hint="cs"/>
          <w:b/>
          <w:bCs/>
          <w:rtl/>
        </w:rPr>
      </w:pPr>
      <w:r>
        <w:rPr>
          <w:rFonts w:hint="cs"/>
          <w:b/>
          <w:bCs/>
          <w:rtl/>
        </w:rPr>
        <w:t>ניתנה היום כ"א בשבט, תשס"א (14 בפברואר 2001) במעמד הצדדים</w:t>
      </w:r>
    </w:p>
    <w:p w14:paraId="03616BB8" w14:textId="77777777" w:rsidR="006754DF" w:rsidRDefault="006754DF">
      <w:pPr>
        <w:rPr>
          <w:rFonts w:hint="cs"/>
          <w:rtl/>
        </w:rPr>
      </w:pPr>
    </w:p>
    <w:p w14:paraId="4B6E265E" w14:textId="77777777" w:rsidR="006754DF" w:rsidRDefault="006754DF">
      <w:pPr>
        <w:rPr>
          <w:rFonts w:hint="cs"/>
          <w:rtl/>
        </w:rPr>
      </w:pPr>
      <w:r>
        <w:rPr>
          <w:rFonts w:hint="cs"/>
          <w:rtl/>
        </w:rPr>
        <w:t xml:space="preserve">                                                                                </w:t>
      </w:r>
    </w:p>
    <w:tbl>
      <w:tblPr>
        <w:tblW w:w="0" w:type="auto"/>
        <w:tblBorders>
          <w:top w:val="single" w:sz="4" w:space="0" w:color="auto"/>
        </w:tblBorders>
        <w:tblLook w:val="0000" w:firstRow="0" w:lastRow="0" w:firstColumn="0" w:lastColumn="0" w:noHBand="0" w:noVBand="0"/>
      </w:tblPr>
      <w:tblGrid>
        <w:gridCol w:w="2235"/>
        <w:gridCol w:w="567"/>
        <w:gridCol w:w="2693"/>
        <w:gridCol w:w="709"/>
        <w:gridCol w:w="2325"/>
      </w:tblGrid>
      <w:tr w:rsidR="006754DF" w14:paraId="7EA3CF6A" w14:textId="77777777">
        <w:tc>
          <w:tcPr>
            <w:tcW w:w="2235" w:type="dxa"/>
            <w:tcBorders>
              <w:top w:val="single" w:sz="4" w:space="0" w:color="auto"/>
              <w:left w:val="nil"/>
              <w:bottom w:val="nil"/>
              <w:right w:val="nil"/>
            </w:tcBorders>
          </w:tcPr>
          <w:p w14:paraId="5BC2CAA6" w14:textId="77777777" w:rsidR="006754DF" w:rsidRDefault="006754DF">
            <w:pPr>
              <w:spacing w:line="240" w:lineRule="auto"/>
              <w:jc w:val="center"/>
              <w:rPr>
                <w:b/>
                <w:bCs/>
              </w:rPr>
            </w:pPr>
            <w:r>
              <w:rPr>
                <w:rFonts w:hint="cs"/>
                <w:b/>
                <w:bCs/>
                <w:rtl/>
              </w:rPr>
              <w:t>ח. סלוטקי – שופטת</w:t>
            </w:r>
          </w:p>
        </w:tc>
        <w:tc>
          <w:tcPr>
            <w:tcW w:w="567" w:type="dxa"/>
            <w:tcBorders>
              <w:top w:val="nil"/>
              <w:left w:val="nil"/>
              <w:bottom w:val="nil"/>
              <w:right w:val="nil"/>
            </w:tcBorders>
          </w:tcPr>
          <w:p w14:paraId="5AE52EB9" w14:textId="77777777" w:rsidR="006754DF" w:rsidRDefault="006754DF">
            <w:pPr>
              <w:spacing w:line="240" w:lineRule="auto"/>
            </w:pPr>
          </w:p>
        </w:tc>
        <w:tc>
          <w:tcPr>
            <w:tcW w:w="2693" w:type="dxa"/>
            <w:tcBorders>
              <w:top w:val="single" w:sz="4" w:space="0" w:color="auto"/>
              <w:left w:val="nil"/>
              <w:bottom w:val="nil"/>
              <w:right w:val="nil"/>
            </w:tcBorders>
          </w:tcPr>
          <w:p w14:paraId="253E690B" w14:textId="77777777" w:rsidR="006754DF" w:rsidRDefault="006754DF">
            <w:pPr>
              <w:spacing w:line="240" w:lineRule="auto"/>
              <w:jc w:val="center"/>
              <w:rPr>
                <w:b/>
                <w:bCs/>
              </w:rPr>
            </w:pPr>
            <w:r>
              <w:rPr>
                <w:rFonts w:hint="cs"/>
                <w:b/>
                <w:bCs/>
                <w:rtl/>
              </w:rPr>
              <w:t>ש. דברת – שופטת</w:t>
            </w:r>
          </w:p>
        </w:tc>
        <w:tc>
          <w:tcPr>
            <w:tcW w:w="709" w:type="dxa"/>
            <w:tcBorders>
              <w:top w:val="nil"/>
              <w:left w:val="nil"/>
              <w:bottom w:val="nil"/>
              <w:right w:val="nil"/>
            </w:tcBorders>
          </w:tcPr>
          <w:p w14:paraId="66508BCF" w14:textId="77777777" w:rsidR="006754DF" w:rsidRDefault="006754DF">
            <w:pPr>
              <w:spacing w:line="240" w:lineRule="auto"/>
            </w:pPr>
          </w:p>
        </w:tc>
        <w:tc>
          <w:tcPr>
            <w:tcW w:w="2325" w:type="dxa"/>
            <w:tcBorders>
              <w:top w:val="single" w:sz="4" w:space="0" w:color="auto"/>
              <w:left w:val="nil"/>
              <w:bottom w:val="nil"/>
              <w:right w:val="nil"/>
            </w:tcBorders>
          </w:tcPr>
          <w:p w14:paraId="3B10629C" w14:textId="77777777" w:rsidR="006754DF" w:rsidRDefault="006754DF">
            <w:pPr>
              <w:spacing w:line="240" w:lineRule="auto"/>
              <w:jc w:val="center"/>
              <w:rPr>
                <w:b/>
                <w:bCs/>
              </w:rPr>
            </w:pPr>
            <w:r>
              <w:rPr>
                <w:rFonts w:hint="cs"/>
                <w:b/>
                <w:bCs/>
                <w:rtl/>
              </w:rPr>
              <w:t>י. טימור – אב"ד</w:t>
            </w:r>
          </w:p>
        </w:tc>
      </w:tr>
    </w:tbl>
    <w:p w14:paraId="6D59000E" w14:textId="77777777" w:rsidR="006754DF" w:rsidRDefault="006754DF">
      <w:pPr>
        <w:spacing w:line="240" w:lineRule="auto"/>
        <w:rPr>
          <w:rFonts w:hint="cs"/>
          <w:rtl/>
        </w:rPr>
      </w:pPr>
      <w:r>
        <w:rPr>
          <w:rFonts w:hint="cs"/>
          <w:rtl/>
        </w:rPr>
        <w:tab/>
      </w:r>
    </w:p>
    <w:bookmarkEnd w:id="16"/>
    <w:p w14:paraId="0A63FE51" w14:textId="77777777" w:rsidR="006754DF" w:rsidRDefault="006754DF">
      <w:pPr>
        <w:rPr>
          <w:rtl/>
        </w:rPr>
      </w:pPr>
    </w:p>
    <w:p w14:paraId="39202C30" w14:textId="77777777" w:rsidR="006754DF" w:rsidRDefault="006754DF">
      <w:pPr>
        <w:rPr>
          <w:rtl/>
        </w:rPr>
      </w:pPr>
      <w:r>
        <w:rPr>
          <w:rFonts w:hint="cs"/>
          <w:b/>
          <w:bCs/>
          <w:u w:val="single"/>
          <w:rtl/>
        </w:rPr>
        <w:t>עו"ד עופרה לוי</w:t>
      </w:r>
      <w:r>
        <w:rPr>
          <w:rFonts w:hint="cs"/>
          <w:rtl/>
        </w:rPr>
        <w:t>:</w:t>
      </w:r>
    </w:p>
    <w:p w14:paraId="224C0136" w14:textId="77777777" w:rsidR="006754DF" w:rsidRDefault="006754DF">
      <w:pPr>
        <w:rPr>
          <w:rFonts w:hint="cs"/>
          <w:rtl/>
        </w:rPr>
      </w:pPr>
      <w:r>
        <w:rPr>
          <w:rFonts w:hint="cs"/>
          <w:rtl/>
        </w:rPr>
        <w:t>אני מבקשת מביהמ"ש להורות על הגשת תסקיר קורבן לביהמ"ש.</w:t>
      </w:r>
      <w:r>
        <w:rPr>
          <w:color w:val="FFFFFF"/>
          <w:sz w:val="4"/>
          <w:szCs w:val="4"/>
          <w:rtl/>
        </w:rPr>
        <w:t>ב</w:t>
      </w:r>
    </w:p>
    <w:p w14:paraId="58D72AF0" w14:textId="77777777" w:rsidR="006754DF" w:rsidRDefault="006754DF">
      <w:pPr>
        <w:rPr>
          <w:rFonts w:hint="cs"/>
          <w:rtl/>
        </w:rPr>
      </w:pPr>
      <w:r>
        <w:rPr>
          <w:rFonts w:hint="cs"/>
          <w:rtl/>
        </w:rPr>
        <w:t>אמה של המתלוננת הסכימה להגשת התסקיר.</w:t>
      </w:r>
      <w:r>
        <w:rPr>
          <w:color w:val="FFFFFF"/>
          <w:sz w:val="4"/>
          <w:szCs w:val="4"/>
          <w:rtl/>
        </w:rPr>
        <w:t>ו</w:t>
      </w:r>
    </w:p>
    <w:p w14:paraId="51972D7A" w14:textId="77777777" w:rsidR="006754DF" w:rsidRDefault="006754DF">
      <w:pPr>
        <w:rPr>
          <w:rFonts w:hint="cs"/>
          <w:rtl/>
        </w:rPr>
      </w:pPr>
    </w:p>
    <w:p w14:paraId="2FB87790" w14:textId="77777777" w:rsidR="006754DF" w:rsidRDefault="006754DF">
      <w:pPr>
        <w:rPr>
          <w:rFonts w:hint="cs"/>
          <w:rtl/>
        </w:rPr>
      </w:pPr>
      <w:r>
        <w:rPr>
          <w:rFonts w:hint="cs"/>
          <w:b/>
          <w:bCs/>
          <w:u w:val="single"/>
          <w:rtl/>
        </w:rPr>
        <w:t>ב"כ הנאשם</w:t>
      </w:r>
      <w:r>
        <w:rPr>
          <w:rFonts w:hint="cs"/>
          <w:rtl/>
        </w:rPr>
        <w:t>:</w:t>
      </w:r>
    </w:p>
    <w:p w14:paraId="52CFABC6" w14:textId="77777777" w:rsidR="006754DF" w:rsidRDefault="006754DF">
      <w:pPr>
        <w:rPr>
          <w:rFonts w:hint="cs"/>
          <w:rtl/>
        </w:rPr>
      </w:pPr>
      <w:r>
        <w:rPr>
          <w:rFonts w:hint="cs"/>
          <w:rtl/>
        </w:rPr>
        <w:t>אנו מבקשים להגיש תסקיר בענינו של הנאשם.</w:t>
      </w:r>
      <w:r>
        <w:rPr>
          <w:color w:val="FFFFFF"/>
          <w:sz w:val="4"/>
          <w:szCs w:val="4"/>
          <w:rtl/>
        </w:rPr>
        <w:t>נ</w:t>
      </w:r>
    </w:p>
    <w:p w14:paraId="03FDAA51" w14:textId="77777777" w:rsidR="006754DF" w:rsidRDefault="006754DF">
      <w:pPr>
        <w:rPr>
          <w:rFonts w:hint="cs"/>
          <w:rtl/>
        </w:rPr>
      </w:pPr>
    </w:p>
    <w:p w14:paraId="357BA1AB" w14:textId="77777777" w:rsidR="006754DF" w:rsidRDefault="006754DF">
      <w:pPr>
        <w:rPr>
          <w:rFonts w:hint="cs"/>
          <w:rtl/>
        </w:rPr>
      </w:pPr>
    </w:p>
    <w:p w14:paraId="62F5F875" w14:textId="77777777" w:rsidR="006754DF" w:rsidRDefault="006754DF">
      <w:pPr>
        <w:pStyle w:val="Title"/>
        <w:rPr>
          <w:sz w:val="32"/>
          <w:szCs w:val="32"/>
          <w:rtl/>
        </w:rPr>
      </w:pPr>
      <w:bookmarkStart w:id="17" w:name="Decision2"/>
      <w:r>
        <w:rPr>
          <w:rFonts w:hint="cs"/>
          <w:sz w:val="32"/>
          <w:szCs w:val="32"/>
          <w:rtl/>
        </w:rPr>
        <w:t>החלטה</w:t>
      </w:r>
    </w:p>
    <w:p w14:paraId="11498A75" w14:textId="77777777" w:rsidR="006754DF" w:rsidRDefault="006754DF">
      <w:pPr>
        <w:pStyle w:val="Title"/>
        <w:rPr>
          <w:rFonts w:hint="cs"/>
          <w:sz w:val="32"/>
          <w:szCs w:val="32"/>
          <w:rtl/>
        </w:rPr>
      </w:pPr>
    </w:p>
    <w:p w14:paraId="4D5157D6" w14:textId="77777777" w:rsidR="006754DF" w:rsidRDefault="006754DF">
      <w:pPr>
        <w:pStyle w:val="Subtitle"/>
        <w:rPr>
          <w:rFonts w:hint="cs"/>
          <w:b w:val="0"/>
          <w:bCs w:val="0"/>
          <w:rtl/>
        </w:rPr>
      </w:pPr>
      <w:r>
        <w:rPr>
          <w:rFonts w:hint="cs"/>
          <w:b w:val="0"/>
          <w:bCs w:val="0"/>
          <w:rtl/>
        </w:rPr>
        <w:t>הננו מורים על הגשת תסקיר קורבן העבירה ע"י   עובד ציבור כמשמעותו ב</w:t>
      </w:r>
      <w:hyperlink r:id="rId48" w:history="1">
        <w:r w:rsidR="00C610CB" w:rsidRPr="00C610CB">
          <w:rPr>
            <w:rStyle w:val="Hyperlink"/>
            <w:rFonts w:hint="eastAsia"/>
            <w:color w:val="0000FF"/>
            <w:rtl/>
          </w:rPr>
          <w:t>סעיף</w:t>
        </w:r>
        <w:r w:rsidR="00C610CB" w:rsidRPr="00C610CB">
          <w:rPr>
            <w:rStyle w:val="Hyperlink"/>
            <w:color w:val="0000FF"/>
            <w:rtl/>
          </w:rPr>
          <w:t xml:space="preserve"> 187</w:t>
        </w:r>
      </w:hyperlink>
      <w:r>
        <w:rPr>
          <w:rFonts w:hint="cs"/>
          <w:b w:val="0"/>
          <w:bCs w:val="0"/>
          <w:rtl/>
        </w:rPr>
        <w:t xml:space="preserve"> לחוק סדר הדין הפלילי בנוסף הננו מורים על הגשת תסקיר שירות המבחן בענינו של הנאשם.</w:t>
      </w:r>
      <w:r>
        <w:rPr>
          <w:b w:val="0"/>
          <w:bCs w:val="0"/>
          <w:color w:val="FFFFFF"/>
          <w:sz w:val="4"/>
          <w:szCs w:val="4"/>
          <w:rtl/>
        </w:rPr>
        <w:t>ב</w:t>
      </w:r>
    </w:p>
    <w:p w14:paraId="44A38276" w14:textId="77777777" w:rsidR="006754DF" w:rsidRDefault="006754DF">
      <w:pPr>
        <w:pStyle w:val="Subtitle"/>
        <w:rPr>
          <w:rFonts w:hint="cs"/>
          <w:b w:val="0"/>
          <w:bCs w:val="0"/>
          <w:rtl/>
        </w:rPr>
      </w:pPr>
    </w:p>
    <w:p w14:paraId="4FD0BAEA" w14:textId="77777777" w:rsidR="006754DF" w:rsidRDefault="006754DF">
      <w:pPr>
        <w:pStyle w:val="Subtitle"/>
        <w:rPr>
          <w:rFonts w:hint="cs"/>
          <w:b w:val="0"/>
          <w:bCs w:val="0"/>
          <w:rtl/>
        </w:rPr>
      </w:pPr>
      <w:r>
        <w:rPr>
          <w:rFonts w:hint="cs"/>
          <w:b w:val="0"/>
          <w:bCs w:val="0"/>
          <w:rtl/>
        </w:rPr>
        <w:t>הננו קובעים מועד לשמיעת טיעונים לעונש לענין זה ביום   14.3.01 בשעה 09:30 .</w:t>
      </w:r>
      <w:r>
        <w:rPr>
          <w:b w:val="0"/>
          <w:bCs w:val="0"/>
          <w:color w:val="FFFFFF"/>
          <w:sz w:val="4"/>
          <w:szCs w:val="4"/>
          <w:rtl/>
        </w:rPr>
        <w:t>ו</w:t>
      </w:r>
    </w:p>
    <w:p w14:paraId="159F78E1" w14:textId="77777777" w:rsidR="006754DF" w:rsidRDefault="006754DF">
      <w:pPr>
        <w:rPr>
          <w:rFonts w:hint="cs"/>
          <w:rtl/>
        </w:rPr>
      </w:pPr>
    </w:p>
    <w:p w14:paraId="21ED095C" w14:textId="77777777" w:rsidR="006754DF" w:rsidRDefault="006754DF">
      <w:pPr>
        <w:rPr>
          <w:rFonts w:hint="cs"/>
          <w:rtl/>
        </w:rPr>
      </w:pPr>
      <w:r>
        <w:rPr>
          <w:rFonts w:hint="cs"/>
          <w:rtl/>
        </w:rPr>
        <w:t>יש להביא לידי שירות המבחן כי הנאשם דובר רוסית.</w:t>
      </w:r>
      <w:r>
        <w:rPr>
          <w:color w:val="FFFFFF"/>
          <w:sz w:val="4"/>
          <w:szCs w:val="4"/>
          <w:rtl/>
        </w:rPr>
        <w:t>נ</w:t>
      </w:r>
    </w:p>
    <w:p w14:paraId="1D8CDC0D" w14:textId="77777777" w:rsidR="006754DF" w:rsidRDefault="006754DF">
      <w:pPr>
        <w:rPr>
          <w:rFonts w:hint="cs"/>
          <w:rtl/>
        </w:rPr>
      </w:pPr>
    </w:p>
    <w:p w14:paraId="3FE29918" w14:textId="77777777" w:rsidR="006754DF" w:rsidRDefault="006754DF">
      <w:pPr>
        <w:rPr>
          <w:rFonts w:hint="cs"/>
          <w:b/>
          <w:bCs/>
          <w:rtl/>
        </w:rPr>
      </w:pPr>
      <w:r>
        <w:rPr>
          <w:rFonts w:hint="cs"/>
          <w:b/>
          <w:bCs/>
          <w:rtl/>
        </w:rPr>
        <w:t>ניתנה היום כ"א בשבט, תשס"א (14 בפברואר 2001) במעמד הצדדים</w:t>
      </w:r>
    </w:p>
    <w:p w14:paraId="7317F44C" w14:textId="77777777" w:rsidR="006754DF" w:rsidRDefault="006754DF">
      <w:pPr>
        <w:rPr>
          <w:rFonts w:hint="cs"/>
          <w:rtl/>
        </w:rPr>
      </w:pPr>
    </w:p>
    <w:p w14:paraId="79040BDB" w14:textId="77777777" w:rsidR="006754DF" w:rsidRDefault="006754DF">
      <w:pPr>
        <w:rPr>
          <w:rFonts w:hint="cs"/>
          <w:color w:val="FFFFFF"/>
          <w:sz w:val="2"/>
          <w:szCs w:val="2"/>
          <w:rtl/>
        </w:rPr>
      </w:pPr>
    </w:p>
    <w:p w14:paraId="2B47C154" w14:textId="77777777" w:rsidR="006754DF" w:rsidRDefault="006754DF">
      <w:pPr>
        <w:rPr>
          <w:color w:val="FFFFFF"/>
          <w:sz w:val="2"/>
          <w:szCs w:val="2"/>
          <w:rtl/>
        </w:rPr>
      </w:pPr>
      <w:r>
        <w:rPr>
          <w:color w:val="FFFFFF"/>
          <w:sz w:val="2"/>
          <w:szCs w:val="2"/>
          <w:rtl/>
        </w:rPr>
        <w:t>5129371</w:t>
      </w:r>
    </w:p>
    <w:p w14:paraId="7AD07539" w14:textId="77777777" w:rsidR="006754DF" w:rsidRDefault="006754DF">
      <w:pPr>
        <w:keepNext/>
        <w:rPr>
          <w:rFonts w:hAnsi="David"/>
          <w:color w:val="000000"/>
          <w:sz w:val="22"/>
          <w:szCs w:val="22"/>
          <w:rtl/>
        </w:rPr>
      </w:pPr>
    </w:p>
    <w:p w14:paraId="2A2E1760" w14:textId="77777777" w:rsidR="006754DF" w:rsidRDefault="006754DF">
      <w:pPr>
        <w:keepNext/>
        <w:rPr>
          <w:rFonts w:hAnsi="David"/>
          <w:color w:val="000000"/>
          <w:sz w:val="22"/>
          <w:szCs w:val="22"/>
          <w:rtl/>
        </w:rPr>
      </w:pPr>
      <w:r>
        <w:rPr>
          <w:rFonts w:hAnsi="David"/>
          <w:color w:val="000000"/>
          <w:sz w:val="22"/>
          <w:szCs w:val="22"/>
          <w:rtl/>
        </w:rPr>
        <w:t>ידין טימור 54678313-932/00</w:t>
      </w:r>
    </w:p>
    <w:p w14:paraId="45438788" w14:textId="77777777" w:rsidR="006754DF" w:rsidRDefault="006754DF">
      <w:pPr>
        <w:rPr>
          <w:rFonts w:hint="cs"/>
          <w:rtl/>
        </w:rPr>
      </w:pPr>
      <w:r>
        <w:rPr>
          <w:color w:val="FFFFFF"/>
          <w:sz w:val="2"/>
          <w:szCs w:val="2"/>
          <w:rtl/>
        </w:rPr>
        <w:t>54678313</w:t>
      </w:r>
      <w:r>
        <w:rPr>
          <w:rFonts w:hint="cs"/>
          <w:rtl/>
        </w:rPr>
        <w:t xml:space="preserve">                                                                                </w:t>
      </w:r>
    </w:p>
    <w:tbl>
      <w:tblPr>
        <w:tblW w:w="0" w:type="auto"/>
        <w:tblBorders>
          <w:top w:val="single" w:sz="4" w:space="0" w:color="auto"/>
        </w:tblBorders>
        <w:tblLook w:val="0000" w:firstRow="0" w:lastRow="0" w:firstColumn="0" w:lastColumn="0" w:noHBand="0" w:noVBand="0"/>
      </w:tblPr>
      <w:tblGrid>
        <w:gridCol w:w="2235"/>
        <w:gridCol w:w="567"/>
        <w:gridCol w:w="2693"/>
        <w:gridCol w:w="709"/>
        <w:gridCol w:w="2325"/>
      </w:tblGrid>
      <w:tr w:rsidR="006754DF" w14:paraId="274267C1" w14:textId="77777777">
        <w:tc>
          <w:tcPr>
            <w:tcW w:w="2235" w:type="dxa"/>
            <w:tcBorders>
              <w:top w:val="single" w:sz="4" w:space="0" w:color="auto"/>
              <w:left w:val="nil"/>
              <w:bottom w:val="nil"/>
              <w:right w:val="nil"/>
            </w:tcBorders>
          </w:tcPr>
          <w:p w14:paraId="4AB33516" w14:textId="77777777" w:rsidR="006754DF" w:rsidRDefault="006754DF">
            <w:pPr>
              <w:spacing w:line="240" w:lineRule="auto"/>
              <w:jc w:val="center"/>
              <w:rPr>
                <w:b/>
                <w:bCs/>
              </w:rPr>
            </w:pPr>
            <w:r>
              <w:rPr>
                <w:rFonts w:hint="cs"/>
                <w:b/>
                <w:bCs/>
                <w:rtl/>
              </w:rPr>
              <w:t>ח. סלוטקי – שופטת</w:t>
            </w:r>
          </w:p>
        </w:tc>
        <w:tc>
          <w:tcPr>
            <w:tcW w:w="567" w:type="dxa"/>
            <w:tcBorders>
              <w:top w:val="nil"/>
              <w:left w:val="nil"/>
              <w:bottom w:val="nil"/>
              <w:right w:val="nil"/>
            </w:tcBorders>
          </w:tcPr>
          <w:p w14:paraId="58086E2C" w14:textId="77777777" w:rsidR="006754DF" w:rsidRDefault="006754DF">
            <w:pPr>
              <w:spacing w:line="240" w:lineRule="auto"/>
            </w:pPr>
          </w:p>
        </w:tc>
        <w:tc>
          <w:tcPr>
            <w:tcW w:w="2693" w:type="dxa"/>
            <w:tcBorders>
              <w:top w:val="single" w:sz="4" w:space="0" w:color="auto"/>
              <w:left w:val="nil"/>
              <w:bottom w:val="nil"/>
              <w:right w:val="nil"/>
            </w:tcBorders>
          </w:tcPr>
          <w:p w14:paraId="56777E60" w14:textId="77777777" w:rsidR="006754DF" w:rsidRDefault="006754DF">
            <w:pPr>
              <w:spacing w:line="240" w:lineRule="auto"/>
              <w:jc w:val="center"/>
              <w:rPr>
                <w:b/>
                <w:bCs/>
              </w:rPr>
            </w:pPr>
            <w:r>
              <w:rPr>
                <w:rFonts w:hint="cs"/>
                <w:b/>
                <w:bCs/>
                <w:rtl/>
              </w:rPr>
              <w:t>ש. דברת – שופטת</w:t>
            </w:r>
          </w:p>
        </w:tc>
        <w:tc>
          <w:tcPr>
            <w:tcW w:w="709" w:type="dxa"/>
            <w:tcBorders>
              <w:top w:val="nil"/>
              <w:left w:val="nil"/>
              <w:bottom w:val="nil"/>
              <w:right w:val="nil"/>
            </w:tcBorders>
          </w:tcPr>
          <w:p w14:paraId="41381466" w14:textId="77777777" w:rsidR="006754DF" w:rsidRDefault="006754DF">
            <w:pPr>
              <w:spacing w:line="240" w:lineRule="auto"/>
            </w:pPr>
          </w:p>
        </w:tc>
        <w:tc>
          <w:tcPr>
            <w:tcW w:w="2325" w:type="dxa"/>
            <w:tcBorders>
              <w:top w:val="single" w:sz="4" w:space="0" w:color="auto"/>
              <w:left w:val="nil"/>
              <w:bottom w:val="nil"/>
              <w:right w:val="nil"/>
            </w:tcBorders>
          </w:tcPr>
          <w:p w14:paraId="1F7359A2" w14:textId="77777777" w:rsidR="006754DF" w:rsidRDefault="006754DF">
            <w:pPr>
              <w:spacing w:line="240" w:lineRule="auto"/>
              <w:jc w:val="center"/>
              <w:rPr>
                <w:b/>
                <w:bCs/>
              </w:rPr>
            </w:pPr>
            <w:r>
              <w:rPr>
                <w:rFonts w:hint="cs"/>
                <w:b/>
                <w:bCs/>
                <w:rtl/>
              </w:rPr>
              <w:t>י. טימור – אב"ד</w:t>
            </w:r>
          </w:p>
        </w:tc>
      </w:tr>
    </w:tbl>
    <w:p w14:paraId="39933107" w14:textId="77777777" w:rsidR="006754DF" w:rsidRDefault="006754DF">
      <w:pPr>
        <w:spacing w:line="240" w:lineRule="auto"/>
        <w:rPr>
          <w:rFonts w:hint="cs"/>
          <w:rtl/>
        </w:rPr>
      </w:pPr>
      <w:r>
        <w:rPr>
          <w:rFonts w:hint="cs"/>
          <w:rtl/>
        </w:rPr>
        <w:tab/>
      </w:r>
      <w:bookmarkEnd w:id="14"/>
      <w:bookmarkEnd w:id="17"/>
    </w:p>
    <w:p w14:paraId="5ECCB22E" w14:textId="77777777" w:rsidR="006754DF" w:rsidRDefault="006754DF">
      <w:pPr>
        <w:spacing w:line="240" w:lineRule="auto"/>
        <w:rPr>
          <w:color w:val="000000"/>
          <w:rtl/>
        </w:rPr>
      </w:pPr>
      <w:r>
        <w:rPr>
          <w:rtl/>
        </w:rPr>
        <w:t>נוסח מסמך זה כפוף לשינויי ניסוח ועריכה</w:t>
      </w:r>
    </w:p>
    <w:sectPr w:rsidR="006754DF">
      <w:headerReference w:type="even" r:id="rId49"/>
      <w:headerReference w:type="default" r:id="rId50"/>
      <w:footerReference w:type="even" r:id="rId51"/>
      <w:footerReference w:type="default" r:id="rId52"/>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3A1F" w14:textId="77777777" w:rsidR="00AB102A" w:rsidRDefault="00AB102A">
      <w:r>
        <w:separator/>
      </w:r>
    </w:p>
  </w:endnote>
  <w:endnote w:type="continuationSeparator" w:id="0">
    <w:p w14:paraId="04BC2B0C" w14:textId="77777777" w:rsidR="00AB102A" w:rsidRDefault="00AB1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A88F" w14:textId="77777777" w:rsidR="00AB102A" w:rsidRDefault="00AB102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1A42E85" w14:textId="77777777" w:rsidR="00AB102A" w:rsidRDefault="00AB102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998379" w14:textId="77777777" w:rsidR="00AB102A" w:rsidRDefault="00AB102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katin\18\m00000932-206.doc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083" w14:textId="77777777" w:rsidR="00AB102A" w:rsidRDefault="00AB102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6082F">
      <w:rPr>
        <w:rFonts w:hAnsi="FrankRuehl" w:cs="FrankRuehl"/>
        <w:noProof/>
        <w:sz w:val="24"/>
        <w:rtl/>
      </w:rPr>
      <w:t>1</w:t>
    </w:r>
    <w:r>
      <w:rPr>
        <w:rFonts w:hAnsi="FrankRuehl" w:cs="FrankRuehl"/>
        <w:sz w:val="24"/>
        <w:rtl/>
      </w:rPr>
      <w:fldChar w:fldCharType="end"/>
    </w:r>
  </w:p>
  <w:p w14:paraId="22DE30C8" w14:textId="77777777" w:rsidR="00AB102A" w:rsidRDefault="00AB102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0220A1" w14:textId="77777777" w:rsidR="00AB102A" w:rsidRDefault="00AB102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katin\18\m00000932-206.doc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8A57" w14:textId="77777777" w:rsidR="00AB102A" w:rsidRDefault="00AB102A">
      <w:r>
        <w:separator/>
      </w:r>
    </w:p>
  </w:footnote>
  <w:footnote w:type="continuationSeparator" w:id="0">
    <w:p w14:paraId="59524958" w14:textId="77777777" w:rsidR="00AB102A" w:rsidRDefault="00AB1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1413" w14:textId="77777777" w:rsidR="00AB102A" w:rsidRDefault="00AB102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932/00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B73D" w14:textId="77777777" w:rsidR="00AB102A" w:rsidRDefault="00AB102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932/00</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754DF"/>
    <w:rsid w:val="0016082F"/>
    <w:rsid w:val="00593034"/>
    <w:rsid w:val="00670F5C"/>
    <w:rsid w:val="006754DF"/>
    <w:rsid w:val="00781B95"/>
    <w:rsid w:val="00AB102A"/>
    <w:rsid w:val="00AF12E5"/>
    <w:rsid w:val="00C610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516E98"/>
  <w15:chartTrackingRefBased/>
  <w15:docId w15:val="{51EDDC7E-D2EA-4BBB-9461-7BA4EBCA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Title">
    <w:name w:val="Title"/>
    <w:basedOn w:val="Normal"/>
    <w:qFormat/>
    <w:pPr>
      <w:jc w:val="center"/>
    </w:pPr>
    <w:rPr>
      <w:b/>
      <w:bCs/>
      <w:sz w:val="28"/>
      <w:szCs w:val="28"/>
      <w:u w:val="single"/>
    </w:rPr>
  </w:style>
  <w:style w:type="paragraph" w:styleId="Subtitle">
    <w:name w:val="Subtitle"/>
    <w:basedOn w:val="Normal"/>
    <w:qFormat/>
    <w:rPr>
      <w:b/>
      <w:bCs/>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610CB"/>
    <w:rPr>
      <w:color w:val="0563C1"/>
      <w:u w:val="single"/>
    </w:rPr>
  </w:style>
  <w:style w:type="character" w:customStyle="1" w:styleId="a2">
    <w:name w:val="אזכור לא מזוהה"/>
    <w:uiPriority w:val="99"/>
    <w:semiHidden/>
    <w:unhideWhenUsed/>
    <w:rsid w:val="00C61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68a" TargetMode="External"/><Relationship Id="rId18" Type="http://schemas.openxmlformats.org/officeDocument/2006/relationships/hyperlink" Target="http://www.nevo.co.il/law/74903" TargetMode="External"/><Relationship Id="rId26" Type="http://schemas.openxmlformats.org/officeDocument/2006/relationships/hyperlink" Target="http://www.nevo.co.il/law/70301/368.c" TargetMode="External"/><Relationship Id="rId39" Type="http://schemas.openxmlformats.org/officeDocument/2006/relationships/hyperlink" Target="http://www.nevo.co.il/case/22695064" TargetMode="External"/><Relationship Id="rId21" Type="http://schemas.openxmlformats.org/officeDocument/2006/relationships/hyperlink" Target="http://www.nevo.co.il/law/70301/368.c" TargetMode="External"/><Relationship Id="rId34" Type="http://schemas.openxmlformats.org/officeDocument/2006/relationships/hyperlink" Target="http://www.nevo.co.il/case/17940476" TargetMode="External"/><Relationship Id="rId42" Type="http://schemas.openxmlformats.org/officeDocument/2006/relationships/hyperlink" Target="http://www.nevo.co.il/law/70301/351.c.2" TargetMode="External"/><Relationship Id="rId47" Type="http://schemas.openxmlformats.org/officeDocument/2006/relationships/hyperlink" Target="http://www.nevo.co.il/law/74903/184" TargetMode="External"/><Relationship Id="rId50" Type="http://schemas.openxmlformats.org/officeDocument/2006/relationships/header" Target="header2.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87/9" TargetMode="External"/><Relationship Id="rId29" Type="http://schemas.openxmlformats.org/officeDocument/2006/relationships/hyperlink" Target="http://www.nevo.co.il/law/70301/368c" TargetMode="External"/><Relationship Id="rId11" Type="http://schemas.openxmlformats.org/officeDocument/2006/relationships/hyperlink" Target="http://www.nevo.co.il/law/70301/351a" TargetMode="External"/><Relationship Id="rId24" Type="http://schemas.openxmlformats.org/officeDocument/2006/relationships/hyperlink" Target="http://www.nevo.co.il/law/70301/351.e.1" TargetMode="External"/><Relationship Id="rId32" Type="http://schemas.openxmlformats.org/officeDocument/2006/relationships/hyperlink" Target="http://www.nevo.co.il/law/70387/9" TargetMode="External"/><Relationship Id="rId37" Type="http://schemas.openxmlformats.org/officeDocument/2006/relationships/hyperlink" Target="http://www.nevo.co.il/case/17928974" TargetMode="External"/><Relationship Id="rId40" Type="http://schemas.openxmlformats.org/officeDocument/2006/relationships/hyperlink" Target="http://www.nevo.co.il/case/17928974" TargetMode="External"/><Relationship Id="rId45" Type="http://schemas.openxmlformats.org/officeDocument/2006/relationships/hyperlink" Target="http://www.nevo.co.il/law/70301/351a"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351.e.1" TargetMode="External"/><Relationship Id="rId19" Type="http://schemas.openxmlformats.org/officeDocument/2006/relationships/hyperlink" Target="http://www.nevo.co.il/law/74903/184" TargetMode="External"/><Relationship Id="rId31" Type="http://schemas.openxmlformats.org/officeDocument/2006/relationships/hyperlink" Target="http://www.nevo.co.il/law/70301/345.a.3" TargetMode="External"/><Relationship Id="rId44" Type="http://schemas.openxmlformats.org/officeDocument/2006/relationships/hyperlink" Target="http://www.nevo.co.il/law/70301/345.a.3"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51.c.2" TargetMode="External"/><Relationship Id="rId14" Type="http://schemas.openxmlformats.org/officeDocument/2006/relationships/hyperlink" Target="http://www.nevo.co.il/law/70301/368c" TargetMode="External"/><Relationship Id="rId22" Type="http://schemas.openxmlformats.org/officeDocument/2006/relationships/hyperlink" Target="http://www.nevo.co.il/law/70301/351.c.2" TargetMode="External"/><Relationship Id="rId27" Type="http://schemas.openxmlformats.org/officeDocument/2006/relationships/hyperlink" Target="http://www.nevo.co.il/case/17917995" TargetMode="External"/><Relationship Id="rId30" Type="http://schemas.openxmlformats.org/officeDocument/2006/relationships/hyperlink" Target="http://www.nevo.co.il/law/70301/351.c.2" TargetMode="External"/><Relationship Id="rId35" Type="http://schemas.openxmlformats.org/officeDocument/2006/relationships/hyperlink" Target="http://www.nevo.co.il/case/22695064" TargetMode="External"/><Relationship Id="rId43" Type="http://schemas.openxmlformats.org/officeDocument/2006/relationships/hyperlink" Target="http://www.nevo.co.il/law/70301/345.a.3" TargetMode="External"/><Relationship Id="rId48" Type="http://schemas.openxmlformats.org/officeDocument/2006/relationships/hyperlink" Target="http://www.nevo.co.il/law/74903/187" TargetMode="External"/><Relationship Id="rId8" Type="http://schemas.openxmlformats.org/officeDocument/2006/relationships/hyperlink" Target="http://www.nevo.co.il/law/70301/345.a.3"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68.c" TargetMode="External"/><Relationship Id="rId17" Type="http://schemas.openxmlformats.org/officeDocument/2006/relationships/hyperlink" Target="http://www.nevo.co.il/law/70387/11" TargetMode="External"/><Relationship Id="rId25" Type="http://schemas.openxmlformats.org/officeDocument/2006/relationships/hyperlink" Target="http://www.nevo.co.il/law/70301/368a" TargetMode="External"/><Relationship Id="rId33" Type="http://schemas.openxmlformats.org/officeDocument/2006/relationships/hyperlink" Target="http://www.nevo.co.il/law/70387/11" TargetMode="External"/><Relationship Id="rId38" Type="http://schemas.openxmlformats.org/officeDocument/2006/relationships/hyperlink" Target="http://www.nevo.co.il/case/17916978" TargetMode="External"/><Relationship Id="rId46" Type="http://schemas.openxmlformats.org/officeDocument/2006/relationships/hyperlink" Target="http://www.nevo.co.il/law/70301/345.a.1" TargetMode="External"/><Relationship Id="rId20" Type="http://schemas.openxmlformats.org/officeDocument/2006/relationships/hyperlink" Target="http://www.nevo.co.il/law/74903/187" TargetMode="External"/><Relationship Id="rId41" Type="http://schemas.openxmlformats.org/officeDocument/2006/relationships/hyperlink" Target="http://www.nevo.co.il/law/70301/368c"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87" TargetMode="External"/><Relationship Id="rId23" Type="http://schemas.openxmlformats.org/officeDocument/2006/relationships/hyperlink" Target="http://www.nevo.co.il/law/70301/345.a.3" TargetMode="External"/><Relationship Id="rId28" Type="http://schemas.openxmlformats.org/officeDocument/2006/relationships/hyperlink" Target="http://www.nevo.co.il/case/6015465" TargetMode="External"/><Relationship Id="rId36" Type="http://schemas.openxmlformats.org/officeDocument/2006/relationships/hyperlink" Target="http://www.nevo.co.il/case/17918288"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3511</Words>
  <Characters>20015</Characters>
  <Application>Microsoft Office Word</Application>
  <DocSecurity>0</DocSecurity>
  <Lines>166</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23480</CharactersWithSpaces>
  <SharedDoc>false</SharedDoc>
  <HLinks>
    <vt:vector size="258" baseType="variant">
      <vt:variant>
        <vt:i4>6881388</vt:i4>
      </vt:variant>
      <vt:variant>
        <vt:i4>126</vt:i4>
      </vt:variant>
      <vt:variant>
        <vt:i4>0</vt:i4>
      </vt:variant>
      <vt:variant>
        <vt:i4>5</vt:i4>
      </vt:variant>
      <vt:variant>
        <vt:lpwstr>http://www.nevo.co.il/law/74903/187</vt:lpwstr>
      </vt:variant>
      <vt:variant>
        <vt:lpwstr/>
      </vt:variant>
      <vt:variant>
        <vt:i4>6881388</vt:i4>
      </vt:variant>
      <vt:variant>
        <vt:i4>123</vt:i4>
      </vt:variant>
      <vt:variant>
        <vt:i4>0</vt:i4>
      </vt:variant>
      <vt:variant>
        <vt:i4>5</vt:i4>
      </vt:variant>
      <vt:variant>
        <vt:lpwstr>http://www.nevo.co.il/law/74903/184</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65623</vt:i4>
      </vt:variant>
      <vt:variant>
        <vt:i4>117</vt:i4>
      </vt:variant>
      <vt:variant>
        <vt:i4>0</vt:i4>
      </vt:variant>
      <vt:variant>
        <vt:i4>5</vt:i4>
      </vt:variant>
      <vt:variant>
        <vt:lpwstr>http://www.nevo.co.il/law/70301/351a</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6357042</vt:i4>
      </vt:variant>
      <vt:variant>
        <vt:i4>111</vt:i4>
      </vt:variant>
      <vt:variant>
        <vt:i4>0</vt:i4>
      </vt:variant>
      <vt:variant>
        <vt:i4>5</vt:i4>
      </vt:variant>
      <vt:variant>
        <vt:lpwstr>http://www.nevo.co.il/law/70301/345.a.3</vt:lpwstr>
      </vt:variant>
      <vt:variant>
        <vt:lpwstr/>
      </vt:variant>
      <vt:variant>
        <vt:i4>6291508</vt:i4>
      </vt:variant>
      <vt:variant>
        <vt:i4>108</vt:i4>
      </vt:variant>
      <vt:variant>
        <vt:i4>0</vt:i4>
      </vt:variant>
      <vt:variant>
        <vt:i4>5</vt:i4>
      </vt:variant>
      <vt:variant>
        <vt:lpwstr>http://www.nevo.co.il/law/70301/351.c.2</vt:lpwstr>
      </vt:variant>
      <vt:variant>
        <vt:lpwstr/>
      </vt:variant>
      <vt:variant>
        <vt:i4>94</vt:i4>
      </vt:variant>
      <vt:variant>
        <vt:i4>105</vt:i4>
      </vt:variant>
      <vt:variant>
        <vt:i4>0</vt:i4>
      </vt:variant>
      <vt:variant>
        <vt:i4>5</vt:i4>
      </vt:variant>
      <vt:variant>
        <vt:lpwstr>http://www.nevo.co.il/law/70301/368c</vt:lpwstr>
      </vt:variant>
      <vt:variant>
        <vt:lpwstr/>
      </vt:variant>
      <vt:variant>
        <vt:i4>3604600</vt:i4>
      </vt:variant>
      <vt:variant>
        <vt:i4>102</vt:i4>
      </vt:variant>
      <vt:variant>
        <vt:i4>0</vt:i4>
      </vt:variant>
      <vt:variant>
        <vt:i4>5</vt:i4>
      </vt:variant>
      <vt:variant>
        <vt:lpwstr>http://www.nevo.co.il/case/17928974</vt:lpwstr>
      </vt:variant>
      <vt:variant>
        <vt:lpwstr/>
      </vt:variant>
      <vt:variant>
        <vt:i4>3604607</vt:i4>
      </vt:variant>
      <vt:variant>
        <vt:i4>99</vt:i4>
      </vt:variant>
      <vt:variant>
        <vt:i4>0</vt:i4>
      </vt:variant>
      <vt:variant>
        <vt:i4>5</vt:i4>
      </vt:variant>
      <vt:variant>
        <vt:lpwstr>http://www.nevo.co.il/case/22695064</vt:lpwstr>
      </vt:variant>
      <vt:variant>
        <vt:lpwstr/>
      </vt:variant>
      <vt:variant>
        <vt:i4>3735675</vt:i4>
      </vt:variant>
      <vt:variant>
        <vt:i4>96</vt:i4>
      </vt:variant>
      <vt:variant>
        <vt:i4>0</vt:i4>
      </vt:variant>
      <vt:variant>
        <vt:i4>5</vt:i4>
      </vt:variant>
      <vt:variant>
        <vt:lpwstr>http://www.nevo.co.il/case/17916978</vt:lpwstr>
      </vt:variant>
      <vt:variant>
        <vt:lpwstr/>
      </vt:variant>
      <vt:variant>
        <vt:i4>3604600</vt:i4>
      </vt:variant>
      <vt:variant>
        <vt:i4>93</vt:i4>
      </vt:variant>
      <vt:variant>
        <vt:i4>0</vt:i4>
      </vt:variant>
      <vt:variant>
        <vt:i4>5</vt:i4>
      </vt:variant>
      <vt:variant>
        <vt:lpwstr>http://www.nevo.co.il/case/17928974</vt:lpwstr>
      </vt:variant>
      <vt:variant>
        <vt:lpwstr/>
      </vt:variant>
      <vt:variant>
        <vt:i4>3670128</vt:i4>
      </vt:variant>
      <vt:variant>
        <vt:i4>90</vt:i4>
      </vt:variant>
      <vt:variant>
        <vt:i4>0</vt:i4>
      </vt:variant>
      <vt:variant>
        <vt:i4>5</vt:i4>
      </vt:variant>
      <vt:variant>
        <vt:lpwstr>http://www.nevo.co.il/case/17918288</vt:lpwstr>
      </vt:variant>
      <vt:variant>
        <vt:lpwstr/>
      </vt:variant>
      <vt:variant>
        <vt:i4>3604607</vt:i4>
      </vt:variant>
      <vt:variant>
        <vt:i4>87</vt:i4>
      </vt:variant>
      <vt:variant>
        <vt:i4>0</vt:i4>
      </vt:variant>
      <vt:variant>
        <vt:i4>5</vt:i4>
      </vt:variant>
      <vt:variant>
        <vt:lpwstr>http://www.nevo.co.il/case/22695064</vt:lpwstr>
      </vt:variant>
      <vt:variant>
        <vt:lpwstr/>
      </vt:variant>
      <vt:variant>
        <vt:i4>4128883</vt:i4>
      </vt:variant>
      <vt:variant>
        <vt:i4>84</vt:i4>
      </vt:variant>
      <vt:variant>
        <vt:i4>0</vt:i4>
      </vt:variant>
      <vt:variant>
        <vt:i4>5</vt:i4>
      </vt:variant>
      <vt:variant>
        <vt:lpwstr>http://www.nevo.co.il/case/17940476</vt:lpwstr>
      </vt:variant>
      <vt:variant>
        <vt:lpwstr/>
      </vt:variant>
      <vt:variant>
        <vt:i4>7077986</vt:i4>
      </vt:variant>
      <vt:variant>
        <vt:i4>81</vt:i4>
      </vt:variant>
      <vt:variant>
        <vt:i4>0</vt:i4>
      </vt:variant>
      <vt:variant>
        <vt:i4>5</vt:i4>
      </vt:variant>
      <vt:variant>
        <vt:lpwstr>http://www.nevo.co.il/law/70387/11</vt:lpwstr>
      </vt:variant>
      <vt:variant>
        <vt:lpwstr/>
      </vt:variant>
      <vt:variant>
        <vt:i4>6094931</vt:i4>
      </vt:variant>
      <vt:variant>
        <vt:i4>78</vt:i4>
      </vt:variant>
      <vt:variant>
        <vt:i4>0</vt:i4>
      </vt:variant>
      <vt:variant>
        <vt:i4>5</vt:i4>
      </vt:variant>
      <vt:variant>
        <vt:lpwstr>http://www.nevo.co.il/law/70387/9</vt:lpwstr>
      </vt:variant>
      <vt:variant>
        <vt:lpwstr/>
      </vt:variant>
      <vt:variant>
        <vt:i4>6357042</vt:i4>
      </vt:variant>
      <vt:variant>
        <vt:i4>75</vt:i4>
      </vt:variant>
      <vt:variant>
        <vt:i4>0</vt:i4>
      </vt:variant>
      <vt:variant>
        <vt:i4>5</vt:i4>
      </vt:variant>
      <vt:variant>
        <vt:lpwstr>http://www.nevo.co.il/law/70301/345.a.3</vt:lpwstr>
      </vt:variant>
      <vt:variant>
        <vt:lpwstr/>
      </vt:variant>
      <vt:variant>
        <vt:i4>6291508</vt:i4>
      </vt:variant>
      <vt:variant>
        <vt:i4>72</vt:i4>
      </vt:variant>
      <vt:variant>
        <vt:i4>0</vt:i4>
      </vt:variant>
      <vt:variant>
        <vt:i4>5</vt:i4>
      </vt:variant>
      <vt:variant>
        <vt:lpwstr>http://www.nevo.co.il/law/70301/351.c.2</vt:lpwstr>
      </vt:variant>
      <vt:variant>
        <vt:lpwstr/>
      </vt:variant>
      <vt:variant>
        <vt:i4>94</vt:i4>
      </vt:variant>
      <vt:variant>
        <vt:i4>69</vt:i4>
      </vt:variant>
      <vt:variant>
        <vt:i4>0</vt:i4>
      </vt:variant>
      <vt:variant>
        <vt:i4>5</vt:i4>
      </vt:variant>
      <vt:variant>
        <vt:lpwstr>http://www.nevo.co.il/law/70301/368c</vt:lpwstr>
      </vt:variant>
      <vt:variant>
        <vt:lpwstr/>
      </vt:variant>
      <vt:variant>
        <vt:i4>3539063</vt:i4>
      </vt:variant>
      <vt:variant>
        <vt:i4>66</vt:i4>
      </vt:variant>
      <vt:variant>
        <vt:i4>0</vt:i4>
      </vt:variant>
      <vt:variant>
        <vt:i4>5</vt:i4>
      </vt:variant>
      <vt:variant>
        <vt:lpwstr>http://www.nevo.co.il/case/6015465</vt:lpwstr>
      </vt:variant>
      <vt:variant>
        <vt:lpwstr/>
      </vt:variant>
      <vt:variant>
        <vt:i4>3539067</vt:i4>
      </vt:variant>
      <vt:variant>
        <vt:i4>63</vt:i4>
      </vt:variant>
      <vt:variant>
        <vt:i4>0</vt:i4>
      </vt:variant>
      <vt:variant>
        <vt:i4>5</vt:i4>
      </vt:variant>
      <vt:variant>
        <vt:lpwstr>http://www.nevo.co.il/case/17917995</vt:lpwstr>
      </vt:variant>
      <vt:variant>
        <vt:lpwstr/>
      </vt:variant>
      <vt:variant>
        <vt:i4>5046366</vt:i4>
      </vt:variant>
      <vt:variant>
        <vt:i4>60</vt:i4>
      </vt:variant>
      <vt:variant>
        <vt:i4>0</vt:i4>
      </vt:variant>
      <vt:variant>
        <vt:i4>5</vt:i4>
      </vt:variant>
      <vt:variant>
        <vt:lpwstr>http://www.nevo.co.il/law/70301/368.c</vt:lpwstr>
      </vt:variant>
      <vt:variant>
        <vt:lpwstr/>
      </vt:variant>
      <vt:variant>
        <vt:i4>131166</vt:i4>
      </vt:variant>
      <vt:variant>
        <vt:i4>57</vt:i4>
      </vt:variant>
      <vt:variant>
        <vt:i4>0</vt:i4>
      </vt:variant>
      <vt:variant>
        <vt:i4>5</vt:i4>
      </vt:variant>
      <vt:variant>
        <vt:lpwstr>http://www.nevo.co.il/law/70301/368a</vt:lpwstr>
      </vt:variant>
      <vt:variant>
        <vt:lpwstr/>
      </vt:variant>
      <vt:variant>
        <vt:i4>6291506</vt:i4>
      </vt:variant>
      <vt:variant>
        <vt:i4>54</vt:i4>
      </vt:variant>
      <vt:variant>
        <vt:i4>0</vt:i4>
      </vt:variant>
      <vt:variant>
        <vt:i4>5</vt:i4>
      </vt:variant>
      <vt:variant>
        <vt:lpwstr>http://www.nevo.co.il/law/70301/351.e.1</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6291508</vt:i4>
      </vt:variant>
      <vt:variant>
        <vt:i4>48</vt:i4>
      </vt:variant>
      <vt:variant>
        <vt:i4>0</vt:i4>
      </vt:variant>
      <vt:variant>
        <vt:i4>5</vt:i4>
      </vt:variant>
      <vt:variant>
        <vt:lpwstr>http://www.nevo.co.il/law/70301/351.c.2</vt:lpwstr>
      </vt:variant>
      <vt:variant>
        <vt:lpwstr/>
      </vt:variant>
      <vt:variant>
        <vt:i4>5046366</vt:i4>
      </vt:variant>
      <vt:variant>
        <vt:i4>45</vt:i4>
      </vt:variant>
      <vt:variant>
        <vt:i4>0</vt:i4>
      </vt:variant>
      <vt:variant>
        <vt:i4>5</vt:i4>
      </vt:variant>
      <vt:variant>
        <vt:lpwstr>http://www.nevo.co.il/law/70301/368.c</vt:lpwstr>
      </vt:variant>
      <vt:variant>
        <vt:lpwstr/>
      </vt:variant>
      <vt:variant>
        <vt:i4>6881388</vt:i4>
      </vt:variant>
      <vt:variant>
        <vt:i4>42</vt:i4>
      </vt:variant>
      <vt:variant>
        <vt:i4>0</vt:i4>
      </vt:variant>
      <vt:variant>
        <vt:i4>5</vt:i4>
      </vt:variant>
      <vt:variant>
        <vt:lpwstr>http://www.nevo.co.il/law/74903/187</vt:lpwstr>
      </vt:variant>
      <vt:variant>
        <vt:lpwstr/>
      </vt:variant>
      <vt:variant>
        <vt:i4>6881388</vt:i4>
      </vt:variant>
      <vt:variant>
        <vt:i4>39</vt:i4>
      </vt:variant>
      <vt:variant>
        <vt:i4>0</vt:i4>
      </vt:variant>
      <vt:variant>
        <vt:i4>5</vt:i4>
      </vt:variant>
      <vt:variant>
        <vt:lpwstr>http://www.nevo.co.il/law/74903/184</vt:lpwstr>
      </vt:variant>
      <vt:variant>
        <vt:lpwstr/>
      </vt:variant>
      <vt:variant>
        <vt:i4>8257646</vt:i4>
      </vt:variant>
      <vt:variant>
        <vt:i4>36</vt:i4>
      </vt:variant>
      <vt:variant>
        <vt:i4>0</vt:i4>
      </vt:variant>
      <vt:variant>
        <vt:i4>5</vt:i4>
      </vt:variant>
      <vt:variant>
        <vt:lpwstr>http://www.nevo.co.il/law/74903</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6094931</vt:i4>
      </vt:variant>
      <vt:variant>
        <vt:i4>30</vt:i4>
      </vt:variant>
      <vt:variant>
        <vt:i4>0</vt:i4>
      </vt:variant>
      <vt:variant>
        <vt:i4>5</vt:i4>
      </vt:variant>
      <vt:variant>
        <vt:lpwstr>http://www.nevo.co.il/law/70387/9</vt:lpwstr>
      </vt:variant>
      <vt:variant>
        <vt:lpwstr/>
      </vt:variant>
      <vt:variant>
        <vt:i4>7471204</vt:i4>
      </vt:variant>
      <vt:variant>
        <vt:i4>27</vt:i4>
      </vt:variant>
      <vt:variant>
        <vt:i4>0</vt:i4>
      </vt:variant>
      <vt:variant>
        <vt:i4>5</vt:i4>
      </vt:variant>
      <vt:variant>
        <vt:lpwstr>http://www.nevo.co.il/law/70387</vt:lpwstr>
      </vt:variant>
      <vt:variant>
        <vt:lpwstr/>
      </vt:variant>
      <vt:variant>
        <vt:i4>94</vt:i4>
      </vt:variant>
      <vt:variant>
        <vt:i4>24</vt:i4>
      </vt:variant>
      <vt:variant>
        <vt:i4>0</vt:i4>
      </vt:variant>
      <vt:variant>
        <vt:i4>5</vt:i4>
      </vt:variant>
      <vt:variant>
        <vt:lpwstr>http://www.nevo.co.il/law/70301/368c</vt:lpwstr>
      </vt:variant>
      <vt:variant>
        <vt:lpwstr/>
      </vt:variant>
      <vt:variant>
        <vt:i4>131166</vt:i4>
      </vt:variant>
      <vt:variant>
        <vt:i4>21</vt:i4>
      </vt:variant>
      <vt:variant>
        <vt:i4>0</vt:i4>
      </vt:variant>
      <vt:variant>
        <vt:i4>5</vt:i4>
      </vt:variant>
      <vt:variant>
        <vt:lpwstr>http://www.nevo.co.il/law/70301/368a</vt:lpwstr>
      </vt:variant>
      <vt:variant>
        <vt:lpwstr/>
      </vt:variant>
      <vt:variant>
        <vt:i4>5046366</vt:i4>
      </vt:variant>
      <vt:variant>
        <vt:i4>18</vt:i4>
      </vt:variant>
      <vt:variant>
        <vt:i4>0</vt:i4>
      </vt:variant>
      <vt:variant>
        <vt:i4>5</vt:i4>
      </vt:variant>
      <vt:variant>
        <vt:lpwstr>http://www.nevo.co.il/law/70301/368.c</vt:lpwstr>
      </vt:variant>
      <vt:variant>
        <vt:lpwstr/>
      </vt:variant>
      <vt:variant>
        <vt:i4>65623</vt:i4>
      </vt:variant>
      <vt:variant>
        <vt:i4>15</vt:i4>
      </vt:variant>
      <vt:variant>
        <vt:i4>0</vt:i4>
      </vt:variant>
      <vt:variant>
        <vt:i4>5</vt:i4>
      </vt:variant>
      <vt:variant>
        <vt:lpwstr>http://www.nevo.co.il/law/70301/351a</vt:lpwstr>
      </vt:variant>
      <vt:variant>
        <vt:lpwstr/>
      </vt:variant>
      <vt:variant>
        <vt:i4>6291506</vt:i4>
      </vt:variant>
      <vt:variant>
        <vt:i4>12</vt:i4>
      </vt:variant>
      <vt:variant>
        <vt:i4>0</vt:i4>
      </vt:variant>
      <vt:variant>
        <vt:i4>5</vt:i4>
      </vt:variant>
      <vt:variant>
        <vt:lpwstr>http://www.nevo.co.il/law/70301/351.e.1</vt:lpwstr>
      </vt:variant>
      <vt:variant>
        <vt:lpwstr/>
      </vt:variant>
      <vt:variant>
        <vt:i4>6291508</vt:i4>
      </vt:variant>
      <vt:variant>
        <vt:i4>9</vt:i4>
      </vt:variant>
      <vt:variant>
        <vt:i4>0</vt:i4>
      </vt:variant>
      <vt:variant>
        <vt:i4>5</vt:i4>
      </vt:variant>
      <vt:variant>
        <vt:lpwstr>http://www.nevo.co.il/law/70301/351.c.2</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2001-02-14T08:34:00Z</cp:lastPrinted>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932</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עופרה לוי;אלנסאסרה  יוסף;אבן ברי שחדה;</vt:lpwstr>
  </property>
  <property fmtid="{D5CDD505-2E9C-101B-9397-08002B2CF9AE}" pid="10" name="CITY">
    <vt:lpwstr>ב"ש</vt:lpwstr>
  </property>
  <property fmtid="{D5CDD505-2E9C-101B-9397-08002B2CF9AE}" pid="11" name="DATE">
    <vt:lpwstr>20010214</vt:lpwstr>
  </property>
  <property fmtid="{D5CDD505-2E9C-101B-9397-08002B2CF9AE}" pid="12" name="WORDNUMPAGES">
    <vt:lpwstr>12</vt:lpwstr>
  </property>
  <property fmtid="{D5CDD505-2E9C-101B-9397-08002B2CF9AE}" pid="13" name="JUDGE">
    <vt:lpwstr>ידין טימור;שרה דברת;חני סלוטקי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17917995;6015465;17940476;22695064:2;17918288;17928974:2;17916978</vt:lpwstr>
  </property>
  <property fmtid="{D5CDD505-2E9C-101B-9397-08002B2CF9AE}" pid="32" name="LAWLISTTMP1">
    <vt:lpwstr>70301/368.c:2;351.c.2:3;345.a.3:4;351.e.1;368a;368c:2;351a;345.a.1</vt:lpwstr>
  </property>
  <property fmtid="{D5CDD505-2E9C-101B-9397-08002B2CF9AE}" pid="33" name="LAWLISTTMP2">
    <vt:lpwstr>70387/009;011</vt:lpwstr>
  </property>
  <property fmtid="{D5CDD505-2E9C-101B-9397-08002B2CF9AE}" pid="34" name="LAWLISTTMP3">
    <vt:lpwstr>74903/184;187</vt:lpwstr>
  </property>
</Properties>
</file>