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9693" w14:textId="77777777" w:rsidR="00923FDA" w:rsidRDefault="00923FDA">
      <w:pPr>
        <w:spacing w:line="360" w:lineRule="auto"/>
        <w:jc w:val="center"/>
        <w:rPr>
          <w:rFonts w:cs="David"/>
          <w:rtl/>
        </w:rPr>
      </w:pPr>
      <w:bookmarkStart w:id="0" w:name="צד_ג"/>
      <w:r>
        <w:rPr>
          <w:rFonts w:cs="David"/>
          <w:b/>
          <w:bCs/>
          <w:sz w:val="32"/>
          <w:szCs w:val="32"/>
          <w:rtl/>
        </w:rPr>
        <w:t>ב</w:t>
      </w:r>
      <w:r>
        <w:rPr>
          <w:rFonts w:cs="David" w:hint="cs"/>
          <w:b/>
          <w:bCs/>
          <w:sz w:val="32"/>
          <w:szCs w:val="32"/>
          <w:rtl/>
        </w:rPr>
        <w:t>תי המשפט</w:t>
      </w:r>
      <w:r>
        <w:rPr>
          <w:rFonts w:cs="David"/>
          <w:rtl/>
        </w:rPr>
        <w:t xml:space="preserve"> </w:t>
      </w:r>
    </w:p>
    <w:tbl>
      <w:tblPr>
        <w:bidiVisual/>
        <w:tblW w:w="0" w:type="auto"/>
        <w:tblInd w:w="7" w:type="dxa"/>
        <w:tblLayout w:type="fixed"/>
        <w:tblLook w:val="0000" w:firstRow="0" w:lastRow="0" w:firstColumn="0" w:lastColumn="0" w:noHBand="0" w:noVBand="0"/>
      </w:tblPr>
      <w:tblGrid>
        <w:gridCol w:w="636"/>
        <w:gridCol w:w="4978"/>
        <w:gridCol w:w="680"/>
        <w:gridCol w:w="2235"/>
      </w:tblGrid>
      <w:tr w:rsidR="00923FDA" w14:paraId="2E7F0924" w14:textId="77777777">
        <w:tblPrEx>
          <w:tblCellMar>
            <w:top w:w="0" w:type="dxa"/>
            <w:bottom w:w="0" w:type="dxa"/>
          </w:tblCellMar>
        </w:tblPrEx>
        <w:trPr>
          <w:cantSplit/>
          <w:trHeight w:val="195"/>
        </w:trPr>
        <w:tc>
          <w:tcPr>
            <w:tcW w:w="8529" w:type="dxa"/>
            <w:gridSpan w:val="4"/>
            <w:tcBorders>
              <w:top w:val="nil"/>
              <w:left w:val="nil"/>
              <w:bottom w:val="nil"/>
              <w:right w:val="nil"/>
            </w:tcBorders>
          </w:tcPr>
          <w:p w14:paraId="755A9124" w14:textId="77777777" w:rsidR="00923FDA" w:rsidRDefault="00923FDA">
            <w:pPr>
              <w:spacing w:line="360" w:lineRule="auto"/>
              <w:jc w:val="center"/>
              <w:rPr>
                <w:rFonts w:cs="David"/>
                <w:b/>
                <w:bCs/>
                <w:spacing w:val="110"/>
                <w:sz w:val="40"/>
                <w:szCs w:val="40"/>
                <w:rtl/>
              </w:rPr>
            </w:pPr>
            <w:bookmarkStart w:id="1" w:name="בדלתיים_סגורות" w:colFirst="0" w:colLast="0"/>
            <w:r>
              <w:rPr>
                <w:rFonts w:cs="David"/>
                <w:b/>
                <w:bCs/>
                <w:spacing w:val="110"/>
                <w:sz w:val="40"/>
                <w:szCs w:val="40"/>
                <w:rtl/>
              </w:rPr>
              <w:t>ב</w:t>
            </w:r>
            <w:r>
              <w:rPr>
                <w:rFonts w:cs="David" w:hint="cs"/>
                <w:b/>
                <w:bCs/>
                <w:spacing w:val="110"/>
                <w:sz w:val="40"/>
                <w:szCs w:val="40"/>
                <w:rtl/>
              </w:rPr>
              <w:t>דלתיים סגורות</w:t>
            </w:r>
          </w:p>
        </w:tc>
      </w:tr>
      <w:tr w:rsidR="00923FDA" w14:paraId="52310829" w14:textId="77777777">
        <w:tblPrEx>
          <w:tblCellMar>
            <w:top w:w="0" w:type="dxa"/>
            <w:bottom w:w="0" w:type="dxa"/>
          </w:tblCellMar>
        </w:tblPrEx>
        <w:trPr>
          <w:cantSplit/>
          <w:trHeight w:val="195"/>
        </w:trPr>
        <w:tc>
          <w:tcPr>
            <w:tcW w:w="5614" w:type="dxa"/>
            <w:gridSpan w:val="2"/>
            <w:vMerge w:val="restart"/>
            <w:tcBorders>
              <w:top w:val="nil"/>
              <w:left w:val="nil"/>
              <w:bottom w:val="nil"/>
              <w:right w:val="nil"/>
            </w:tcBorders>
          </w:tcPr>
          <w:p w14:paraId="5A8E75AE" w14:textId="77777777" w:rsidR="00923FDA" w:rsidRDefault="00923FDA">
            <w:pPr>
              <w:spacing w:line="360" w:lineRule="auto"/>
              <w:rPr>
                <w:rFonts w:cs="David"/>
                <w:szCs w:val="22"/>
                <w:rtl/>
              </w:rPr>
            </w:pPr>
            <w:bookmarkStart w:id="2" w:name="בית_משפט" w:colFirst="0" w:colLast="0"/>
            <w:bookmarkStart w:id="3" w:name="זיהוי_תיק" w:colFirst="1" w:colLast="1"/>
            <w:bookmarkEnd w:id="1"/>
            <w:r>
              <w:rPr>
                <w:rFonts w:cs="David"/>
                <w:sz w:val="22"/>
                <w:szCs w:val="22"/>
                <w:rtl/>
              </w:rPr>
              <w:t>ב</w:t>
            </w:r>
            <w:r>
              <w:rPr>
                <w:rFonts w:cs="David" w:hint="cs"/>
                <w:sz w:val="22"/>
                <w:szCs w:val="22"/>
                <w:rtl/>
              </w:rPr>
              <w:t>ית משפט מחוזי תל אביב-יפו</w:t>
            </w:r>
          </w:p>
        </w:tc>
        <w:tc>
          <w:tcPr>
            <w:tcW w:w="2915" w:type="dxa"/>
            <w:gridSpan w:val="2"/>
            <w:tcBorders>
              <w:top w:val="nil"/>
              <w:left w:val="nil"/>
              <w:bottom w:val="nil"/>
              <w:right w:val="nil"/>
            </w:tcBorders>
          </w:tcPr>
          <w:p w14:paraId="2645789E" w14:textId="77777777" w:rsidR="00923FDA" w:rsidRDefault="00923FDA">
            <w:pPr>
              <w:spacing w:line="360" w:lineRule="auto"/>
              <w:rPr>
                <w:rFonts w:cs="David"/>
                <w:szCs w:val="22"/>
                <w:rtl/>
              </w:rPr>
            </w:pPr>
            <w:r>
              <w:rPr>
                <w:rFonts w:cs="David"/>
                <w:sz w:val="22"/>
                <w:szCs w:val="22"/>
                <w:rtl/>
              </w:rPr>
              <w:t>פ</w:t>
            </w:r>
            <w:r>
              <w:rPr>
                <w:rFonts w:cs="David" w:hint="cs"/>
                <w:sz w:val="22"/>
                <w:szCs w:val="22"/>
                <w:rtl/>
              </w:rPr>
              <w:t>ח 001193/05</w:t>
            </w:r>
          </w:p>
        </w:tc>
      </w:tr>
      <w:tr w:rsidR="00923FDA" w14:paraId="75010156" w14:textId="77777777">
        <w:tblPrEx>
          <w:tblCellMar>
            <w:top w:w="0" w:type="dxa"/>
            <w:bottom w:w="0" w:type="dxa"/>
          </w:tblCellMar>
        </w:tblPrEx>
        <w:trPr>
          <w:cantSplit/>
          <w:trHeight w:val="195"/>
        </w:trPr>
        <w:tc>
          <w:tcPr>
            <w:tcW w:w="5614" w:type="dxa"/>
            <w:gridSpan w:val="2"/>
            <w:vMerge/>
            <w:tcBorders>
              <w:top w:val="nil"/>
              <w:left w:val="nil"/>
              <w:bottom w:val="nil"/>
              <w:right w:val="nil"/>
            </w:tcBorders>
          </w:tcPr>
          <w:p w14:paraId="3E12E0AA" w14:textId="77777777" w:rsidR="00923FDA" w:rsidRDefault="00923FDA">
            <w:pPr>
              <w:spacing w:line="360" w:lineRule="auto"/>
              <w:rPr>
                <w:rFonts w:cs="David"/>
                <w:szCs w:val="22"/>
                <w:rtl/>
              </w:rPr>
            </w:pPr>
            <w:bookmarkStart w:id="4" w:name="תיק_עיקרי" w:colFirst="1" w:colLast="1"/>
            <w:bookmarkEnd w:id="2"/>
            <w:bookmarkEnd w:id="3"/>
          </w:p>
        </w:tc>
        <w:tc>
          <w:tcPr>
            <w:tcW w:w="2915" w:type="dxa"/>
            <w:gridSpan w:val="2"/>
            <w:tcBorders>
              <w:top w:val="nil"/>
              <w:left w:val="nil"/>
              <w:bottom w:val="nil"/>
              <w:right w:val="nil"/>
            </w:tcBorders>
          </w:tcPr>
          <w:p w14:paraId="7541B671" w14:textId="77777777" w:rsidR="00923FDA" w:rsidRDefault="00923FDA">
            <w:pPr>
              <w:spacing w:line="360" w:lineRule="auto"/>
              <w:rPr>
                <w:rFonts w:cs="David"/>
                <w:szCs w:val="22"/>
                <w:rtl/>
              </w:rPr>
            </w:pPr>
          </w:p>
        </w:tc>
      </w:tr>
      <w:tr w:rsidR="00923FDA" w14:paraId="79472EDE" w14:textId="77777777">
        <w:tblPrEx>
          <w:tblCellMar>
            <w:top w:w="0" w:type="dxa"/>
            <w:bottom w:w="0" w:type="dxa"/>
          </w:tblCellMar>
        </w:tblPrEx>
        <w:trPr>
          <w:cantSplit/>
          <w:trHeight w:val="286"/>
        </w:trPr>
        <w:tc>
          <w:tcPr>
            <w:tcW w:w="636" w:type="dxa"/>
            <w:tcBorders>
              <w:top w:val="nil"/>
              <w:left w:val="nil"/>
              <w:bottom w:val="nil"/>
              <w:right w:val="nil"/>
            </w:tcBorders>
          </w:tcPr>
          <w:p w14:paraId="429D3CD9" w14:textId="77777777" w:rsidR="00923FDA" w:rsidRDefault="00923FDA">
            <w:pPr>
              <w:spacing w:line="360" w:lineRule="auto"/>
              <w:rPr>
                <w:rFonts w:cs="David"/>
                <w:szCs w:val="22"/>
                <w:rtl/>
              </w:rPr>
            </w:pPr>
            <w:bookmarkStart w:id="5" w:name="תאריך" w:colFirst="3" w:colLast="3"/>
            <w:bookmarkStart w:id="6" w:name="LastJudge"/>
            <w:bookmarkEnd w:id="4"/>
            <w:r>
              <w:rPr>
                <w:rFonts w:cs="David"/>
                <w:sz w:val="22"/>
                <w:szCs w:val="22"/>
                <w:rtl/>
              </w:rPr>
              <w:t>ב</w:t>
            </w:r>
            <w:r>
              <w:rPr>
                <w:rFonts w:cs="David" w:hint="cs"/>
                <w:sz w:val="22"/>
                <w:szCs w:val="22"/>
                <w:rtl/>
              </w:rPr>
              <w:t>פני:</w:t>
            </w:r>
          </w:p>
        </w:tc>
        <w:tc>
          <w:tcPr>
            <w:tcW w:w="4978" w:type="dxa"/>
            <w:tcBorders>
              <w:top w:val="nil"/>
              <w:left w:val="nil"/>
              <w:bottom w:val="nil"/>
              <w:right w:val="nil"/>
            </w:tcBorders>
          </w:tcPr>
          <w:p w14:paraId="25342D5F" w14:textId="77777777" w:rsidR="00923FDA" w:rsidRDefault="00923FDA">
            <w:pPr>
              <w:spacing w:line="360" w:lineRule="auto"/>
              <w:rPr>
                <w:rFonts w:cs="David"/>
                <w:b/>
                <w:bCs/>
                <w:rtl/>
              </w:rPr>
            </w:pPr>
            <w:r>
              <w:rPr>
                <w:rFonts w:cs="David"/>
                <w:b/>
                <w:bCs/>
                <w:rtl/>
              </w:rPr>
              <w:t>כ</w:t>
            </w:r>
            <w:r>
              <w:rPr>
                <w:rFonts w:cs="David" w:hint="cs"/>
                <w:b/>
                <w:bCs/>
                <w:rtl/>
              </w:rPr>
              <w:t xml:space="preserve">ב' השופטת ס' רוטלוי </w:t>
            </w:r>
            <w:r>
              <w:rPr>
                <w:rFonts w:cs="David"/>
                <w:b/>
                <w:bCs/>
                <w:rtl/>
              </w:rPr>
              <w:t>–</w:t>
            </w:r>
            <w:r>
              <w:rPr>
                <w:rFonts w:cs="David" w:hint="cs"/>
                <w:b/>
                <w:bCs/>
                <w:rtl/>
              </w:rPr>
              <w:t xml:space="preserve"> אב"ד</w:t>
            </w:r>
          </w:p>
          <w:p w14:paraId="5DBD5580" w14:textId="77777777" w:rsidR="00923FDA" w:rsidRDefault="00923FDA">
            <w:pPr>
              <w:spacing w:line="360" w:lineRule="auto"/>
              <w:rPr>
                <w:rFonts w:cs="David"/>
                <w:b/>
                <w:bCs/>
                <w:rtl/>
              </w:rPr>
            </w:pPr>
            <w:r>
              <w:rPr>
                <w:rFonts w:cs="David" w:hint="cs"/>
                <w:b/>
                <w:bCs/>
                <w:rtl/>
              </w:rPr>
              <w:t>כב' השופטת ע'  צ'רניאק</w:t>
            </w:r>
          </w:p>
          <w:p w14:paraId="4385EDFC" w14:textId="77777777" w:rsidR="00923FDA" w:rsidRDefault="00923FDA">
            <w:pPr>
              <w:spacing w:line="360" w:lineRule="auto"/>
              <w:rPr>
                <w:rFonts w:cs="David"/>
                <w:b/>
                <w:bCs/>
                <w:rtl/>
              </w:rPr>
            </w:pPr>
            <w:r>
              <w:rPr>
                <w:rFonts w:cs="David" w:hint="cs"/>
                <w:b/>
                <w:bCs/>
                <w:rtl/>
              </w:rPr>
              <w:t>כב' השופט ד"ר ק' ורדי</w:t>
            </w:r>
          </w:p>
        </w:tc>
        <w:tc>
          <w:tcPr>
            <w:tcW w:w="680" w:type="dxa"/>
            <w:tcBorders>
              <w:top w:val="nil"/>
              <w:left w:val="nil"/>
              <w:bottom w:val="nil"/>
              <w:right w:val="nil"/>
            </w:tcBorders>
            <w:tcMar>
              <w:left w:w="28" w:type="dxa"/>
              <w:right w:w="28" w:type="dxa"/>
            </w:tcMar>
          </w:tcPr>
          <w:p w14:paraId="0407B843" w14:textId="77777777" w:rsidR="00923FDA" w:rsidRDefault="00923FDA">
            <w:pPr>
              <w:spacing w:line="360" w:lineRule="auto"/>
              <w:rPr>
                <w:rFonts w:cs="David"/>
                <w:szCs w:val="22"/>
                <w:rtl/>
              </w:rPr>
            </w:pPr>
            <w:r>
              <w:rPr>
                <w:rFonts w:cs="David"/>
                <w:sz w:val="22"/>
                <w:szCs w:val="22"/>
                <w:rtl/>
              </w:rPr>
              <w:t xml:space="preserve"> </w:t>
            </w:r>
          </w:p>
        </w:tc>
        <w:tc>
          <w:tcPr>
            <w:tcW w:w="2235" w:type="dxa"/>
            <w:tcBorders>
              <w:top w:val="nil"/>
              <w:left w:val="nil"/>
              <w:bottom w:val="nil"/>
              <w:right w:val="nil"/>
            </w:tcBorders>
          </w:tcPr>
          <w:p w14:paraId="3734A268" w14:textId="77777777" w:rsidR="00923FDA" w:rsidRDefault="00923FDA">
            <w:pPr>
              <w:spacing w:line="360" w:lineRule="auto"/>
              <w:rPr>
                <w:rFonts w:cs="David"/>
                <w:szCs w:val="22"/>
                <w:rtl/>
              </w:rPr>
            </w:pPr>
          </w:p>
        </w:tc>
      </w:tr>
      <w:bookmarkEnd w:id="5"/>
      <w:bookmarkEnd w:id="6"/>
    </w:tbl>
    <w:p w14:paraId="3ADDF89B" w14:textId="77777777" w:rsidR="00923FDA" w:rsidRDefault="00923FDA">
      <w:pPr>
        <w:spacing w:line="360" w:lineRule="auto"/>
        <w:rPr>
          <w:rFonts w:cs="David"/>
          <w:rtl/>
        </w:rPr>
      </w:pPr>
    </w:p>
    <w:tbl>
      <w:tblPr>
        <w:bidiVisual/>
        <w:tblW w:w="8591" w:type="dxa"/>
        <w:tblInd w:w="-113"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923FDA" w14:paraId="742EE3E1" w14:textId="77777777">
        <w:tblPrEx>
          <w:tblCellMar>
            <w:top w:w="0" w:type="dxa"/>
            <w:bottom w:w="0" w:type="dxa"/>
          </w:tblCellMar>
        </w:tblPrEx>
        <w:tc>
          <w:tcPr>
            <w:tcW w:w="1362" w:type="dxa"/>
            <w:tcBorders>
              <w:top w:val="nil"/>
              <w:left w:val="nil"/>
              <w:bottom w:val="nil"/>
              <w:right w:val="nil"/>
            </w:tcBorders>
          </w:tcPr>
          <w:p w14:paraId="709712D2" w14:textId="77777777" w:rsidR="00923FDA" w:rsidRDefault="00923FDA">
            <w:pPr>
              <w:pStyle w:val="a"/>
              <w:rPr>
                <w:rFonts w:cs="David"/>
                <w:sz w:val="26"/>
                <w:szCs w:val="26"/>
                <w:rtl/>
              </w:rPr>
            </w:pPr>
            <w:bookmarkStart w:id="7" w:name="FirstAppellant"/>
            <w:r>
              <w:rPr>
                <w:rFonts w:cs="David"/>
                <w:sz w:val="24"/>
                <w:rtl/>
              </w:rPr>
              <w:t>ב</w:t>
            </w:r>
            <w:r>
              <w:rPr>
                <w:rFonts w:cs="David" w:hint="cs"/>
                <w:sz w:val="24"/>
                <w:rtl/>
              </w:rPr>
              <w:t>עניין</w:t>
            </w:r>
            <w:r>
              <w:rPr>
                <w:rFonts w:cs="David"/>
                <w:sz w:val="24"/>
                <w:rtl/>
              </w:rPr>
              <w:t>:</w:t>
            </w:r>
          </w:p>
        </w:tc>
        <w:tc>
          <w:tcPr>
            <w:tcW w:w="4820" w:type="dxa"/>
            <w:gridSpan w:val="2"/>
            <w:tcBorders>
              <w:top w:val="nil"/>
              <w:left w:val="nil"/>
              <w:bottom w:val="nil"/>
              <w:right w:val="nil"/>
            </w:tcBorders>
          </w:tcPr>
          <w:p w14:paraId="6EB9EB30" w14:textId="77777777" w:rsidR="00923FDA" w:rsidRDefault="00923FDA">
            <w:pPr>
              <w:pStyle w:val="a"/>
              <w:rPr>
                <w:rFonts w:cs="David"/>
                <w:sz w:val="24"/>
                <w:rtl/>
              </w:rPr>
            </w:pPr>
            <w:r>
              <w:rPr>
                <w:rFonts w:cs="David"/>
                <w:sz w:val="24"/>
                <w:rtl/>
              </w:rPr>
              <w:t>מ</w:t>
            </w:r>
            <w:r>
              <w:rPr>
                <w:rFonts w:cs="David" w:hint="cs"/>
                <w:sz w:val="24"/>
                <w:rtl/>
              </w:rPr>
              <w:t>דינת ישראל</w:t>
            </w:r>
          </w:p>
        </w:tc>
        <w:tc>
          <w:tcPr>
            <w:tcW w:w="2409" w:type="dxa"/>
            <w:tcBorders>
              <w:top w:val="nil"/>
              <w:left w:val="nil"/>
              <w:bottom w:val="nil"/>
              <w:right w:val="nil"/>
            </w:tcBorders>
          </w:tcPr>
          <w:p w14:paraId="6D8075AA" w14:textId="77777777" w:rsidR="00923FDA" w:rsidRDefault="00923FDA">
            <w:pPr>
              <w:pStyle w:val="a"/>
              <w:rPr>
                <w:rFonts w:cs="David"/>
                <w:sz w:val="24"/>
                <w:rtl/>
              </w:rPr>
            </w:pPr>
          </w:p>
        </w:tc>
      </w:tr>
      <w:tr w:rsidR="00923FDA" w14:paraId="653F9B22" w14:textId="77777777">
        <w:tblPrEx>
          <w:tblCellMar>
            <w:top w:w="0" w:type="dxa"/>
            <w:bottom w:w="0" w:type="dxa"/>
          </w:tblCellMar>
        </w:tblPrEx>
        <w:tc>
          <w:tcPr>
            <w:tcW w:w="1362" w:type="dxa"/>
            <w:tcBorders>
              <w:top w:val="nil"/>
              <w:left w:val="nil"/>
              <w:bottom w:val="nil"/>
              <w:right w:val="nil"/>
            </w:tcBorders>
          </w:tcPr>
          <w:p w14:paraId="45E928F2" w14:textId="77777777" w:rsidR="00923FDA" w:rsidRDefault="00923FDA">
            <w:pPr>
              <w:pStyle w:val="a"/>
              <w:rPr>
                <w:rFonts w:cs="David"/>
                <w:sz w:val="26"/>
                <w:szCs w:val="26"/>
                <w:rtl/>
              </w:rPr>
            </w:pPr>
            <w:bookmarkStart w:id="8" w:name="בא_כוח_א" w:colFirst="2" w:colLast="2"/>
            <w:bookmarkStart w:id="9" w:name="FirstLawyer"/>
            <w:bookmarkEnd w:id="7"/>
          </w:p>
        </w:tc>
        <w:tc>
          <w:tcPr>
            <w:tcW w:w="1757" w:type="dxa"/>
            <w:tcBorders>
              <w:top w:val="nil"/>
              <w:left w:val="nil"/>
              <w:bottom w:val="nil"/>
              <w:right w:val="nil"/>
            </w:tcBorders>
          </w:tcPr>
          <w:p w14:paraId="1CD4AFA5" w14:textId="77777777" w:rsidR="00923FDA" w:rsidRDefault="00923FDA">
            <w:pPr>
              <w:pStyle w:val="a"/>
              <w:rPr>
                <w:rFonts w:cs="David"/>
                <w:sz w:val="24"/>
                <w:rtl/>
              </w:rPr>
            </w:pPr>
            <w:r>
              <w:rPr>
                <w:rFonts w:cs="David"/>
                <w:sz w:val="24"/>
                <w:rtl/>
              </w:rPr>
              <w:t>ע</w:t>
            </w:r>
            <w:r>
              <w:rPr>
                <w:rFonts w:cs="David" w:hint="cs"/>
                <w:sz w:val="24"/>
                <w:rtl/>
              </w:rPr>
              <w:t>"י ב"כ עו"ד</w:t>
            </w:r>
          </w:p>
        </w:tc>
        <w:tc>
          <w:tcPr>
            <w:tcW w:w="3063" w:type="dxa"/>
            <w:tcBorders>
              <w:top w:val="nil"/>
              <w:left w:val="nil"/>
              <w:bottom w:val="nil"/>
              <w:right w:val="nil"/>
            </w:tcBorders>
          </w:tcPr>
          <w:p w14:paraId="26631DB7" w14:textId="77777777" w:rsidR="00923FDA" w:rsidRDefault="00923FDA">
            <w:pPr>
              <w:pStyle w:val="a"/>
              <w:rPr>
                <w:rFonts w:cs="David"/>
                <w:sz w:val="24"/>
                <w:rtl/>
              </w:rPr>
            </w:pPr>
            <w:r>
              <w:rPr>
                <w:rFonts w:cs="David"/>
                <w:sz w:val="24"/>
                <w:rtl/>
              </w:rPr>
              <w:t>נ</w:t>
            </w:r>
            <w:r>
              <w:rPr>
                <w:rFonts w:cs="David" w:hint="cs"/>
                <w:sz w:val="24"/>
                <w:rtl/>
              </w:rPr>
              <w:t>אווה הורוביץ</w:t>
            </w:r>
          </w:p>
        </w:tc>
        <w:tc>
          <w:tcPr>
            <w:tcW w:w="2409" w:type="dxa"/>
            <w:tcBorders>
              <w:top w:val="nil"/>
              <w:left w:val="nil"/>
              <w:bottom w:val="nil"/>
              <w:right w:val="nil"/>
            </w:tcBorders>
          </w:tcPr>
          <w:p w14:paraId="4377C7FA" w14:textId="77777777" w:rsidR="00923FDA" w:rsidRDefault="00923FDA">
            <w:pPr>
              <w:pStyle w:val="a"/>
              <w:rPr>
                <w:rFonts w:cs="David"/>
                <w:sz w:val="24"/>
                <w:rtl/>
              </w:rPr>
            </w:pPr>
            <w:r>
              <w:rPr>
                <w:rFonts w:cs="David"/>
                <w:sz w:val="24"/>
                <w:rtl/>
              </w:rPr>
              <w:t>ה</w:t>
            </w:r>
            <w:r>
              <w:rPr>
                <w:rFonts w:cs="David" w:hint="cs"/>
                <w:sz w:val="24"/>
                <w:rtl/>
              </w:rPr>
              <w:t>מאשימה</w:t>
            </w:r>
          </w:p>
        </w:tc>
      </w:tr>
      <w:bookmarkEnd w:id="8"/>
      <w:bookmarkEnd w:id="9"/>
      <w:tr w:rsidR="00923FDA" w14:paraId="541D7F16" w14:textId="77777777">
        <w:tblPrEx>
          <w:tblCellMar>
            <w:top w:w="0" w:type="dxa"/>
            <w:bottom w:w="0" w:type="dxa"/>
          </w:tblCellMar>
        </w:tblPrEx>
        <w:tc>
          <w:tcPr>
            <w:tcW w:w="1362" w:type="dxa"/>
            <w:tcBorders>
              <w:top w:val="nil"/>
              <w:left w:val="nil"/>
              <w:bottom w:val="nil"/>
              <w:right w:val="nil"/>
            </w:tcBorders>
          </w:tcPr>
          <w:p w14:paraId="542F54F9" w14:textId="77777777" w:rsidR="00923FDA" w:rsidRDefault="00923FDA">
            <w:pPr>
              <w:pStyle w:val="a"/>
              <w:rPr>
                <w:rFonts w:cs="David"/>
                <w:sz w:val="24"/>
                <w:rtl/>
              </w:rPr>
            </w:pPr>
          </w:p>
        </w:tc>
        <w:tc>
          <w:tcPr>
            <w:tcW w:w="4820" w:type="dxa"/>
            <w:gridSpan w:val="2"/>
            <w:tcBorders>
              <w:top w:val="nil"/>
              <w:left w:val="nil"/>
              <w:bottom w:val="nil"/>
              <w:right w:val="nil"/>
            </w:tcBorders>
          </w:tcPr>
          <w:p w14:paraId="36DBA455" w14:textId="77777777" w:rsidR="00923FDA" w:rsidRDefault="00923FDA">
            <w:pPr>
              <w:pStyle w:val="a"/>
              <w:jc w:val="center"/>
              <w:rPr>
                <w:rFonts w:cs="David"/>
                <w:sz w:val="24"/>
                <w:rtl/>
              </w:rPr>
            </w:pPr>
            <w:r>
              <w:rPr>
                <w:rFonts w:cs="David"/>
                <w:sz w:val="24"/>
                <w:rtl/>
              </w:rPr>
              <w:t>נ</w:t>
            </w:r>
            <w:r>
              <w:rPr>
                <w:rFonts w:cs="David" w:hint="cs"/>
                <w:sz w:val="24"/>
                <w:rtl/>
              </w:rPr>
              <w:t xml:space="preserve">  ג  ד</w:t>
            </w:r>
          </w:p>
        </w:tc>
        <w:tc>
          <w:tcPr>
            <w:tcW w:w="2409" w:type="dxa"/>
            <w:tcBorders>
              <w:top w:val="nil"/>
              <w:left w:val="nil"/>
              <w:bottom w:val="nil"/>
              <w:right w:val="nil"/>
            </w:tcBorders>
          </w:tcPr>
          <w:p w14:paraId="233C1C7C" w14:textId="77777777" w:rsidR="00923FDA" w:rsidRDefault="00923FDA">
            <w:pPr>
              <w:pStyle w:val="a"/>
              <w:rPr>
                <w:rFonts w:cs="David"/>
                <w:sz w:val="24"/>
                <w:rtl/>
              </w:rPr>
            </w:pPr>
          </w:p>
        </w:tc>
      </w:tr>
      <w:tr w:rsidR="00923FDA" w14:paraId="3098F920" w14:textId="77777777">
        <w:tblPrEx>
          <w:tblCellMar>
            <w:top w:w="0" w:type="dxa"/>
            <w:bottom w:w="0" w:type="dxa"/>
          </w:tblCellMar>
        </w:tblPrEx>
        <w:tc>
          <w:tcPr>
            <w:tcW w:w="1362" w:type="dxa"/>
            <w:tcBorders>
              <w:top w:val="nil"/>
              <w:left w:val="nil"/>
              <w:bottom w:val="nil"/>
              <w:right w:val="nil"/>
            </w:tcBorders>
          </w:tcPr>
          <w:p w14:paraId="0AA1581F" w14:textId="77777777" w:rsidR="00923FDA" w:rsidRDefault="00923FDA">
            <w:pPr>
              <w:pStyle w:val="a"/>
              <w:rPr>
                <w:rFonts w:cs="David"/>
                <w:sz w:val="26"/>
                <w:szCs w:val="26"/>
                <w:rtl/>
              </w:rPr>
            </w:pPr>
            <w:bookmarkStart w:id="10" w:name="שם_ב" w:colFirst="1" w:colLast="1"/>
          </w:p>
        </w:tc>
        <w:tc>
          <w:tcPr>
            <w:tcW w:w="4820" w:type="dxa"/>
            <w:gridSpan w:val="2"/>
            <w:tcBorders>
              <w:top w:val="nil"/>
              <w:left w:val="nil"/>
              <w:bottom w:val="nil"/>
              <w:right w:val="nil"/>
            </w:tcBorders>
          </w:tcPr>
          <w:p w14:paraId="6ABE4AAA" w14:textId="77777777" w:rsidR="00923FDA" w:rsidRDefault="00923FDA">
            <w:pPr>
              <w:pStyle w:val="a"/>
              <w:rPr>
                <w:rFonts w:cs="David"/>
                <w:sz w:val="24"/>
                <w:rtl/>
              </w:rPr>
            </w:pPr>
            <w:r>
              <w:rPr>
                <w:rFonts w:cs="David"/>
                <w:sz w:val="24"/>
                <w:rtl/>
              </w:rPr>
              <w:t>פ</w:t>
            </w:r>
            <w:r>
              <w:rPr>
                <w:rFonts w:cs="David" w:hint="cs"/>
                <w:sz w:val="24"/>
                <w:rtl/>
              </w:rPr>
              <w:t>לוני</w:t>
            </w:r>
          </w:p>
        </w:tc>
        <w:tc>
          <w:tcPr>
            <w:tcW w:w="2409" w:type="dxa"/>
            <w:tcBorders>
              <w:top w:val="nil"/>
              <w:left w:val="nil"/>
              <w:bottom w:val="nil"/>
              <w:right w:val="nil"/>
            </w:tcBorders>
          </w:tcPr>
          <w:p w14:paraId="21435ECF" w14:textId="77777777" w:rsidR="00923FDA" w:rsidRDefault="00923FDA">
            <w:pPr>
              <w:pStyle w:val="a"/>
              <w:rPr>
                <w:rFonts w:cs="David"/>
                <w:sz w:val="24"/>
                <w:rtl/>
              </w:rPr>
            </w:pPr>
          </w:p>
        </w:tc>
      </w:tr>
      <w:tr w:rsidR="00923FDA" w14:paraId="16911CCB" w14:textId="77777777">
        <w:tblPrEx>
          <w:tblCellMar>
            <w:top w:w="0" w:type="dxa"/>
            <w:bottom w:w="0" w:type="dxa"/>
          </w:tblCellMar>
        </w:tblPrEx>
        <w:tc>
          <w:tcPr>
            <w:tcW w:w="1362" w:type="dxa"/>
            <w:tcBorders>
              <w:top w:val="nil"/>
              <w:left w:val="nil"/>
              <w:bottom w:val="nil"/>
              <w:right w:val="nil"/>
            </w:tcBorders>
          </w:tcPr>
          <w:p w14:paraId="779A16DD" w14:textId="77777777" w:rsidR="00923FDA" w:rsidRDefault="00923FDA">
            <w:pPr>
              <w:pStyle w:val="a"/>
              <w:rPr>
                <w:rFonts w:cs="David"/>
                <w:sz w:val="26"/>
                <w:szCs w:val="26"/>
                <w:rtl/>
              </w:rPr>
            </w:pPr>
            <w:bookmarkStart w:id="11" w:name="בא_כוח_ב" w:colFirst="2" w:colLast="2"/>
            <w:bookmarkEnd w:id="10"/>
          </w:p>
        </w:tc>
        <w:tc>
          <w:tcPr>
            <w:tcW w:w="1757" w:type="dxa"/>
            <w:tcBorders>
              <w:top w:val="nil"/>
              <w:left w:val="nil"/>
              <w:bottom w:val="nil"/>
              <w:right w:val="nil"/>
            </w:tcBorders>
          </w:tcPr>
          <w:p w14:paraId="6D6C1F1C" w14:textId="77777777" w:rsidR="00923FDA" w:rsidRDefault="00923FDA">
            <w:pPr>
              <w:pStyle w:val="a"/>
              <w:rPr>
                <w:rFonts w:cs="David"/>
                <w:sz w:val="24"/>
                <w:rtl/>
              </w:rPr>
            </w:pPr>
            <w:r>
              <w:rPr>
                <w:rFonts w:cs="David"/>
                <w:sz w:val="24"/>
                <w:rtl/>
              </w:rPr>
              <w:t>ע</w:t>
            </w:r>
            <w:r>
              <w:rPr>
                <w:rFonts w:cs="David" w:hint="cs"/>
                <w:sz w:val="24"/>
                <w:rtl/>
              </w:rPr>
              <w:t>"י ב"כ עו"ד</w:t>
            </w:r>
          </w:p>
        </w:tc>
        <w:tc>
          <w:tcPr>
            <w:tcW w:w="3063" w:type="dxa"/>
            <w:tcBorders>
              <w:top w:val="nil"/>
              <w:left w:val="nil"/>
              <w:bottom w:val="nil"/>
              <w:right w:val="nil"/>
            </w:tcBorders>
          </w:tcPr>
          <w:p w14:paraId="67F254B4" w14:textId="77777777" w:rsidR="00923FDA" w:rsidRDefault="00923FDA">
            <w:pPr>
              <w:pStyle w:val="a"/>
              <w:rPr>
                <w:rFonts w:cs="David"/>
                <w:sz w:val="24"/>
                <w:rtl/>
              </w:rPr>
            </w:pPr>
            <w:r>
              <w:rPr>
                <w:rFonts w:cs="David"/>
                <w:sz w:val="24"/>
                <w:rtl/>
              </w:rPr>
              <w:t>ש</w:t>
            </w:r>
            <w:r>
              <w:rPr>
                <w:rFonts w:cs="David" w:hint="cs"/>
                <w:sz w:val="24"/>
                <w:rtl/>
              </w:rPr>
              <w:t xml:space="preserve">שי גז </w:t>
            </w:r>
          </w:p>
        </w:tc>
        <w:tc>
          <w:tcPr>
            <w:tcW w:w="2409" w:type="dxa"/>
            <w:tcBorders>
              <w:top w:val="nil"/>
              <w:left w:val="nil"/>
              <w:bottom w:val="nil"/>
              <w:right w:val="nil"/>
            </w:tcBorders>
          </w:tcPr>
          <w:p w14:paraId="56A86E02" w14:textId="77777777" w:rsidR="00923FDA" w:rsidRDefault="00923FDA">
            <w:pPr>
              <w:pStyle w:val="a"/>
              <w:rPr>
                <w:rFonts w:cs="David"/>
                <w:sz w:val="24"/>
                <w:rtl/>
              </w:rPr>
            </w:pPr>
            <w:r>
              <w:rPr>
                <w:rFonts w:cs="David"/>
                <w:sz w:val="24"/>
                <w:rtl/>
              </w:rPr>
              <w:t>ה</w:t>
            </w:r>
            <w:r>
              <w:rPr>
                <w:rFonts w:cs="David" w:hint="cs"/>
                <w:sz w:val="24"/>
                <w:rtl/>
              </w:rPr>
              <w:t>נאשם</w:t>
            </w:r>
          </w:p>
        </w:tc>
      </w:tr>
    </w:tbl>
    <w:p w14:paraId="580A57F5" w14:textId="77777777" w:rsidR="00F43FF5" w:rsidRDefault="00F43FF5">
      <w:pPr>
        <w:spacing w:line="360" w:lineRule="auto"/>
        <w:rPr>
          <w:rFonts w:cs="David"/>
          <w:rtl/>
        </w:rPr>
      </w:pPr>
      <w:bookmarkStart w:id="12" w:name="LawTable"/>
      <w:bookmarkEnd w:id="11"/>
      <w:bookmarkEnd w:id="12"/>
    </w:p>
    <w:p w14:paraId="1FDD4565" w14:textId="77777777" w:rsidR="00F43FF5" w:rsidRPr="00F43FF5" w:rsidRDefault="00F43FF5" w:rsidP="00F43FF5">
      <w:pPr>
        <w:spacing w:after="120" w:line="240" w:lineRule="exact"/>
        <w:ind w:left="283" w:hanging="283"/>
        <w:jc w:val="both"/>
        <w:rPr>
          <w:rFonts w:ascii="FrankRuehl" w:hAnsi="FrankRuehl" w:cs="FrankRuehl"/>
          <w:rtl/>
        </w:rPr>
      </w:pPr>
    </w:p>
    <w:p w14:paraId="06BC030B" w14:textId="77777777" w:rsidR="00F43FF5" w:rsidRPr="00F43FF5" w:rsidRDefault="00F43FF5" w:rsidP="00F43FF5">
      <w:pPr>
        <w:spacing w:after="120" w:line="240" w:lineRule="exact"/>
        <w:ind w:left="283" w:hanging="283"/>
        <w:jc w:val="both"/>
        <w:rPr>
          <w:rFonts w:ascii="FrankRuehl" w:hAnsi="FrankRuehl" w:cs="FrankRuehl"/>
          <w:rtl/>
        </w:rPr>
      </w:pPr>
      <w:r w:rsidRPr="00F43FF5">
        <w:rPr>
          <w:rFonts w:ascii="FrankRuehl" w:hAnsi="FrankRuehl" w:cs="FrankRuehl"/>
          <w:rtl/>
        </w:rPr>
        <w:t xml:space="preserve">חקיקה שאוזכרה: </w:t>
      </w:r>
    </w:p>
    <w:p w14:paraId="75CD7E2E" w14:textId="77777777" w:rsidR="00F43FF5" w:rsidRPr="00F43FF5" w:rsidRDefault="00F43FF5" w:rsidP="00F43FF5">
      <w:pPr>
        <w:spacing w:after="120" w:line="240" w:lineRule="exact"/>
        <w:ind w:left="283" w:hanging="283"/>
        <w:jc w:val="both"/>
        <w:rPr>
          <w:rFonts w:ascii="FrankRuehl" w:hAnsi="FrankRuehl" w:cs="FrankRuehl"/>
          <w:rtl/>
        </w:rPr>
      </w:pPr>
      <w:hyperlink r:id="rId6" w:history="1">
        <w:r w:rsidRPr="00F43FF5">
          <w:rPr>
            <w:rFonts w:ascii="FrankRuehl" w:hAnsi="FrankRuehl" w:cs="FrankRuehl"/>
            <w:color w:val="0000FF"/>
            <w:u w:val="single"/>
            <w:rtl/>
          </w:rPr>
          <w:t>חוק העונשין, תשל"ז-1977</w:t>
        </w:r>
      </w:hyperlink>
      <w:r w:rsidRPr="00F43FF5">
        <w:rPr>
          <w:rFonts w:ascii="FrankRuehl" w:hAnsi="FrankRuehl" w:cs="FrankRuehl"/>
          <w:rtl/>
        </w:rPr>
        <w:t xml:space="preserve">: סע'  </w:t>
      </w:r>
      <w:hyperlink r:id="rId7" w:history="1">
        <w:r w:rsidRPr="00F43FF5">
          <w:rPr>
            <w:rFonts w:ascii="FrankRuehl" w:hAnsi="FrankRuehl" w:cs="FrankRuehl"/>
            <w:color w:val="0000FF"/>
            <w:u w:val="single"/>
            <w:rtl/>
          </w:rPr>
          <w:t>345 (א)</w:t>
        </w:r>
        <w:r w:rsidRPr="00F43FF5">
          <w:rPr>
            <w:rFonts w:ascii="FrankRuehl" w:hAnsi="FrankRuehl" w:cs="FrankRuehl"/>
            <w:color w:val="0000FF"/>
            <w:u w:val="single"/>
            <w:rtl/>
          </w:rPr>
          <w:cr/>
          <w:t>(3)</w:t>
        </w:r>
      </w:hyperlink>
      <w:r w:rsidRPr="00F43FF5">
        <w:rPr>
          <w:rFonts w:ascii="FrankRuehl" w:hAnsi="FrankRuehl" w:cs="FrankRuehl"/>
          <w:rtl/>
        </w:rPr>
        <w:t xml:space="preserve">, </w:t>
      </w:r>
      <w:hyperlink r:id="rId8" w:history="1">
        <w:r w:rsidRPr="00F43FF5">
          <w:rPr>
            <w:rFonts w:ascii="FrankRuehl" w:hAnsi="FrankRuehl" w:cs="FrankRuehl"/>
            <w:color w:val="0000FF"/>
            <w:u w:val="single"/>
            <w:rtl/>
          </w:rPr>
          <w:t>347 (א)</w:t>
        </w:r>
      </w:hyperlink>
      <w:r w:rsidRPr="00F43FF5">
        <w:rPr>
          <w:rFonts w:ascii="FrankRuehl" w:hAnsi="FrankRuehl" w:cs="FrankRuehl"/>
          <w:rtl/>
        </w:rPr>
        <w:t xml:space="preserve">, </w:t>
      </w:r>
      <w:hyperlink r:id="rId9" w:history="1">
        <w:r w:rsidRPr="00F43FF5">
          <w:rPr>
            <w:rFonts w:ascii="FrankRuehl" w:hAnsi="FrankRuehl" w:cs="FrankRuehl"/>
            <w:color w:val="0000FF"/>
            <w:u w:val="single"/>
            <w:rtl/>
          </w:rPr>
          <w:t>347(א)(1)</w:t>
        </w:r>
      </w:hyperlink>
      <w:r w:rsidRPr="00F43FF5">
        <w:rPr>
          <w:rFonts w:ascii="FrankRuehl" w:hAnsi="FrankRuehl" w:cs="FrankRuehl"/>
          <w:rtl/>
        </w:rPr>
        <w:t xml:space="preserve">, </w:t>
      </w:r>
      <w:hyperlink r:id="rId10" w:history="1">
        <w:r w:rsidRPr="00F43FF5">
          <w:rPr>
            <w:rFonts w:ascii="FrankRuehl" w:hAnsi="FrankRuehl" w:cs="FrankRuehl"/>
            <w:color w:val="0000FF"/>
            <w:u w:val="single"/>
            <w:rtl/>
          </w:rPr>
          <w:t>347(ב)</w:t>
        </w:r>
      </w:hyperlink>
    </w:p>
    <w:p w14:paraId="676EABF6" w14:textId="77777777" w:rsidR="00F43FF5" w:rsidRPr="00F43FF5" w:rsidRDefault="00F43FF5" w:rsidP="00F43FF5">
      <w:pPr>
        <w:spacing w:after="120" w:line="240" w:lineRule="exact"/>
        <w:ind w:left="283" w:hanging="283"/>
        <w:jc w:val="both"/>
        <w:rPr>
          <w:rFonts w:ascii="FrankRuehl" w:hAnsi="FrankRuehl" w:cs="FrankRuehl"/>
          <w:rtl/>
        </w:rPr>
      </w:pPr>
    </w:p>
    <w:p w14:paraId="1BC7E2F2" w14:textId="77777777" w:rsidR="00F43FF5" w:rsidRPr="00F43FF5" w:rsidRDefault="00F43FF5">
      <w:pPr>
        <w:spacing w:line="360" w:lineRule="auto"/>
        <w:rPr>
          <w:rFonts w:cs="David"/>
          <w:rtl/>
        </w:rPr>
      </w:pPr>
      <w:bookmarkStart w:id="13" w:name="LawTable_End"/>
      <w:bookmarkEnd w:id="13"/>
    </w:p>
    <w:p w14:paraId="5E5A2AF0" w14:textId="77777777" w:rsidR="00E3570F" w:rsidRPr="00E3570F" w:rsidRDefault="00E3570F">
      <w:pPr>
        <w:spacing w:line="360" w:lineRule="auto"/>
        <w:rPr>
          <w:rFonts w:cs="David"/>
          <w:rtl/>
        </w:rPr>
      </w:pPr>
    </w:p>
    <w:p w14:paraId="442E2EE6" w14:textId="77777777" w:rsidR="00E3570F" w:rsidRPr="00E3570F" w:rsidRDefault="00E3570F">
      <w:pPr>
        <w:spacing w:line="360" w:lineRule="auto"/>
        <w:rPr>
          <w:rFonts w:cs="David"/>
          <w:rtl/>
        </w:rPr>
      </w:pPr>
    </w:p>
    <w:p w14:paraId="3ACA151B" w14:textId="77777777" w:rsidR="00923FDA" w:rsidRPr="00E3570F" w:rsidRDefault="00923FDA">
      <w:pPr>
        <w:spacing w:line="360" w:lineRule="auto"/>
        <w:rPr>
          <w:rFonts w:cs="David" w:hint="cs"/>
          <w:rtl/>
        </w:rPr>
      </w:pPr>
    </w:p>
    <w:p w14:paraId="759887B2" w14:textId="77777777" w:rsidR="00923FDA" w:rsidRDefault="00923FDA">
      <w:pPr>
        <w:pBdr>
          <w:top w:val="single" w:sz="4" w:space="1" w:color="auto"/>
          <w:bottom w:val="single" w:sz="4" w:space="1" w:color="auto"/>
        </w:pBdr>
        <w:spacing w:after="120" w:line="320" w:lineRule="exact"/>
        <w:jc w:val="both"/>
        <w:rPr>
          <w:rFonts w:cs="FrankRuehl"/>
          <w:szCs w:val="26"/>
          <w:rtl/>
        </w:rPr>
      </w:pPr>
      <w:bookmarkStart w:id="14" w:name="ABSTRACT_START"/>
      <w:bookmarkEnd w:id="14"/>
      <w:r>
        <w:rPr>
          <w:rFonts w:cs="FrankRuehl"/>
          <w:szCs w:val="26"/>
          <w:rtl/>
        </w:rPr>
        <w:t>מיני-רציו:</w:t>
      </w:r>
    </w:p>
    <w:p w14:paraId="779A9E2A"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מידת ההוכחה </w:t>
      </w:r>
      <w:r>
        <w:rPr>
          <w:rFonts w:cs="FrankRuehl" w:hint="cs"/>
          <w:szCs w:val="26"/>
          <w:rtl/>
        </w:rPr>
        <w:t>–</w:t>
      </w:r>
      <w:r>
        <w:rPr>
          <w:rFonts w:cs="FrankRuehl"/>
          <w:szCs w:val="26"/>
          <w:rtl/>
        </w:rPr>
        <w:t xml:space="preserve"> בהליך פלילי</w:t>
      </w:r>
    </w:p>
    <w:p w14:paraId="01B29DAF"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מידת ההוכחה </w:t>
      </w:r>
      <w:r>
        <w:rPr>
          <w:rFonts w:cs="FrankRuehl" w:hint="cs"/>
          <w:szCs w:val="26"/>
          <w:rtl/>
        </w:rPr>
        <w:t>–</w:t>
      </w:r>
      <w:r>
        <w:rPr>
          <w:rFonts w:cs="FrankRuehl"/>
          <w:szCs w:val="26"/>
          <w:rtl/>
        </w:rPr>
        <w:t xml:space="preserve"> ספק סביר</w:t>
      </w:r>
    </w:p>
    <w:p w14:paraId="3C57EFC2"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עבירות </w:t>
      </w:r>
      <w:r>
        <w:rPr>
          <w:rFonts w:cs="FrankRuehl" w:hint="cs"/>
          <w:szCs w:val="26"/>
          <w:rtl/>
        </w:rPr>
        <w:t>–</w:t>
      </w:r>
      <w:r>
        <w:rPr>
          <w:rFonts w:cs="FrankRuehl"/>
          <w:szCs w:val="26"/>
          <w:rtl/>
        </w:rPr>
        <w:t xml:space="preserve"> מעשה סדום</w:t>
      </w:r>
    </w:p>
    <w:p w14:paraId="1495AD43"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szCs w:val="26"/>
          <w:rtl/>
        </w:rPr>
        <w:t>כ</w:t>
      </w:r>
      <w:r>
        <w:rPr>
          <w:rFonts w:cs="FrankRuehl" w:hint="cs"/>
          <w:szCs w:val="26"/>
          <w:rtl/>
        </w:rPr>
        <w:t xml:space="preserve">נגד הנאשם הוגש כתב אישום שייחס לו מעשה סדום </w:t>
      </w:r>
      <w:r>
        <w:rPr>
          <w:rFonts w:cs="FrankRuehl"/>
          <w:szCs w:val="26"/>
          <w:rtl/>
        </w:rPr>
        <w:t>ב</w:t>
      </w:r>
      <w:r>
        <w:rPr>
          <w:rFonts w:cs="FrankRuehl" w:hint="cs"/>
          <w:szCs w:val="26"/>
          <w:rtl/>
        </w:rPr>
        <w:t>מתלונן,</w:t>
      </w:r>
      <w:r>
        <w:rPr>
          <w:rFonts w:cs="FrankRuehl"/>
          <w:szCs w:val="26"/>
          <w:rtl/>
        </w:rPr>
        <w:t xml:space="preserve"> </w:t>
      </w:r>
      <w:r>
        <w:rPr>
          <w:rFonts w:cs="FrankRuehl" w:hint="cs"/>
          <w:szCs w:val="26"/>
          <w:rtl/>
        </w:rPr>
        <w:t xml:space="preserve">בטרם מלאו לו 14 שנים וכשמלאו לו 14 שנים. </w:t>
      </w:r>
      <w:r>
        <w:rPr>
          <w:rFonts w:cs="FrankRuehl"/>
          <w:szCs w:val="26"/>
          <w:rtl/>
        </w:rPr>
        <w:t>ע</w:t>
      </w:r>
      <w:r>
        <w:rPr>
          <w:rFonts w:cs="FrankRuehl" w:hint="cs"/>
          <w:szCs w:val="26"/>
          <w:rtl/>
        </w:rPr>
        <w:t xml:space="preserve">"פ הנטען, </w:t>
      </w:r>
      <w:r>
        <w:rPr>
          <w:rFonts w:cs="FrankRuehl"/>
          <w:szCs w:val="26"/>
          <w:rtl/>
        </w:rPr>
        <w:t>ה</w:t>
      </w:r>
      <w:r>
        <w:rPr>
          <w:rFonts w:cs="FrankRuehl" w:hint="cs"/>
          <w:szCs w:val="26"/>
          <w:rtl/>
        </w:rPr>
        <w:t>נאשם והמתלונן הכירו באתר הכרויות באינטרנט</w:t>
      </w:r>
      <w:r>
        <w:rPr>
          <w:rFonts w:cs="FrankRuehl"/>
          <w:szCs w:val="26"/>
          <w:rtl/>
        </w:rPr>
        <w:t xml:space="preserve">, </w:t>
      </w:r>
      <w:r>
        <w:rPr>
          <w:rFonts w:cs="FrankRuehl" w:hint="cs"/>
          <w:szCs w:val="26"/>
          <w:rtl/>
        </w:rPr>
        <w:t xml:space="preserve">ובהמשך קיימו מפגשים בעלי אופי מיני. </w:t>
      </w:r>
      <w:r>
        <w:rPr>
          <w:rFonts w:cs="FrankRuehl"/>
          <w:szCs w:val="26"/>
          <w:rtl/>
        </w:rPr>
        <w:t>ה</w:t>
      </w:r>
      <w:r>
        <w:rPr>
          <w:rFonts w:cs="FrankRuehl" w:hint="cs"/>
          <w:szCs w:val="26"/>
          <w:rtl/>
        </w:rPr>
        <w:t xml:space="preserve">נאשם לא כפר במעשים המיניים אלא בכך שידע או יכול היה לדעת את גילו האמיתי של המתלונן במועד הרלוונטי. </w:t>
      </w:r>
    </w:p>
    <w:p w14:paraId="4D24AE45" w14:textId="77777777" w:rsidR="00923FDA" w:rsidRDefault="00923FD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33E591F"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hint="cs"/>
          <w:szCs w:val="26"/>
          <w:rtl/>
        </w:rPr>
        <w:t>ביהמ"ש המחוזי זיכה את הנאשם מחמת הספק:</w:t>
      </w:r>
    </w:p>
    <w:p w14:paraId="59EDBBBF"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כפי שנפסק, </w:t>
      </w:r>
      <w:r>
        <w:rPr>
          <w:rFonts w:cs="FrankRuehl"/>
          <w:szCs w:val="26"/>
          <w:rtl/>
        </w:rPr>
        <w:t>ה</w:t>
      </w:r>
      <w:r>
        <w:rPr>
          <w:rFonts w:cs="FrankRuehl" w:hint="cs"/>
          <w:szCs w:val="26"/>
          <w:rtl/>
        </w:rPr>
        <w:t xml:space="preserve">נטל להוכיח אשמה פלילית מעבר לספק סביר הוא אמצעי בעל חשיבות ראשונה בהתמודדות מפני הרשעות שווא שיסודן בטעות עובדתית. הרשעת השווא עלולה לשלול את חירותו </w:t>
      </w:r>
      <w:r>
        <w:rPr>
          <w:rFonts w:cs="FrankRuehl" w:hint="cs"/>
          <w:szCs w:val="26"/>
          <w:rtl/>
        </w:rPr>
        <w:lastRenderedPageBreak/>
        <w:t>של האדם שלא כדין, את כבודו כאדם, ואת שמו הטוב</w:t>
      </w:r>
      <w:r>
        <w:rPr>
          <w:rFonts w:cs="FrankRuehl"/>
          <w:szCs w:val="26"/>
          <w:rtl/>
        </w:rPr>
        <w:t>. ה</w:t>
      </w:r>
      <w:r>
        <w:rPr>
          <w:rFonts w:cs="FrankRuehl" w:hint="cs"/>
          <w:szCs w:val="26"/>
          <w:rtl/>
        </w:rPr>
        <w:t xml:space="preserve">רשעת שווא עלולה לפגוע גם באמון הציבור בהגינותו של ההליך הפלילי. </w:t>
      </w:r>
    </w:p>
    <w:p w14:paraId="10488527"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נקבע, כי </w:t>
      </w:r>
      <w:r>
        <w:rPr>
          <w:rFonts w:cs="FrankRuehl"/>
          <w:szCs w:val="26"/>
          <w:rtl/>
        </w:rPr>
        <w:t>ס</w:t>
      </w:r>
      <w:r>
        <w:rPr>
          <w:rFonts w:cs="FrankRuehl" w:hint="cs"/>
          <w:szCs w:val="26"/>
          <w:rtl/>
        </w:rPr>
        <w:t>פק סביר המצדיק זיכוי הוא ספק המותיר, ע</w:t>
      </w:r>
      <w:r>
        <w:rPr>
          <w:rFonts w:cs="FrankRuehl"/>
          <w:szCs w:val="26"/>
          <w:rtl/>
        </w:rPr>
        <w:t>"</w:t>
      </w:r>
      <w:r>
        <w:rPr>
          <w:rFonts w:cs="FrankRuehl" w:hint="cs"/>
          <w:szCs w:val="26"/>
          <w:rtl/>
        </w:rPr>
        <w:t>פ</w:t>
      </w:r>
      <w:r>
        <w:rPr>
          <w:rFonts w:cs="FrankRuehl"/>
          <w:szCs w:val="26"/>
          <w:rtl/>
        </w:rPr>
        <w:t xml:space="preserve"> </w:t>
      </w:r>
      <w:r>
        <w:rPr>
          <w:rFonts w:cs="FrankRuehl" w:hint="cs"/>
          <w:szCs w:val="26"/>
          <w:rtl/>
        </w:rPr>
        <w:t>מבחני השכל הישר, הגיון ונסיון חיים, שאלה אמיתית באשר לאשמת הנאשם. ספק סביר מתקיים כאשר ניתן להסיק מהראיות מסקנה המתיישבת עם חפות הנאשם שהסתברותה אינה אפסית אלא ממשית. גם כאשר גירסה מרשיעה נמצאת אמינה בעיני בי</w:t>
      </w:r>
      <w:r>
        <w:rPr>
          <w:rFonts w:cs="FrankRuehl"/>
          <w:szCs w:val="26"/>
          <w:rtl/>
        </w:rPr>
        <w:t>ה</w:t>
      </w:r>
      <w:r>
        <w:rPr>
          <w:rFonts w:cs="FrankRuehl" w:hint="cs"/>
          <w:szCs w:val="26"/>
          <w:rtl/>
        </w:rPr>
        <w:t>מ"ש</w:t>
      </w:r>
      <w:r>
        <w:rPr>
          <w:rFonts w:cs="FrankRuehl"/>
          <w:szCs w:val="26"/>
          <w:rtl/>
        </w:rPr>
        <w:t xml:space="preserve">, </w:t>
      </w:r>
      <w:r>
        <w:rPr>
          <w:rFonts w:cs="FrankRuehl" w:hint="cs"/>
          <w:szCs w:val="26"/>
          <w:rtl/>
        </w:rPr>
        <w:t>הוא אינו רשאי להתעלם מתמיהות העולות ביחס לגירסה זו, עליו לנתח תמיהות אלה ולבחון אם הן מגיעות לכדי ספק סביר</w:t>
      </w:r>
      <w:r>
        <w:rPr>
          <w:rFonts w:cs="FrankRuehl"/>
          <w:szCs w:val="26"/>
          <w:rtl/>
        </w:rPr>
        <w:t>.</w:t>
      </w:r>
    </w:p>
    <w:p w14:paraId="4928D8D2"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szCs w:val="26"/>
          <w:rtl/>
        </w:rPr>
        <w:t>ב</w:t>
      </w:r>
      <w:r>
        <w:rPr>
          <w:rFonts w:cs="FrankRuehl" w:hint="cs"/>
          <w:szCs w:val="26"/>
          <w:rtl/>
        </w:rPr>
        <w:t>מקרה דנן, התמיהות שנותרו ביחס לגירסת המתלונן נוגעות ללב המחלוקת ובראשן ההנחה המבוססת על נסיבות שהוכחו, לפיה לא סביר שהמתלונן בשיחת האינטרנט עיגל את גילו מ-13 ותשעה חדשים ל-14, הנחה המתיישבת יותר עם גירסת הנאשם שמלכתחילה המתלונן הזדהה בפניו כבן 16. הנחה זו חוזקה גם בהודאת המתלונן שלגבי קשרים עם שני אחרים כשהיה בן 12, עיגל את גילו ל-13</w:t>
      </w:r>
      <w:r>
        <w:rPr>
          <w:rFonts w:cs="FrankRuehl"/>
          <w:szCs w:val="26"/>
          <w:rtl/>
        </w:rPr>
        <w:t>, ו</w:t>
      </w:r>
      <w:r>
        <w:rPr>
          <w:rFonts w:cs="FrankRuehl" w:hint="cs"/>
          <w:szCs w:val="26"/>
          <w:rtl/>
        </w:rPr>
        <w:t>כן על עדותו</w:t>
      </w:r>
      <w:r>
        <w:rPr>
          <w:rFonts w:cs="FrankRuehl"/>
          <w:szCs w:val="26"/>
          <w:rtl/>
        </w:rPr>
        <w:t xml:space="preserve"> </w:t>
      </w:r>
      <w:r>
        <w:rPr>
          <w:rFonts w:cs="FrankRuehl" w:hint="cs"/>
          <w:szCs w:val="26"/>
          <w:rtl/>
        </w:rPr>
        <w:t>לפיה</w:t>
      </w:r>
      <w:r>
        <w:rPr>
          <w:rFonts w:cs="FrankRuehl"/>
          <w:szCs w:val="26"/>
          <w:rtl/>
        </w:rPr>
        <w:t xml:space="preserve"> "</w:t>
      </w:r>
      <w:r>
        <w:rPr>
          <w:rFonts w:cs="FrankRuehl" w:hint="cs"/>
          <w:szCs w:val="26"/>
          <w:rtl/>
        </w:rPr>
        <w:t>זה כיף להגזים בצ'ט, זה כיף להגזים כשזה לא אמיתי"</w:t>
      </w:r>
      <w:r>
        <w:rPr>
          <w:rFonts w:cs="FrankRuehl"/>
          <w:szCs w:val="26"/>
          <w:rtl/>
        </w:rPr>
        <w:t>.</w:t>
      </w:r>
    </w:p>
    <w:p w14:paraId="3F12DE36"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המתלונן הודה שהיו לו </w:t>
      </w:r>
      <w:r>
        <w:rPr>
          <w:rFonts w:cs="FrankRuehl"/>
          <w:szCs w:val="26"/>
          <w:rtl/>
        </w:rPr>
        <w:t>–</w:t>
      </w:r>
      <w:r>
        <w:rPr>
          <w:rFonts w:cs="FrankRuehl" w:hint="cs"/>
          <w:szCs w:val="26"/>
          <w:rtl/>
        </w:rPr>
        <w:t xml:space="preserve"> בהקשר לנקודה שבמחלוקת </w:t>
      </w:r>
      <w:r>
        <w:rPr>
          <w:rFonts w:cs="FrankRuehl"/>
          <w:szCs w:val="26"/>
          <w:rtl/>
        </w:rPr>
        <w:t>–</w:t>
      </w:r>
      <w:r>
        <w:rPr>
          <w:rFonts w:cs="FrankRuehl" w:hint="cs"/>
          <w:szCs w:val="26"/>
          <w:rtl/>
        </w:rPr>
        <w:t xml:space="preserve"> "חורים בזכרון" ואכן הוא התקשה מאוד להגדיר מתי בדיוק ובאיזו דרך  (האם בטלפון או פנים אל פנים) הוא סיפר לטענתו לנאשם שהוא </w:t>
      </w:r>
      <w:r>
        <w:rPr>
          <w:rFonts w:cs="FrankRuehl"/>
          <w:szCs w:val="26"/>
          <w:rtl/>
        </w:rPr>
        <w:br/>
      </w:r>
      <w:r>
        <w:rPr>
          <w:rFonts w:cs="FrankRuehl" w:hint="cs"/>
          <w:szCs w:val="26"/>
          <w:rtl/>
        </w:rPr>
        <w:t xml:space="preserve">בן 13. קושי זה מפחית את עוצמת גירסתו של המתלונן כשמנגד ניצבת גירסה מוצקה למדי של הנאשם הנתמכת גם בעדות </w:t>
      </w:r>
      <w:r>
        <w:rPr>
          <w:rFonts w:cs="FrankRuehl"/>
          <w:szCs w:val="26"/>
          <w:rtl/>
        </w:rPr>
        <w:t>א</w:t>
      </w:r>
      <w:r>
        <w:rPr>
          <w:rFonts w:cs="FrankRuehl" w:hint="cs"/>
          <w:szCs w:val="26"/>
          <w:rtl/>
        </w:rPr>
        <w:t>חרת.</w:t>
      </w:r>
      <w:r>
        <w:rPr>
          <w:rFonts w:cs="FrankRuehl"/>
          <w:szCs w:val="26"/>
          <w:rtl/>
        </w:rPr>
        <w:t xml:space="preserve">  </w:t>
      </w:r>
    </w:p>
    <w:p w14:paraId="51E38300" w14:textId="77777777" w:rsidR="00923FDA" w:rsidRDefault="00923FDA">
      <w:pPr>
        <w:pBdr>
          <w:top w:val="single" w:sz="4" w:space="1" w:color="auto"/>
          <w:bottom w:val="single" w:sz="4" w:space="1" w:color="auto"/>
        </w:pBdr>
        <w:spacing w:after="120" w:line="320" w:lineRule="exact"/>
        <w:jc w:val="both"/>
        <w:rPr>
          <w:rFonts w:cs="FrankRuehl"/>
          <w:szCs w:val="26"/>
          <w:rtl/>
        </w:rPr>
      </w:pPr>
      <w:r>
        <w:rPr>
          <w:rFonts w:cs="FrankRuehl" w:hint="cs"/>
          <w:szCs w:val="26"/>
          <w:rtl/>
        </w:rPr>
        <w:t>עניין לנו בגירסה מול גירסה וככל שעדי התביעה האחרים נגעו בעדותם לנקודת המחלוקת, הם נסמכו על דברים ששמעו מפי המתלונן אך מסרו בעדותם פרטים סותרים. גם הודאת המתלונן במשפט, בהזדמנויות שונות, שהנאשם ניתק עימו את הקשר בגלל הגיל, המתישבת עם גירסת החפות, והחלקים מדברי המתלונן שתמכו בגירסה הרחבה של הנאשם</w:t>
      </w:r>
      <w:r>
        <w:rPr>
          <w:rFonts w:cs="FrankRuehl"/>
          <w:szCs w:val="26"/>
          <w:rtl/>
        </w:rPr>
        <w:t xml:space="preserve">, </w:t>
      </w:r>
      <w:r>
        <w:rPr>
          <w:rFonts w:cs="FrankRuehl" w:hint="cs"/>
          <w:szCs w:val="26"/>
          <w:rtl/>
        </w:rPr>
        <w:t xml:space="preserve">באים בחשבון </w:t>
      </w:r>
      <w:r>
        <w:rPr>
          <w:rFonts w:cs="FrankRuehl"/>
          <w:szCs w:val="26"/>
          <w:rtl/>
        </w:rPr>
        <w:t>וב</w:t>
      </w:r>
      <w:r>
        <w:rPr>
          <w:rFonts w:cs="FrankRuehl" w:hint="cs"/>
          <w:szCs w:val="26"/>
          <w:rtl/>
        </w:rPr>
        <w:t>משקלם המצטבר</w:t>
      </w:r>
      <w:r>
        <w:rPr>
          <w:rFonts w:cs="FrankRuehl"/>
          <w:szCs w:val="26"/>
          <w:rtl/>
        </w:rPr>
        <w:t xml:space="preserve"> </w:t>
      </w:r>
      <w:r>
        <w:rPr>
          <w:rFonts w:cs="FrankRuehl" w:hint="cs"/>
          <w:szCs w:val="26"/>
          <w:rtl/>
        </w:rPr>
        <w:t>נ</w:t>
      </w:r>
      <w:r>
        <w:rPr>
          <w:rFonts w:cs="FrankRuehl"/>
          <w:szCs w:val="26"/>
          <w:rtl/>
        </w:rPr>
        <w:t>ו</w:t>
      </w:r>
      <w:r>
        <w:rPr>
          <w:rFonts w:cs="FrankRuehl" w:hint="cs"/>
          <w:szCs w:val="26"/>
          <w:rtl/>
        </w:rPr>
        <w:t xml:space="preserve">טלים מחוזקה של גירסת המתלונן ומקיימים את הספק הסביר בעטיו לא ניתן להרשיע את הנאשם. </w:t>
      </w:r>
      <w:bookmarkStart w:id="15" w:name="ABSTRACT_END"/>
      <w:bookmarkEnd w:id="15"/>
    </w:p>
    <w:p w14:paraId="2025787C" w14:textId="77777777" w:rsidR="00923FDA" w:rsidRDefault="00923FDA">
      <w:pPr>
        <w:spacing w:line="360" w:lineRule="auto"/>
        <w:rPr>
          <w:rFonts w:cs="David" w:hint="cs"/>
          <w:rtl/>
        </w:rPr>
      </w:pPr>
    </w:p>
    <w:p w14:paraId="588BEC96" w14:textId="77777777" w:rsidR="00923FDA" w:rsidRDefault="00923FDA">
      <w:pPr>
        <w:pStyle w:val="Heading6"/>
        <w:jc w:val="center"/>
        <w:rPr>
          <w:rFonts w:cs="David"/>
          <w:noProof w:val="0"/>
          <w:sz w:val="36"/>
          <w:szCs w:val="36"/>
          <w:u w:val="single"/>
          <w:rtl/>
        </w:rPr>
      </w:pPr>
      <w:bookmarkStart w:id="16" w:name="סוג_מסמך"/>
      <w:bookmarkStart w:id="17" w:name="PsakDin"/>
      <w:bookmarkEnd w:id="0"/>
      <w:r>
        <w:rPr>
          <w:rFonts w:cs="David"/>
          <w:noProof w:val="0"/>
          <w:sz w:val="36"/>
          <w:szCs w:val="36"/>
          <w:u w:val="single"/>
          <w:rtl/>
        </w:rPr>
        <w:t>הכרעת-דין</w:t>
      </w:r>
    </w:p>
    <w:bookmarkEnd w:id="17"/>
    <w:p w14:paraId="0B001189" w14:textId="77777777" w:rsidR="00923FDA" w:rsidRDefault="00923FDA">
      <w:pPr>
        <w:pStyle w:val="Heading6"/>
        <w:rPr>
          <w:rFonts w:cs="David"/>
          <w:noProof w:val="0"/>
          <w:sz w:val="32"/>
          <w:szCs w:val="32"/>
        </w:rPr>
      </w:pPr>
    </w:p>
    <w:p w14:paraId="1CAD5C7C" w14:textId="77777777" w:rsidR="00923FDA" w:rsidRDefault="00923FDA">
      <w:pPr>
        <w:pStyle w:val="Heading6"/>
        <w:rPr>
          <w:rFonts w:cs="David"/>
          <w:noProof w:val="0"/>
          <w:sz w:val="36"/>
          <w:szCs w:val="36"/>
        </w:rPr>
      </w:pPr>
      <w:r>
        <w:rPr>
          <w:rFonts w:cs="David"/>
          <w:noProof w:val="0"/>
          <w:sz w:val="32"/>
          <w:szCs w:val="32"/>
          <w:rtl/>
        </w:rPr>
        <w:t>נ</w:t>
      </w:r>
      <w:r>
        <w:rPr>
          <w:rFonts w:cs="David" w:hint="cs"/>
          <w:noProof w:val="0"/>
          <w:sz w:val="32"/>
          <w:szCs w:val="32"/>
          <w:rtl/>
        </w:rPr>
        <w:t xml:space="preserve">יתן בזאת צו איסור פרסום לגבי שם הנאשם והמתלונן או כל פרט מזהה </w:t>
      </w:r>
      <w:r>
        <w:rPr>
          <w:rFonts w:cs="David"/>
          <w:noProof w:val="0"/>
          <w:sz w:val="32"/>
          <w:szCs w:val="32"/>
          <w:rtl/>
        </w:rPr>
        <w:t>א</w:t>
      </w:r>
      <w:r>
        <w:rPr>
          <w:rFonts w:cs="David" w:hint="cs"/>
          <w:noProof w:val="0"/>
          <w:sz w:val="32"/>
          <w:szCs w:val="32"/>
          <w:rtl/>
        </w:rPr>
        <w:t>חר</w:t>
      </w:r>
    </w:p>
    <w:p w14:paraId="41C1BEDD" w14:textId="77777777" w:rsidR="00923FDA" w:rsidRDefault="00923FDA">
      <w:pPr>
        <w:spacing w:line="360" w:lineRule="auto"/>
        <w:rPr>
          <w:rFonts w:cs="David"/>
          <w:rtl/>
        </w:rPr>
      </w:pPr>
    </w:p>
    <w:p w14:paraId="40C3F881" w14:textId="77777777" w:rsidR="00923FDA" w:rsidRDefault="00923FDA">
      <w:pPr>
        <w:pStyle w:val="Heading6"/>
        <w:rPr>
          <w:rFonts w:cs="David"/>
          <w:noProof w:val="0"/>
          <w:sz w:val="32"/>
          <w:szCs w:val="32"/>
        </w:rPr>
      </w:pPr>
      <w:r>
        <w:rPr>
          <w:rFonts w:cs="David"/>
          <w:noProof w:val="0"/>
          <w:sz w:val="32"/>
          <w:szCs w:val="32"/>
          <w:rtl/>
        </w:rPr>
        <w:t>ה</w:t>
      </w:r>
      <w:r>
        <w:rPr>
          <w:rFonts w:cs="David" w:hint="cs"/>
          <w:noProof w:val="0"/>
          <w:sz w:val="32"/>
          <w:szCs w:val="32"/>
          <w:rtl/>
        </w:rPr>
        <w:t>שופטת ע' סלומון צ'רניאק</w:t>
      </w:r>
    </w:p>
    <w:p w14:paraId="39214CFF" w14:textId="77777777" w:rsidR="00923FDA" w:rsidRDefault="00923FDA">
      <w:pPr>
        <w:spacing w:line="360" w:lineRule="auto"/>
        <w:rPr>
          <w:rFonts w:cs="David"/>
          <w:rtl/>
        </w:rPr>
      </w:pPr>
    </w:p>
    <w:p w14:paraId="4D93AE33" w14:textId="77777777" w:rsidR="00923FDA" w:rsidRDefault="00923FDA">
      <w:pPr>
        <w:pStyle w:val="Heading4"/>
        <w:rPr>
          <w:rFonts w:cs="David"/>
          <w:b/>
          <w:bCs/>
          <w:noProof w:val="0"/>
          <w:sz w:val="28"/>
          <w:szCs w:val="28"/>
          <w:rtl/>
        </w:rPr>
      </w:pPr>
      <w:r>
        <w:rPr>
          <w:rFonts w:cs="David"/>
          <w:b/>
          <w:bCs/>
          <w:noProof w:val="0"/>
          <w:sz w:val="28"/>
          <w:szCs w:val="28"/>
          <w:rtl/>
        </w:rPr>
        <w:t>א</w:t>
      </w:r>
      <w:r>
        <w:rPr>
          <w:rFonts w:cs="David" w:hint="cs"/>
          <w:b/>
          <w:bCs/>
          <w:noProof w:val="0"/>
          <w:sz w:val="28"/>
          <w:szCs w:val="28"/>
          <w:rtl/>
        </w:rPr>
        <w:t>ישום ורקע</w:t>
      </w:r>
    </w:p>
    <w:bookmarkEnd w:id="16"/>
    <w:p w14:paraId="358EB305" w14:textId="77777777" w:rsidR="00923FDA" w:rsidRDefault="00923FDA">
      <w:pPr>
        <w:spacing w:line="360" w:lineRule="auto"/>
        <w:ind w:left="720" w:hanging="720"/>
        <w:rPr>
          <w:rFonts w:cs="David"/>
          <w:sz w:val="28"/>
          <w:szCs w:val="28"/>
          <w:rtl/>
        </w:rPr>
      </w:pPr>
      <w:r>
        <w:rPr>
          <w:rFonts w:cs="David"/>
          <w:sz w:val="28"/>
          <w:szCs w:val="28"/>
          <w:rtl/>
        </w:rPr>
        <w:t>1.</w:t>
      </w:r>
      <w:r>
        <w:rPr>
          <w:rFonts w:cs="David"/>
          <w:sz w:val="28"/>
          <w:szCs w:val="28"/>
          <w:rtl/>
        </w:rPr>
        <w:tab/>
      </w:r>
      <w:r>
        <w:rPr>
          <w:rFonts w:cs="David" w:hint="cs"/>
          <w:sz w:val="28"/>
          <w:szCs w:val="28"/>
          <w:rtl/>
        </w:rPr>
        <w:t xml:space="preserve">כנגד הנאשם יליד 1978 הוגש כתב אישום בתיק דנן (להלן - "האישום"), שייחס לו מעשה סדום בא.ב. יליד 8.10.89 (להלן - "המתלונן") בטרם מלאו לו 14 שנים וכשמלאו לו 14 שנים. </w:t>
      </w:r>
    </w:p>
    <w:p w14:paraId="3E768E26" w14:textId="77777777" w:rsidR="00923FDA" w:rsidRDefault="00923FDA">
      <w:pPr>
        <w:spacing w:line="360" w:lineRule="auto"/>
        <w:rPr>
          <w:rFonts w:cs="David"/>
          <w:sz w:val="28"/>
          <w:szCs w:val="28"/>
          <w:rtl/>
        </w:rPr>
      </w:pPr>
    </w:p>
    <w:p w14:paraId="65381EA5" w14:textId="77777777" w:rsidR="00923FDA" w:rsidRDefault="00923FDA">
      <w:pPr>
        <w:spacing w:line="360" w:lineRule="auto"/>
        <w:ind w:left="720"/>
        <w:rPr>
          <w:rFonts w:cs="David"/>
          <w:sz w:val="28"/>
          <w:szCs w:val="28"/>
          <w:rtl/>
        </w:rPr>
      </w:pPr>
      <w:r>
        <w:rPr>
          <w:rFonts w:cs="David"/>
          <w:sz w:val="28"/>
          <w:szCs w:val="28"/>
          <w:rtl/>
        </w:rPr>
        <w:lastRenderedPageBreak/>
        <w:t>א</w:t>
      </w:r>
      <w:r>
        <w:rPr>
          <w:rFonts w:cs="David" w:hint="cs"/>
          <w:sz w:val="28"/>
          <w:szCs w:val="28"/>
          <w:rtl/>
        </w:rPr>
        <w:t>נו מזכים את הנאשם לאחר שמצאנו, כמפורט להלן, שעדותו של המתלונן איננה בעלת משקל מספיק לבסס על פיה את הרשעתו של הנאשם בפלילים מעבר לספק סביר.</w:t>
      </w:r>
    </w:p>
    <w:p w14:paraId="34FC8DCA" w14:textId="77777777" w:rsidR="00923FDA" w:rsidRDefault="00923FDA">
      <w:pPr>
        <w:spacing w:line="360" w:lineRule="auto"/>
        <w:rPr>
          <w:rFonts w:cs="David"/>
          <w:sz w:val="28"/>
          <w:szCs w:val="28"/>
          <w:rtl/>
        </w:rPr>
      </w:pPr>
    </w:p>
    <w:p w14:paraId="57D83CCC" w14:textId="77777777" w:rsidR="00923FDA" w:rsidRDefault="00923FDA">
      <w:pPr>
        <w:spacing w:line="360" w:lineRule="auto"/>
        <w:ind w:left="720" w:hanging="720"/>
        <w:rPr>
          <w:rFonts w:cs="David"/>
          <w:sz w:val="28"/>
          <w:szCs w:val="28"/>
          <w:rtl/>
        </w:rPr>
      </w:pPr>
      <w:r>
        <w:rPr>
          <w:rFonts w:cs="David"/>
          <w:sz w:val="28"/>
          <w:szCs w:val="28"/>
          <w:rtl/>
        </w:rPr>
        <w:t>2.</w:t>
      </w:r>
      <w:r>
        <w:rPr>
          <w:rFonts w:cs="David"/>
          <w:sz w:val="28"/>
          <w:szCs w:val="28"/>
          <w:rtl/>
        </w:rPr>
        <w:tab/>
      </w:r>
      <w:r>
        <w:rPr>
          <w:rFonts w:cs="David" w:hint="cs"/>
          <w:sz w:val="28"/>
          <w:szCs w:val="28"/>
          <w:rtl/>
        </w:rPr>
        <w:t xml:space="preserve">עפ"י עובדות האישום, הנאשם והמתלונן הכירו באתר הכרויות באינטרנט בחדש יולי 2003 או בסמוך לכך (לפיכך, המתלונן היה אז בן 13 ותשעה חדשים ע.צ). </w:t>
      </w:r>
    </w:p>
    <w:p w14:paraId="1DA143B7" w14:textId="77777777" w:rsidR="00923FDA" w:rsidRDefault="00923FDA">
      <w:pPr>
        <w:spacing w:line="360" w:lineRule="auto"/>
        <w:ind w:left="720"/>
        <w:rPr>
          <w:rFonts w:cs="David"/>
          <w:sz w:val="28"/>
          <w:szCs w:val="28"/>
          <w:rtl/>
        </w:rPr>
      </w:pPr>
      <w:r>
        <w:rPr>
          <w:rFonts w:cs="David"/>
          <w:sz w:val="28"/>
          <w:szCs w:val="28"/>
          <w:rtl/>
        </w:rPr>
        <w:t>ט</w:t>
      </w:r>
      <w:r>
        <w:rPr>
          <w:rFonts w:cs="David" w:hint="cs"/>
          <w:sz w:val="28"/>
          <w:szCs w:val="28"/>
          <w:rtl/>
        </w:rPr>
        <w:t xml:space="preserve">רם פגישתם פנים אל פנים, הציג הנאשם את עצמו כבן 18 והמתלונן הציג את עצמו כבן 14. לאחר מספר ימים הנאשם והמתלונן נפגשו בקניון בחולון ואח"כ בשטח בית ספר גולדה, הורידו שניהם את התחתונים, הנאשם הכניס את איבר מינו לפיו של המתלונן עד שהגיע לפורקן מיני ולאחר מכן הכניס המתלונן את איבר מינו לפי הנאשם עד שהגיע לפורקן מיני. </w:t>
      </w:r>
    </w:p>
    <w:p w14:paraId="4EAF82A5" w14:textId="77777777" w:rsidR="00923FDA" w:rsidRDefault="00923FDA">
      <w:pPr>
        <w:spacing w:line="360" w:lineRule="auto"/>
        <w:ind w:left="720"/>
        <w:rPr>
          <w:rFonts w:cs="David"/>
          <w:sz w:val="28"/>
          <w:szCs w:val="28"/>
          <w:rtl/>
        </w:rPr>
      </w:pPr>
      <w:r>
        <w:rPr>
          <w:rFonts w:cs="David" w:hint="cs"/>
          <w:sz w:val="28"/>
          <w:szCs w:val="28"/>
          <w:rtl/>
        </w:rPr>
        <w:t xml:space="preserve">ארוע זה תואר באישום כ"ארוע הראשון" בגינו ייחסה המאשימה לנאשם עבירה של מעשה סדום בקטין שמלאו לו 14 שנה לפי </w:t>
      </w:r>
      <w:hyperlink r:id="rId11" w:history="1">
        <w:r w:rsidR="00F43FF5" w:rsidRPr="00F43FF5">
          <w:rPr>
            <w:rFonts w:cs="David"/>
            <w:color w:val="0000FF"/>
            <w:sz w:val="28"/>
            <w:szCs w:val="28"/>
            <w:u w:val="single"/>
            <w:rtl/>
          </w:rPr>
          <w:t>סעיף 347(א)(1)</w:t>
        </w:r>
      </w:hyperlink>
      <w:r>
        <w:rPr>
          <w:rFonts w:cs="David" w:hint="cs"/>
          <w:sz w:val="28"/>
          <w:szCs w:val="28"/>
          <w:rtl/>
        </w:rPr>
        <w:t xml:space="preserve"> רישא ל</w:t>
      </w:r>
      <w:hyperlink r:id="rId12" w:history="1">
        <w:r w:rsidR="00E3570F" w:rsidRPr="00E3570F">
          <w:rPr>
            <w:rStyle w:val="Hyperlink"/>
            <w:rFonts w:cs="David" w:hint="eastAsia"/>
            <w:sz w:val="28"/>
            <w:szCs w:val="28"/>
            <w:rtl/>
          </w:rPr>
          <w:t>חוק</w:t>
        </w:r>
        <w:r w:rsidR="00E3570F" w:rsidRPr="00E3570F">
          <w:rPr>
            <w:rStyle w:val="Hyperlink"/>
            <w:rFonts w:cs="David"/>
            <w:sz w:val="28"/>
            <w:szCs w:val="28"/>
            <w:rtl/>
          </w:rPr>
          <w:t xml:space="preserve"> העונשין</w:t>
        </w:r>
      </w:hyperlink>
      <w:r>
        <w:rPr>
          <w:rFonts w:cs="David" w:hint="cs"/>
          <w:sz w:val="28"/>
          <w:szCs w:val="28"/>
          <w:rtl/>
        </w:rPr>
        <w:t xml:space="preserve">, התשל"ז-1977 (להלן: </w:t>
      </w:r>
      <w:r>
        <w:rPr>
          <w:rFonts w:cs="David"/>
          <w:b/>
          <w:bCs/>
          <w:sz w:val="28"/>
          <w:szCs w:val="28"/>
          <w:rtl/>
        </w:rPr>
        <w:t>"</w:t>
      </w:r>
      <w:r>
        <w:rPr>
          <w:rFonts w:cs="David" w:hint="cs"/>
          <w:b/>
          <w:bCs/>
          <w:sz w:val="28"/>
          <w:szCs w:val="28"/>
          <w:rtl/>
        </w:rPr>
        <w:t>חוק העונשין"</w:t>
      </w:r>
      <w:r>
        <w:rPr>
          <w:rFonts w:cs="David"/>
          <w:sz w:val="28"/>
          <w:szCs w:val="28"/>
          <w:rtl/>
        </w:rPr>
        <w:t>).</w:t>
      </w:r>
    </w:p>
    <w:p w14:paraId="3E33D280" w14:textId="77777777" w:rsidR="00923FDA" w:rsidRDefault="00923FDA">
      <w:pPr>
        <w:spacing w:line="360" w:lineRule="auto"/>
        <w:ind w:left="720"/>
        <w:rPr>
          <w:rFonts w:cs="David"/>
          <w:sz w:val="28"/>
          <w:szCs w:val="28"/>
          <w:rtl/>
        </w:rPr>
      </w:pPr>
      <w:r>
        <w:rPr>
          <w:rFonts w:cs="David" w:hint="cs"/>
          <w:sz w:val="28"/>
          <w:szCs w:val="28"/>
          <w:rtl/>
        </w:rPr>
        <w:t>לפי עובדות האישום, מספר ימים לאחר הארוע הראשון טילפן הנאשם למתלונן וסיפר לו שהוא למעשה בן 24, אז סיפר המתלונן לנאשם שגם הוא שיקר ביחס לגילו ושהוא בן 13.</w:t>
      </w:r>
    </w:p>
    <w:p w14:paraId="651F5B2E" w14:textId="77777777" w:rsidR="00923FDA" w:rsidRDefault="00923FDA">
      <w:pPr>
        <w:spacing w:line="360" w:lineRule="auto"/>
        <w:rPr>
          <w:rFonts w:cs="David"/>
          <w:sz w:val="28"/>
          <w:szCs w:val="28"/>
          <w:rtl/>
        </w:rPr>
      </w:pPr>
    </w:p>
    <w:p w14:paraId="7EF9D603" w14:textId="77777777" w:rsidR="00923FDA" w:rsidRDefault="00923FDA">
      <w:pPr>
        <w:spacing w:line="360" w:lineRule="auto"/>
        <w:ind w:left="720"/>
        <w:rPr>
          <w:rFonts w:cs="David"/>
          <w:sz w:val="28"/>
          <w:szCs w:val="28"/>
          <w:rtl/>
        </w:rPr>
      </w:pPr>
      <w:r>
        <w:rPr>
          <w:rFonts w:cs="David"/>
          <w:sz w:val="28"/>
          <w:szCs w:val="28"/>
          <w:rtl/>
        </w:rPr>
        <w:t>מ</w:t>
      </w:r>
      <w:r>
        <w:rPr>
          <w:rFonts w:cs="David" w:hint="cs"/>
          <w:sz w:val="28"/>
          <w:szCs w:val="28"/>
          <w:rtl/>
        </w:rPr>
        <w:t xml:space="preserve">ספר ימים לאחר ההתוודות, לגביה נטען באישום כי נעשתה בשיחה טלפונית, הנאשם הוריד את תחתוניו הכניס את איבר מינו לפי המתלונן עד לפורקן מיני בהיותו עם המתלונן בחדר המדרגות בבית האחרון. </w:t>
      </w:r>
    </w:p>
    <w:p w14:paraId="51943D48" w14:textId="77777777" w:rsidR="00923FDA" w:rsidRDefault="00923FDA">
      <w:pPr>
        <w:spacing w:line="360" w:lineRule="auto"/>
        <w:rPr>
          <w:rFonts w:cs="David"/>
          <w:sz w:val="28"/>
          <w:szCs w:val="28"/>
          <w:rtl/>
        </w:rPr>
      </w:pPr>
    </w:p>
    <w:p w14:paraId="3EFFC74D" w14:textId="77777777" w:rsidR="00923FDA" w:rsidRDefault="00923FDA">
      <w:pPr>
        <w:spacing w:line="360" w:lineRule="auto"/>
        <w:ind w:left="720"/>
        <w:rPr>
          <w:rFonts w:cs="David"/>
          <w:sz w:val="28"/>
          <w:szCs w:val="28"/>
          <w:rtl/>
        </w:rPr>
      </w:pPr>
      <w:r>
        <w:rPr>
          <w:rFonts w:cs="David"/>
          <w:sz w:val="28"/>
          <w:szCs w:val="28"/>
          <w:rtl/>
        </w:rPr>
        <w:t>ע</w:t>
      </w:r>
      <w:r>
        <w:rPr>
          <w:rFonts w:cs="David" w:hint="cs"/>
          <w:sz w:val="28"/>
          <w:szCs w:val="28"/>
          <w:rtl/>
        </w:rPr>
        <w:t>וד נטען באישום כי בפגישה נוספת בין השניים לאחר כמה ימים, בבית ספר אחר בחולון החדיר הנאשם את איבר מינו לפי הטבעת של המתלונן כשהמתלונן שוכב על גבו ולאחר מכן באותו בית ספר הנאשם החדיר את איבר מינו לפי הטבעת של המתלונן כשהם בעמידה.</w:t>
      </w:r>
    </w:p>
    <w:p w14:paraId="758DAE22" w14:textId="77777777" w:rsidR="00923FDA" w:rsidRDefault="00923FDA">
      <w:pPr>
        <w:spacing w:line="360" w:lineRule="auto"/>
        <w:ind w:left="720"/>
        <w:rPr>
          <w:rFonts w:cs="David"/>
          <w:sz w:val="28"/>
          <w:szCs w:val="28"/>
          <w:rtl/>
        </w:rPr>
      </w:pPr>
      <w:r>
        <w:rPr>
          <w:rFonts w:cs="David" w:hint="cs"/>
          <w:sz w:val="28"/>
          <w:szCs w:val="28"/>
          <w:rtl/>
        </w:rPr>
        <w:t>כן נטען באישום, כי מספר ימים לאחר מכן בשרותים של איזור נטוש בחולון הנאשם החדיר את איבר מינו לפיו של המתלונן ולאחר מכן הכניס המתלונן את איבר מינו לפי הנאשם.</w:t>
      </w:r>
    </w:p>
    <w:p w14:paraId="575E5466" w14:textId="77777777" w:rsidR="00923FDA" w:rsidRDefault="00923FDA">
      <w:pPr>
        <w:spacing w:line="360" w:lineRule="auto"/>
        <w:ind w:left="720"/>
        <w:rPr>
          <w:rFonts w:cs="David"/>
          <w:sz w:val="28"/>
          <w:szCs w:val="28"/>
          <w:rtl/>
        </w:rPr>
      </w:pPr>
      <w:r>
        <w:rPr>
          <w:rFonts w:cs="David" w:hint="cs"/>
          <w:sz w:val="28"/>
          <w:szCs w:val="28"/>
          <w:rtl/>
        </w:rPr>
        <w:lastRenderedPageBreak/>
        <w:t xml:space="preserve">בגין מעשים מתוארים אלה ייחסה המאשימה לנאשם באישום עבירה של מעשה סדום בקטין מתחת לגיל 14 לפי </w:t>
      </w:r>
      <w:hyperlink r:id="rId13" w:history="1">
        <w:r w:rsidR="00F43FF5" w:rsidRPr="00F43FF5">
          <w:rPr>
            <w:rFonts w:cs="David"/>
            <w:color w:val="0000FF"/>
            <w:sz w:val="28"/>
            <w:szCs w:val="28"/>
            <w:u w:val="single"/>
            <w:rtl/>
          </w:rPr>
          <w:t>סעיף 347(ב)</w:t>
        </w:r>
      </w:hyperlink>
      <w:r>
        <w:rPr>
          <w:rFonts w:cs="David" w:hint="cs"/>
          <w:sz w:val="28"/>
          <w:szCs w:val="28"/>
          <w:rtl/>
        </w:rPr>
        <w:t xml:space="preserve"> בנסיבות </w:t>
      </w:r>
      <w:hyperlink r:id="rId14" w:history="1">
        <w:r w:rsidR="00F43FF5" w:rsidRPr="00F43FF5">
          <w:rPr>
            <w:rFonts w:cs="David"/>
            <w:color w:val="0000FF"/>
            <w:sz w:val="28"/>
            <w:szCs w:val="28"/>
            <w:u w:val="single"/>
            <w:rtl/>
          </w:rPr>
          <w:t>סעיף 345 (א)</w:t>
        </w:r>
        <w:r w:rsidR="00F43FF5" w:rsidRPr="00F43FF5">
          <w:rPr>
            <w:rFonts w:cs="David"/>
            <w:color w:val="0000FF"/>
            <w:sz w:val="28"/>
            <w:szCs w:val="28"/>
            <w:u w:val="single"/>
            <w:rtl/>
          </w:rPr>
          <w:cr/>
          <w:t>(3)</w:t>
        </w:r>
      </w:hyperlink>
      <w:r>
        <w:rPr>
          <w:rFonts w:cs="David" w:hint="cs"/>
          <w:sz w:val="28"/>
          <w:szCs w:val="28"/>
          <w:rtl/>
        </w:rPr>
        <w:t xml:space="preserve">  ל</w:t>
      </w:r>
      <w:hyperlink r:id="rId15" w:history="1">
        <w:r w:rsidR="00E3570F" w:rsidRPr="00E3570F">
          <w:rPr>
            <w:rStyle w:val="Hyperlink"/>
            <w:rFonts w:cs="David" w:hint="eastAsia"/>
            <w:sz w:val="28"/>
            <w:szCs w:val="28"/>
            <w:rtl/>
          </w:rPr>
          <w:t>חוק</w:t>
        </w:r>
        <w:r w:rsidR="00E3570F" w:rsidRPr="00E3570F">
          <w:rPr>
            <w:rStyle w:val="Hyperlink"/>
            <w:rFonts w:cs="David"/>
            <w:sz w:val="28"/>
            <w:szCs w:val="28"/>
            <w:rtl/>
          </w:rPr>
          <w:t xml:space="preserve"> העונשין</w:t>
        </w:r>
      </w:hyperlink>
      <w:r>
        <w:rPr>
          <w:rFonts w:cs="David" w:hint="cs"/>
          <w:sz w:val="28"/>
          <w:szCs w:val="28"/>
          <w:rtl/>
        </w:rPr>
        <w:t>.</w:t>
      </w:r>
    </w:p>
    <w:p w14:paraId="58D8A53E" w14:textId="77777777" w:rsidR="00923FDA" w:rsidRDefault="00923FDA">
      <w:pPr>
        <w:spacing w:line="360" w:lineRule="auto"/>
        <w:rPr>
          <w:rFonts w:cs="David"/>
          <w:sz w:val="28"/>
          <w:szCs w:val="28"/>
          <w:rtl/>
        </w:rPr>
      </w:pPr>
    </w:p>
    <w:p w14:paraId="0A4833B6" w14:textId="77777777" w:rsidR="00923FDA" w:rsidRDefault="00923FDA">
      <w:pPr>
        <w:spacing w:line="360" w:lineRule="auto"/>
        <w:ind w:left="720" w:hanging="720"/>
        <w:rPr>
          <w:rFonts w:cs="David"/>
          <w:sz w:val="28"/>
          <w:szCs w:val="28"/>
          <w:rtl/>
        </w:rPr>
      </w:pPr>
      <w:r>
        <w:rPr>
          <w:rFonts w:cs="David"/>
          <w:sz w:val="28"/>
          <w:szCs w:val="28"/>
          <w:rtl/>
        </w:rPr>
        <w:t>3.</w:t>
      </w:r>
      <w:r>
        <w:rPr>
          <w:rFonts w:cs="David"/>
          <w:sz w:val="28"/>
          <w:szCs w:val="28"/>
          <w:rtl/>
        </w:rPr>
        <w:tab/>
      </w:r>
      <w:r>
        <w:rPr>
          <w:rFonts w:cs="David" w:hint="cs"/>
          <w:sz w:val="28"/>
          <w:szCs w:val="28"/>
          <w:rtl/>
        </w:rPr>
        <w:t xml:space="preserve">שנתיים לאחר ארועי קיץ 2003 נשוא האישום, שוב נתקלו הנאשם והמתלונן זה בזה במסגרת צ'ט באינטרנט, נפגשו וקיימו מגעים בעלי אופי מיני (להלן </w:t>
      </w:r>
      <w:r>
        <w:rPr>
          <w:rFonts w:cs="David"/>
          <w:sz w:val="28"/>
          <w:szCs w:val="28"/>
          <w:rtl/>
        </w:rPr>
        <w:t>–</w:t>
      </w:r>
      <w:r>
        <w:rPr>
          <w:rFonts w:cs="David" w:hint="cs"/>
          <w:sz w:val="28"/>
          <w:szCs w:val="28"/>
          <w:rtl/>
        </w:rPr>
        <w:t xml:space="preserve"> </w:t>
      </w:r>
      <w:r>
        <w:rPr>
          <w:rFonts w:cs="David"/>
          <w:b/>
          <w:bCs/>
          <w:sz w:val="28"/>
          <w:szCs w:val="28"/>
          <w:rtl/>
        </w:rPr>
        <w:t>"</w:t>
      </w:r>
      <w:r>
        <w:rPr>
          <w:rFonts w:cs="David" w:hint="cs"/>
          <w:b/>
          <w:bCs/>
          <w:sz w:val="28"/>
          <w:szCs w:val="28"/>
          <w:rtl/>
        </w:rPr>
        <w:t>הארוע האחרון"</w:t>
      </w:r>
      <w:r>
        <w:rPr>
          <w:rFonts w:cs="David"/>
          <w:sz w:val="28"/>
          <w:szCs w:val="28"/>
          <w:rtl/>
        </w:rPr>
        <w:t xml:space="preserve">). </w:t>
      </w:r>
      <w:r>
        <w:rPr>
          <w:rFonts w:cs="David" w:hint="cs"/>
          <w:sz w:val="28"/>
          <w:szCs w:val="28"/>
          <w:rtl/>
        </w:rPr>
        <w:t xml:space="preserve">התלונה על העבירות נשוא האישום נעשתה בסמוך לאחר הארוע האחרון שאינו נושא לאישום. (ראה הצהרת ב"כ המאשימה בעמ' 14 לפרוטוקול ישיבת 11.12.06, לפיה במעשי הארוע האחרון </w:t>
      </w:r>
      <w:r>
        <w:rPr>
          <w:rFonts w:cs="David"/>
          <w:b/>
          <w:bCs/>
          <w:sz w:val="28"/>
          <w:szCs w:val="28"/>
          <w:rtl/>
        </w:rPr>
        <w:t>"</w:t>
      </w:r>
      <w:r>
        <w:rPr>
          <w:rFonts w:cs="David" w:hint="cs"/>
          <w:b/>
          <w:bCs/>
          <w:sz w:val="28"/>
          <w:szCs w:val="28"/>
          <w:rtl/>
        </w:rPr>
        <w:t>גם אין עבירה, זה פשוט התהליך שהוביל אחר כך פנייה למשטרה"</w:t>
      </w:r>
      <w:r>
        <w:rPr>
          <w:rFonts w:cs="David"/>
          <w:sz w:val="28"/>
          <w:szCs w:val="28"/>
          <w:rtl/>
        </w:rPr>
        <w:t xml:space="preserve">, </w:t>
      </w:r>
      <w:r>
        <w:rPr>
          <w:rFonts w:cs="David" w:hint="cs"/>
          <w:sz w:val="28"/>
          <w:szCs w:val="28"/>
          <w:rtl/>
        </w:rPr>
        <w:t xml:space="preserve">והוראות </w:t>
      </w:r>
      <w:hyperlink r:id="rId16" w:history="1">
        <w:r w:rsidR="00F43FF5" w:rsidRPr="00F43FF5">
          <w:rPr>
            <w:rStyle w:val="Hyperlink"/>
            <w:rFonts w:cs="David" w:hint="eastAsia"/>
            <w:sz w:val="28"/>
            <w:szCs w:val="28"/>
            <w:rtl/>
          </w:rPr>
          <w:t>סעיף</w:t>
        </w:r>
        <w:r w:rsidR="00F43FF5" w:rsidRPr="00F43FF5">
          <w:rPr>
            <w:rStyle w:val="Hyperlink"/>
            <w:rFonts w:cs="David"/>
            <w:sz w:val="28"/>
            <w:szCs w:val="28"/>
            <w:rtl/>
          </w:rPr>
          <w:t xml:space="preserve"> 347 (א)</w:t>
        </w:r>
      </w:hyperlink>
      <w:r>
        <w:rPr>
          <w:rFonts w:cs="David" w:hint="cs"/>
          <w:sz w:val="28"/>
          <w:szCs w:val="28"/>
          <w:rtl/>
        </w:rPr>
        <w:t xml:space="preserve"> ל</w:t>
      </w:r>
      <w:hyperlink r:id="rId17" w:history="1">
        <w:r w:rsidR="00E3570F" w:rsidRPr="00E3570F">
          <w:rPr>
            <w:rStyle w:val="Hyperlink"/>
            <w:rFonts w:cs="David" w:hint="eastAsia"/>
            <w:sz w:val="28"/>
            <w:szCs w:val="28"/>
            <w:rtl/>
          </w:rPr>
          <w:t>חוק</w:t>
        </w:r>
        <w:r w:rsidR="00E3570F" w:rsidRPr="00E3570F">
          <w:rPr>
            <w:rStyle w:val="Hyperlink"/>
            <w:rFonts w:cs="David"/>
            <w:sz w:val="28"/>
            <w:szCs w:val="28"/>
            <w:rtl/>
          </w:rPr>
          <w:t xml:space="preserve"> העונשין</w:t>
        </w:r>
      </w:hyperlink>
      <w:r>
        <w:rPr>
          <w:rFonts w:cs="David" w:hint="cs"/>
          <w:sz w:val="28"/>
          <w:szCs w:val="28"/>
          <w:rtl/>
        </w:rPr>
        <w:t xml:space="preserve"> לפיו בעילה אסורה בהסכמה חלה כשמדובר בקטינים שטרם מלאו להם 16 ומעל גיל זה רק אם המעשים בהסכמה היו תוך ניצול יחסי תלות מרות חינוך השגחה או הבטחת שווא לנישואין)</w:t>
      </w:r>
    </w:p>
    <w:p w14:paraId="0EF48E15" w14:textId="77777777" w:rsidR="00923FDA" w:rsidRDefault="00923FDA">
      <w:pPr>
        <w:spacing w:line="360" w:lineRule="auto"/>
        <w:rPr>
          <w:rFonts w:cs="David"/>
          <w:sz w:val="28"/>
          <w:szCs w:val="28"/>
          <w:rtl/>
        </w:rPr>
      </w:pPr>
    </w:p>
    <w:p w14:paraId="56FB819C" w14:textId="77777777" w:rsidR="00923FDA" w:rsidRDefault="00923FDA">
      <w:pPr>
        <w:spacing w:line="360" w:lineRule="auto"/>
        <w:ind w:left="720"/>
        <w:rPr>
          <w:rFonts w:cs="David"/>
          <w:sz w:val="28"/>
          <w:szCs w:val="28"/>
          <w:rtl/>
        </w:rPr>
      </w:pPr>
      <w:r>
        <w:rPr>
          <w:rFonts w:cs="David"/>
          <w:sz w:val="28"/>
          <w:szCs w:val="28"/>
          <w:rtl/>
        </w:rPr>
        <w:t>ה</w:t>
      </w:r>
      <w:r>
        <w:rPr>
          <w:rFonts w:cs="David" w:hint="cs"/>
          <w:sz w:val="28"/>
          <w:szCs w:val="28"/>
          <w:rtl/>
        </w:rPr>
        <w:t xml:space="preserve">ארוע האחרון נוגע אך לנושאי מהימנות שעלו בדבר עדות כבושה מצידו של המתלונן והמניע לתלונתו. המתלונן טען שרק עובר לאירוע האחרון (או בעקבותיו) הוא הפנים שנעשו כלפיו מעשי עבירה, זה המניע לתלונתו וההסבר להשתהותו ואילו הנאשם טען כי המתלונן טפל עליו אשמת שווא כנקמנות על אהבה נכזבת. </w:t>
      </w:r>
    </w:p>
    <w:p w14:paraId="09A8308A" w14:textId="77777777" w:rsidR="00923FDA" w:rsidRDefault="00923FDA">
      <w:pPr>
        <w:spacing w:line="360" w:lineRule="auto"/>
        <w:rPr>
          <w:rFonts w:cs="David"/>
          <w:sz w:val="28"/>
          <w:szCs w:val="28"/>
          <w:rtl/>
        </w:rPr>
      </w:pPr>
    </w:p>
    <w:p w14:paraId="145AE312" w14:textId="77777777" w:rsidR="00923FDA" w:rsidRDefault="00923FDA">
      <w:pPr>
        <w:pStyle w:val="Heading5"/>
        <w:rPr>
          <w:rFonts w:cs="David"/>
          <w:b/>
          <w:bCs/>
          <w:noProof w:val="0"/>
          <w:sz w:val="28"/>
          <w:szCs w:val="28"/>
          <w:rtl/>
        </w:rPr>
      </w:pPr>
      <w:r>
        <w:rPr>
          <w:rFonts w:cs="David"/>
          <w:b/>
          <w:bCs/>
          <w:noProof w:val="0"/>
          <w:sz w:val="28"/>
          <w:szCs w:val="28"/>
          <w:rtl/>
        </w:rPr>
        <w:t>ה</w:t>
      </w:r>
      <w:r>
        <w:rPr>
          <w:rFonts w:cs="David" w:hint="cs"/>
          <w:b/>
          <w:bCs/>
          <w:noProof w:val="0"/>
          <w:sz w:val="28"/>
          <w:szCs w:val="28"/>
          <w:rtl/>
        </w:rPr>
        <w:t>שאלה שבמחלוקת, גירסות הצדדים ודיון</w:t>
      </w:r>
    </w:p>
    <w:p w14:paraId="7DC5E135" w14:textId="77777777" w:rsidR="00923FDA" w:rsidRDefault="00923FDA">
      <w:pPr>
        <w:spacing w:line="360" w:lineRule="auto"/>
        <w:rPr>
          <w:rFonts w:cs="David"/>
          <w:sz w:val="28"/>
          <w:szCs w:val="28"/>
          <w:u w:val="single"/>
          <w:rtl/>
        </w:rPr>
      </w:pPr>
    </w:p>
    <w:p w14:paraId="2B5DACE2" w14:textId="77777777" w:rsidR="00923FDA" w:rsidRDefault="00923FDA">
      <w:pPr>
        <w:spacing w:line="360" w:lineRule="auto"/>
        <w:ind w:left="720" w:hanging="720"/>
        <w:rPr>
          <w:rFonts w:cs="David"/>
          <w:sz w:val="28"/>
          <w:szCs w:val="28"/>
          <w:rtl/>
        </w:rPr>
      </w:pPr>
      <w:r>
        <w:rPr>
          <w:rFonts w:cs="David"/>
          <w:sz w:val="28"/>
          <w:szCs w:val="28"/>
          <w:rtl/>
        </w:rPr>
        <w:t>4.</w:t>
      </w:r>
      <w:r>
        <w:rPr>
          <w:rFonts w:cs="David"/>
          <w:sz w:val="28"/>
          <w:szCs w:val="28"/>
          <w:rtl/>
        </w:rPr>
        <w:tab/>
      </w:r>
      <w:r>
        <w:rPr>
          <w:rFonts w:cs="David" w:hint="cs"/>
          <w:sz w:val="28"/>
          <w:szCs w:val="28"/>
          <w:rtl/>
        </w:rPr>
        <w:t xml:space="preserve">הנאשם לא כפר במעשים המיניים אלא בכך שידע או יכול היה לדעת את גילו האמיתי של המתלונן במועד הרלוונטי. גירסתו היתה שאמנם במסגרת החלפת הפרטים טרם פגישתם הראשונה נשוא הארוע הראשון, הוא אמר למתלונן שגילו 18 שנים אך לטענתו המתלונן אמר לו שהוא בן 16 שנים, ולא כנטען באישום, לפיו המתלונן מסר לו באותה עת שהוא בן 14 (ראו תגובה מתוקנת של הנאשם לאישום מיום 9.4.06 וכן עדות הנאשם במשפט לאמור: </w:t>
      </w:r>
      <w:r>
        <w:rPr>
          <w:rFonts w:cs="David"/>
          <w:b/>
          <w:bCs/>
          <w:sz w:val="28"/>
          <w:szCs w:val="28"/>
          <w:rtl/>
        </w:rPr>
        <w:t>"</w:t>
      </w:r>
      <w:r>
        <w:rPr>
          <w:rFonts w:cs="David" w:hint="cs"/>
          <w:b/>
          <w:bCs/>
          <w:sz w:val="28"/>
          <w:szCs w:val="28"/>
          <w:rtl/>
        </w:rPr>
        <w:t>שנתיים קודם לכן נכנסתי לאינטרנס לחדר צ'ט של הכרויות של הומואים... המתלונן התחיל לדבר איתי הוא אמר לי שהוא גם מחולון ושאל אותי בן כמה אני, כתבתי לו בחזרה שאני בן 18, בגלל שאז עוד הייתי בארון ולא רציתי לתת פרטים אישיים מזהים, בעיקר כשמדובר במישהו שהוא גם מחולון, מהסביבה שלי ויכול להכיר אותי. שאלתי בן כמה הוא והוא אמר לי שהוא בן 16 ולאחר שיחה קצרה של דקה הציע שמאחר ואנו קרובים שנפגש. הוא ביקש ללכת לתיכון גולדה לא רחוק ממקום מגורי וציין ששם אין אף אחד ותהיה לנו פרטיות, אולם לא הסכמתי ובמקום זאת הצעתי להיפגש בקניון ליד התיכון שזה מקום ציבורי ששם יהיה לי יותר נוח, כי בכל זאת זה פגישה עם אדם שאני לא מכיר וזה נראה לי יותר מתאים"</w:t>
      </w:r>
      <w:r>
        <w:rPr>
          <w:rFonts w:cs="David"/>
          <w:sz w:val="28"/>
          <w:szCs w:val="28"/>
          <w:rtl/>
        </w:rPr>
        <w:t xml:space="preserve"> (</w:t>
      </w:r>
      <w:r>
        <w:rPr>
          <w:rFonts w:cs="David" w:hint="cs"/>
          <w:sz w:val="28"/>
          <w:szCs w:val="28"/>
          <w:rtl/>
        </w:rPr>
        <w:t xml:space="preserve">ראו עמ' 1 לעדות ראשית של הנאשם שהוגשה בהסכמת הצדדים לפי החלטה מיום 3.6.07). </w:t>
      </w:r>
    </w:p>
    <w:p w14:paraId="43BE330B" w14:textId="77777777" w:rsidR="00923FDA" w:rsidRDefault="00923FDA">
      <w:pPr>
        <w:spacing w:line="360" w:lineRule="auto"/>
        <w:rPr>
          <w:rFonts w:cs="David"/>
          <w:sz w:val="28"/>
          <w:szCs w:val="28"/>
          <w:rtl/>
        </w:rPr>
      </w:pPr>
      <w:r>
        <w:rPr>
          <w:rFonts w:cs="David"/>
          <w:sz w:val="28"/>
          <w:szCs w:val="28"/>
          <w:rtl/>
        </w:rPr>
        <w:br w:type="page"/>
      </w:r>
    </w:p>
    <w:p w14:paraId="72B8F7C6" w14:textId="77777777" w:rsidR="00923FDA" w:rsidRDefault="00923FDA">
      <w:pPr>
        <w:spacing w:line="360" w:lineRule="auto"/>
        <w:ind w:left="720" w:hanging="720"/>
        <w:rPr>
          <w:rFonts w:cs="David"/>
          <w:sz w:val="28"/>
          <w:szCs w:val="28"/>
          <w:rtl/>
        </w:rPr>
      </w:pPr>
      <w:r>
        <w:rPr>
          <w:rFonts w:cs="David"/>
          <w:sz w:val="28"/>
          <w:szCs w:val="28"/>
          <w:rtl/>
        </w:rPr>
        <w:t>5.</w:t>
      </w:r>
      <w:r>
        <w:rPr>
          <w:rFonts w:cs="David"/>
          <w:sz w:val="28"/>
          <w:szCs w:val="28"/>
          <w:rtl/>
        </w:rPr>
        <w:tab/>
      </w:r>
      <w:r>
        <w:rPr>
          <w:rFonts w:cs="David" w:hint="cs"/>
          <w:sz w:val="28"/>
          <w:szCs w:val="28"/>
          <w:rtl/>
        </w:rPr>
        <w:t xml:space="preserve">עוד טען הנאשם כי אל נוכח התנהגות המתלונן בארוע הראשון וכן מראהו, לא היתה לו סיבה לפקפק, גם לא בעקבותיו, בגיל שמסר לו המתלונן בשיחתם באינטרנט כדלקמן: </w:t>
      </w:r>
      <w:r>
        <w:rPr>
          <w:rFonts w:cs="David"/>
          <w:b/>
          <w:bCs/>
          <w:sz w:val="28"/>
          <w:szCs w:val="28"/>
          <w:rtl/>
        </w:rPr>
        <w:t>"</w:t>
      </w:r>
      <w:r>
        <w:rPr>
          <w:rFonts w:cs="David" w:hint="cs"/>
          <w:b/>
          <w:bCs/>
          <w:sz w:val="28"/>
          <w:szCs w:val="28"/>
          <w:rtl/>
        </w:rPr>
        <w:t>במהלך הפגישה המתלונן עישן סיגריות אני זוכר את זה מאחר שהערתי לו על זה... הוא סיפר לי שהוא לא בארון כבר מגיל 12 ושכל חבריו וחברותיו יודעים עליו ושהוא עושה מה שבא לו. כשציינתי שהעישון שלו מפריע לי הוא רק צחק ולגלג עלי ואמר שאני חנון ושאני לא יגיד לו מה לעשות. לאחר מכן הוא התחיל לנשק אותי... הוא היה דומיננטי יותר מידי ואגרסיבי ולא ממש הייתי בטוח שזה מה שאני מחפש באותה תקופה... כשנפגשתי איתו הוא נראה לי לפחות בן 16. הוא היה בגובה שלי אולי קצת יותר. היה לו מבנה גוף רחב. הוא לבש חולצות רחבות גזורות בצווארון כך שאפשר היה לראות שערות מבצבצות מתחת לחולצה, בחזה ובבטן וכן זיפים קטנים בפנים... גם מבחינת ההתנהגות הוא התנהג כבן יותר מבן 16. הוא היה מלא בטחון עצמי, היתה לו כריזמה היה בטוח בעצמו וזה משך אותי, הייתי בטוח שהוא אכן לפחות בן 16 ואפילו בעל אופי מבוגר לגילו.  חשבתי שאפשר לפתח איתו מערכת יחסים ולכן שמחתי שהוא בוגר. לא רק שלא היה סממן לכך שהוא פחות מ- 16, אלא להפך חשבתי שלמרות שהוא בן 16 ההתנהגות שלו בוגרת בהרבה מעבר ל- 16 וכן גם המראה שלו וזה מה שמצא חן בעיני, ולכן נושא הגיל לא עלה בכלל ולא היתה שום סיבה להעלות אותו. בתחילת ההכרות הנושא עלה באינטרנט כשהוא הציג את עצמו בתור בן 16 וזהו..."</w:t>
      </w:r>
      <w:r>
        <w:rPr>
          <w:rFonts w:cs="David"/>
          <w:sz w:val="28"/>
          <w:szCs w:val="28"/>
          <w:rtl/>
        </w:rPr>
        <w:t xml:space="preserve"> (</w:t>
      </w:r>
      <w:r>
        <w:rPr>
          <w:rFonts w:cs="David" w:hint="cs"/>
          <w:sz w:val="28"/>
          <w:szCs w:val="28"/>
          <w:rtl/>
        </w:rPr>
        <w:t>עמ' 1, 2 לעדות הראשית של הנאשם).</w:t>
      </w:r>
    </w:p>
    <w:p w14:paraId="3D064B69" w14:textId="77777777" w:rsidR="00923FDA" w:rsidRDefault="00923FDA">
      <w:pPr>
        <w:spacing w:line="360" w:lineRule="auto"/>
        <w:rPr>
          <w:rFonts w:cs="David"/>
          <w:sz w:val="28"/>
          <w:szCs w:val="28"/>
          <w:rtl/>
        </w:rPr>
      </w:pPr>
    </w:p>
    <w:p w14:paraId="3587C4F3" w14:textId="77777777" w:rsidR="00923FDA" w:rsidRDefault="00923FDA">
      <w:pPr>
        <w:spacing w:line="360" w:lineRule="auto"/>
        <w:ind w:left="720" w:hanging="720"/>
        <w:rPr>
          <w:rFonts w:cs="David"/>
          <w:sz w:val="28"/>
          <w:szCs w:val="28"/>
          <w:rtl/>
        </w:rPr>
      </w:pPr>
      <w:r>
        <w:rPr>
          <w:rFonts w:cs="David"/>
          <w:sz w:val="28"/>
          <w:szCs w:val="28"/>
          <w:rtl/>
        </w:rPr>
        <w:t>6.</w:t>
      </w:r>
      <w:r>
        <w:rPr>
          <w:rFonts w:cs="David"/>
          <w:sz w:val="28"/>
          <w:szCs w:val="28"/>
          <w:rtl/>
        </w:rPr>
        <w:tab/>
      </w:r>
      <w:r>
        <w:rPr>
          <w:rFonts w:cs="David" w:hint="cs"/>
          <w:sz w:val="28"/>
          <w:szCs w:val="28"/>
          <w:rtl/>
        </w:rPr>
        <w:t xml:space="preserve">עוד טען הנאשם כי נושא הגיל לא עלה יותר במפגשיו עם המתלונן עד שהאחרון בא לפגישה עם חולצה של תנועת נוער ואז </w:t>
      </w:r>
      <w:r>
        <w:rPr>
          <w:rFonts w:cs="David"/>
          <w:b/>
          <w:bCs/>
          <w:sz w:val="28"/>
          <w:szCs w:val="28"/>
          <w:rtl/>
        </w:rPr>
        <w:t>"</w:t>
      </w:r>
      <w:r>
        <w:rPr>
          <w:rFonts w:cs="David" w:hint="cs"/>
          <w:b/>
          <w:bCs/>
          <w:sz w:val="28"/>
          <w:szCs w:val="28"/>
          <w:rtl/>
        </w:rPr>
        <w:t xml:space="preserve">צחקתי עליו ושאלתי אותו 'מה אתה ילד קטן בצופים', התחלתי לחקור ולשאול אותו אודות תנועת הנוער הזו ומה הוא עושה שם, הוא נעלב מזה ששאלתי אותו אם הוא ילד קטן, ואמר לי בתגובה שזו תנועת נוער פוליטית רצינית לא לילדים קטנים ושהוא מדריך בה, תוך כדי המפגש הוא קיבל שיחה ששאלתי אותו מי זה הוא אמר לי שזה המדריך שלו שביקש ממנו לחזור ואז שאלתי אותו איך זה יכול להיות אם הוא אמר לי לפני כמה דקות שהוא מדריך בעצמו בתנועת הנוער. אחרי שלחצתי עליו טיפה הוא בסוף הודה בפני ואמר לי 'אני לא בן 16 כמו שאמרתי לך אלא 14' הוא הוסיף גם שהוא לא אמר לי את זה לפני מפני שהגיל ממש לא משנה וזה דבר שולי מבחינתו ושאין לי מה להתייחס לענין שכן מה שחשוב שהוא אוהב אותי... היה ברור לי שהקשר נגמר בינינו באותו הרגע, אבל לא ידעתי איך להגיד לו את זה בדיוק שכן הוא אמר לי מספר דקות לפני כן שיש לו רגשות כלפי ושהוא אוהב אותי. לכן רציתי לנתק איתו את הקשר בעדינות, אז המשכתי לדבר איתו עוד חמש דקות בערך והלכתי לחשוב איך לסיים את הקשר. בסוף התקשרתי אליו למחרת וביקשתי להיפגש איתו. לא רציתי לעשות שיחה כזאת בטלפון. באתי לדבר איתו ליד תנועת הנוער. בשיחה זו אמרתי לו שאני מחבב אותו ושיש לי רגשות כלפיו אבל אני לא חושב שזה יסתדר. אנחנו צריכים להיפרד מאחר שהגיל שלך מפריע לי. אמרתי לו אם היית בן 16 אז אולי היה אפשר להמשיך ולהיפגש אבל בסיטואציה הזו אי אפשר. ב. התרגז  הוא אמר לי שהוא היה עם עוד אנשים בגילי ואפילו מבוגרים יותר ושאם ישנה אהבה אז הגיל לא חשוב ולא משנה. הוא גם אמר לי שלא אמר לי את הגיל שלו קודם כי זה לא היה משמעותי מבחינתו, אולי גם חשש שזאת תהיה תגובתי, לא יודע אמרתי לו שכדאי שנפרד וזה הדבר הכי טוב לשנינו ולכל אחד מאיתנו יש את העולם והעיסוקים שלו, לו יש את העסוקים שלו ולי את שלי, וזהו בזה נגמר הסיפור מבחינתי, למרות שהוספתי שאני תמיד זמין בפלאפון בשבילו ובכל בעיה או התייעצות כל שהיא אני שמח לעזור" </w:t>
      </w:r>
      <w:r>
        <w:rPr>
          <w:rFonts w:cs="David"/>
          <w:sz w:val="28"/>
          <w:szCs w:val="28"/>
          <w:rtl/>
        </w:rPr>
        <w:t>(</w:t>
      </w:r>
      <w:r>
        <w:rPr>
          <w:rFonts w:cs="David" w:hint="cs"/>
          <w:sz w:val="28"/>
          <w:szCs w:val="28"/>
          <w:rtl/>
        </w:rPr>
        <w:t xml:space="preserve">עמ' 4 לעדות ראשית של הנאשם). </w:t>
      </w:r>
    </w:p>
    <w:p w14:paraId="349B74E5" w14:textId="77777777" w:rsidR="00923FDA" w:rsidRDefault="00923FDA">
      <w:pPr>
        <w:spacing w:line="360" w:lineRule="auto"/>
        <w:rPr>
          <w:rFonts w:cs="David"/>
          <w:sz w:val="28"/>
          <w:szCs w:val="28"/>
          <w:rtl/>
        </w:rPr>
      </w:pPr>
    </w:p>
    <w:p w14:paraId="4AE04E22" w14:textId="77777777" w:rsidR="00923FDA" w:rsidRDefault="00923FDA">
      <w:pPr>
        <w:spacing w:line="360" w:lineRule="auto"/>
        <w:ind w:left="720" w:hanging="720"/>
        <w:rPr>
          <w:rFonts w:cs="David"/>
          <w:sz w:val="28"/>
          <w:szCs w:val="28"/>
          <w:rtl/>
        </w:rPr>
      </w:pPr>
      <w:r>
        <w:rPr>
          <w:rFonts w:cs="David"/>
          <w:sz w:val="28"/>
          <w:szCs w:val="28"/>
          <w:rtl/>
        </w:rPr>
        <w:t>7.</w:t>
      </w:r>
      <w:r>
        <w:rPr>
          <w:rFonts w:cs="David"/>
          <w:sz w:val="28"/>
          <w:szCs w:val="28"/>
          <w:rtl/>
        </w:rPr>
        <w:tab/>
      </w:r>
      <w:r>
        <w:rPr>
          <w:rFonts w:cs="David" w:hint="cs"/>
          <w:sz w:val="28"/>
          <w:szCs w:val="28"/>
          <w:rtl/>
        </w:rPr>
        <w:t xml:space="preserve">לציין שעוד בעימות שנערך במשטרה בין הנאשם למתלונן בתאריך 1.12.05 בשעה 14.50 (ראו נ/1 תמליל העימות וצפו בת/22 קלטת העימות), גרסת הנאשם היתה, שהמתלונן לא אמר לו אף פעם שהוא בן 13 ושכאשר אמר למתלונן שהוא בן 18 המתלונן אמר לו שהוא בן 16. אמנם עולה מהתמליל שהנאשם נקט שם בלשון "בסביבות 16", "אולי 16", אך בהודעת הנאשם במשטרה, שנגבתה ממנו באותו יום לאחר העימות (ראו ת/21 מיום 1.12.05 שעה 15.35), וגם בעדותו במשפט, הנאשם היה עקבי בגירסתו שבשיחת האינטרנט בינו לבין המתלונן (שקדמה לארוע הראשון) אמר לו המתלונן שהוא בן 16, וכי ניתק את הקשר עם המתלונן כאשר נודע לו שהמתלונן בן פחות מ- 16 (למעשה משאלת החוקרת המתחילה בשורה 329 עמ' 10 לת/1 נראה אמנם שגירסת הנאשם בעימות היא שהמתלונן אמר לו שהוא בן 16). </w:t>
      </w:r>
    </w:p>
    <w:p w14:paraId="1A223922" w14:textId="77777777" w:rsidR="00923FDA" w:rsidRDefault="00923FDA">
      <w:pPr>
        <w:spacing w:line="360" w:lineRule="auto"/>
        <w:rPr>
          <w:rFonts w:cs="David"/>
          <w:sz w:val="28"/>
          <w:szCs w:val="28"/>
          <w:rtl/>
        </w:rPr>
      </w:pPr>
    </w:p>
    <w:p w14:paraId="2DF68B78" w14:textId="77777777" w:rsidR="00923FDA" w:rsidRDefault="00923FDA">
      <w:pPr>
        <w:spacing w:line="360" w:lineRule="auto"/>
        <w:ind w:left="720"/>
        <w:rPr>
          <w:rFonts w:cs="David"/>
          <w:sz w:val="28"/>
          <w:szCs w:val="28"/>
          <w:rtl/>
        </w:rPr>
      </w:pPr>
      <w:r>
        <w:rPr>
          <w:rFonts w:cs="David"/>
          <w:sz w:val="28"/>
          <w:szCs w:val="28"/>
          <w:rtl/>
        </w:rPr>
        <w:t>א</w:t>
      </w:r>
      <w:r>
        <w:rPr>
          <w:rFonts w:cs="David" w:hint="cs"/>
          <w:sz w:val="28"/>
          <w:szCs w:val="28"/>
          <w:rtl/>
        </w:rPr>
        <w:t xml:space="preserve">כן לעימות בין הנאשם למתלונן ולהודעתו של הנאשם מאותו יום ת/21, קדמה חקירה  שנערכה לנאשם ב- 30.11.05 (ראו ת/19), ממנה נעדרת גירסתו דלעיל, אך מנגד, גם אין בה גירסה אחרת שונה או סותרת, כי אם טענה חוזרת של הנאשם כי הוא מבולבל, לחוץ וצריך לשחזר את הדברים וכי </w:t>
      </w:r>
      <w:r>
        <w:rPr>
          <w:rFonts w:cs="David"/>
          <w:b/>
          <w:bCs/>
          <w:sz w:val="28"/>
          <w:szCs w:val="28"/>
          <w:rtl/>
        </w:rPr>
        <w:t>"</w:t>
      </w:r>
      <w:r>
        <w:rPr>
          <w:rFonts w:cs="David" w:hint="cs"/>
          <w:b/>
          <w:bCs/>
          <w:sz w:val="28"/>
          <w:szCs w:val="28"/>
          <w:rtl/>
        </w:rPr>
        <w:t>הכל מעורפל אני לא זוכר פרטים"</w:t>
      </w:r>
      <w:r>
        <w:rPr>
          <w:rFonts w:cs="David"/>
          <w:sz w:val="28"/>
          <w:szCs w:val="28"/>
          <w:rtl/>
        </w:rPr>
        <w:t xml:space="preserve">. </w:t>
      </w:r>
      <w:r>
        <w:rPr>
          <w:rFonts w:cs="David" w:hint="cs"/>
          <w:sz w:val="28"/>
          <w:szCs w:val="28"/>
          <w:rtl/>
        </w:rPr>
        <w:t>כמו כן היא כוללת פרטים לגבי הארוע האחרון, שאושרו על ידי המתלונן בעדותו בבית המשפט, וביניהם העובדה, שבארוע האחרון הנאשם לא ידע שהוא משוחח או אמור להיפגש שוב עם המתלונן (שידע מראש שמדובר בנאשם) וכי כשנפגשו שאל את המתלונן במפורש אם הכירו בעבר (כי המתלונן נראה לו מוכר) והמתלונן הכחיש זאת.</w:t>
      </w:r>
    </w:p>
    <w:p w14:paraId="66514452" w14:textId="77777777" w:rsidR="00923FDA" w:rsidRDefault="00923FDA">
      <w:pPr>
        <w:spacing w:line="360" w:lineRule="auto"/>
        <w:rPr>
          <w:rFonts w:cs="David"/>
          <w:sz w:val="28"/>
          <w:szCs w:val="28"/>
          <w:rtl/>
        </w:rPr>
      </w:pPr>
    </w:p>
    <w:p w14:paraId="56B6F3CD" w14:textId="77777777" w:rsidR="00923FDA" w:rsidRDefault="00923FDA">
      <w:pPr>
        <w:spacing w:line="360" w:lineRule="auto"/>
        <w:ind w:left="720" w:hanging="720"/>
        <w:rPr>
          <w:rFonts w:cs="David"/>
          <w:sz w:val="28"/>
          <w:szCs w:val="28"/>
          <w:rtl/>
        </w:rPr>
      </w:pPr>
      <w:r>
        <w:rPr>
          <w:rFonts w:cs="David"/>
          <w:sz w:val="28"/>
          <w:szCs w:val="28"/>
          <w:rtl/>
        </w:rPr>
        <w:t>8.</w:t>
      </w:r>
      <w:r>
        <w:rPr>
          <w:rFonts w:cs="David"/>
          <w:sz w:val="28"/>
          <w:szCs w:val="28"/>
          <w:rtl/>
        </w:rPr>
        <w:tab/>
      </w:r>
      <w:r>
        <w:rPr>
          <w:rFonts w:cs="David" w:hint="cs"/>
          <w:sz w:val="28"/>
          <w:szCs w:val="28"/>
          <w:rtl/>
        </w:rPr>
        <w:t>אומר מיד, כי להודיית הנאשם ששיקר למתלונן בשיחת האינטרנט שקדמה לארוע הראשון  לגבי גילו אין נפקות לענין מהימנותו. הסברו של הנאשם על מניעיו לשקר זה מקובל עלי והתוודותו על שקר זה בפני המתלונן (עובדה שאינה במחלוקת) מוסיפה לנאשם נופך של הגינות כללית. ממילא, גם המתלונן הודה ששיקר באותה שיחה לגבי גילו ומה נפקא מינה.</w:t>
      </w:r>
    </w:p>
    <w:p w14:paraId="43B3DC89" w14:textId="77777777" w:rsidR="00923FDA" w:rsidRDefault="00923FDA">
      <w:pPr>
        <w:spacing w:line="360" w:lineRule="auto"/>
        <w:rPr>
          <w:rFonts w:cs="David"/>
          <w:sz w:val="28"/>
          <w:szCs w:val="28"/>
          <w:rtl/>
        </w:rPr>
      </w:pPr>
    </w:p>
    <w:p w14:paraId="66203E2C" w14:textId="77777777" w:rsidR="00923FDA" w:rsidRDefault="00923FDA">
      <w:pPr>
        <w:spacing w:line="360" w:lineRule="auto"/>
        <w:ind w:left="720"/>
        <w:rPr>
          <w:rFonts w:cs="David"/>
          <w:b/>
          <w:bCs/>
          <w:sz w:val="28"/>
          <w:szCs w:val="28"/>
          <w:rtl/>
        </w:rPr>
      </w:pPr>
      <w:r>
        <w:rPr>
          <w:rFonts w:cs="David"/>
          <w:sz w:val="28"/>
          <w:szCs w:val="28"/>
          <w:rtl/>
        </w:rPr>
        <w:t>א</w:t>
      </w:r>
      <w:r>
        <w:rPr>
          <w:rFonts w:cs="David" w:hint="cs"/>
          <w:sz w:val="28"/>
          <w:szCs w:val="28"/>
          <w:rtl/>
        </w:rPr>
        <w:t xml:space="preserve">ני דוחה כל רמז של בין השיטין מטעם המאשימה על אפשרות כלשהי שהנאשם הפחית מגילו בשיחה באינטרנט כדי ליצור קשר עם קטינים. להיפך, הוכח שהנאשם ניתק את הקשר עם המתלונן עקב גילו של המתלונן. לפחות פעמיים במהלך עדותו, אישר זאת המתלונן לאמור: </w:t>
      </w:r>
      <w:r>
        <w:rPr>
          <w:rFonts w:cs="David"/>
          <w:b/>
          <w:bCs/>
          <w:sz w:val="28"/>
          <w:szCs w:val="28"/>
          <w:rtl/>
        </w:rPr>
        <w:t>"</w:t>
      </w:r>
      <w:r>
        <w:rPr>
          <w:rFonts w:cs="David" w:hint="cs"/>
          <w:b/>
          <w:bCs/>
          <w:sz w:val="28"/>
          <w:szCs w:val="28"/>
          <w:rtl/>
        </w:rPr>
        <w:t>שופטת: ואיך זה הסתיים בעצם?  ת. רציתי שנהיה ביחד כי ככה זה כשגדולים, שוב, ואז הוא אמר לי שבגלל שאני בן 14 והוא בן, כאשר הייתי בן 13 והוא בן עשרים וארבע אז זה לא כל כך מתאים שנהיה ביחד זה לא כל כך מקובל".</w:t>
      </w:r>
    </w:p>
    <w:p w14:paraId="7DFE05FB" w14:textId="77777777" w:rsidR="00923FDA" w:rsidRDefault="00923FDA">
      <w:pPr>
        <w:spacing w:line="360" w:lineRule="auto"/>
        <w:ind w:firstLine="720"/>
        <w:rPr>
          <w:rFonts w:cs="David"/>
          <w:sz w:val="28"/>
          <w:szCs w:val="28"/>
          <w:rtl/>
        </w:rPr>
      </w:pPr>
      <w:r>
        <w:rPr>
          <w:rFonts w:cs="David"/>
          <w:sz w:val="28"/>
          <w:szCs w:val="28"/>
          <w:rtl/>
        </w:rPr>
        <w:t>ו</w:t>
      </w:r>
      <w:r>
        <w:rPr>
          <w:rFonts w:cs="David" w:hint="cs"/>
          <w:sz w:val="28"/>
          <w:szCs w:val="28"/>
          <w:rtl/>
        </w:rPr>
        <w:t xml:space="preserve">כן: </w:t>
      </w:r>
      <w:r>
        <w:rPr>
          <w:rFonts w:cs="David"/>
          <w:b/>
          <w:bCs/>
          <w:sz w:val="28"/>
          <w:szCs w:val="28"/>
          <w:rtl/>
        </w:rPr>
        <w:t>"</w:t>
      </w:r>
      <w:r>
        <w:rPr>
          <w:rFonts w:cs="David" w:hint="cs"/>
          <w:b/>
          <w:bCs/>
          <w:sz w:val="28"/>
          <w:szCs w:val="28"/>
          <w:rtl/>
        </w:rPr>
        <w:t xml:space="preserve">סניגור: הוא לא רצה ביחד, מה היה הסברו הגיל?  מתלונן: נכון" </w:t>
      </w:r>
    </w:p>
    <w:p w14:paraId="153872E2" w14:textId="77777777" w:rsidR="00923FDA" w:rsidRDefault="00923FDA">
      <w:pPr>
        <w:spacing w:line="360" w:lineRule="auto"/>
        <w:ind w:firstLine="720"/>
        <w:rPr>
          <w:rFonts w:cs="David"/>
          <w:sz w:val="28"/>
          <w:szCs w:val="28"/>
          <w:rtl/>
        </w:rPr>
      </w:pPr>
      <w:r>
        <w:rPr>
          <w:rFonts w:cs="David" w:hint="cs"/>
          <w:sz w:val="28"/>
          <w:szCs w:val="28"/>
          <w:rtl/>
        </w:rPr>
        <w:t>(עמ' 68 ו- 69 לפרוטוקול ישיבת 11.12.06).</w:t>
      </w:r>
    </w:p>
    <w:p w14:paraId="319C15F4" w14:textId="77777777" w:rsidR="00923FDA" w:rsidRDefault="00923FDA">
      <w:pPr>
        <w:spacing w:line="360" w:lineRule="auto"/>
        <w:rPr>
          <w:rFonts w:cs="David"/>
          <w:sz w:val="28"/>
          <w:szCs w:val="28"/>
          <w:rtl/>
        </w:rPr>
      </w:pPr>
    </w:p>
    <w:p w14:paraId="4C0300EA" w14:textId="77777777" w:rsidR="00923FDA" w:rsidRDefault="00923FDA">
      <w:pPr>
        <w:spacing w:line="360" w:lineRule="auto"/>
        <w:ind w:left="720"/>
        <w:rPr>
          <w:rFonts w:cs="David"/>
          <w:sz w:val="28"/>
          <w:szCs w:val="28"/>
          <w:rtl/>
        </w:rPr>
      </w:pPr>
      <w:r>
        <w:rPr>
          <w:rFonts w:cs="David"/>
          <w:sz w:val="28"/>
          <w:szCs w:val="28"/>
          <w:rtl/>
        </w:rPr>
        <w:t>ה</w:t>
      </w:r>
      <w:r>
        <w:rPr>
          <w:rFonts w:cs="David" w:hint="cs"/>
          <w:sz w:val="28"/>
          <w:szCs w:val="28"/>
          <w:rtl/>
        </w:rPr>
        <w:t xml:space="preserve">עובדה המוכחת שהקשר בין הנאשם למתלונן נותק עקב גילו של המתלונן סתרה, איפוא, כל אפשרות שלנאשם נטיה פלילית כמרומז, ללא בסיס, והוסיפה תמיכה לגירסת הנאשם בכללותה. יותר מזה, בתשובה של המתלונן דלעיל לשאלת בית המשפט ניתן לראות לפחות קצה הודיה מצידו של המתלונן בגירסת הנאשם שהמתלונן לא גילה לו שהוא בן 13 בשום שלב. </w:t>
      </w:r>
    </w:p>
    <w:p w14:paraId="2A46F198" w14:textId="77777777" w:rsidR="00923FDA" w:rsidRDefault="00923FDA">
      <w:pPr>
        <w:spacing w:line="360" w:lineRule="auto"/>
        <w:ind w:left="720"/>
        <w:rPr>
          <w:rFonts w:cs="David"/>
          <w:sz w:val="28"/>
          <w:szCs w:val="28"/>
          <w:rtl/>
        </w:rPr>
      </w:pPr>
      <w:r>
        <w:rPr>
          <w:rFonts w:cs="David" w:hint="cs"/>
          <w:sz w:val="28"/>
          <w:szCs w:val="28"/>
          <w:rtl/>
        </w:rPr>
        <w:t xml:space="preserve">כמו כן אפשר לראות בתשובה דלעיל קצה הודיה (שלא במודע) מצידו של המתלונן בגירסת הנאשם שכאשר התוודה בפני המתלונן שהינו בן 18 המתלונן לא תיקן את גילו מ- 16 ל- 14, והתיקון בגיל נעשה על ידי המתלונן רק באותו שלב שמיד לאחריו ניתק עימו הנאשם את הקשר ועל רקע זה. </w:t>
      </w:r>
    </w:p>
    <w:p w14:paraId="7EAF0CDC" w14:textId="77777777" w:rsidR="00923FDA" w:rsidRDefault="00923FDA">
      <w:pPr>
        <w:spacing w:line="360" w:lineRule="auto"/>
        <w:ind w:left="720"/>
        <w:rPr>
          <w:rFonts w:cs="David"/>
          <w:sz w:val="28"/>
          <w:szCs w:val="28"/>
          <w:rtl/>
        </w:rPr>
      </w:pPr>
      <w:r>
        <w:rPr>
          <w:rFonts w:cs="David" w:hint="cs"/>
          <w:sz w:val="28"/>
          <w:szCs w:val="28"/>
          <w:rtl/>
        </w:rPr>
        <w:t>בכל מקרה, יש בתשובה דלעיל כדי לתמוך במסקנה שהפרטים בהקשר לנקודה שבמחלוקת עומעמו אצל המתלונן.</w:t>
      </w:r>
    </w:p>
    <w:p w14:paraId="1C8D606A" w14:textId="77777777" w:rsidR="00923FDA" w:rsidRDefault="00923FDA">
      <w:pPr>
        <w:spacing w:line="360" w:lineRule="auto"/>
        <w:rPr>
          <w:rFonts w:cs="David"/>
          <w:sz w:val="28"/>
          <w:szCs w:val="28"/>
          <w:rtl/>
        </w:rPr>
      </w:pPr>
    </w:p>
    <w:p w14:paraId="76B88C29" w14:textId="77777777" w:rsidR="00923FDA" w:rsidRDefault="00923FDA">
      <w:pPr>
        <w:spacing w:line="360" w:lineRule="auto"/>
        <w:ind w:left="720"/>
        <w:rPr>
          <w:rFonts w:cs="David"/>
          <w:sz w:val="28"/>
          <w:szCs w:val="28"/>
          <w:rtl/>
        </w:rPr>
      </w:pPr>
      <w:r>
        <w:rPr>
          <w:rFonts w:cs="David"/>
          <w:sz w:val="28"/>
          <w:szCs w:val="28"/>
          <w:rtl/>
        </w:rPr>
        <w:t>א</w:t>
      </w:r>
      <w:r>
        <w:rPr>
          <w:rFonts w:cs="David" w:hint="cs"/>
          <w:sz w:val="28"/>
          <w:szCs w:val="28"/>
          <w:rtl/>
        </w:rPr>
        <w:t xml:space="preserve">ציין שהוכח, כי הפגישות בין המתלונן לנאשם הופסקו לחלוטין והנאשם הוא שניתק את הקשר חרף טענת המתלונן בחלקים אחרים של עדותו, כי הנאשם היה נכון לקיים עימו יחסי מין למרות גילו ורק סרב לקשר מונוגמי ביניהם, מימצא התומך יותר בגירסת הנאשם ובכל אופן שולל, כאמור, אפשרות שהנאשם כיוון לקשר עם קטינים. </w:t>
      </w:r>
    </w:p>
    <w:p w14:paraId="20E5EFF1" w14:textId="77777777" w:rsidR="00923FDA" w:rsidRDefault="00923FDA">
      <w:pPr>
        <w:spacing w:line="360" w:lineRule="auto"/>
        <w:rPr>
          <w:rFonts w:cs="David"/>
          <w:sz w:val="28"/>
          <w:szCs w:val="28"/>
          <w:rtl/>
        </w:rPr>
      </w:pPr>
    </w:p>
    <w:p w14:paraId="3032AB85" w14:textId="77777777" w:rsidR="00923FDA" w:rsidRDefault="00923FDA">
      <w:pPr>
        <w:spacing w:line="360" w:lineRule="auto"/>
        <w:ind w:left="720" w:hanging="720"/>
        <w:rPr>
          <w:rFonts w:cs="David"/>
          <w:sz w:val="28"/>
          <w:szCs w:val="28"/>
          <w:rtl/>
        </w:rPr>
      </w:pPr>
      <w:r>
        <w:rPr>
          <w:rFonts w:cs="David"/>
          <w:sz w:val="28"/>
          <w:szCs w:val="28"/>
          <w:rtl/>
        </w:rPr>
        <w:t>9.</w:t>
      </w:r>
      <w:r>
        <w:rPr>
          <w:rFonts w:cs="David"/>
          <w:sz w:val="28"/>
          <w:szCs w:val="28"/>
          <w:rtl/>
        </w:rPr>
        <w:tab/>
      </w:r>
      <w:r>
        <w:rPr>
          <w:rFonts w:cs="David" w:hint="cs"/>
          <w:sz w:val="28"/>
          <w:szCs w:val="28"/>
          <w:rtl/>
        </w:rPr>
        <w:t xml:space="preserve">כמו כן אין לראות בתגובתו של הנאשם לאישום במתכונתה מיום 17.1.06 בין השאר לאמור: </w:t>
      </w:r>
      <w:r>
        <w:rPr>
          <w:rFonts w:cs="David"/>
          <w:b/>
          <w:bCs/>
          <w:sz w:val="28"/>
          <w:szCs w:val="28"/>
          <w:rtl/>
        </w:rPr>
        <w:t>"</w:t>
      </w:r>
      <w:r>
        <w:rPr>
          <w:rFonts w:cs="David" w:hint="cs"/>
          <w:b/>
          <w:bCs/>
          <w:sz w:val="28"/>
          <w:szCs w:val="28"/>
          <w:rtl/>
        </w:rPr>
        <w:t xml:space="preserve">לגבי סעיף א' וב' אנו כופרים. הנאשם לא ידע את גילו האמיתי של המתלונן. המתלונן לא אמר לו את גילו האמיתי. בהתחלה הנאשם הציג עצמו כבן 18 ולאחר מכן הציג עצמו בגילו האמיתי. המתלונן לא טען שהוא בן 14 ולא 13, </w:t>
      </w:r>
      <w:r>
        <w:rPr>
          <w:rFonts w:cs="David"/>
          <w:b/>
          <w:bCs/>
          <w:sz w:val="28"/>
          <w:szCs w:val="28"/>
          <w:u w:val="single"/>
          <w:rtl/>
        </w:rPr>
        <w:t>ה</w:t>
      </w:r>
      <w:r>
        <w:rPr>
          <w:rFonts w:cs="David" w:hint="cs"/>
          <w:b/>
          <w:bCs/>
          <w:sz w:val="28"/>
          <w:szCs w:val="28"/>
          <w:u w:val="single"/>
          <w:rtl/>
        </w:rPr>
        <w:t xml:space="preserve">נאשם חשב שהוא כבן </w:t>
      </w:r>
      <w:r>
        <w:rPr>
          <w:rFonts w:cs="David"/>
          <w:b/>
          <w:bCs/>
          <w:sz w:val="28"/>
          <w:szCs w:val="28"/>
          <w:rtl/>
        </w:rPr>
        <w:t>16"</w:t>
      </w:r>
      <w:r>
        <w:rPr>
          <w:rFonts w:cs="David"/>
          <w:sz w:val="28"/>
          <w:szCs w:val="28"/>
          <w:rtl/>
        </w:rPr>
        <w:t xml:space="preserve"> (</w:t>
      </w:r>
      <w:r>
        <w:rPr>
          <w:rFonts w:cs="David" w:hint="cs"/>
          <w:sz w:val="28"/>
          <w:szCs w:val="28"/>
          <w:rtl/>
        </w:rPr>
        <w:t xml:space="preserve">ההדגשה שלי </w:t>
      </w:r>
      <w:r>
        <w:rPr>
          <w:rFonts w:cs="David"/>
          <w:sz w:val="28"/>
          <w:szCs w:val="28"/>
          <w:rtl/>
        </w:rPr>
        <w:t>–</w:t>
      </w:r>
      <w:r>
        <w:rPr>
          <w:rFonts w:cs="David" w:hint="cs"/>
          <w:sz w:val="28"/>
          <w:szCs w:val="28"/>
          <w:rtl/>
        </w:rPr>
        <w:t xml:space="preserve"> ע.צ.). משום ראיה העומדת לנאשם לרועץ, היות וסניגוריתו דאז לא זומנה בידי המאשימה להזים את עדותו המפורשת של הנאשם, כי תגובה זו לא שיקפה את גירסתו המדוייקת, ולכן גם החליף את הסניגורית בסניגור אחר. במיוחד ובפרט שהגירסה אותה טען שמסר לסנגוריתו דאז (אשר לא קיבלה ביטוי נאות מבחינתו בתגובה מיום 17.1.06) מצויה בעימות נ/1 ובהודעה ת/21 כך שאין לומר שזו צצה לראשונה מטעם הנאשם באופן מלאכותי במשפט. </w:t>
      </w:r>
    </w:p>
    <w:p w14:paraId="22EAE549" w14:textId="77777777" w:rsidR="00923FDA" w:rsidRDefault="00923FDA">
      <w:pPr>
        <w:spacing w:line="360" w:lineRule="auto"/>
        <w:rPr>
          <w:rFonts w:cs="David"/>
          <w:sz w:val="28"/>
          <w:szCs w:val="28"/>
          <w:rtl/>
        </w:rPr>
      </w:pPr>
    </w:p>
    <w:p w14:paraId="286ADE70" w14:textId="77777777" w:rsidR="00923FDA" w:rsidRDefault="00923FDA">
      <w:pPr>
        <w:spacing w:line="360" w:lineRule="auto"/>
        <w:ind w:left="720"/>
        <w:rPr>
          <w:rFonts w:cs="David"/>
          <w:sz w:val="28"/>
          <w:szCs w:val="28"/>
          <w:rtl/>
        </w:rPr>
      </w:pPr>
      <w:r>
        <w:rPr>
          <w:rFonts w:cs="David"/>
          <w:sz w:val="28"/>
          <w:szCs w:val="28"/>
          <w:rtl/>
        </w:rPr>
        <w:t>א</w:t>
      </w:r>
      <w:r>
        <w:rPr>
          <w:rFonts w:cs="David" w:hint="cs"/>
          <w:sz w:val="28"/>
          <w:szCs w:val="28"/>
          <w:rtl/>
        </w:rPr>
        <w:t xml:space="preserve">ין באמור לעיל, כדי  לומר או לרמוז, שסניגוריתו הקודמת של הנאשם פעלה, חלילה, בדרך שאינה מטיבה עם הנאשם, שכן יש להניח שהתגובה שנתנה אז בשם הנאשם באה לומר כי למצער לא היתה לנאשם כוונה פלילית משום שטעה טעות כנה וסבירה ביחס לעובדת גילו של המתלונן, זאת ותו לא. </w:t>
      </w:r>
    </w:p>
    <w:p w14:paraId="26E43C04" w14:textId="77777777" w:rsidR="00923FDA" w:rsidRDefault="00923FDA">
      <w:pPr>
        <w:spacing w:line="360" w:lineRule="auto"/>
        <w:rPr>
          <w:rFonts w:cs="David"/>
          <w:sz w:val="28"/>
          <w:szCs w:val="28"/>
          <w:rtl/>
        </w:rPr>
      </w:pPr>
    </w:p>
    <w:p w14:paraId="1CDF2A51" w14:textId="77777777" w:rsidR="00923FDA" w:rsidRDefault="00923FDA">
      <w:pPr>
        <w:spacing w:line="360" w:lineRule="auto"/>
        <w:ind w:left="720" w:hanging="720"/>
        <w:rPr>
          <w:rFonts w:cs="David"/>
          <w:sz w:val="28"/>
          <w:szCs w:val="28"/>
          <w:rtl/>
        </w:rPr>
      </w:pPr>
      <w:r>
        <w:rPr>
          <w:rFonts w:cs="David"/>
          <w:sz w:val="28"/>
          <w:szCs w:val="28"/>
          <w:rtl/>
        </w:rPr>
        <w:t>10.</w:t>
      </w:r>
      <w:r>
        <w:rPr>
          <w:rFonts w:cs="David"/>
          <w:sz w:val="28"/>
          <w:szCs w:val="28"/>
          <w:rtl/>
        </w:rPr>
        <w:tab/>
      </w:r>
      <w:r>
        <w:rPr>
          <w:rFonts w:cs="David" w:hint="cs"/>
          <w:sz w:val="28"/>
          <w:szCs w:val="28"/>
          <w:rtl/>
        </w:rPr>
        <w:t xml:space="preserve">עוד יש לומר, שלגירסת הנאשם על כך שהמתלונן פעל מתוך נקמנות בפנייתו למשטרה יש אחיזה בחומר הראיות. כך למשל, הודה המתלונן, שעובר לאירוע האחרון, היו לו מחשבות נקם ושרצה לעשות איתם משהו (ראו בן השאר עדות המתלונן בעמ' 55-53 לפרוטוקול ישיבת 11.12.06), הדברים אף עולים מ-ת/3, מכתב שהמתלונן הודה לבסוף שכתב לנאשם ואותו נשא באמתחתו בארוע האחרון, לאמור: </w:t>
      </w:r>
    </w:p>
    <w:p w14:paraId="38671621" w14:textId="77777777" w:rsidR="00923FDA" w:rsidRDefault="00923FDA">
      <w:pPr>
        <w:spacing w:line="360" w:lineRule="auto"/>
        <w:ind w:firstLine="720"/>
        <w:rPr>
          <w:rFonts w:cs="David"/>
          <w:sz w:val="28"/>
          <w:szCs w:val="28"/>
          <w:rtl/>
        </w:rPr>
      </w:pPr>
    </w:p>
    <w:p w14:paraId="65C8CC5F" w14:textId="77777777" w:rsidR="00923FDA" w:rsidRDefault="00923FDA">
      <w:pPr>
        <w:spacing w:line="360" w:lineRule="auto"/>
        <w:ind w:firstLine="720"/>
        <w:rPr>
          <w:rFonts w:cs="David"/>
          <w:b/>
          <w:bCs/>
          <w:sz w:val="28"/>
          <w:szCs w:val="28"/>
          <w:rtl/>
        </w:rPr>
      </w:pPr>
      <w:r>
        <w:rPr>
          <w:rFonts w:cs="David"/>
          <w:b/>
          <w:bCs/>
          <w:sz w:val="28"/>
          <w:szCs w:val="28"/>
          <w:rtl/>
        </w:rPr>
        <w:t>"</w:t>
      </w:r>
      <w:r>
        <w:rPr>
          <w:rFonts w:cs="David" w:hint="cs"/>
          <w:b/>
          <w:bCs/>
          <w:sz w:val="28"/>
          <w:szCs w:val="28"/>
          <w:rtl/>
        </w:rPr>
        <w:t>אתה בטח תוהה למה, חלאת המין האנושי שכמוך.</w:t>
      </w:r>
    </w:p>
    <w:p w14:paraId="6355574A" w14:textId="77777777" w:rsidR="00923FDA" w:rsidRDefault="00923FDA">
      <w:pPr>
        <w:spacing w:line="360" w:lineRule="auto"/>
        <w:ind w:left="720"/>
        <w:rPr>
          <w:rFonts w:cs="David"/>
          <w:b/>
          <w:bCs/>
          <w:sz w:val="28"/>
          <w:szCs w:val="28"/>
          <w:rtl/>
        </w:rPr>
      </w:pPr>
      <w:r>
        <w:rPr>
          <w:rFonts w:cs="David"/>
          <w:b/>
          <w:bCs/>
          <w:sz w:val="28"/>
          <w:szCs w:val="28"/>
          <w:rtl/>
        </w:rPr>
        <w:t>כ</w:t>
      </w:r>
      <w:r>
        <w:rPr>
          <w:rFonts w:cs="David" w:hint="cs"/>
          <w:b/>
          <w:bCs/>
          <w:sz w:val="28"/>
          <w:szCs w:val="28"/>
          <w:rtl/>
        </w:rPr>
        <w:t>מובן, ללכת, ולהשאיר אותך ככה, קשור ופגיע, נתון לחסדי הערסים משחקי הכדורגל לא רחוק, בלי הסבר ובלי כלום, היה משרת את המטרות שלי היטב.</w:t>
      </w:r>
    </w:p>
    <w:p w14:paraId="5C02989C" w14:textId="77777777" w:rsidR="00923FDA" w:rsidRDefault="00923FDA">
      <w:pPr>
        <w:spacing w:line="360" w:lineRule="auto"/>
        <w:ind w:firstLine="720"/>
        <w:rPr>
          <w:rFonts w:cs="David"/>
          <w:b/>
          <w:bCs/>
          <w:sz w:val="28"/>
          <w:szCs w:val="28"/>
          <w:rtl/>
        </w:rPr>
      </w:pPr>
      <w:r>
        <w:rPr>
          <w:rFonts w:cs="David"/>
          <w:b/>
          <w:bCs/>
          <w:sz w:val="28"/>
          <w:szCs w:val="28"/>
          <w:rtl/>
        </w:rPr>
        <w:t>ח</w:t>
      </w:r>
      <w:r>
        <w:rPr>
          <w:rFonts w:cs="David" w:hint="cs"/>
          <w:b/>
          <w:bCs/>
          <w:sz w:val="28"/>
          <w:szCs w:val="28"/>
          <w:rtl/>
        </w:rPr>
        <w:t>בל, חבל שאני לא כזה, כמוך. אז אני משאיר לך פתק.</w:t>
      </w:r>
    </w:p>
    <w:p w14:paraId="6AA573A2" w14:textId="77777777" w:rsidR="00923FDA" w:rsidRDefault="00923FDA">
      <w:pPr>
        <w:spacing w:line="360" w:lineRule="auto"/>
        <w:ind w:left="720"/>
        <w:rPr>
          <w:rFonts w:cs="David"/>
          <w:b/>
          <w:bCs/>
          <w:sz w:val="28"/>
          <w:szCs w:val="28"/>
          <w:rtl/>
        </w:rPr>
      </w:pPr>
      <w:r>
        <w:rPr>
          <w:rFonts w:cs="David"/>
          <w:b/>
          <w:bCs/>
          <w:sz w:val="28"/>
          <w:szCs w:val="28"/>
          <w:rtl/>
        </w:rPr>
        <w:t>א</w:t>
      </w:r>
      <w:r>
        <w:rPr>
          <w:rFonts w:cs="David" w:hint="cs"/>
          <w:b/>
          <w:bCs/>
          <w:sz w:val="28"/>
          <w:szCs w:val="28"/>
          <w:rtl/>
        </w:rPr>
        <w:t>תה זוכר, לפני כמה שנים, ילד בן 12, שאמרת לו שאתה בן 18, ושכבת איתו?</w:t>
      </w:r>
    </w:p>
    <w:p w14:paraId="6851FB52" w14:textId="77777777" w:rsidR="00923FDA" w:rsidRDefault="00923FDA">
      <w:pPr>
        <w:spacing w:line="360" w:lineRule="auto"/>
        <w:ind w:left="720"/>
        <w:rPr>
          <w:rFonts w:cs="David"/>
          <w:b/>
          <w:bCs/>
          <w:sz w:val="28"/>
          <w:szCs w:val="28"/>
          <w:rtl/>
        </w:rPr>
      </w:pPr>
      <w:r>
        <w:rPr>
          <w:rFonts w:cs="David" w:hint="cs"/>
          <w:b/>
          <w:bCs/>
          <w:sz w:val="28"/>
          <w:szCs w:val="28"/>
          <w:rtl/>
        </w:rPr>
        <w:t>אם אתה זוכר, אז לא תהיה לך שום בעיה להזכר באירוע שקרה ימים ספורים לאחר-מכן, כאשר התקשרת לאותו בן 12 ואמרת לו את האמת, שאתה בן 24, ואתה לא בחופשה באילת, אחרי סיום התיכון, אלא באוניברסיטת באר-שבע, לומד.</w:t>
      </w:r>
    </w:p>
    <w:p w14:paraId="2C236117" w14:textId="77777777" w:rsidR="00923FDA" w:rsidRDefault="00923FDA">
      <w:pPr>
        <w:spacing w:line="360" w:lineRule="auto"/>
        <w:ind w:left="720"/>
        <w:rPr>
          <w:rFonts w:cs="David"/>
          <w:b/>
          <w:bCs/>
          <w:sz w:val="28"/>
          <w:szCs w:val="28"/>
          <w:rtl/>
        </w:rPr>
      </w:pPr>
      <w:r>
        <w:rPr>
          <w:rFonts w:cs="David" w:hint="cs"/>
          <w:b/>
          <w:bCs/>
          <w:sz w:val="28"/>
          <w:szCs w:val="28"/>
          <w:rtl/>
        </w:rPr>
        <w:t>אפילו שכבת איתו כמה פעמים אחרי זה. שירותים-ציבוריים, מרתף של בית כנסת, כמה בתי ספר יסודיים. כשהילד בן 12, באופן טבעי, רצה למסד איתך את העסק, אמרת לו, באופן טבעי, שאתה לא בעניין. ניתקת איתו קשר, כי הוא כבר לא היה כזה זיון קל.</w:t>
      </w:r>
    </w:p>
    <w:p w14:paraId="64508333" w14:textId="77777777" w:rsidR="00923FDA" w:rsidRDefault="00923FDA">
      <w:pPr>
        <w:spacing w:line="360" w:lineRule="auto"/>
        <w:ind w:left="720"/>
        <w:rPr>
          <w:rFonts w:cs="David"/>
          <w:b/>
          <w:bCs/>
          <w:sz w:val="28"/>
          <w:szCs w:val="28"/>
          <w:rtl/>
        </w:rPr>
      </w:pPr>
      <w:r>
        <w:rPr>
          <w:rFonts w:cs="David" w:hint="cs"/>
          <w:b/>
          <w:bCs/>
          <w:sz w:val="28"/>
          <w:szCs w:val="28"/>
          <w:rtl/>
        </w:rPr>
        <w:t>אחרי שנה או שנתיים נתקלת בו, במפתיע, והוא, ואולי אתה כבר לא זוכרים איך. קבעתם לצאת לסרט. הוא ביטל לך בדקה האחרונה. סיבותיו שמורות במערכת.</w:t>
      </w:r>
    </w:p>
    <w:p w14:paraId="7FC61F2E" w14:textId="77777777" w:rsidR="00923FDA" w:rsidRDefault="00923FDA">
      <w:pPr>
        <w:spacing w:line="360" w:lineRule="auto"/>
        <w:ind w:firstLine="720"/>
        <w:rPr>
          <w:rFonts w:cs="David"/>
          <w:b/>
          <w:bCs/>
          <w:sz w:val="28"/>
          <w:szCs w:val="28"/>
          <w:rtl/>
        </w:rPr>
      </w:pPr>
      <w:r>
        <w:rPr>
          <w:rFonts w:cs="David"/>
          <w:b/>
          <w:bCs/>
          <w:sz w:val="28"/>
          <w:szCs w:val="28"/>
          <w:rtl/>
        </w:rPr>
        <w:t>א</w:t>
      </w:r>
      <w:r>
        <w:rPr>
          <w:rFonts w:cs="David" w:hint="cs"/>
          <w:b/>
          <w:bCs/>
          <w:sz w:val="28"/>
          <w:szCs w:val="28"/>
          <w:rtl/>
        </w:rPr>
        <w:t>ל תפנה למשטרה.</w:t>
      </w:r>
    </w:p>
    <w:p w14:paraId="6EA717E0" w14:textId="77777777" w:rsidR="00923FDA" w:rsidRDefault="00923FDA">
      <w:pPr>
        <w:spacing w:line="360" w:lineRule="auto"/>
        <w:ind w:firstLine="720"/>
        <w:rPr>
          <w:rFonts w:cs="David"/>
          <w:b/>
          <w:bCs/>
          <w:sz w:val="28"/>
          <w:szCs w:val="28"/>
          <w:rtl/>
        </w:rPr>
      </w:pPr>
      <w:r>
        <w:rPr>
          <w:rFonts w:cs="David" w:hint="cs"/>
          <w:b/>
          <w:bCs/>
          <w:sz w:val="28"/>
          <w:szCs w:val="28"/>
          <w:rtl/>
        </w:rPr>
        <w:t>כי אם תפנה, אחזיר לך קונטרה משלי.</w:t>
      </w:r>
    </w:p>
    <w:p w14:paraId="1B4BE96F" w14:textId="77777777" w:rsidR="00923FDA" w:rsidRDefault="00923FDA">
      <w:pPr>
        <w:spacing w:line="360" w:lineRule="auto"/>
        <w:ind w:left="720"/>
        <w:rPr>
          <w:rFonts w:cs="David"/>
          <w:b/>
          <w:bCs/>
          <w:sz w:val="28"/>
          <w:szCs w:val="28"/>
          <w:rtl/>
        </w:rPr>
      </w:pPr>
      <w:r>
        <w:rPr>
          <w:rFonts w:cs="David"/>
          <w:b/>
          <w:bCs/>
          <w:sz w:val="28"/>
          <w:szCs w:val="28"/>
          <w:rtl/>
        </w:rPr>
        <w:t>א</w:t>
      </w:r>
      <w:r>
        <w:rPr>
          <w:rFonts w:cs="David" w:hint="cs"/>
          <w:b/>
          <w:bCs/>
          <w:sz w:val="28"/>
          <w:szCs w:val="28"/>
          <w:rtl/>
        </w:rPr>
        <w:t>ני לא חושב שתצליח בעולם הרפואה [אתה לומד רפואה, אם אני זוכר נכון?] עם תיק כמו סקס עם קטין. ועוד בן 12. אם בכלל תתעניין ברפואה אחרי שתשתחרר מהכלא.</w:t>
      </w:r>
    </w:p>
    <w:p w14:paraId="4A4700F2" w14:textId="77777777" w:rsidR="00923FDA" w:rsidRDefault="00923FDA">
      <w:pPr>
        <w:spacing w:line="360" w:lineRule="auto"/>
        <w:ind w:firstLine="720"/>
        <w:rPr>
          <w:rFonts w:cs="David"/>
          <w:b/>
          <w:bCs/>
          <w:sz w:val="28"/>
          <w:szCs w:val="28"/>
          <w:rtl/>
        </w:rPr>
      </w:pPr>
      <w:r>
        <w:rPr>
          <w:rFonts w:cs="David"/>
          <w:b/>
          <w:bCs/>
          <w:sz w:val="28"/>
          <w:szCs w:val="28"/>
          <w:rtl/>
        </w:rPr>
        <w:t>נ</w:t>
      </w:r>
      <w:r>
        <w:rPr>
          <w:rFonts w:cs="David" w:hint="cs"/>
          <w:b/>
          <w:bCs/>
          <w:sz w:val="28"/>
          <w:szCs w:val="28"/>
          <w:rtl/>
        </w:rPr>
        <w:t>חירי מתרחבות בהנאה סדיסטית.</w:t>
      </w:r>
    </w:p>
    <w:p w14:paraId="20FC118B" w14:textId="77777777" w:rsidR="00923FDA" w:rsidRDefault="00923FDA">
      <w:pPr>
        <w:spacing w:line="360" w:lineRule="auto"/>
        <w:ind w:firstLine="720"/>
        <w:rPr>
          <w:rFonts w:cs="David"/>
          <w:b/>
          <w:bCs/>
          <w:sz w:val="28"/>
          <w:szCs w:val="28"/>
          <w:rtl/>
        </w:rPr>
      </w:pPr>
      <w:r>
        <w:rPr>
          <w:rFonts w:cs="David" w:hint="cs"/>
          <w:b/>
          <w:bCs/>
          <w:sz w:val="28"/>
          <w:szCs w:val="28"/>
          <w:rtl/>
        </w:rPr>
        <w:t>זמן לשלם, אפס, זמן לשלם.</w:t>
      </w:r>
    </w:p>
    <w:p w14:paraId="0139BBDF" w14:textId="77777777" w:rsidR="00923FDA" w:rsidRDefault="00923FDA">
      <w:pPr>
        <w:spacing w:line="360" w:lineRule="auto"/>
        <w:ind w:firstLine="720"/>
        <w:rPr>
          <w:rFonts w:cs="David"/>
          <w:b/>
          <w:bCs/>
          <w:sz w:val="28"/>
          <w:szCs w:val="28"/>
          <w:rtl/>
        </w:rPr>
      </w:pPr>
      <w:r>
        <w:rPr>
          <w:rFonts w:cs="David" w:hint="cs"/>
          <w:b/>
          <w:bCs/>
          <w:sz w:val="28"/>
          <w:szCs w:val="28"/>
          <w:rtl/>
        </w:rPr>
        <w:t>כי איך אומרים?</w:t>
      </w:r>
    </w:p>
    <w:p w14:paraId="1EE8FA3C" w14:textId="77777777" w:rsidR="00923FDA" w:rsidRDefault="00923FDA">
      <w:pPr>
        <w:spacing w:line="360" w:lineRule="auto"/>
        <w:ind w:firstLine="720"/>
        <w:rPr>
          <w:rFonts w:cs="David"/>
          <w:b/>
          <w:bCs/>
          <w:sz w:val="28"/>
          <w:szCs w:val="28"/>
          <w:rtl/>
        </w:rPr>
      </w:pPr>
      <w:r>
        <w:rPr>
          <w:rFonts w:cs="David" w:hint="cs"/>
          <w:b/>
          <w:bCs/>
          <w:sz w:val="28"/>
          <w:szCs w:val="28"/>
          <w:rtl/>
        </w:rPr>
        <w:t>שברת, שילמת.".</w:t>
      </w:r>
    </w:p>
    <w:p w14:paraId="6AD48751" w14:textId="77777777" w:rsidR="00923FDA" w:rsidRDefault="00923FDA">
      <w:pPr>
        <w:spacing w:line="360" w:lineRule="auto"/>
        <w:rPr>
          <w:rFonts w:cs="David"/>
          <w:sz w:val="28"/>
          <w:szCs w:val="28"/>
          <w:rtl/>
        </w:rPr>
      </w:pPr>
    </w:p>
    <w:p w14:paraId="76582A9E" w14:textId="77777777" w:rsidR="00923FDA" w:rsidRDefault="00923FDA">
      <w:pPr>
        <w:spacing w:line="360" w:lineRule="auto"/>
        <w:ind w:left="720"/>
        <w:rPr>
          <w:rFonts w:cs="David"/>
          <w:sz w:val="28"/>
          <w:szCs w:val="28"/>
          <w:rtl/>
        </w:rPr>
      </w:pPr>
      <w:r>
        <w:rPr>
          <w:rFonts w:cs="David"/>
          <w:sz w:val="28"/>
          <w:szCs w:val="28"/>
          <w:rtl/>
        </w:rPr>
        <w:t>ב</w:t>
      </w:r>
      <w:r>
        <w:rPr>
          <w:rFonts w:cs="David" w:hint="cs"/>
          <w:sz w:val="28"/>
          <w:szCs w:val="28"/>
          <w:rtl/>
        </w:rPr>
        <w:t>תחילה טען הנאשם שהמכתב נכתב לעצמו ולא לנאשם ומדובר במכתב דמיוני שנועד לאחרים, אך בסופו של דבר הודה שהמכתב יועד לנאשם ונכתב מתוך תכנון של נקמה בנאשם, כשהכוונה היתה, ככל הנראה, לקשור את הנאשם ולהשאירו עירום במקום מבודד עם המכתב הנ"ל (שהיה בתיקו) ולכן גם נאמר במכתב: "אל תפנה למשטרה כי אם תפנה אחזיר לך קונטרה משלי" (יתלונן עליו). זאת, בניגוד לטענת המאשימה בסיכומיה שת/3 נכתב ל"מגירה".</w:t>
      </w:r>
    </w:p>
    <w:p w14:paraId="2F67DF1E" w14:textId="77777777" w:rsidR="00923FDA" w:rsidRDefault="00923FDA">
      <w:pPr>
        <w:spacing w:line="360" w:lineRule="auto"/>
        <w:rPr>
          <w:rFonts w:cs="David"/>
          <w:sz w:val="28"/>
          <w:szCs w:val="28"/>
          <w:rtl/>
        </w:rPr>
      </w:pPr>
      <w:r>
        <w:rPr>
          <w:rFonts w:cs="David"/>
          <w:sz w:val="28"/>
          <w:szCs w:val="28"/>
          <w:rtl/>
        </w:rPr>
        <w:t xml:space="preserve"> </w:t>
      </w:r>
    </w:p>
    <w:p w14:paraId="3EE75525" w14:textId="77777777" w:rsidR="00923FDA" w:rsidRDefault="00923FDA">
      <w:pPr>
        <w:spacing w:line="360" w:lineRule="auto"/>
        <w:ind w:left="720"/>
        <w:rPr>
          <w:rFonts w:cs="David"/>
          <w:sz w:val="28"/>
          <w:szCs w:val="28"/>
          <w:rtl/>
        </w:rPr>
      </w:pPr>
      <w:r>
        <w:rPr>
          <w:rFonts w:cs="David"/>
          <w:sz w:val="28"/>
          <w:szCs w:val="28"/>
          <w:rtl/>
        </w:rPr>
        <w:t>י</w:t>
      </w:r>
      <w:r>
        <w:rPr>
          <w:rFonts w:cs="David" w:hint="cs"/>
          <w:sz w:val="28"/>
          <w:szCs w:val="28"/>
          <w:rtl/>
        </w:rPr>
        <w:t xml:space="preserve">חד עם זאת, מעשה נקם (הגם שניתן לראות בו מניע אפשרי) אינו גורר מניה וביה מסקנה שהוא מבוסס על עלילת שווא דווקא. גם אם המניע לתלונת המתלונן במשטרה היה נעוץ ברצון לנקום בנאשם אין בכך כדי להעיד באופן אוטומטי כי התלונה כוזבת. אינני קובעת שהמתלונן טווה עלילה שקרית מכוונת זדונית כנגד הנאשם. יותר מתקבל על דעתי בנסיבות המאוד מיוחדות שנפרשו בתיק זה, שבעת פנייתו למשטרה, המתלונן האמין בצידקת תלונתו כאז כן היום. </w:t>
      </w:r>
    </w:p>
    <w:p w14:paraId="4BBA3EB6" w14:textId="77777777" w:rsidR="00923FDA" w:rsidRDefault="00923FDA">
      <w:pPr>
        <w:spacing w:line="360" w:lineRule="auto"/>
        <w:rPr>
          <w:rFonts w:cs="David"/>
          <w:sz w:val="28"/>
          <w:szCs w:val="28"/>
          <w:rtl/>
        </w:rPr>
      </w:pPr>
    </w:p>
    <w:p w14:paraId="4304B6E4" w14:textId="77777777" w:rsidR="00923FDA" w:rsidRDefault="00923FDA">
      <w:pPr>
        <w:spacing w:line="360" w:lineRule="auto"/>
        <w:ind w:left="720" w:hanging="720"/>
        <w:rPr>
          <w:rFonts w:cs="David"/>
          <w:sz w:val="28"/>
          <w:szCs w:val="28"/>
          <w:rtl/>
        </w:rPr>
      </w:pPr>
      <w:r>
        <w:rPr>
          <w:rFonts w:cs="David"/>
          <w:sz w:val="28"/>
          <w:szCs w:val="28"/>
          <w:rtl/>
        </w:rPr>
        <w:t>11.</w:t>
      </w:r>
      <w:r>
        <w:rPr>
          <w:rFonts w:cs="David"/>
          <w:sz w:val="28"/>
          <w:szCs w:val="28"/>
          <w:rtl/>
        </w:rPr>
        <w:tab/>
      </w:r>
      <w:r>
        <w:rPr>
          <w:rFonts w:cs="David" w:hint="cs"/>
          <w:sz w:val="28"/>
          <w:szCs w:val="28"/>
          <w:rtl/>
        </w:rPr>
        <w:t>אוסיף שמצבו הנפשי של המתלונן אינו יכול להוות בנסיבות המקרה חיזוק לגירסתו בנקודה שבמחלוקת היות והמעשים המיניים לא הוכחשו ומאחר והוכח שהמתלונן נפגע מאוד גם מקשרים קודמים שלו עם מבוגרים אחרים שניצלוהו, לטענתו.</w:t>
      </w:r>
    </w:p>
    <w:p w14:paraId="26E91C73" w14:textId="77777777" w:rsidR="00923FDA" w:rsidRDefault="00923FDA">
      <w:pPr>
        <w:spacing w:line="360" w:lineRule="auto"/>
        <w:rPr>
          <w:rFonts w:cs="David"/>
          <w:sz w:val="28"/>
          <w:szCs w:val="28"/>
          <w:rtl/>
        </w:rPr>
      </w:pPr>
      <w:r>
        <w:rPr>
          <w:rFonts w:cs="David"/>
          <w:sz w:val="28"/>
          <w:szCs w:val="28"/>
          <w:rtl/>
        </w:rPr>
        <w:br w:type="page"/>
      </w:r>
    </w:p>
    <w:p w14:paraId="57F53687" w14:textId="77777777" w:rsidR="00923FDA" w:rsidRDefault="00923FDA">
      <w:pPr>
        <w:spacing w:line="360" w:lineRule="auto"/>
        <w:ind w:left="720" w:hanging="720"/>
        <w:rPr>
          <w:rFonts w:cs="David"/>
          <w:sz w:val="28"/>
          <w:szCs w:val="28"/>
          <w:rtl/>
        </w:rPr>
      </w:pPr>
      <w:r>
        <w:rPr>
          <w:rFonts w:cs="David"/>
          <w:sz w:val="28"/>
          <w:szCs w:val="28"/>
          <w:rtl/>
        </w:rPr>
        <w:t>12.</w:t>
      </w:r>
      <w:r>
        <w:rPr>
          <w:rFonts w:cs="David"/>
          <w:sz w:val="28"/>
          <w:szCs w:val="28"/>
          <w:rtl/>
        </w:rPr>
        <w:tab/>
      </w:r>
      <w:r>
        <w:rPr>
          <w:rFonts w:cs="David" w:hint="cs"/>
          <w:sz w:val="28"/>
          <w:szCs w:val="28"/>
          <w:rtl/>
        </w:rPr>
        <w:t xml:space="preserve">השאלה הנוקבת היא, האם עוצמת גירסתו של המתלונן לגבי הנקודה המצומצמת מאוד שבמחלוקת, היא כזו שניתן באופן נחרץ להשתית עליה הרשעה בפלילים כאשר מדובר בגרסה מול גרסה, בזכרנו את מרחק הזמן בין הארועים לתלונה והשלכותיו האפשריות - מבחינת טשטוש הנתונים לגבי השאלה שבמחלוקת </w:t>
      </w:r>
      <w:r>
        <w:rPr>
          <w:rFonts w:cs="David"/>
          <w:sz w:val="28"/>
          <w:szCs w:val="28"/>
          <w:rtl/>
        </w:rPr>
        <w:t>–</w:t>
      </w:r>
      <w:r>
        <w:rPr>
          <w:rFonts w:cs="David" w:hint="cs"/>
          <w:sz w:val="28"/>
          <w:szCs w:val="28"/>
          <w:rtl/>
        </w:rPr>
        <w:t xml:space="preserve"> על כל אחת מהן. </w:t>
      </w:r>
    </w:p>
    <w:p w14:paraId="7539AF35" w14:textId="77777777" w:rsidR="00923FDA" w:rsidRDefault="00923FDA">
      <w:pPr>
        <w:spacing w:line="360" w:lineRule="auto"/>
        <w:rPr>
          <w:rFonts w:cs="David"/>
          <w:sz w:val="28"/>
          <w:szCs w:val="28"/>
          <w:rtl/>
        </w:rPr>
      </w:pPr>
    </w:p>
    <w:p w14:paraId="4103801C" w14:textId="77777777" w:rsidR="00923FDA" w:rsidRDefault="00923FDA">
      <w:pPr>
        <w:spacing w:line="360" w:lineRule="auto"/>
        <w:ind w:left="720"/>
        <w:rPr>
          <w:rFonts w:cs="David"/>
          <w:sz w:val="28"/>
          <w:szCs w:val="28"/>
          <w:rtl/>
        </w:rPr>
      </w:pPr>
      <w:r>
        <w:rPr>
          <w:rFonts w:cs="David"/>
          <w:sz w:val="28"/>
          <w:szCs w:val="28"/>
          <w:rtl/>
        </w:rPr>
        <w:t>מ</w:t>
      </w:r>
      <w:r>
        <w:rPr>
          <w:rFonts w:cs="David" w:hint="cs"/>
          <w:sz w:val="28"/>
          <w:szCs w:val="28"/>
          <w:rtl/>
        </w:rPr>
        <w:t xml:space="preserve">בחינת המתלונן הדיון האינטנסיבי והדיש האינסופי (עם עצמו ועם סביבתו הקרובה) בפסיפס הנתונים העובדתיים והרגשיים, שאינו פוסל אפשרות סבירה שאלה עומעמו ונתערפלו במהלכו, אפשרות שיש לה יסוד ממשי בעדות המתלונן (ראו למשל עדותו בעמ' 3, 4, 6, 7 וכן בעמות נ/1). מבחינת הנאשם, תלונה שנפלה עליו כרעם ביום בהיר לאחר שנתיים שהכילו קשרים אחרים שחלקם החל מן הסתם באותה דרך בה הכיר את המתלונן, נתון שאיננו פוסל אפשרות סבירה שגם הוא התקשה בזכירת הפרטים המדוייקים כפי שארע בת/19 </w:t>
      </w:r>
      <w:r>
        <w:rPr>
          <w:rFonts w:cs="David"/>
          <w:sz w:val="28"/>
          <w:szCs w:val="28"/>
          <w:rtl/>
        </w:rPr>
        <w:t>–</w:t>
      </w:r>
      <w:r>
        <w:rPr>
          <w:rFonts w:cs="David" w:hint="cs"/>
          <w:sz w:val="28"/>
          <w:szCs w:val="28"/>
          <w:rtl/>
        </w:rPr>
        <w:t xml:space="preserve"> הודעתו הראשונה במשטרה. </w:t>
      </w:r>
    </w:p>
    <w:p w14:paraId="3E5695C1" w14:textId="77777777" w:rsidR="00923FDA" w:rsidRDefault="00923FDA">
      <w:pPr>
        <w:spacing w:line="360" w:lineRule="auto"/>
        <w:rPr>
          <w:rFonts w:cs="David"/>
          <w:sz w:val="28"/>
          <w:szCs w:val="28"/>
          <w:rtl/>
        </w:rPr>
      </w:pPr>
    </w:p>
    <w:p w14:paraId="1ABBCFF4" w14:textId="77777777" w:rsidR="00923FDA" w:rsidRDefault="00923FDA">
      <w:pPr>
        <w:spacing w:line="360" w:lineRule="auto"/>
        <w:ind w:left="720" w:hanging="720"/>
        <w:rPr>
          <w:rFonts w:cs="David"/>
          <w:sz w:val="28"/>
          <w:szCs w:val="28"/>
          <w:rtl/>
        </w:rPr>
      </w:pPr>
      <w:r>
        <w:rPr>
          <w:rFonts w:cs="David"/>
          <w:sz w:val="28"/>
          <w:szCs w:val="28"/>
          <w:rtl/>
        </w:rPr>
        <w:t>13.</w:t>
      </w:r>
      <w:r>
        <w:rPr>
          <w:rFonts w:cs="David"/>
          <w:sz w:val="28"/>
          <w:szCs w:val="28"/>
          <w:rtl/>
        </w:rPr>
        <w:tab/>
      </w:r>
      <w:r>
        <w:rPr>
          <w:rFonts w:cs="David" w:hint="cs"/>
          <w:sz w:val="28"/>
          <w:szCs w:val="28"/>
          <w:rtl/>
        </w:rPr>
        <w:t xml:space="preserve">אומר ברורות, כי על פי חומר הראיות, אני שוללת את האפשרות, שהנאשם יכול היה לעמוד על גילו האמיתי של המתלונן או לחשוד בגילו האמיתי של המתלונן על פי מראהו והתנהגותו. </w:t>
      </w:r>
    </w:p>
    <w:p w14:paraId="32257804" w14:textId="77777777" w:rsidR="00923FDA" w:rsidRDefault="00923FDA">
      <w:pPr>
        <w:spacing w:line="360" w:lineRule="auto"/>
        <w:ind w:left="720"/>
        <w:rPr>
          <w:rFonts w:cs="David"/>
          <w:sz w:val="28"/>
          <w:szCs w:val="28"/>
          <w:rtl/>
        </w:rPr>
      </w:pPr>
      <w:r>
        <w:rPr>
          <w:rFonts w:cs="David"/>
          <w:sz w:val="28"/>
          <w:szCs w:val="28"/>
          <w:rtl/>
        </w:rPr>
        <w:t>ג</w:t>
      </w:r>
      <w:r>
        <w:rPr>
          <w:rFonts w:cs="David" w:hint="cs"/>
          <w:sz w:val="28"/>
          <w:szCs w:val="28"/>
          <w:rtl/>
        </w:rPr>
        <w:t xml:space="preserve">ירסת הנאשם בענין זה קיבלה חיזוק משמעותי לא רק בכך שהמתלונן לא הזים אותה בעדותו במשפט, אף שיכול היה, משום שהנושא עלה עוד בחקירת הנאשם במשטרה, אלא שבנוסף אף העיד כי באותה עת רצה להצטייר כמבוגר יותר מגילו האמיתי. בין השאר, הסביר המתלונן, כי </w:t>
      </w:r>
      <w:r>
        <w:rPr>
          <w:rFonts w:cs="David"/>
          <w:b/>
          <w:bCs/>
          <w:sz w:val="28"/>
          <w:szCs w:val="28"/>
          <w:rtl/>
        </w:rPr>
        <w:t>"</w:t>
      </w:r>
      <w:r>
        <w:rPr>
          <w:rFonts w:cs="David" w:hint="cs"/>
          <w:b/>
          <w:bCs/>
          <w:sz w:val="28"/>
          <w:szCs w:val="28"/>
          <w:rtl/>
        </w:rPr>
        <w:t xml:space="preserve">נכנסתי לצ'ט כשהייתי בן 13 זה היה כמה חדשים לפני גיל 14 וחיפשתי רציתי להתנסות, רציתי להיות גדול כי ככה זה כי גדולים מקיימים יחסי מין" </w:t>
      </w:r>
      <w:r>
        <w:rPr>
          <w:rFonts w:cs="David"/>
          <w:sz w:val="28"/>
          <w:szCs w:val="28"/>
          <w:rtl/>
        </w:rPr>
        <w:t xml:space="preserve">( </w:t>
      </w:r>
      <w:r>
        <w:rPr>
          <w:rFonts w:cs="David" w:hint="cs"/>
          <w:sz w:val="28"/>
          <w:szCs w:val="28"/>
          <w:rtl/>
        </w:rPr>
        <w:t>עמ' 3 לפרוטוקול ישיבת 11.12.06).</w:t>
      </w:r>
    </w:p>
    <w:p w14:paraId="627A0A04" w14:textId="77777777" w:rsidR="00923FDA" w:rsidRDefault="00923FDA">
      <w:pPr>
        <w:spacing w:line="360" w:lineRule="auto"/>
        <w:ind w:left="720"/>
        <w:rPr>
          <w:rFonts w:cs="David"/>
          <w:sz w:val="28"/>
          <w:szCs w:val="28"/>
          <w:rtl/>
        </w:rPr>
      </w:pPr>
      <w:r>
        <w:rPr>
          <w:rFonts w:cs="David" w:hint="cs"/>
          <w:sz w:val="28"/>
          <w:szCs w:val="28"/>
          <w:rtl/>
        </w:rPr>
        <w:t xml:space="preserve">עפ"י הגיון דברים זה שהמתלונן הניח, סביר לחשוב, שגם במפגשים פנים אל פנים המתלונן ניסה בהתאם לשוות לעצמו דמות מבוגרת יותר מגילו האמיתי. </w:t>
      </w:r>
    </w:p>
    <w:p w14:paraId="7EDF301D" w14:textId="77777777" w:rsidR="00923FDA" w:rsidRDefault="00923FDA">
      <w:pPr>
        <w:spacing w:line="360" w:lineRule="auto"/>
        <w:rPr>
          <w:rFonts w:cs="David"/>
          <w:sz w:val="28"/>
          <w:szCs w:val="28"/>
          <w:rtl/>
        </w:rPr>
      </w:pPr>
    </w:p>
    <w:p w14:paraId="5345C19E" w14:textId="77777777" w:rsidR="00923FDA" w:rsidRDefault="00923FDA">
      <w:pPr>
        <w:spacing w:line="360" w:lineRule="auto"/>
        <w:ind w:left="720" w:hanging="720"/>
        <w:rPr>
          <w:rFonts w:cs="David"/>
          <w:sz w:val="28"/>
          <w:szCs w:val="28"/>
          <w:rtl/>
        </w:rPr>
      </w:pPr>
      <w:r>
        <w:rPr>
          <w:rFonts w:cs="David"/>
          <w:sz w:val="28"/>
          <w:szCs w:val="28"/>
          <w:rtl/>
        </w:rPr>
        <w:t>14.</w:t>
      </w:r>
      <w:r>
        <w:rPr>
          <w:rFonts w:cs="David"/>
          <w:sz w:val="28"/>
          <w:szCs w:val="28"/>
          <w:rtl/>
        </w:rPr>
        <w:tab/>
      </w:r>
      <w:r>
        <w:rPr>
          <w:rFonts w:cs="David" w:hint="cs"/>
          <w:sz w:val="28"/>
          <w:szCs w:val="28"/>
          <w:rtl/>
        </w:rPr>
        <w:t xml:space="preserve">גם בעימות (נ/1) כאשר הנאשם והמתלונן נשארו לבדם בחדר, כשאמר הנאשם למתלונן </w:t>
      </w:r>
      <w:r>
        <w:rPr>
          <w:rFonts w:cs="David"/>
          <w:b/>
          <w:bCs/>
          <w:sz w:val="28"/>
          <w:szCs w:val="28"/>
          <w:rtl/>
        </w:rPr>
        <w:t>"</w:t>
      </w:r>
      <w:r>
        <w:rPr>
          <w:rFonts w:cs="David" w:hint="cs"/>
          <w:b/>
          <w:bCs/>
          <w:sz w:val="28"/>
          <w:szCs w:val="28"/>
          <w:rtl/>
        </w:rPr>
        <w:t>אבל אתה תמיד היית עם בטחון עצמי הרבה יותר ממני"</w:t>
      </w:r>
      <w:r>
        <w:rPr>
          <w:rFonts w:cs="David"/>
          <w:sz w:val="28"/>
          <w:szCs w:val="28"/>
          <w:rtl/>
        </w:rPr>
        <w:t xml:space="preserve">, </w:t>
      </w:r>
      <w:r>
        <w:rPr>
          <w:rFonts w:cs="David" w:hint="cs"/>
          <w:sz w:val="28"/>
          <w:szCs w:val="28"/>
          <w:rtl/>
        </w:rPr>
        <w:t xml:space="preserve">השיב המתלונן </w:t>
      </w:r>
      <w:r>
        <w:rPr>
          <w:rFonts w:cs="David"/>
          <w:b/>
          <w:bCs/>
          <w:sz w:val="28"/>
          <w:szCs w:val="28"/>
          <w:rtl/>
        </w:rPr>
        <w:t>"</w:t>
      </w:r>
      <w:r>
        <w:rPr>
          <w:rFonts w:cs="David" w:hint="cs"/>
          <w:b/>
          <w:bCs/>
          <w:sz w:val="28"/>
          <w:szCs w:val="28"/>
          <w:rtl/>
        </w:rPr>
        <w:t>כושר משחק לא רלבנטי"</w:t>
      </w:r>
      <w:r>
        <w:rPr>
          <w:rFonts w:cs="David"/>
          <w:sz w:val="28"/>
          <w:szCs w:val="28"/>
          <w:rtl/>
        </w:rPr>
        <w:t xml:space="preserve">. </w:t>
      </w:r>
      <w:r>
        <w:rPr>
          <w:rFonts w:cs="David" w:hint="cs"/>
          <w:sz w:val="28"/>
          <w:szCs w:val="28"/>
          <w:rtl/>
        </w:rPr>
        <w:t xml:space="preserve">וכשחזר הנאשם ואמר למתלונן </w:t>
      </w:r>
      <w:r>
        <w:rPr>
          <w:rFonts w:cs="David"/>
          <w:b/>
          <w:bCs/>
          <w:sz w:val="28"/>
          <w:szCs w:val="28"/>
          <w:rtl/>
        </w:rPr>
        <w:t>"</w:t>
      </w:r>
      <w:r>
        <w:rPr>
          <w:rFonts w:cs="David" w:hint="cs"/>
          <w:b/>
          <w:bCs/>
          <w:sz w:val="28"/>
          <w:szCs w:val="28"/>
          <w:rtl/>
        </w:rPr>
        <w:t>אבל אני אומר שאתה תמיד היית עם בטחון הרבה יותר עצמי ממני וניסיון הרבה יותר ואני בחיים לא ידעתי שאתה בן 13, אתה גם לא אמרת לי ולא היה לי שום אפשרות אחרת לדעת"</w:t>
      </w:r>
      <w:r>
        <w:rPr>
          <w:rFonts w:cs="David"/>
          <w:sz w:val="28"/>
          <w:szCs w:val="28"/>
          <w:rtl/>
        </w:rPr>
        <w:t xml:space="preserve">, </w:t>
      </w:r>
      <w:r>
        <w:rPr>
          <w:rFonts w:cs="David" w:hint="cs"/>
          <w:sz w:val="28"/>
          <w:szCs w:val="28"/>
          <w:rtl/>
        </w:rPr>
        <w:t xml:space="preserve">השיב המתלונן </w:t>
      </w:r>
      <w:r>
        <w:rPr>
          <w:rFonts w:cs="David"/>
          <w:b/>
          <w:bCs/>
          <w:sz w:val="28"/>
          <w:szCs w:val="28"/>
          <w:rtl/>
        </w:rPr>
        <w:t>"</w:t>
      </w:r>
      <w:r>
        <w:rPr>
          <w:rFonts w:cs="David" w:hint="cs"/>
          <w:b/>
          <w:bCs/>
          <w:sz w:val="28"/>
          <w:szCs w:val="28"/>
          <w:rtl/>
        </w:rPr>
        <w:t>בן 14 היה עדיף? נניח שאני משקר..."</w:t>
      </w:r>
      <w:r>
        <w:rPr>
          <w:rFonts w:cs="David"/>
          <w:sz w:val="28"/>
          <w:szCs w:val="28"/>
          <w:rtl/>
        </w:rPr>
        <w:t xml:space="preserve">, </w:t>
      </w:r>
      <w:r>
        <w:rPr>
          <w:rFonts w:cs="David" w:hint="cs"/>
          <w:sz w:val="28"/>
          <w:szCs w:val="28"/>
          <w:rtl/>
        </w:rPr>
        <w:t xml:space="preserve">תגובות התומכות בגירסת הנאשם כי המתלונן היה הדומיננטי יותר במפגשים. גם שנתיים לאחר האירועים נשוא האישום, ניכרת האסרטיביות של המתלונן ובטחונו העצמי כפי שניתן להיווכח מצפיה בקלטת העימות (ת/22) ומעדותו של המתלונן במשפט. </w:t>
      </w:r>
    </w:p>
    <w:p w14:paraId="3621B89E" w14:textId="77777777" w:rsidR="00923FDA" w:rsidRDefault="00923FDA">
      <w:pPr>
        <w:spacing w:line="360" w:lineRule="auto"/>
        <w:rPr>
          <w:rFonts w:cs="David"/>
          <w:sz w:val="28"/>
          <w:szCs w:val="28"/>
          <w:rtl/>
        </w:rPr>
      </w:pPr>
    </w:p>
    <w:p w14:paraId="46B466A8" w14:textId="77777777" w:rsidR="00923FDA" w:rsidRDefault="00923FDA">
      <w:pPr>
        <w:spacing w:line="360" w:lineRule="auto"/>
        <w:ind w:left="720" w:hanging="720"/>
        <w:rPr>
          <w:rFonts w:cs="David"/>
          <w:sz w:val="28"/>
          <w:szCs w:val="28"/>
          <w:rtl/>
        </w:rPr>
      </w:pPr>
      <w:r>
        <w:rPr>
          <w:rFonts w:cs="David"/>
          <w:sz w:val="28"/>
          <w:szCs w:val="28"/>
          <w:rtl/>
        </w:rPr>
        <w:t>15.</w:t>
      </w:r>
      <w:r>
        <w:rPr>
          <w:rFonts w:cs="David"/>
          <w:sz w:val="28"/>
          <w:szCs w:val="28"/>
          <w:rtl/>
        </w:rPr>
        <w:tab/>
      </w:r>
      <w:r>
        <w:rPr>
          <w:rFonts w:cs="David" w:hint="cs"/>
          <w:sz w:val="28"/>
          <w:szCs w:val="28"/>
          <w:rtl/>
        </w:rPr>
        <w:t>גירסת הנאשם כי לא יכול היה לחשוד בגילו האמיתי של המתלונן עפ"י התנהגותו או מראהו נתמכה גם באמירה מפורשת של המתלונן ממנה עלה, לפחות לכאורה, שהוא ניסה להסתיר את גילו האמיתי לא רק בהתנהגות חיצונית כעישון למשל, אלא גם באופן מילולי:</w:t>
      </w:r>
    </w:p>
    <w:p w14:paraId="11D30C08" w14:textId="77777777" w:rsidR="00923FDA" w:rsidRDefault="00923FDA">
      <w:pPr>
        <w:spacing w:line="360" w:lineRule="auto"/>
        <w:ind w:left="720"/>
        <w:rPr>
          <w:rFonts w:cs="David"/>
          <w:b/>
          <w:bCs/>
          <w:sz w:val="28"/>
          <w:szCs w:val="28"/>
          <w:rtl/>
        </w:rPr>
      </w:pPr>
      <w:r>
        <w:rPr>
          <w:rFonts w:cs="David"/>
          <w:b/>
          <w:bCs/>
          <w:sz w:val="28"/>
          <w:szCs w:val="28"/>
          <w:rtl/>
        </w:rPr>
        <w:t>"</w:t>
      </w:r>
      <w:r>
        <w:rPr>
          <w:rFonts w:cs="David" w:hint="cs"/>
          <w:b/>
          <w:bCs/>
          <w:sz w:val="28"/>
          <w:szCs w:val="28"/>
          <w:rtl/>
        </w:rPr>
        <w:t>שופטת: הוא לא שאל אותך למשל, לא לא סיפרת לו על הלימודים שלך או על המעשים שלך?</w:t>
      </w:r>
    </w:p>
    <w:p w14:paraId="68814FF1" w14:textId="77777777" w:rsidR="00923FDA" w:rsidRDefault="00923FDA">
      <w:pPr>
        <w:spacing w:line="360" w:lineRule="auto"/>
        <w:ind w:left="720"/>
        <w:rPr>
          <w:rFonts w:cs="David"/>
          <w:sz w:val="28"/>
          <w:szCs w:val="28"/>
          <w:rtl/>
        </w:rPr>
      </w:pPr>
      <w:r>
        <w:rPr>
          <w:rFonts w:cs="David" w:hint="cs"/>
          <w:b/>
          <w:bCs/>
          <w:sz w:val="28"/>
          <w:szCs w:val="28"/>
          <w:rtl/>
        </w:rPr>
        <w:t>מתלונן: סיפרתי לו שאני לומד בכתה ט', אבל בגלל שאני בשנתון קטן, אז, אז זה שאני עולה לכתה ט', אז טכנית אני אמור להיות בן 14 פלוס ולא בן 13 פלוס, אז אני מניח שזה שאמרתי שאני בכתה ט' זה לא כזה מובהק ואנחנו נגיע לאמירה המובהקת בהמשך..."</w:t>
      </w:r>
      <w:r>
        <w:rPr>
          <w:rFonts w:cs="David"/>
          <w:sz w:val="28"/>
          <w:szCs w:val="28"/>
          <w:rtl/>
        </w:rPr>
        <w:t xml:space="preserve"> (</w:t>
      </w:r>
      <w:r>
        <w:rPr>
          <w:rFonts w:cs="David" w:hint="cs"/>
          <w:sz w:val="28"/>
          <w:szCs w:val="28"/>
          <w:rtl/>
        </w:rPr>
        <w:t xml:space="preserve">עמ' 5 לפרוטוקול ישיבת 11.12.06). </w:t>
      </w:r>
    </w:p>
    <w:p w14:paraId="43E4C3DE" w14:textId="77777777" w:rsidR="00923FDA" w:rsidRDefault="00923FDA">
      <w:pPr>
        <w:spacing w:line="360" w:lineRule="auto"/>
        <w:rPr>
          <w:rFonts w:cs="David"/>
          <w:sz w:val="28"/>
          <w:szCs w:val="28"/>
          <w:rtl/>
        </w:rPr>
      </w:pPr>
    </w:p>
    <w:p w14:paraId="3A3AE408" w14:textId="77777777" w:rsidR="00923FDA" w:rsidRDefault="00923FDA">
      <w:pPr>
        <w:spacing w:line="360" w:lineRule="auto"/>
        <w:ind w:left="720"/>
        <w:rPr>
          <w:rFonts w:cs="David"/>
          <w:sz w:val="28"/>
          <w:szCs w:val="28"/>
          <w:rtl/>
        </w:rPr>
      </w:pPr>
      <w:r>
        <w:rPr>
          <w:rFonts w:cs="David"/>
          <w:sz w:val="28"/>
          <w:szCs w:val="28"/>
          <w:rtl/>
        </w:rPr>
        <w:t>ב</w:t>
      </w:r>
      <w:r>
        <w:rPr>
          <w:rFonts w:cs="David" w:hint="cs"/>
          <w:sz w:val="28"/>
          <w:szCs w:val="28"/>
          <w:rtl/>
        </w:rPr>
        <w:t>הקשר זה, יש לשים לב לעובדה, שגילו האמיתי של המתלונן באותה עת לא היה 13 כי אם 13 ותשעה חודשים, כך שעדותו דלעיל כי הציג את עצמו, לפחות לכאורה, בארוע הראשון כבן 14 ותשעה חדשים, משתלבת יותר עם גירסת הנאשם מאשר עם גירסתו, לפיה בשיחת האינטרנס הציג עצמו כבן</w:t>
      </w:r>
    </w:p>
    <w:p w14:paraId="004ACC38" w14:textId="77777777" w:rsidR="00923FDA" w:rsidRDefault="00923FDA">
      <w:pPr>
        <w:spacing w:line="360" w:lineRule="auto"/>
        <w:ind w:left="720"/>
        <w:rPr>
          <w:rFonts w:cs="David"/>
          <w:sz w:val="28"/>
          <w:szCs w:val="28"/>
          <w:rtl/>
        </w:rPr>
      </w:pPr>
      <w:r>
        <w:rPr>
          <w:rFonts w:cs="David" w:hint="cs"/>
          <w:sz w:val="28"/>
          <w:szCs w:val="28"/>
          <w:rtl/>
        </w:rPr>
        <w:t xml:space="preserve"> 14. אין כל הגיון בכך שהמתלונן אשר העיד על עצמו שרצה להראות מבוגר יותר מגילו האמיתי ושיקר בעניין זה (ראו עמ' 68 לפרוטוקול ישיבת 11.12.06, שורות 11-7) יציג עצמו כבן 14, היינו, רק שלושה חודשים יותר מגילו האמיתי, ולא בגיל מבוגר יותר כגיל 16 (כפי שטען הנאשם). </w:t>
      </w:r>
    </w:p>
    <w:p w14:paraId="5089347E" w14:textId="77777777" w:rsidR="00923FDA" w:rsidRDefault="00923FDA">
      <w:pPr>
        <w:spacing w:line="360" w:lineRule="auto"/>
        <w:rPr>
          <w:rFonts w:cs="David"/>
          <w:sz w:val="28"/>
          <w:szCs w:val="28"/>
          <w:rtl/>
        </w:rPr>
      </w:pPr>
    </w:p>
    <w:p w14:paraId="3AAFAFCD" w14:textId="77777777" w:rsidR="00923FDA" w:rsidRDefault="00923FDA">
      <w:pPr>
        <w:spacing w:line="360" w:lineRule="auto"/>
        <w:ind w:left="720" w:hanging="720"/>
        <w:rPr>
          <w:rFonts w:cs="David"/>
          <w:sz w:val="28"/>
          <w:szCs w:val="28"/>
          <w:rtl/>
        </w:rPr>
      </w:pPr>
      <w:r>
        <w:rPr>
          <w:rFonts w:cs="David"/>
          <w:sz w:val="28"/>
          <w:szCs w:val="28"/>
          <w:rtl/>
        </w:rPr>
        <w:t>16.</w:t>
      </w:r>
      <w:r>
        <w:rPr>
          <w:rFonts w:cs="David"/>
          <w:sz w:val="28"/>
          <w:szCs w:val="28"/>
          <w:rtl/>
        </w:rPr>
        <w:tab/>
      </w:r>
      <w:r>
        <w:rPr>
          <w:rFonts w:cs="David"/>
          <w:b/>
          <w:bCs/>
          <w:sz w:val="28"/>
          <w:szCs w:val="28"/>
          <w:rtl/>
        </w:rPr>
        <w:t>"</w:t>
      </w:r>
      <w:r>
        <w:rPr>
          <w:rFonts w:cs="David" w:hint="cs"/>
          <w:b/>
          <w:bCs/>
          <w:sz w:val="28"/>
          <w:szCs w:val="28"/>
          <w:rtl/>
        </w:rPr>
        <w:t xml:space="preserve">הנטל להוכיח אשמה פלילית מעבר לספק סביר הוא אמצעי בעל חשיבות ראשונה בהתמודדות מפני הרשעות שווא שיסודן בטעות עובדתית. הרשעת השווא עלולה לשלול את חירותו של האדם שלא כדין, את כבודו כאדם, ואת שמו הטוב, הרשעת שווא עלולה לפגוע בעת ובעונה אחת גם באמון הציבור בהגינותו של ההליך הפלילי... ספק סביר המצדיק זיכוי הוא ספק המותיר, על פי מבחני השכל הישר, הגיון ונסיון חיים, שאלה אמיתית באשר לאשמת הנאשם. לא כל ספק שהוא ויהא המרוחק והדמיוני ביותר, עונה למבחן זה... ספק סביר מתקיים כאשר ניתן להסיק מהראיות מסקנה המתיישבת עם חפות הנאשם שהסתברותה אינה אפסית אלא ממשית... גם כאשר גירסה מרשיעה נמצאת אמינה בעיני בית המשפט, הוא אינו רשאי להתעלם מתמיהות העולות ביחס לגירסה זו, עליו לנתח תמיהות אלה ולבחון אם הן מגיעות לכדי ספק סביר" </w:t>
      </w:r>
      <w:r>
        <w:rPr>
          <w:rFonts w:cs="David"/>
          <w:sz w:val="28"/>
          <w:szCs w:val="28"/>
          <w:rtl/>
        </w:rPr>
        <w:t>[</w:t>
      </w:r>
      <w:hyperlink r:id="rId18" w:history="1">
        <w:r w:rsidR="00E3570F" w:rsidRPr="00E3570F">
          <w:rPr>
            <w:rStyle w:val="Hyperlink"/>
            <w:rFonts w:cs="David" w:hint="eastAsia"/>
            <w:sz w:val="28"/>
            <w:szCs w:val="28"/>
            <w:rtl/>
          </w:rPr>
          <w:t>ע</w:t>
        </w:r>
        <w:r w:rsidR="00E3570F" w:rsidRPr="00E3570F">
          <w:rPr>
            <w:rStyle w:val="Hyperlink"/>
            <w:rFonts w:cs="David"/>
            <w:sz w:val="28"/>
            <w:szCs w:val="28"/>
            <w:rtl/>
          </w:rPr>
          <w:t>"פ 7220/05</w:t>
        </w:r>
      </w:hyperlink>
      <w:r>
        <w:rPr>
          <w:rFonts w:cs="David" w:hint="cs"/>
          <w:sz w:val="28"/>
          <w:szCs w:val="28"/>
          <w:rtl/>
        </w:rPr>
        <w:t xml:space="preserve"> </w:t>
      </w:r>
      <w:r>
        <w:rPr>
          <w:rFonts w:cs="David"/>
          <w:b/>
          <w:bCs/>
          <w:sz w:val="28"/>
          <w:szCs w:val="28"/>
          <w:rtl/>
        </w:rPr>
        <w:t>ה</w:t>
      </w:r>
      <w:r>
        <w:rPr>
          <w:rFonts w:cs="David" w:hint="cs"/>
          <w:b/>
          <w:bCs/>
          <w:sz w:val="28"/>
          <w:szCs w:val="28"/>
          <w:rtl/>
        </w:rPr>
        <w:t xml:space="preserve">אני נימר נ' מ.י, </w:t>
      </w:r>
      <w:r>
        <w:rPr>
          <w:rFonts w:cs="David"/>
          <w:sz w:val="28"/>
          <w:szCs w:val="28"/>
          <w:rtl/>
        </w:rPr>
        <w:t>(</w:t>
      </w:r>
      <w:r>
        <w:rPr>
          <w:rFonts w:cs="David" w:hint="cs"/>
          <w:sz w:val="28"/>
          <w:szCs w:val="28"/>
          <w:rtl/>
        </w:rPr>
        <w:t>לא פורסם, 31.5.2007).</w:t>
      </w:r>
    </w:p>
    <w:p w14:paraId="00F80E2A" w14:textId="77777777" w:rsidR="00923FDA" w:rsidRDefault="00923FDA">
      <w:pPr>
        <w:spacing w:line="360" w:lineRule="auto"/>
        <w:rPr>
          <w:rFonts w:cs="David"/>
          <w:sz w:val="28"/>
          <w:szCs w:val="28"/>
          <w:rtl/>
        </w:rPr>
      </w:pPr>
    </w:p>
    <w:p w14:paraId="474407B2" w14:textId="77777777" w:rsidR="00923FDA" w:rsidRDefault="00923FDA">
      <w:pPr>
        <w:spacing w:line="360" w:lineRule="auto"/>
        <w:ind w:left="720" w:hanging="720"/>
        <w:rPr>
          <w:rFonts w:cs="David"/>
          <w:sz w:val="28"/>
          <w:szCs w:val="28"/>
          <w:rtl/>
        </w:rPr>
      </w:pPr>
      <w:r>
        <w:rPr>
          <w:rFonts w:cs="David"/>
          <w:sz w:val="28"/>
          <w:szCs w:val="28"/>
          <w:rtl/>
        </w:rPr>
        <w:t>17.</w:t>
      </w:r>
      <w:r>
        <w:rPr>
          <w:rFonts w:cs="David"/>
          <w:sz w:val="28"/>
          <w:szCs w:val="28"/>
          <w:rtl/>
        </w:rPr>
        <w:tab/>
      </w:r>
      <w:r>
        <w:rPr>
          <w:rFonts w:cs="David" w:hint="cs"/>
          <w:sz w:val="28"/>
          <w:szCs w:val="28"/>
          <w:rtl/>
        </w:rPr>
        <w:t xml:space="preserve">במקרה דנן, התמיהות שנותרו ביחס לגירסת המתלונן, נוגעות ללב המחלוקת ובראשן ההנחה המבוססת על נסיבות שהוכחו, לפיה לא סביר שהמתלונן בשיחת האינטרנט עיגל את גילו מ- 13 ותשעה חדשים ל- 14, הנחה המתיישבת יותר עם גירסת הנאשם שמלכתחילה המתלונן הזדהה בפניו כבן 16. </w:t>
      </w:r>
    </w:p>
    <w:p w14:paraId="17E8187A" w14:textId="77777777" w:rsidR="00923FDA" w:rsidRDefault="00923FDA">
      <w:pPr>
        <w:spacing w:line="360" w:lineRule="auto"/>
        <w:rPr>
          <w:rFonts w:cs="David"/>
          <w:sz w:val="28"/>
          <w:szCs w:val="28"/>
          <w:rtl/>
        </w:rPr>
      </w:pPr>
    </w:p>
    <w:p w14:paraId="3DFFB2F9" w14:textId="77777777" w:rsidR="00923FDA" w:rsidRDefault="00923FDA">
      <w:pPr>
        <w:spacing w:line="360" w:lineRule="auto"/>
        <w:ind w:left="720"/>
        <w:rPr>
          <w:rFonts w:cs="David"/>
          <w:sz w:val="28"/>
          <w:szCs w:val="28"/>
          <w:rtl/>
        </w:rPr>
      </w:pPr>
      <w:r>
        <w:rPr>
          <w:rFonts w:cs="David"/>
          <w:sz w:val="28"/>
          <w:szCs w:val="28"/>
          <w:rtl/>
        </w:rPr>
        <w:t>ה</w:t>
      </w:r>
      <w:r>
        <w:rPr>
          <w:rFonts w:cs="David" w:hint="cs"/>
          <w:sz w:val="28"/>
          <w:szCs w:val="28"/>
          <w:rtl/>
        </w:rPr>
        <w:t xml:space="preserve">נחה זו חוזקה גם בהודאת המתלונן שלגבי קשרים עם שני אחרים כשהיה בן 12, עיגל את גילו ל- 13 </w:t>
      </w:r>
      <w:r>
        <w:rPr>
          <w:rFonts w:cs="David"/>
          <w:b/>
          <w:bCs/>
          <w:sz w:val="28"/>
          <w:szCs w:val="28"/>
          <w:rtl/>
        </w:rPr>
        <w:t>"</w:t>
      </w:r>
      <w:r>
        <w:rPr>
          <w:rFonts w:cs="David" w:hint="cs"/>
          <w:b/>
          <w:bCs/>
          <w:sz w:val="28"/>
          <w:szCs w:val="28"/>
          <w:rtl/>
        </w:rPr>
        <w:t xml:space="preserve">אם הייתי בן 12 הייתי מעגל ל- 13 כמו שלשניים הראשונים עיגלתי ל- 13" </w:t>
      </w:r>
      <w:r>
        <w:rPr>
          <w:rFonts w:cs="David"/>
          <w:sz w:val="28"/>
          <w:szCs w:val="28"/>
          <w:rtl/>
        </w:rPr>
        <w:t>(</w:t>
      </w:r>
      <w:r>
        <w:rPr>
          <w:rFonts w:cs="David" w:hint="cs"/>
          <w:sz w:val="28"/>
          <w:szCs w:val="28"/>
          <w:rtl/>
        </w:rPr>
        <w:t xml:space="preserve">עמ' 68 לפרוטוקול ישיבת 11.12.06), וכן על עדותו </w:t>
      </w:r>
      <w:r>
        <w:rPr>
          <w:rFonts w:cs="David"/>
          <w:b/>
          <w:bCs/>
          <w:sz w:val="28"/>
          <w:szCs w:val="28"/>
          <w:rtl/>
        </w:rPr>
        <w:t>"</w:t>
      </w:r>
      <w:r>
        <w:rPr>
          <w:rFonts w:cs="David" w:hint="cs"/>
          <w:b/>
          <w:bCs/>
          <w:sz w:val="28"/>
          <w:szCs w:val="28"/>
          <w:rtl/>
        </w:rPr>
        <w:t>זה כיף להגזים בצ'ט, זה כיף להגזים כשזה לא אמיתי"</w:t>
      </w:r>
      <w:r>
        <w:rPr>
          <w:rFonts w:cs="David"/>
          <w:sz w:val="28"/>
          <w:szCs w:val="28"/>
          <w:rtl/>
        </w:rPr>
        <w:t xml:space="preserve"> (</w:t>
      </w:r>
      <w:r>
        <w:rPr>
          <w:rFonts w:cs="David" w:hint="cs"/>
          <w:sz w:val="28"/>
          <w:szCs w:val="28"/>
          <w:rtl/>
        </w:rPr>
        <w:t xml:space="preserve">עמ' 143 לפרוטוקול). </w:t>
      </w:r>
    </w:p>
    <w:p w14:paraId="1581CC35" w14:textId="77777777" w:rsidR="00923FDA" w:rsidRDefault="00923FDA">
      <w:pPr>
        <w:spacing w:line="360" w:lineRule="auto"/>
        <w:rPr>
          <w:rFonts w:cs="David"/>
          <w:sz w:val="28"/>
          <w:szCs w:val="28"/>
          <w:rtl/>
        </w:rPr>
      </w:pPr>
      <w:r>
        <w:rPr>
          <w:rFonts w:cs="David"/>
          <w:sz w:val="28"/>
          <w:szCs w:val="28"/>
          <w:rtl/>
        </w:rPr>
        <w:br w:type="page"/>
      </w:r>
    </w:p>
    <w:p w14:paraId="2F83C740" w14:textId="77777777" w:rsidR="00923FDA" w:rsidRDefault="00923FDA">
      <w:pPr>
        <w:spacing w:line="360" w:lineRule="auto"/>
        <w:ind w:left="720" w:hanging="720"/>
        <w:rPr>
          <w:rFonts w:cs="David"/>
          <w:sz w:val="28"/>
          <w:szCs w:val="28"/>
          <w:rtl/>
        </w:rPr>
      </w:pPr>
      <w:r>
        <w:rPr>
          <w:rFonts w:cs="David"/>
          <w:sz w:val="28"/>
          <w:szCs w:val="28"/>
          <w:rtl/>
        </w:rPr>
        <w:t>18.</w:t>
      </w:r>
      <w:r>
        <w:rPr>
          <w:rFonts w:cs="David"/>
          <w:sz w:val="28"/>
          <w:szCs w:val="28"/>
          <w:rtl/>
        </w:rPr>
        <w:tab/>
      </w:r>
      <w:r>
        <w:rPr>
          <w:rFonts w:cs="David" w:hint="cs"/>
          <w:sz w:val="28"/>
          <w:szCs w:val="28"/>
          <w:rtl/>
        </w:rPr>
        <w:t xml:space="preserve">נזכור שהמתלונן הודה שהיו לו </w:t>
      </w:r>
      <w:r>
        <w:rPr>
          <w:rFonts w:cs="David"/>
          <w:sz w:val="28"/>
          <w:szCs w:val="28"/>
          <w:rtl/>
        </w:rPr>
        <w:t>–</w:t>
      </w:r>
      <w:r>
        <w:rPr>
          <w:rFonts w:cs="David" w:hint="cs"/>
          <w:sz w:val="28"/>
          <w:szCs w:val="28"/>
          <w:rtl/>
        </w:rPr>
        <w:t xml:space="preserve"> בהקשר לנקודה שבמחלוקת </w:t>
      </w:r>
      <w:r>
        <w:rPr>
          <w:rFonts w:cs="David"/>
          <w:sz w:val="28"/>
          <w:szCs w:val="28"/>
          <w:rtl/>
        </w:rPr>
        <w:t>–</w:t>
      </w:r>
      <w:r>
        <w:rPr>
          <w:rFonts w:cs="David" w:hint="cs"/>
          <w:sz w:val="28"/>
          <w:szCs w:val="28"/>
          <w:rtl/>
        </w:rPr>
        <w:t xml:space="preserve"> "חורים בזכרון" ואכן הוא התקשה מאוד להגדיר מתי בדיוק ובאיזו דרך  (האם בטלפון או פנים אל פנים) הוא סיפר לטענתו לנאשם שהוא בן 13. כך למשל העיד כדלקמן:</w:t>
      </w:r>
    </w:p>
    <w:p w14:paraId="6D7FAC5A" w14:textId="77777777" w:rsidR="00923FDA" w:rsidRDefault="00923FDA">
      <w:pPr>
        <w:spacing w:line="360" w:lineRule="auto"/>
        <w:ind w:left="720"/>
        <w:rPr>
          <w:rFonts w:cs="David"/>
          <w:sz w:val="28"/>
          <w:szCs w:val="28"/>
          <w:rtl/>
        </w:rPr>
      </w:pPr>
      <w:r>
        <w:rPr>
          <w:rFonts w:cs="David"/>
          <w:b/>
          <w:bCs/>
          <w:sz w:val="28"/>
          <w:szCs w:val="28"/>
          <w:rtl/>
        </w:rPr>
        <w:t>"</w:t>
      </w:r>
      <w:r>
        <w:rPr>
          <w:rFonts w:cs="David" w:hint="cs"/>
          <w:b/>
          <w:bCs/>
          <w:sz w:val="28"/>
          <w:szCs w:val="28"/>
          <w:rtl/>
        </w:rPr>
        <w:t xml:space="preserve">אחרי כמה ימים </w:t>
      </w:r>
      <w:r>
        <w:rPr>
          <w:rFonts w:cs="David"/>
          <w:sz w:val="28"/>
          <w:szCs w:val="28"/>
          <w:rtl/>
        </w:rPr>
        <w:t>(</w:t>
      </w:r>
      <w:r>
        <w:rPr>
          <w:rFonts w:cs="David" w:hint="cs"/>
          <w:sz w:val="28"/>
          <w:szCs w:val="28"/>
          <w:rtl/>
        </w:rPr>
        <w:t xml:space="preserve">מהארוע הראשון ע.צ.) </w:t>
      </w:r>
      <w:r>
        <w:rPr>
          <w:rFonts w:cs="David"/>
          <w:b/>
          <w:bCs/>
          <w:sz w:val="28"/>
          <w:szCs w:val="28"/>
          <w:rtl/>
        </w:rPr>
        <w:t xml:space="preserve"> </w:t>
      </w:r>
      <w:r>
        <w:rPr>
          <w:rFonts w:cs="David" w:hint="cs"/>
          <w:b/>
          <w:bCs/>
          <w:sz w:val="28"/>
          <w:szCs w:val="28"/>
          <w:rtl/>
        </w:rPr>
        <w:t xml:space="preserve">קיבלתי שיחת טלפון באותו לילה או בשיחת טלפון נוספת במהלך הלילה כי היתה עוד אחת, או בשיחת פנים אל פנים יום או יומיים אחרי, אני לא בדיוק זוכר, אמרתי לו שאני בן 13 שאני מתנצל ששיקרתי לו..." </w:t>
      </w:r>
      <w:r>
        <w:rPr>
          <w:rFonts w:cs="David"/>
          <w:sz w:val="28"/>
          <w:szCs w:val="28"/>
          <w:rtl/>
        </w:rPr>
        <w:t>(</w:t>
      </w:r>
      <w:r>
        <w:rPr>
          <w:rFonts w:cs="David" w:hint="cs"/>
          <w:sz w:val="28"/>
          <w:szCs w:val="28"/>
          <w:rtl/>
        </w:rPr>
        <w:t xml:space="preserve">עמ' 6 לפרוטוקול ישיבת 11.12.06). במסגרת העימות (נ/1) המתלונן אף הודה שאין הוא זוכר מתי אמר לנאשם שהוא בן 13 </w:t>
      </w:r>
      <w:r>
        <w:rPr>
          <w:rFonts w:cs="David"/>
          <w:b/>
          <w:bCs/>
          <w:sz w:val="28"/>
          <w:szCs w:val="28"/>
          <w:rtl/>
        </w:rPr>
        <w:t>"</w:t>
      </w:r>
      <w:r>
        <w:rPr>
          <w:rFonts w:cs="David" w:hint="cs"/>
          <w:b/>
          <w:bCs/>
          <w:sz w:val="28"/>
          <w:szCs w:val="28"/>
          <w:rtl/>
        </w:rPr>
        <w:t>אני אמרתי לו שאני בן 13, אני לא יודע מתי"</w:t>
      </w:r>
      <w:r>
        <w:rPr>
          <w:rFonts w:cs="David"/>
          <w:sz w:val="28"/>
          <w:szCs w:val="28"/>
          <w:rtl/>
        </w:rPr>
        <w:t xml:space="preserve">. </w:t>
      </w:r>
      <w:r>
        <w:rPr>
          <w:rFonts w:cs="David" w:hint="cs"/>
          <w:sz w:val="28"/>
          <w:szCs w:val="28"/>
          <w:rtl/>
        </w:rPr>
        <w:t xml:space="preserve">קושי זה מפחית את עוצמת גירסתו של המתלונן כשמנגד ניצבת גירסה מוצקה למדי של הנאשם הנתמכת גם בעדות עד ההגנה י. נ. כי הנאשם סיפר לו באוגוסט 2003 לערך </w:t>
      </w:r>
      <w:r>
        <w:rPr>
          <w:rFonts w:cs="David"/>
          <w:b/>
          <w:bCs/>
          <w:sz w:val="28"/>
          <w:szCs w:val="28"/>
          <w:rtl/>
        </w:rPr>
        <w:t>"</w:t>
      </w:r>
      <w:r>
        <w:rPr>
          <w:rFonts w:cs="David" w:hint="cs"/>
          <w:b/>
          <w:bCs/>
          <w:sz w:val="28"/>
          <w:szCs w:val="28"/>
          <w:rtl/>
        </w:rPr>
        <w:t>שהוא מתחיל לצאת עם מישהו שהוא בן 16"</w:t>
      </w:r>
      <w:r>
        <w:rPr>
          <w:rFonts w:cs="David"/>
          <w:sz w:val="28"/>
          <w:szCs w:val="28"/>
          <w:rtl/>
        </w:rPr>
        <w:t xml:space="preserve"> </w:t>
      </w:r>
      <w:r>
        <w:rPr>
          <w:rFonts w:cs="David" w:hint="cs"/>
          <w:sz w:val="28"/>
          <w:szCs w:val="28"/>
          <w:rtl/>
        </w:rPr>
        <w:t xml:space="preserve">ואח"כ סיפר לו שהם נפרדו כי היה משהו בעייתי בגיל הוא אמר לי שהוא בן 16 ומשהו והתברר שהוא בן 14 בכלל" (עמ' 379 לפרוט' ישיבת 10.5.07).  </w:t>
      </w:r>
    </w:p>
    <w:p w14:paraId="5603EB2F" w14:textId="77777777" w:rsidR="00923FDA" w:rsidRDefault="00923FDA">
      <w:pPr>
        <w:spacing w:line="360" w:lineRule="auto"/>
        <w:rPr>
          <w:rFonts w:cs="David"/>
          <w:sz w:val="28"/>
          <w:szCs w:val="28"/>
          <w:rtl/>
        </w:rPr>
      </w:pPr>
    </w:p>
    <w:p w14:paraId="6F6258E4" w14:textId="77777777" w:rsidR="00923FDA" w:rsidRDefault="00923FDA">
      <w:pPr>
        <w:spacing w:line="360" w:lineRule="auto"/>
        <w:ind w:left="720"/>
        <w:rPr>
          <w:rFonts w:cs="David"/>
          <w:b/>
          <w:bCs/>
          <w:sz w:val="28"/>
          <w:szCs w:val="28"/>
          <w:rtl/>
        </w:rPr>
      </w:pPr>
      <w:r>
        <w:rPr>
          <w:rFonts w:cs="David"/>
          <w:sz w:val="28"/>
          <w:szCs w:val="28"/>
          <w:rtl/>
        </w:rPr>
        <w:t>ב</w:t>
      </w:r>
      <w:r>
        <w:rPr>
          <w:rFonts w:cs="David" w:hint="cs"/>
          <w:sz w:val="28"/>
          <w:szCs w:val="28"/>
          <w:rtl/>
        </w:rPr>
        <w:t xml:space="preserve">עימות עם הנאשם, כאשר השנים נשארו ביחידות והנאשם פנה אל המתלונן ואמר לו: </w:t>
      </w:r>
      <w:r>
        <w:rPr>
          <w:rFonts w:cs="David"/>
          <w:b/>
          <w:bCs/>
          <w:sz w:val="28"/>
          <w:szCs w:val="28"/>
          <w:rtl/>
        </w:rPr>
        <w:t>"</w:t>
      </w:r>
      <w:r>
        <w:rPr>
          <w:rFonts w:cs="David" w:hint="cs"/>
          <w:b/>
          <w:bCs/>
          <w:sz w:val="28"/>
          <w:szCs w:val="28"/>
          <w:rtl/>
        </w:rPr>
        <w:t xml:space="preserve">מה שמשנה הוא שלא אמרת לי אף פעם שאתה בן 13, למה אתה לא מספר להם את האמת, למה חשוב לך לשקר? תספר להם את האמת החיים שלי גם ככה הרוסים. לימודים אני לא יכול ללמוד ולא לעבוד במקצוע". </w:t>
      </w:r>
      <w:r>
        <w:rPr>
          <w:rFonts w:cs="David"/>
          <w:sz w:val="28"/>
          <w:szCs w:val="28"/>
          <w:rtl/>
        </w:rPr>
        <w:t>ה</w:t>
      </w:r>
      <w:r>
        <w:rPr>
          <w:rFonts w:cs="David" w:hint="cs"/>
          <w:sz w:val="28"/>
          <w:szCs w:val="28"/>
          <w:rtl/>
        </w:rPr>
        <w:t xml:space="preserve">מתלונן לא התעקש על גירסתו שאמר מפורשת לנאשם שהוא בן 13, כי אם התריס כלפיו: </w:t>
      </w:r>
      <w:r>
        <w:rPr>
          <w:rFonts w:cs="David"/>
          <w:b/>
          <w:bCs/>
          <w:sz w:val="28"/>
          <w:szCs w:val="28"/>
          <w:rtl/>
        </w:rPr>
        <w:t>"</w:t>
      </w:r>
      <w:r>
        <w:rPr>
          <w:rFonts w:cs="David" w:hint="cs"/>
          <w:b/>
          <w:bCs/>
          <w:sz w:val="28"/>
          <w:szCs w:val="28"/>
          <w:rtl/>
        </w:rPr>
        <w:t>ואם הייתי בן 14 זה היה בסדר מבחינתך, נניח שאני משקר אוקי נניח, אם הייתי בן 14 זה היה בסדר מבחינתך".</w:t>
      </w:r>
    </w:p>
    <w:p w14:paraId="2AF91578" w14:textId="77777777" w:rsidR="00923FDA" w:rsidRDefault="00923FDA">
      <w:pPr>
        <w:spacing w:line="360" w:lineRule="auto"/>
        <w:rPr>
          <w:rFonts w:cs="David"/>
          <w:sz w:val="28"/>
          <w:szCs w:val="28"/>
          <w:rtl/>
        </w:rPr>
      </w:pPr>
    </w:p>
    <w:p w14:paraId="30B97323" w14:textId="77777777" w:rsidR="00923FDA" w:rsidRDefault="00923FDA">
      <w:pPr>
        <w:spacing w:line="360" w:lineRule="auto"/>
        <w:ind w:left="720" w:hanging="720"/>
        <w:rPr>
          <w:rFonts w:cs="David"/>
          <w:sz w:val="28"/>
          <w:szCs w:val="28"/>
          <w:rtl/>
        </w:rPr>
      </w:pPr>
      <w:r>
        <w:rPr>
          <w:rFonts w:cs="David"/>
          <w:sz w:val="28"/>
          <w:szCs w:val="28"/>
          <w:rtl/>
        </w:rPr>
        <w:t>19.</w:t>
      </w:r>
      <w:r>
        <w:rPr>
          <w:rFonts w:cs="David"/>
          <w:sz w:val="28"/>
          <w:szCs w:val="28"/>
          <w:rtl/>
        </w:rPr>
        <w:tab/>
      </w:r>
      <w:r>
        <w:rPr>
          <w:rFonts w:cs="David" w:hint="cs"/>
          <w:sz w:val="28"/>
          <w:szCs w:val="28"/>
          <w:rtl/>
        </w:rPr>
        <w:t xml:space="preserve">בנוסף, נתונים סותרים על הנקודה במחלוקת נמצאו בעדות חברתו של המתלונן ש. ש., שהמתלונן סיפר לה בזמנו שהוא אמר לנאשם שהוא בן 13 וחצי. גירסה המנוגדת לא רק לגירסת המתלונן לפיה נקב בפני הנאשם בגיל 13 (עת היה למעשה בן 13 ו- 9 חודשים) אלא גם לגרסת המתלונן בת/3, (המכתב שצוטט במלואו לעיל) </w:t>
      </w:r>
      <w:r>
        <w:rPr>
          <w:rFonts w:cs="David"/>
          <w:sz w:val="28"/>
          <w:szCs w:val="28"/>
          <w:rtl/>
        </w:rPr>
        <w:t>–</w:t>
      </w:r>
      <w:r>
        <w:rPr>
          <w:rFonts w:cs="David" w:hint="cs"/>
          <w:sz w:val="28"/>
          <w:szCs w:val="28"/>
          <w:rtl/>
        </w:rPr>
        <w:t xml:space="preserve">  לטענתו כפורקן עצמי, </w:t>
      </w:r>
      <w:r>
        <w:rPr>
          <w:rFonts w:cs="David"/>
          <w:b/>
          <w:bCs/>
          <w:sz w:val="28"/>
          <w:szCs w:val="28"/>
          <w:rtl/>
        </w:rPr>
        <w:t>"</w:t>
      </w:r>
      <w:r>
        <w:rPr>
          <w:rFonts w:cs="David" w:hint="cs"/>
          <w:b/>
          <w:bCs/>
          <w:sz w:val="28"/>
          <w:szCs w:val="28"/>
          <w:rtl/>
        </w:rPr>
        <w:t xml:space="preserve">אתה זוכר לפני כמה שנים, ילד בן 12 שאתה אמרת לו שאתה בן 18 ושכבת איתו...", </w:t>
      </w:r>
      <w:r>
        <w:rPr>
          <w:rFonts w:cs="David"/>
          <w:sz w:val="28"/>
          <w:szCs w:val="28"/>
          <w:rtl/>
        </w:rPr>
        <w:t>ו</w:t>
      </w:r>
      <w:r>
        <w:rPr>
          <w:rFonts w:cs="David" w:hint="cs"/>
          <w:sz w:val="28"/>
          <w:szCs w:val="28"/>
          <w:rtl/>
        </w:rPr>
        <w:t>לגרסת אמו של המתלונן בעדותה.</w:t>
      </w:r>
    </w:p>
    <w:p w14:paraId="5582D7AF" w14:textId="77777777" w:rsidR="00923FDA" w:rsidRDefault="00923FDA">
      <w:pPr>
        <w:spacing w:line="360" w:lineRule="auto"/>
        <w:rPr>
          <w:rFonts w:cs="David"/>
          <w:sz w:val="28"/>
          <w:szCs w:val="28"/>
          <w:rtl/>
        </w:rPr>
      </w:pPr>
    </w:p>
    <w:p w14:paraId="179949D7" w14:textId="77777777" w:rsidR="00923FDA" w:rsidRDefault="00923FDA">
      <w:pPr>
        <w:spacing w:line="360" w:lineRule="auto"/>
        <w:ind w:left="720" w:hanging="720"/>
        <w:rPr>
          <w:rFonts w:cs="David"/>
          <w:sz w:val="28"/>
          <w:szCs w:val="28"/>
          <w:rtl/>
        </w:rPr>
      </w:pPr>
      <w:r>
        <w:rPr>
          <w:rFonts w:cs="David"/>
          <w:sz w:val="28"/>
          <w:szCs w:val="28"/>
          <w:rtl/>
        </w:rPr>
        <w:t>20.</w:t>
      </w:r>
      <w:r>
        <w:rPr>
          <w:rFonts w:cs="David"/>
          <w:sz w:val="28"/>
          <w:szCs w:val="28"/>
          <w:rtl/>
        </w:rPr>
        <w:tab/>
      </w:r>
      <w:r>
        <w:rPr>
          <w:rFonts w:cs="David" w:hint="cs"/>
          <w:sz w:val="28"/>
          <w:szCs w:val="28"/>
          <w:rtl/>
        </w:rPr>
        <w:t xml:space="preserve">כאמור, עניין לנו בגירסה מול גירסה וככל שעדי התביעה האחרים נגעו בעדותם לנקודת המחלוקת, הם נסמכו על דברים ששמעו מפי המתלונן אך מסרו בעדותם פרטים סותרים. כך חברתו של המתלונן ש. ש. טענה </w:t>
      </w:r>
      <w:r>
        <w:rPr>
          <w:rFonts w:cs="David"/>
          <w:b/>
          <w:bCs/>
          <w:sz w:val="28"/>
          <w:szCs w:val="28"/>
          <w:rtl/>
        </w:rPr>
        <w:t>"</w:t>
      </w:r>
      <w:r>
        <w:rPr>
          <w:rFonts w:cs="David" w:hint="cs"/>
          <w:b/>
          <w:bCs/>
          <w:sz w:val="28"/>
          <w:szCs w:val="28"/>
          <w:rtl/>
        </w:rPr>
        <w:t xml:space="preserve">אני זוכרת שהכל היה בסביבות החופש הגדול, אני לא יודעת בדיוק חודשים. אחרי זה ב. סיפר לי שהנאשם התוודה בפניו שהוא בן 24 נראה לי, כן, וברוח הוידויים ב. אמר לו שהוא בן 13 וחצי" </w:t>
      </w:r>
      <w:r>
        <w:rPr>
          <w:rFonts w:cs="David"/>
          <w:sz w:val="28"/>
          <w:szCs w:val="28"/>
          <w:rtl/>
        </w:rPr>
        <w:t>(</w:t>
      </w:r>
      <w:r>
        <w:rPr>
          <w:rFonts w:cs="David" w:hint="cs"/>
          <w:sz w:val="28"/>
          <w:szCs w:val="28"/>
          <w:rtl/>
        </w:rPr>
        <w:t xml:space="preserve">עמ' 202 לפרוטוקול); כך אימו של ב. כאשר הסניגור עימת אותה עם העובדה שבהודעתה במשטרה מסרה שבנה הכיר את הנאשם בהיותו בן 12 ענתה: </w:t>
      </w:r>
      <w:r>
        <w:rPr>
          <w:rFonts w:cs="David"/>
          <w:b/>
          <w:bCs/>
          <w:sz w:val="28"/>
          <w:szCs w:val="28"/>
          <w:rtl/>
        </w:rPr>
        <w:t xml:space="preserve">"12 </w:t>
      </w:r>
      <w:r>
        <w:rPr>
          <w:rFonts w:cs="David" w:hint="cs"/>
          <w:b/>
          <w:bCs/>
          <w:sz w:val="28"/>
          <w:szCs w:val="28"/>
          <w:rtl/>
        </w:rPr>
        <w:t xml:space="preserve">או 13 אני באמת לא זוכרת... כי ככה הבנתי ממנו, הוא אמר בין 12 ל- 13... לא, כשהגעתי לפה זה נהיה 13 כי הפרקליטות שלחה לי את כתב האישום ומשם הבנתי שהבן שלי אמר לו שהוא בן 13... הוא </w:t>
      </w:r>
      <w:r>
        <w:rPr>
          <w:rFonts w:cs="David"/>
          <w:sz w:val="28"/>
          <w:szCs w:val="28"/>
          <w:rtl/>
        </w:rPr>
        <w:t>(</w:t>
      </w:r>
      <w:r>
        <w:rPr>
          <w:rFonts w:cs="David" w:hint="cs"/>
          <w:sz w:val="28"/>
          <w:szCs w:val="28"/>
          <w:rtl/>
        </w:rPr>
        <w:t xml:space="preserve">המתלונן </w:t>
      </w:r>
      <w:r>
        <w:rPr>
          <w:rFonts w:cs="David"/>
          <w:sz w:val="28"/>
          <w:szCs w:val="28"/>
          <w:rtl/>
        </w:rPr>
        <w:t>–</w:t>
      </w:r>
      <w:r>
        <w:rPr>
          <w:rFonts w:cs="David" w:hint="cs"/>
          <w:sz w:val="28"/>
          <w:szCs w:val="28"/>
          <w:rtl/>
        </w:rPr>
        <w:t xml:space="preserve"> ע.צ) </w:t>
      </w:r>
      <w:r>
        <w:rPr>
          <w:rFonts w:cs="David"/>
          <w:b/>
          <w:bCs/>
          <w:sz w:val="28"/>
          <w:szCs w:val="28"/>
          <w:rtl/>
        </w:rPr>
        <w:t>א</w:t>
      </w:r>
      <w:r>
        <w:rPr>
          <w:rFonts w:cs="David" w:hint="cs"/>
          <w:b/>
          <w:bCs/>
          <w:sz w:val="28"/>
          <w:szCs w:val="28"/>
          <w:rtl/>
        </w:rPr>
        <w:t>מר לי מגיל 12 משהו כזה"</w:t>
      </w:r>
      <w:r>
        <w:rPr>
          <w:rFonts w:cs="David"/>
          <w:sz w:val="28"/>
          <w:szCs w:val="28"/>
          <w:rtl/>
        </w:rPr>
        <w:t xml:space="preserve"> (</w:t>
      </w:r>
      <w:r>
        <w:rPr>
          <w:rFonts w:cs="David" w:hint="cs"/>
          <w:sz w:val="28"/>
          <w:szCs w:val="28"/>
          <w:rtl/>
        </w:rPr>
        <w:t xml:space="preserve">ראו עמ' 161-162 לפרוטוקול). </w:t>
      </w:r>
    </w:p>
    <w:p w14:paraId="6EB27AD8" w14:textId="77777777" w:rsidR="00923FDA" w:rsidRDefault="00923FDA">
      <w:pPr>
        <w:spacing w:line="360" w:lineRule="auto"/>
        <w:rPr>
          <w:rFonts w:cs="David"/>
          <w:sz w:val="28"/>
          <w:szCs w:val="28"/>
          <w:rtl/>
        </w:rPr>
      </w:pPr>
    </w:p>
    <w:p w14:paraId="501FA415" w14:textId="77777777" w:rsidR="00923FDA" w:rsidRDefault="00923FDA">
      <w:pPr>
        <w:spacing w:line="360" w:lineRule="auto"/>
        <w:ind w:left="720"/>
        <w:rPr>
          <w:rFonts w:cs="David"/>
          <w:sz w:val="28"/>
          <w:szCs w:val="28"/>
          <w:rtl/>
        </w:rPr>
      </w:pPr>
      <w:r>
        <w:rPr>
          <w:rFonts w:cs="David"/>
          <w:sz w:val="28"/>
          <w:szCs w:val="28"/>
          <w:rtl/>
        </w:rPr>
        <w:t>ה</w:t>
      </w:r>
      <w:r>
        <w:rPr>
          <w:rFonts w:cs="David" w:hint="cs"/>
          <w:sz w:val="28"/>
          <w:szCs w:val="28"/>
          <w:rtl/>
        </w:rPr>
        <w:t xml:space="preserve">עדה מ. א., גם היא חברתו של המתלונן, לא תרמה מאומה בנקודה הספציפית שבמחלוקת, אך תמכה בגרסת החפות, כשאישרה שהמתלונן נהג במועד הרלבנטי לעשן ולשתות בירה ואלכוהול כי המתלונן פיתח ציפייה מהקשר עם הנאשם וכי המתלונן התלבט ביחד איתה ועם אחרים בדבר הגשת התלונה במשטרה (ראו עדותה עמ' 258-253) כמו שסיפרה על כך גם ש. ש. (עמ' 205 לפרוטוקול). </w:t>
      </w:r>
    </w:p>
    <w:p w14:paraId="68E69DF5" w14:textId="77777777" w:rsidR="00923FDA" w:rsidRDefault="00923FDA">
      <w:pPr>
        <w:spacing w:line="360" w:lineRule="auto"/>
        <w:rPr>
          <w:rFonts w:cs="David"/>
          <w:sz w:val="28"/>
          <w:szCs w:val="28"/>
          <w:rtl/>
        </w:rPr>
      </w:pPr>
    </w:p>
    <w:p w14:paraId="7246A228" w14:textId="77777777" w:rsidR="00923FDA" w:rsidRDefault="00923FDA">
      <w:pPr>
        <w:spacing w:line="360" w:lineRule="auto"/>
        <w:ind w:left="720"/>
        <w:rPr>
          <w:rFonts w:cs="David"/>
          <w:sz w:val="28"/>
          <w:szCs w:val="28"/>
          <w:rtl/>
        </w:rPr>
      </w:pPr>
      <w:r>
        <w:rPr>
          <w:rFonts w:cs="David"/>
          <w:sz w:val="28"/>
          <w:szCs w:val="28"/>
          <w:rtl/>
        </w:rPr>
        <w:t>ג</w:t>
      </w:r>
      <w:r>
        <w:rPr>
          <w:rFonts w:cs="David" w:hint="cs"/>
          <w:sz w:val="28"/>
          <w:szCs w:val="28"/>
          <w:rtl/>
        </w:rPr>
        <w:t xml:space="preserve">ם הודאת המתלונן במשפט, בהזדמנויות שונות, שהנאשם ניתק עימו את הקשר בגלל הגיל, כמפורט לעיל, המתישבת עם גירסת החפות, והחלקים מדברי המתלונן שתמכו בגירסה הרחבה של הנאשם (כמו קורות האירוע האחרון ואישורו את גירסת הנאשם, ששלל בפניו את היכרותם הקודמת) באים בחשבון הנתונים שפורטו לעיל אשר במשקלם המצטבר, נוטלים מחוזקה של גירסת המתלונן ומקיימים את הספק הסביר בעטיו לא ניתן להרשיע את הנאשם. </w:t>
      </w:r>
    </w:p>
    <w:p w14:paraId="1AC7D6CA" w14:textId="77777777" w:rsidR="00923FDA" w:rsidRDefault="00923FDA">
      <w:pPr>
        <w:spacing w:line="360" w:lineRule="auto"/>
        <w:rPr>
          <w:rFonts w:cs="David"/>
          <w:sz w:val="28"/>
          <w:szCs w:val="28"/>
          <w:rtl/>
        </w:rPr>
      </w:pPr>
    </w:p>
    <w:p w14:paraId="7F87B967" w14:textId="77777777" w:rsidR="00923FDA" w:rsidRDefault="00923FDA">
      <w:pPr>
        <w:pStyle w:val="BodyText"/>
        <w:rPr>
          <w:rFonts w:cs="David"/>
          <w:noProof w:val="0"/>
          <w:sz w:val="28"/>
          <w:szCs w:val="28"/>
          <w:rtl/>
        </w:rPr>
      </w:pPr>
      <w:r>
        <w:rPr>
          <w:rFonts w:cs="David"/>
          <w:noProof w:val="0"/>
          <w:sz w:val="28"/>
          <w:szCs w:val="28"/>
          <w:rtl/>
        </w:rPr>
        <w:t>ל</w:t>
      </w:r>
      <w:r>
        <w:rPr>
          <w:rFonts w:cs="David" w:hint="cs"/>
          <w:noProof w:val="0"/>
          <w:sz w:val="28"/>
          <w:szCs w:val="28"/>
          <w:rtl/>
        </w:rPr>
        <w:t>פיכך, אני מציעה לשותפי להרכב לזכות את הנאשם מחמת הספק מהעבירות שיוחסו לו באישום.</w:t>
      </w:r>
    </w:p>
    <w:p w14:paraId="14E0A333" w14:textId="77777777" w:rsidR="00923FDA" w:rsidRDefault="00923FDA">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_____________________</w:t>
      </w:r>
    </w:p>
    <w:p w14:paraId="08E19BE5" w14:textId="77777777" w:rsidR="00923FDA" w:rsidRDefault="00923FDA">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 xml:space="preserve">     עפרה צ'רניאק, שופטת</w:t>
      </w:r>
    </w:p>
    <w:p w14:paraId="522654CA" w14:textId="77777777" w:rsidR="00923FDA" w:rsidRDefault="00923FDA">
      <w:pPr>
        <w:spacing w:line="360" w:lineRule="auto"/>
        <w:rPr>
          <w:rFonts w:cs="David"/>
          <w:rtl/>
        </w:rPr>
      </w:pPr>
    </w:p>
    <w:p w14:paraId="238FB6DB" w14:textId="77777777" w:rsidR="00923FDA" w:rsidRDefault="00923FDA">
      <w:pPr>
        <w:spacing w:line="360" w:lineRule="auto"/>
        <w:rPr>
          <w:rFonts w:cs="David"/>
          <w:b/>
          <w:bCs/>
          <w:sz w:val="28"/>
          <w:szCs w:val="28"/>
          <w:u w:val="double"/>
          <w:rtl/>
        </w:rPr>
      </w:pPr>
      <w:r>
        <w:rPr>
          <w:rFonts w:cs="David"/>
          <w:b/>
          <w:bCs/>
          <w:sz w:val="28"/>
          <w:szCs w:val="28"/>
          <w:u w:val="double"/>
          <w:rtl/>
        </w:rPr>
        <w:br w:type="page"/>
      </w:r>
      <w:r>
        <w:rPr>
          <w:rFonts w:cs="David" w:hint="cs"/>
          <w:b/>
          <w:bCs/>
          <w:sz w:val="28"/>
          <w:szCs w:val="28"/>
          <w:u w:val="double"/>
          <w:rtl/>
        </w:rPr>
        <w:t xml:space="preserve">ס.נ השופטת ס' רוטלוי </w:t>
      </w:r>
      <w:r>
        <w:rPr>
          <w:rFonts w:cs="David"/>
          <w:b/>
          <w:bCs/>
          <w:sz w:val="28"/>
          <w:szCs w:val="28"/>
          <w:u w:val="double"/>
          <w:rtl/>
        </w:rPr>
        <w:t>–</w:t>
      </w:r>
      <w:r>
        <w:rPr>
          <w:rFonts w:cs="David" w:hint="cs"/>
          <w:b/>
          <w:bCs/>
          <w:sz w:val="28"/>
          <w:szCs w:val="28"/>
          <w:u w:val="double"/>
          <w:rtl/>
        </w:rPr>
        <w:t xml:space="preserve"> אב"ד</w:t>
      </w:r>
    </w:p>
    <w:p w14:paraId="5B66B17F" w14:textId="77777777" w:rsidR="00923FDA" w:rsidRDefault="00923FDA">
      <w:pPr>
        <w:spacing w:line="360" w:lineRule="auto"/>
        <w:rPr>
          <w:rFonts w:cs="David"/>
          <w:sz w:val="28"/>
          <w:szCs w:val="28"/>
          <w:rtl/>
        </w:rPr>
      </w:pPr>
      <w:r>
        <w:rPr>
          <w:rFonts w:cs="David"/>
          <w:sz w:val="28"/>
          <w:szCs w:val="28"/>
          <w:rtl/>
        </w:rPr>
        <w:t>א</w:t>
      </w:r>
      <w:r>
        <w:rPr>
          <w:rFonts w:cs="David" w:hint="cs"/>
          <w:sz w:val="28"/>
          <w:szCs w:val="28"/>
          <w:rtl/>
        </w:rPr>
        <w:t xml:space="preserve">ני מצטרפת לחוות דעתה של כב' השופטת ע' סלומון צ'רניאק. </w:t>
      </w:r>
    </w:p>
    <w:p w14:paraId="0DB428FC" w14:textId="77777777" w:rsidR="00923FDA" w:rsidRDefault="00923FDA">
      <w:pPr>
        <w:spacing w:line="360" w:lineRule="auto"/>
        <w:rPr>
          <w:rFonts w:cs="David"/>
          <w:sz w:val="28"/>
          <w:szCs w:val="28"/>
          <w:rtl/>
        </w:rPr>
      </w:pPr>
    </w:p>
    <w:p w14:paraId="539508D6" w14:textId="77777777" w:rsidR="00923FDA" w:rsidRDefault="00923FDA">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_____________________</w:t>
      </w:r>
    </w:p>
    <w:p w14:paraId="1780E9EA" w14:textId="77777777" w:rsidR="00923FDA" w:rsidRDefault="00923FDA">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 xml:space="preserve">     ס' רוטלוי, ס.נ </w:t>
      </w:r>
      <w:r>
        <w:rPr>
          <w:rFonts w:cs="David"/>
          <w:b/>
          <w:bCs/>
          <w:sz w:val="28"/>
          <w:szCs w:val="28"/>
          <w:rtl/>
        </w:rPr>
        <w:t>–</w:t>
      </w:r>
      <w:r>
        <w:rPr>
          <w:rFonts w:cs="David" w:hint="cs"/>
          <w:b/>
          <w:bCs/>
          <w:sz w:val="28"/>
          <w:szCs w:val="28"/>
          <w:rtl/>
        </w:rPr>
        <w:t xml:space="preserve"> אב"ד</w:t>
      </w:r>
    </w:p>
    <w:p w14:paraId="479A6643" w14:textId="77777777" w:rsidR="00923FDA" w:rsidRDefault="00923FDA">
      <w:pPr>
        <w:spacing w:line="360" w:lineRule="auto"/>
        <w:rPr>
          <w:rFonts w:cs="David"/>
          <w:b/>
          <w:bCs/>
          <w:sz w:val="28"/>
          <w:szCs w:val="28"/>
          <w:u w:val="double"/>
          <w:rtl/>
        </w:rPr>
      </w:pPr>
    </w:p>
    <w:p w14:paraId="0951F149" w14:textId="77777777" w:rsidR="00923FDA" w:rsidRDefault="00923FDA">
      <w:pPr>
        <w:spacing w:line="360" w:lineRule="auto"/>
        <w:rPr>
          <w:rFonts w:cs="David"/>
          <w:b/>
          <w:bCs/>
          <w:sz w:val="28"/>
          <w:szCs w:val="28"/>
          <w:u w:val="double"/>
          <w:rtl/>
        </w:rPr>
      </w:pPr>
      <w:r>
        <w:rPr>
          <w:rFonts w:cs="David" w:hint="cs"/>
          <w:b/>
          <w:bCs/>
          <w:sz w:val="28"/>
          <w:szCs w:val="28"/>
          <w:u w:val="double"/>
          <w:rtl/>
        </w:rPr>
        <w:t>השופט ד"ר ק' ורדי</w:t>
      </w:r>
    </w:p>
    <w:p w14:paraId="27A221F0" w14:textId="77777777" w:rsidR="00923FDA" w:rsidRDefault="00923FDA">
      <w:pPr>
        <w:spacing w:line="360" w:lineRule="auto"/>
        <w:rPr>
          <w:rFonts w:cs="David"/>
          <w:sz w:val="28"/>
          <w:szCs w:val="28"/>
          <w:rtl/>
        </w:rPr>
      </w:pPr>
      <w:r>
        <w:rPr>
          <w:rFonts w:cs="David"/>
          <w:sz w:val="28"/>
          <w:szCs w:val="28"/>
          <w:rtl/>
        </w:rPr>
        <w:t>א</w:t>
      </w:r>
      <w:r>
        <w:rPr>
          <w:rFonts w:cs="David" w:hint="cs"/>
          <w:sz w:val="28"/>
          <w:szCs w:val="28"/>
          <w:rtl/>
        </w:rPr>
        <w:t xml:space="preserve">ני מצרף דעתי לחוות דעתה של כב' השופטת ע' סלומון צ'רניאק. </w:t>
      </w:r>
    </w:p>
    <w:p w14:paraId="11FCB24E" w14:textId="77777777" w:rsidR="00923FDA" w:rsidRDefault="00923FDA">
      <w:pPr>
        <w:spacing w:line="360" w:lineRule="auto"/>
        <w:rPr>
          <w:rFonts w:cs="David"/>
          <w:sz w:val="28"/>
          <w:szCs w:val="28"/>
          <w:rtl/>
        </w:rPr>
      </w:pPr>
    </w:p>
    <w:p w14:paraId="26512411" w14:textId="77777777" w:rsidR="00923FDA" w:rsidRDefault="00923FDA">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_____________________</w:t>
      </w:r>
    </w:p>
    <w:p w14:paraId="11E16FD4" w14:textId="77777777" w:rsidR="00923FDA" w:rsidRDefault="00923FDA">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 xml:space="preserve">     ד"ר ק' ורדי, שופט</w:t>
      </w:r>
    </w:p>
    <w:p w14:paraId="108BCEB7" w14:textId="77777777" w:rsidR="00923FDA" w:rsidRDefault="00923FDA">
      <w:pPr>
        <w:spacing w:line="360" w:lineRule="auto"/>
        <w:rPr>
          <w:rFonts w:cs="David"/>
          <w:sz w:val="28"/>
          <w:szCs w:val="28"/>
          <w:rtl/>
        </w:rPr>
      </w:pPr>
    </w:p>
    <w:p w14:paraId="5E860CE2" w14:textId="77777777" w:rsidR="00923FDA" w:rsidRDefault="00923FDA">
      <w:pPr>
        <w:spacing w:line="360" w:lineRule="auto"/>
        <w:rPr>
          <w:rFonts w:cs="David"/>
          <w:sz w:val="28"/>
          <w:szCs w:val="28"/>
          <w:rtl/>
        </w:rPr>
      </w:pPr>
    </w:p>
    <w:p w14:paraId="57A9221A" w14:textId="77777777" w:rsidR="00923FDA" w:rsidRDefault="00923FDA">
      <w:pPr>
        <w:spacing w:line="360" w:lineRule="auto"/>
        <w:rPr>
          <w:rFonts w:cs="David"/>
          <w:sz w:val="28"/>
          <w:szCs w:val="28"/>
          <w:rtl/>
        </w:rPr>
      </w:pPr>
      <w:r>
        <w:rPr>
          <w:rFonts w:cs="David" w:hint="cs"/>
          <w:sz w:val="28"/>
          <w:szCs w:val="28"/>
          <w:rtl/>
        </w:rPr>
        <w:t xml:space="preserve">אשר על כן, אנו מזכים את הנאשם מהעבירות המיוחסות לו בכתב האישום, מחמת הספק. </w:t>
      </w:r>
    </w:p>
    <w:p w14:paraId="0E8E1DC9" w14:textId="77777777" w:rsidR="00923FDA" w:rsidRDefault="00923FDA">
      <w:pPr>
        <w:spacing w:line="360" w:lineRule="auto"/>
        <w:rPr>
          <w:rFonts w:cs="David"/>
          <w:b/>
          <w:bCs/>
          <w:sz w:val="28"/>
          <w:szCs w:val="28"/>
          <w:rtl/>
        </w:rPr>
      </w:pPr>
      <w:r>
        <w:rPr>
          <w:rFonts w:cs="David"/>
          <w:b/>
          <w:bCs/>
          <w:sz w:val="28"/>
          <w:szCs w:val="28"/>
          <w:rtl/>
        </w:rPr>
        <w:t>ז</w:t>
      </w:r>
      <w:r>
        <w:rPr>
          <w:rFonts w:cs="David" w:hint="cs"/>
          <w:b/>
          <w:bCs/>
          <w:sz w:val="28"/>
          <w:szCs w:val="28"/>
          <w:rtl/>
        </w:rPr>
        <w:t xml:space="preserve">כות ערעור תוך 45 יום מהיום. </w:t>
      </w:r>
    </w:p>
    <w:p w14:paraId="7D194F6E" w14:textId="77777777" w:rsidR="00923FDA" w:rsidRDefault="00923FDA">
      <w:pPr>
        <w:suppressLineNumbers/>
        <w:spacing w:line="360" w:lineRule="auto"/>
        <w:rPr>
          <w:rFonts w:cs="David"/>
          <w:b/>
          <w:bCs/>
          <w:rtl/>
        </w:rPr>
      </w:pPr>
      <w:bookmarkStart w:id="18" w:name="Decision1"/>
      <w:bookmarkStart w:id="19" w:name="Decision2"/>
    </w:p>
    <w:p w14:paraId="4F091DA1" w14:textId="77777777" w:rsidR="00923FDA" w:rsidRDefault="00923FDA">
      <w:pPr>
        <w:spacing w:line="360" w:lineRule="auto"/>
        <w:rPr>
          <w:rFonts w:cs="David"/>
          <w:b/>
          <w:bCs/>
          <w:color w:val="FFFFFF"/>
          <w:sz w:val="2"/>
          <w:szCs w:val="2"/>
          <w:rtl/>
        </w:rPr>
      </w:pPr>
    </w:p>
    <w:p w14:paraId="2BC28E45" w14:textId="77777777" w:rsidR="00923FDA" w:rsidRDefault="00923FDA">
      <w:pPr>
        <w:spacing w:line="360" w:lineRule="auto"/>
        <w:rPr>
          <w:rFonts w:cs="David"/>
          <w:b/>
          <w:bCs/>
          <w:color w:val="FFFFFF"/>
          <w:sz w:val="2"/>
          <w:szCs w:val="2"/>
          <w:rtl/>
        </w:rPr>
      </w:pPr>
      <w:r>
        <w:rPr>
          <w:rFonts w:cs="David"/>
          <w:b/>
          <w:bCs/>
          <w:color w:val="FFFFFF"/>
          <w:sz w:val="2"/>
          <w:szCs w:val="2"/>
          <w:rtl/>
        </w:rPr>
        <w:t>5129371</w:t>
      </w:r>
    </w:p>
    <w:p w14:paraId="61D8AC4E" w14:textId="77777777" w:rsidR="00923FDA" w:rsidRDefault="00923FDA">
      <w:pPr>
        <w:spacing w:line="360" w:lineRule="auto"/>
        <w:rPr>
          <w:rFonts w:cs="David"/>
          <w:rtl/>
        </w:rPr>
      </w:pPr>
      <w:r>
        <w:rPr>
          <w:rFonts w:cs="David"/>
          <w:b/>
          <w:bCs/>
          <w:color w:val="FFFFFF"/>
          <w:sz w:val="2"/>
          <w:szCs w:val="2"/>
          <w:rtl/>
        </w:rPr>
        <w:t>54678313</w:t>
      </w:r>
      <w:r>
        <w:rPr>
          <w:rFonts w:cs="David"/>
          <w:b/>
          <w:bCs/>
          <w:sz w:val="28"/>
          <w:szCs w:val="28"/>
          <w:rtl/>
        </w:rPr>
        <w:t xml:space="preserve">ניתנה היום כ"ג בחשון, תשס"ח (4 בנובמבר 2007) במעמד ב"כ הצדדים והנאשם. </w:t>
      </w:r>
    </w:p>
    <w:p w14:paraId="505711DD" w14:textId="77777777" w:rsidR="00923FDA" w:rsidRDefault="00923FDA">
      <w:pPr>
        <w:keepNext/>
        <w:spacing w:line="360" w:lineRule="auto"/>
        <w:rPr>
          <w:rFonts w:hAnsi="David" w:cs="David" w:hint="cs"/>
          <w:color w:val="000000"/>
          <w:sz w:val="22"/>
          <w:szCs w:val="22"/>
          <w:rtl/>
        </w:rPr>
      </w:pPr>
    </w:p>
    <w:p w14:paraId="375529D8" w14:textId="77777777" w:rsidR="00923FDA" w:rsidRDefault="00923FDA">
      <w:pPr>
        <w:spacing w:line="360" w:lineRule="auto"/>
        <w:rPr>
          <w:rFonts w:cs="David" w:hint="cs"/>
          <w:color w:val="FFFFFF"/>
          <w:sz w:val="2"/>
          <w:szCs w:val="2"/>
          <w:rtl/>
        </w:rPr>
      </w:pPr>
    </w:p>
    <w:p w14:paraId="59332626" w14:textId="77777777" w:rsidR="00923FDA" w:rsidRDefault="00923FDA">
      <w:pPr>
        <w:spacing w:line="360" w:lineRule="auto"/>
        <w:rPr>
          <w:rFonts w:cs="David"/>
          <w:color w:val="FFFFFF"/>
          <w:sz w:val="2"/>
          <w:szCs w:val="2"/>
          <w:rtl/>
        </w:rPr>
      </w:pPr>
      <w:r>
        <w:rPr>
          <w:rFonts w:cs="David"/>
          <w:color w:val="FFFFFF"/>
          <w:sz w:val="2"/>
          <w:szCs w:val="2"/>
          <w:rtl/>
        </w:rPr>
        <w:t>5129371</w:t>
      </w:r>
    </w:p>
    <w:p w14:paraId="1A4B621D" w14:textId="77777777" w:rsidR="00923FDA" w:rsidRDefault="00923FDA">
      <w:pPr>
        <w:keepNext/>
        <w:spacing w:line="360" w:lineRule="auto"/>
        <w:rPr>
          <w:rFonts w:hAnsi="David" w:cs="David"/>
          <w:color w:val="000000"/>
          <w:sz w:val="22"/>
          <w:szCs w:val="22"/>
          <w:rtl/>
        </w:rPr>
      </w:pPr>
    </w:p>
    <w:p w14:paraId="58FFB200" w14:textId="77777777" w:rsidR="00923FDA" w:rsidRDefault="00923FDA">
      <w:pPr>
        <w:keepNext/>
        <w:spacing w:line="360" w:lineRule="auto"/>
        <w:rPr>
          <w:rFonts w:hAnsi="David" w:cs="David"/>
          <w:color w:val="000000"/>
          <w:sz w:val="22"/>
          <w:szCs w:val="22"/>
          <w:rtl/>
        </w:rPr>
      </w:pPr>
      <w:r>
        <w:rPr>
          <w:rFonts w:hAnsi="David" w:cs="David"/>
          <w:color w:val="000000"/>
          <w:sz w:val="22"/>
          <w:szCs w:val="22"/>
          <w:rtl/>
        </w:rPr>
        <w:t>ס' רוטלוי 54678313-1193/05</w:t>
      </w:r>
    </w:p>
    <w:p w14:paraId="645C7E11" w14:textId="77777777" w:rsidR="00923FDA" w:rsidRDefault="00923FDA">
      <w:pPr>
        <w:spacing w:line="360" w:lineRule="auto"/>
        <w:rPr>
          <w:rFonts w:cs="David"/>
          <w:b/>
          <w:bCs/>
          <w:color w:val="FF0000"/>
          <w:rtl/>
        </w:rPr>
      </w:pPr>
      <w:r>
        <w:rPr>
          <w:rFonts w:cs="David"/>
          <w:color w:val="FFFFFF"/>
          <w:sz w:val="2"/>
          <w:szCs w:val="2"/>
          <w:rtl/>
        </w:rPr>
        <w:t>54678313</w:t>
      </w:r>
      <w:r>
        <w:rPr>
          <w:rFonts w:cs="David" w:hint="cs"/>
          <w:rtl/>
        </w:rPr>
        <w:t xml:space="preserve">                                                                                </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4"/>
        <w:gridCol w:w="707"/>
        <w:gridCol w:w="2266"/>
        <w:gridCol w:w="850"/>
        <w:gridCol w:w="2465"/>
      </w:tblGrid>
      <w:tr w:rsidR="00923FDA" w14:paraId="716FCC59" w14:textId="77777777">
        <w:tblPrEx>
          <w:tblCellMar>
            <w:top w:w="0" w:type="dxa"/>
            <w:bottom w:w="0" w:type="dxa"/>
          </w:tblCellMar>
        </w:tblPrEx>
        <w:tc>
          <w:tcPr>
            <w:tcW w:w="2235" w:type="dxa"/>
            <w:tcBorders>
              <w:top w:val="single" w:sz="4" w:space="0" w:color="auto"/>
              <w:left w:val="nil"/>
              <w:bottom w:val="nil"/>
              <w:right w:val="nil"/>
            </w:tcBorders>
          </w:tcPr>
          <w:p w14:paraId="4B5D4ABC" w14:textId="77777777" w:rsidR="00923FDA" w:rsidRDefault="00923FDA">
            <w:pPr>
              <w:spacing w:line="360" w:lineRule="auto"/>
              <w:jc w:val="center"/>
              <w:rPr>
                <w:rFonts w:cs="David"/>
                <w:b/>
                <w:bCs/>
                <w:sz w:val="28"/>
                <w:szCs w:val="28"/>
                <w:rtl/>
              </w:rPr>
            </w:pPr>
            <w:r>
              <w:rPr>
                <w:rFonts w:cs="David"/>
                <w:b/>
                <w:bCs/>
                <w:sz w:val="28"/>
                <w:szCs w:val="28"/>
                <w:rtl/>
              </w:rPr>
              <w:t>ד</w:t>
            </w:r>
            <w:r>
              <w:rPr>
                <w:rFonts w:cs="David" w:hint="cs"/>
                <w:b/>
                <w:bCs/>
                <w:sz w:val="28"/>
                <w:szCs w:val="28"/>
                <w:rtl/>
              </w:rPr>
              <w:t>ר' ק' ורדי, שופט</w:t>
            </w:r>
          </w:p>
        </w:tc>
        <w:tc>
          <w:tcPr>
            <w:tcW w:w="708" w:type="dxa"/>
            <w:tcBorders>
              <w:top w:val="nil"/>
              <w:left w:val="nil"/>
              <w:bottom w:val="nil"/>
              <w:right w:val="nil"/>
            </w:tcBorders>
          </w:tcPr>
          <w:p w14:paraId="5508F21A" w14:textId="77777777" w:rsidR="00923FDA" w:rsidRDefault="00923FDA">
            <w:pPr>
              <w:spacing w:line="360" w:lineRule="auto"/>
              <w:jc w:val="center"/>
              <w:rPr>
                <w:rFonts w:cs="David"/>
                <w:b/>
                <w:bCs/>
                <w:color w:val="FF0000"/>
                <w:sz w:val="28"/>
                <w:szCs w:val="28"/>
                <w:rtl/>
              </w:rPr>
            </w:pPr>
          </w:p>
        </w:tc>
        <w:tc>
          <w:tcPr>
            <w:tcW w:w="2268" w:type="dxa"/>
            <w:tcBorders>
              <w:top w:val="single" w:sz="4" w:space="0" w:color="auto"/>
              <w:left w:val="nil"/>
              <w:bottom w:val="nil"/>
              <w:right w:val="nil"/>
            </w:tcBorders>
          </w:tcPr>
          <w:p w14:paraId="533CA72F" w14:textId="77777777" w:rsidR="00923FDA" w:rsidRDefault="00923FDA">
            <w:pPr>
              <w:pStyle w:val="Heading1"/>
              <w:rPr>
                <w:rFonts w:cs="David"/>
                <w:sz w:val="28"/>
                <w:szCs w:val="28"/>
                <w:u w:val="none"/>
                <w:rtl/>
              </w:rPr>
            </w:pPr>
            <w:r>
              <w:rPr>
                <w:rFonts w:cs="David"/>
                <w:noProof w:val="0"/>
                <w:sz w:val="28"/>
                <w:szCs w:val="28"/>
                <w:u w:val="none"/>
                <w:rtl/>
              </w:rPr>
              <w:t>ע</w:t>
            </w:r>
            <w:r>
              <w:rPr>
                <w:rFonts w:cs="David" w:hint="cs"/>
                <w:noProof w:val="0"/>
                <w:sz w:val="28"/>
                <w:szCs w:val="28"/>
                <w:u w:val="none"/>
                <w:rtl/>
              </w:rPr>
              <w:t>' צ'רניאק, שופטת</w:t>
            </w:r>
          </w:p>
        </w:tc>
        <w:tc>
          <w:tcPr>
            <w:tcW w:w="851" w:type="dxa"/>
            <w:tcBorders>
              <w:top w:val="nil"/>
              <w:left w:val="nil"/>
              <w:bottom w:val="nil"/>
              <w:right w:val="nil"/>
            </w:tcBorders>
          </w:tcPr>
          <w:p w14:paraId="58E6AAD0" w14:textId="77777777" w:rsidR="00923FDA" w:rsidRDefault="00923FDA">
            <w:pPr>
              <w:spacing w:line="360" w:lineRule="auto"/>
              <w:jc w:val="center"/>
              <w:rPr>
                <w:rFonts w:cs="David"/>
                <w:b/>
                <w:bCs/>
                <w:color w:val="FF0000"/>
                <w:sz w:val="28"/>
                <w:szCs w:val="28"/>
                <w:rtl/>
              </w:rPr>
            </w:pPr>
          </w:p>
        </w:tc>
        <w:tc>
          <w:tcPr>
            <w:tcW w:w="2467" w:type="dxa"/>
            <w:tcBorders>
              <w:top w:val="single" w:sz="4" w:space="0" w:color="auto"/>
              <w:left w:val="nil"/>
              <w:bottom w:val="nil"/>
              <w:right w:val="nil"/>
            </w:tcBorders>
          </w:tcPr>
          <w:p w14:paraId="2433C741" w14:textId="77777777" w:rsidR="00923FDA" w:rsidRDefault="00923FDA">
            <w:pPr>
              <w:spacing w:line="360" w:lineRule="auto"/>
              <w:jc w:val="center"/>
              <w:rPr>
                <w:rFonts w:cs="David"/>
                <w:b/>
                <w:bCs/>
                <w:sz w:val="28"/>
                <w:szCs w:val="28"/>
                <w:rtl/>
              </w:rPr>
            </w:pPr>
            <w:r>
              <w:rPr>
                <w:rFonts w:cs="David"/>
                <w:b/>
                <w:bCs/>
                <w:sz w:val="28"/>
                <w:szCs w:val="28"/>
                <w:rtl/>
              </w:rPr>
              <w:t>ס</w:t>
            </w:r>
            <w:r>
              <w:rPr>
                <w:rFonts w:cs="David" w:hint="cs"/>
                <w:b/>
                <w:bCs/>
                <w:sz w:val="28"/>
                <w:szCs w:val="28"/>
                <w:rtl/>
              </w:rPr>
              <w:t>' רוטלוי, שופטת, ס.נ - אב"ד</w:t>
            </w:r>
          </w:p>
        </w:tc>
      </w:tr>
    </w:tbl>
    <w:bookmarkEnd w:id="18"/>
    <w:bookmarkEnd w:id="19"/>
    <w:p w14:paraId="68FF53F6" w14:textId="77777777" w:rsidR="00923FDA" w:rsidRDefault="00923FDA">
      <w:pPr>
        <w:spacing w:line="360" w:lineRule="auto"/>
        <w:rPr>
          <w:color w:val="000000"/>
          <w:rtl/>
          <w:lang w:eastAsia="en-US"/>
        </w:rPr>
      </w:pPr>
      <w:r>
        <w:rPr>
          <w:color w:val="000000"/>
          <w:rtl/>
          <w:lang w:eastAsia="en-US"/>
        </w:rPr>
        <w:t>נוסח מסמך זה כפוף לשינויי ניסוח ועריכה</w:t>
      </w:r>
    </w:p>
    <w:sectPr w:rsidR="00923FDA">
      <w:headerReference w:type="even" r:id="rId19"/>
      <w:headerReference w:type="default" r:id="rId20"/>
      <w:footerReference w:type="even" r:id="rId21"/>
      <w:footerReference w:type="default" r:id="rId22"/>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9CF60" w14:textId="77777777" w:rsidR="00B916FE" w:rsidRDefault="00B916FE">
      <w:pPr>
        <w:rPr>
          <w:rtl/>
        </w:rPr>
      </w:pPr>
      <w:r>
        <w:separator/>
      </w:r>
    </w:p>
  </w:endnote>
  <w:endnote w:type="continuationSeparator" w:id="0">
    <w:p w14:paraId="5AD60CB6" w14:textId="77777777" w:rsidR="00B916FE" w:rsidRDefault="00B916FE">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E28B" w14:textId="77777777" w:rsidR="00F739BA" w:rsidRDefault="00F739BA">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2</w:t>
    </w:r>
    <w:r>
      <w:rPr>
        <w:rFonts w:hAnsi="FrankRuehl" w:cs="FrankRuehl"/>
        <w:rtl/>
      </w:rPr>
      <w:fldChar w:fldCharType="end"/>
    </w:r>
  </w:p>
  <w:p w14:paraId="23FCE58F" w14:textId="77777777" w:rsidR="00F739BA" w:rsidRDefault="00F739BA">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FF6A8D" w14:textId="77777777" w:rsidR="00F739BA" w:rsidRDefault="00F739BA">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3570F">
      <w:rPr>
        <w:rFonts w:cs="TopType Jerushalmi"/>
        <w:noProof/>
        <w:color w:val="000000"/>
        <w:sz w:val="14"/>
        <w:szCs w:val="14"/>
      </w:rPr>
      <w:t>Z:\000000000000000000000000000000=2015--------------------\HAKIKA-KIDUD\2007\Mechozi_MinHali\word\outdoc-nohyper\OutDoc-Makor\m05001193.doc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EE40" w14:textId="77777777" w:rsidR="00F739BA" w:rsidRDefault="00F739BA">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221E8F">
      <w:rPr>
        <w:rFonts w:hAnsi="FrankRuehl" w:cs="FrankRuehl"/>
        <w:noProof/>
        <w:rtl/>
      </w:rPr>
      <w:t>1</w:t>
    </w:r>
    <w:r>
      <w:rPr>
        <w:rFonts w:hAnsi="FrankRuehl" w:cs="FrankRuehl"/>
        <w:rtl/>
      </w:rPr>
      <w:fldChar w:fldCharType="end"/>
    </w:r>
  </w:p>
  <w:p w14:paraId="1862E106" w14:textId="77777777" w:rsidR="00F739BA" w:rsidRDefault="00F739BA">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5F5981" w14:textId="77777777" w:rsidR="00F739BA" w:rsidRDefault="00F739BA">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3570F">
      <w:rPr>
        <w:rFonts w:cs="TopType Jerushalmi"/>
        <w:noProof/>
        <w:color w:val="000000"/>
        <w:sz w:val="14"/>
        <w:szCs w:val="14"/>
      </w:rPr>
      <w:t>Z:\000000000000000000000000000000=2015--------------------\HAKIKA-KIDUD\2007\Mechozi_MinHali\word\outdoc-nohyper\OutDoc-Makor\m05001193.doc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4F848" w14:textId="77777777" w:rsidR="00B916FE" w:rsidRDefault="00B916FE">
      <w:pPr>
        <w:rPr>
          <w:rtl/>
        </w:rPr>
      </w:pPr>
      <w:r>
        <w:separator/>
      </w:r>
    </w:p>
  </w:footnote>
  <w:footnote w:type="continuationSeparator" w:id="0">
    <w:p w14:paraId="7437176F" w14:textId="77777777" w:rsidR="00B916FE" w:rsidRDefault="00B916FE">
      <w:pPr>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5090" w14:textId="77777777" w:rsidR="00F739BA" w:rsidRDefault="00F739BA">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1193/05</w:t>
    </w:r>
    <w:r>
      <w:rPr>
        <w:rFonts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4A8B" w14:textId="77777777" w:rsidR="00F739BA" w:rsidRDefault="00F739BA">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1193/05</w:t>
    </w:r>
    <w:r>
      <w:rPr>
        <w:rFonts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87"/>
  <w:drawingGridVerticalSpacing w:val="163"/>
  <w:displayVertic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3FDA"/>
    <w:rsid w:val="00221E8F"/>
    <w:rsid w:val="0059528C"/>
    <w:rsid w:val="00923FDA"/>
    <w:rsid w:val="00B916FE"/>
    <w:rsid w:val="00E3570F"/>
    <w:rsid w:val="00F43FF5"/>
    <w:rsid w:val="00F73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EA7DC0"/>
  <w15:chartTrackingRefBased/>
  <w15:docId w15:val="{7DB30D6D-D8EE-4742-A8B4-32C42661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4">
    <w:name w:val="heading 4"/>
    <w:basedOn w:val="Normal"/>
    <w:next w:val="Normal"/>
    <w:qFormat/>
    <w:pPr>
      <w:keepNext/>
      <w:spacing w:line="360" w:lineRule="auto"/>
      <w:jc w:val="both"/>
      <w:outlineLvl w:val="3"/>
    </w:pPr>
    <w:rPr>
      <w:noProof/>
      <w:sz w:val="20"/>
      <w:u w:val="single"/>
    </w:rPr>
  </w:style>
  <w:style w:type="paragraph" w:styleId="Heading5">
    <w:name w:val="heading 5"/>
    <w:basedOn w:val="Normal"/>
    <w:next w:val="Normal"/>
    <w:qFormat/>
    <w:pPr>
      <w:keepNext/>
      <w:spacing w:line="360" w:lineRule="auto"/>
      <w:jc w:val="both"/>
      <w:outlineLvl w:val="4"/>
    </w:pPr>
    <w:rPr>
      <w:noProof/>
      <w:sz w:val="20"/>
      <w:u w:val="single"/>
    </w:rPr>
  </w:style>
  <w:style w:type="paragraph" w:styleId="Heading6">
    <w:name w:val="heading 6"/>
    <w:basedOn w:val="Normal"/>
    <w:next w:val="Normal"/>
    <w:qFormat/>
    <w:pPr>
      <w:keepNext/>
      <w:bidi w:val="0"/>
      <w:spacing w:line="360" w:lineRule="auto"/>
      <w:jc w:val="right"/>
      <w:outlineLvl w:val="5"/>
    </w:pPr>
    <w:rPr>
      <w:b/>
      <w:bCs/>
      <w:noProof/>
      <w:sz w:val="30"/>
      <w:szCs w:val="28"/>
      <w:u w:val="doub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rPr>
      <w:rFonts w:ascii="Times New Roman" w:hAnsi="Times New Roman" w:cs="Times New Roman"/>
    </w:rPr>
  </w:style>
  <w:style w:type="paragraph" w:customStyle="1" w:styleId="a">
    <w:name w:val="שמות"/>
    <w:basedOn w:val="Normal"/>
    <w:pPr>
      <w:suppressLineNumbers/>
      <w:spacing w:line="360" w:lineRule="auto"/>
      <w:jc w:val="both"/>
    </w:pPr>
    <w:rPr>
      <w:b/>
      <w:bCs/>
      <w:sz w:val="22"/>
    </w:rPr>
  </w:style>
  <w:style w:type="paragraph" w:styleId="BodyText">
    <w:name w:val="Body Text"/>
    <w:basedOn w:val="Normal"/>
    <w:pPr>
      <w:spacing w:line="360" w:lineRule="auto"/>
      <w:jc w:val="both"/>
    </w:pPr>
    <w:rPr>
      <w:b/>
      <w:bCs/>
      <w:noProof/>
      <w:sz w:val="20"/>
    </w:rPr>
  </w:style>
  <w:style w:type="character" w:styleId="PageNumber">
    <w:name w:val="page number"/>
    <w:rPr>
      <w:rFonts w:cs="David"/>
      <w:lang w:bidi="he-IL"/>
    </w:rPr>
  </w:style>
  <w:style w:type="paragraph" w:styleId="Header">
    <w:name w:val="header"/>
    <w:basedOn w:val="Normal"/>
    <w:pPr>
      <w:tabs>
        <w:tab w:val="center" w:pos="4153"/>
        <w:tab w:val="right" w:pos="8306"/>
      </w:tabs>
      <w:spacing w:line="360" w:lineRule="auto"/>
      <w:jc w:val="both"/>
    </w:pPr>
    <w:rPr>
      <w:sz w:val="20"/>
    </w:rPr>
  </w:style>
  <w:style w:type="paragraph" w:styleId="Footer">
    <w:name w:val="footer"/>
    <w:basedOn w:val="Normal"/>
    <w:pPr>
      <w:tabs>
        <w:tab w:val="center" w:pos="4320"/>
        <w:tab w:val="right" w:pos="8640"/>
      </w:tabs>
    </w:pPr>
  </w:style>
  <w:style w:type="character" w:styleId="Hyperlink">
    <w:name w:val="Hyperlink"/>
    <w:rsid w:val="00E35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7.a"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case/6098589"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345.a.3"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47.a"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7.a.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law/70301/347.b"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7.a.1" TargetMode="External"/><Relationship Id="rId14" Type="http://schemas.openxmlformats.org/officeDocument/2006/relationships/hyperlink" Target="http://www.nevo.co.il/law/70301/345.a.3"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3777</Words>
  <Characters>21529</Characters>
  <Application>Microsoft Office Word</Application>
  <DocSecurity>0</DocSecurity>
  <Lines>179</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25256</CharactersWithSpaces>
  <SharedDoc>false</SharedDoc>
  <HLinks>
    <vt:vector size="78" baseType="variant">
      <vt:variant>
        <vt:i4>3342452</vt:i4>
      </vt:variant>
      <vt:variant>
        <vt:i4>36</vt:i4>
      </vt:variant>
      <vt:variant>
        <vt:i4>0</vt:i4>
      </vt:variant>
      <vt:variant>
        <vt:i4>5</vt:i4>
      </vt:variant>
      <vt:variant>
        <vt:lpwstr>http://www.nevo.co.il/case/6098589</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5177425</vt:i4>
      </vt:variant>
      <vt:variant>
        <vt:i4>30</vt:i4>
      </vt:variant>
      <vt:variant>
        <vt:i4>0</vt:i4>
      </vt:variant>
      <vt:variant>
        <vt:i4>5</vt:i4>
      </vt:variant>
      <vt:variant>
        <vt:lpwstr>http://www.nevo.co.il/law/70301/347.a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6357040</vt:i4>
      </vt:variant>
      <vt:variant>
        <vt:i4>15</vt:i4>
      </vt:variant>
      <vt:variant>
        <vt:i4>0</vt:i4>
      </vt:variant>
      <vt:variant>
        <vt:i4>5</vt:i4>
      </vt:variant>
      <vt:variant>
        <vt:lpwstr>http://www.nevo.co.il/law/70301/347.a.1</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6357040</vt:i4>
      </vt:variant>
      <vt:variant>
        <vt:i4>9</vt:i4>
      </vt:variant>
      <vt:variant>
        <vt:i4>0</vt:i4>
      </vt:variant>
      <vt:variant>
        <vt:i4>5</vt:i4>
      </vt:variant>
      <vt:variant>
        <vt:lpwstr>http://www.nevo.co.il/law/70301/347.a.1</vt:lpwstr>
      </vt:variant>
      <vt:variant>
        <vt:lpwstr/>
      </vt:variant>
      <vt:variant>
        <vt:i4>5177425</vt:i4>
      </vt:variant>
      <vt:variant>
        <vt:i4>6</vt:i4>
      </vt:variant>
      <vt:variant>
        <vt:i4>0</vt:i4>
      </vt:variant>
      <vt:variant>
        <vt:i4>5</vt:i4>
      </vt:variant>
      <vt:variant>
        <vt:lpwstr>http://www.nevo.co.il/law/70301/347.a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2022-05-24T09:31:00Z</dcterms:created>
  <dcterms:modified xsi:type="dcterms:W3CDTF">2022-05-24T09:31:00Z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1193</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נאווה הורוביץ;ששי גז</vt:lpwstr>
  </property>
  <property fmtid="{D5CDD505-2E9C-101B-9397-08002B2CF9AE}" pid="10" name="JUDGE">
    <vt:lpwstr>ס' רוטלוי;ע' צ'רניאק;ק' ורדי</vt:lpwstr>
  </property>
  <property fmtid="{D5CDD505-2E9C-101B-9397-08002B2CF9AE}" pid="11" name="CITY">
    <vt:lpwstr>ת"א</vt:lpwstr>
  </property>
  <property fmtid="{D5CDD505-2E9C-101B-9397-08002B2CF9AE}" pid="12" name="DATE">
    <vt:lpwstr>20071104</vt:lpwstr>
  </property>
  <property fmtid="{D5CDD505-2E9C-101B-9397-08002B2CF9AE}" pid="13" name="WORDNUMPAGES">
    <vt:lpwstr>18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YES</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NOSE11">
    <vt:lpwstr>ראיות</vt:lpwstr>
  </property>
  <property fmtid="{D5CDD505-2E9C-101B-9397-08002B2CF9AE}" pid="33" name="NOSE21">
    <vt:lpwstr>מידת ההוכחה</vt:lpwstr>
  </property>
  <property fmtid="{D5CDD505-2E9C-101B-9397-08002B2CF9AE}" pid="34" name="NOSE31">
    <vt:lpwstr>בהליך פלילי</vt:lpwstr>
  </property>
  <property fmtid="{D5CDD505-2E9C-101B-9397-08002B2CF9AE}" pid="35" name="NOSE12">
    <vt:lpwstr>ראיות</vt:lpwstr>
  </property>
  <property fmtid="{D5CDD505-2E9C-101B-9397-08002B2CF9AE}" pid="36" name="NOSE22">
    <vt:lpwstr>מידת ההוכחה</vt:lpwstr>
  </property>
  <property fmtid="{D5CDD505-2E9C-101B-9397-08002B2CF9AE}" pid="37" name="NOSE32">
    <vt:lpwstr>ספק סביר</vt:lpwstr>
  </property>
  <property fmtid="{D5CDD505-2E9C-101B-9397-08002B2CF9AE}" pid="38" name="NOSE13">
    <vt:lpwstr>עונשין</vt:lpwstr>
  </property>
  <property fmtid="{D5CDD505-2E9C-101B-9397-08002B2CF9AE}" pid="39" name="NOSE23">
    <vt:lpwstr>עבירות</vt:lpwstr>
  </property>
  <property fmtid="{D5CDD505-2E9C-101B-9397-08002B2CF9AE}" pid="40" name="NOSE33">
    <vt:lpwstr>מעשה סדום</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CASESLISTTMP1">
    <vt:lpwstr>6098589</vt:lpwstr>
  </property>
  <property fmtid="{D5CDD505-2E9C-101B-9397-08002B2CF9AE}" pid="63" name="LAWLISTTMP1">
    <vt:lpwstr>70301/347.a.1;347.b;345.a.3;347.a</vt:lpwstr>
  </property>
</Properties>
</file>