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E154C" w14:textId="77777777" w:rsidR="00CD52B4" w:rsidRDefault="00CD52B4">
      <w:pPr>
        <w:spacing w:line="240" w:lineRule="auto"/>
        <w:jc w:val="center"/>
        <w:rPr>
          <w:rFonts w:hint="cs"/>
          <w:sz w:val="26"/>
          <w:rtl/>
        </w:rPr>
      </w:pPr>
      <w:bookmarkStart w:id="0" w:name="LastJudge"/>
    </w:p>
    <w:p w14:paraId="65E3FD51" w14:textId="77777777" w:rsidR="00CD52B4" w:rsidRDefault="00CD52B4">
      <w:pPr>
        <w:spacing w:line="240" w:lineRule="auto"/>
        <w:jc w:val="center"/>
        <w:rPr>
          <w:rFonts w:hint="cs"/>
          <w:sz w:val="26"/>
          <w:rtl/>
        </w:rPr>
      </w:pPr>
      <w:r>
        <w:rPr>
          <w:sz w:val="26"/>
        </w:rPr>
        <w:t xml:space="preserve">    </w:t>
      </w:r>
    </w:p>
    <w:p w14:paraId="7679FE2A" w14:textId="77777777" w:rsidR="00CD52B4" w:rsidRDefault="00CD52B4">
      <w:pPr>
        <w:spacing w:line="240" w:lineRule="auto"/>
        <w:jc w:val="center"/>
        <w:rPr>
          <w:sz w:val="32"/>
          <w:szCs w:val="32"/>
          <w:rtl/>
        </w:rPr>
      </w:pPr>
      <w:r>
        <w:rPr>
          <w:rFonts w:hint="cs"/>
          <w:b/>
          <w:bCs/>
          <w:sz w:val="32"/>
          <w:szCs w:val="32"/>
          <w:rtl/>
        </w:rPr>
        <w:t>בתי המשפט</w:t>
      </w:r>
      <w:r>
        <w:rPr>
          <w:rFonts w:hint="cs"/>
          <w:sz w:val="32"/>
          <w:szCs w:val="32"/>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4217EC" w14:paraId="789AAB7A" w14:textId="77777777" w:rsidTr="004217EC">
        <w:trPr>
          <w:cantSplit/>
          <w:trHeight w:val="510"/>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118871F" w14:textId="77777777" w:rsidR="004217EC" w:rsidRDefault="004217EC">
            <w:pPr>
              <w:spacing w:line="240" w:lineRule="auto"/>
              <w:rPr>
                <w:sz w:val="26"/>
              </w:rPr>
            </w:pPr>
            <w:r>
              <w:rPr>
                <w:rFonts w:hint="cs"/>
                <w:sz w:val="26"/>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65047F76" w14:textId="77777777" w:rsidR="004217EC" w:rsidRDefault="004217EC">
            <w:pPr>
              <w:spacing w:line="240" w:lineRule="auto"/>
              <w:rPr>
                <w:sz w:val="26"/>
              </w:rPr>
            </w:pPr>
            <w:r>
              <w:rPr>
                <w:rFonts w:hint="cs"/>
                <w:sz w:val="26"/>
                <w:rtl/>
              </w:rPr>
              <w:t>פ  001541/00</w:t>
            </w:r>
          </w:p>
        </w:tc>
      </w:tr>
      <w:tr w:rsidR="004217EC" w14:paraId="7FA4ED65" w14:textId="77777777" w:rsidTr="004217EC">
        <w:trPr>
          <w:cantSplit/>
          <w:trHeight w:val="510"/>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0B170D0" w14:textId="77777777" w:rsidR="004217EC" w:rsidRDefault="004217EC">
            <w:pPr>
              <w:tabs>
                <w:tab w:val="clear" w:pos="624"/>
              </w:tabs>
              <w:bidi w:val="0"/>
              <w:spacing w:before="0" w:line="240" w:lineRule="auto"/>
              <w:ind w:left="0" w:firstLine="0"/>
              <w:rPr>
                <w:sz w:val="26"/>
              </w:rPr>
            </w:pPr>
          </w:p>
        </w:tc>
        <w:tc>
          <w:tcPr>
            <w:tcW w:w="2915" w:type="dxa"/>
            <w:gridSpan w:val="2"/>
            <w:tcBorders>
              <w:top w:val="single" w:sz="4" w:space="0" w:color="auto"/>
              <w:left w:val="single" w:sz="4" w:space="0" w:color="auto"/>
              <w:bottom w:val="single" w:sz="4" w:space="0" w:color="auto"/>
              <w:right w:val="single" w:sz="4" w:space="0" w:color="auto"/>
            </w:tcBorders>
          </w:tcPr>
          <w:p w14:paraId="1241C165" w14:textId="77777777" w:rsidR="004217EC" w:rsidRDefault="004217EC">
            <w:pPr>
              <w:spacing w:line="240" w:lineRule="auto"/>
              <w:rPr>
                <w:sz w:val="26"/>
              </w:rPr>
            </w:pPr>
          </w:p>
        </w:tc>
      </w:tr>
      <w:tr w:rsidR="004217EC" w14:paraId="34CE7D04" w14:textId="77777777" w:rsidTr="004217EC">
        <w:trPr>
          <w:trHeight w:val="510"/>
        </w:trPr>
        <w:tc>
          <w:tcPr>
            <w:tcW w:w="766" w:type="dxa"/>
            <w:tcBorders>
              <w:top w:val="single" w:sz="4" w:space="0" w:color="auto"/>
              <w:left w:val="single" w:sz="4" w:space="0" w:color="auto"/>
              <w:bottom w:val="single" w:sz="4" w:space="0" w:color="auto"/>
              <w:right w:val="single" w:sz="4" w:space="0" w:color="auto"/>
            </w:tcBorders>
          </w:tcPr>
          <w:p w14:paraId="75343440" w14:textId="77777777" w:rsidR="004217EC" w:rsidRDefault="004217EC">
            <w:pPr>
              <w:spacing w:line="240" w:lineRule="auto"/>
              <w:rPr>
                <w:sz w:val="26"/>
              </w:rPr>
            </w:pPr>
            <w:r>
              <w:rPr>
                <w:rFonts w:hint="cs"/>
                <w:sz w:val="26"/>
                <w:rtl/>
              </w:rPr>
              <w:t>בפני:</w:t>
            </w:r>
          </w:p>
        </w:tc>
        <w:tc>
          <w:tcPr>
            <w:tcW w:w="4848" w:type="dxa"/>
            <w:tcBorders>
              <w:top w:val="single" w:sz="4" w:space="0" w:color="auto"/>
              <w:left w:val="single" w:sz="4" w:space="0" w:color="auto"/>
              <w:bottom w:val="single" w:sz="4" w:space="0" w:color="auto"/>
              <w:right w:val="single" w:sz="4" w:space="0" w:color="auto"/>
            </w:tcBorders>
          </w:tcPr>
          <w:p w14:paraId="6EC55F20" w14:textId="77777777" w:rsidR="004217EC" w:rsidRDefault="004217EC">
            <w:pPr>
              <w:spacing w:line="240" w:lineRule="auto"/>
              <w:rPr>
                <w:sz w:val="26"/>
              </w:rPr>
            </w:pPr>
            <w:r>
              <w:rPr>
                <w:rFonts w:hint="cs"/>
                <w:sz w:val="26"/>
                <w:rtl/>
              </w:rPr>
              <w:t>כב' השופט חיים לי - רן</w:t>
            </w:r>
          </w:p>
          <w:p w14:paraId="24DF53C6" w14:textId="77777777" w:rsidR="004217EC" w:rsidRDefault="004217EC">
            <w:pPr>
              <w:spacing w:line="240" w:lineRule="auto"/>
              <w:rPr>
                <w:sz w:val="26"/>
              </w:rPr>
            </w:pP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69DA43B" w14:textId="77777777" w:rsidR="004217EC" w:rsidRDefault="004217EC">
            <w:pPr>
              <w:spacing w:line="240" w:lineRule="auto"/>
              <w:rPr>
                <w:sz w:val="26"/>
              </w:rPr>
            </w:pPr>
          </w:p>
        </w:tc>
        <w:tc>
          <w:tcPr>
            <w:tcW w:w="2093" w:type="dxa"/>
            <w:tcBorders>
              <w:top w:val="single" w:sz="4" w:space="0" w:color="auto"/>
              <w:left w:val="single" w:sz="4" w:space="0" w:color="auto"/>
              <w:bottom w:val="single" w:sz="4" w:space="0" w:color="auto"/>
              <w:right w:val="single" w:sz="4" w:space="0" w:color="auto"/>
            </w:tcBorders>
          </w:tcPr>
          <w:p w14:paraId="08B221FC" w14:textId="77777777" w:rsidR="004217EC" w:rsidRDefault="004217EC">
            <w:pPr>
              <w:spacing w:line="240" w:lineRule="auto"/>
              <w:rPr>
                <w:sz w:val="26"/>
              </w:rPr>
            </w:pPr>
          </w:p>
        </w:tc>
      </w:tr>
    </w:tbl>
    <w:p w14:paraId="709ECC54" w14:textId="77777777" w:rsidR="00CD52B4" w:rsidRDefault="00CD52B4">
      <w:pPr>
        <w:spacing w:line="240" w:lineRule="auto"/>
        <w:rPr>
          <w:rFonts w:hint="cs"/>
          <w:sz w:val="26"/>
          <w:rtl/>
        </w:rPr>
      </w:pPr>
    </w:p>
    <w:p w14:paraId="1711B678" w14:textId="77777777" w:rsidR="00CD52B4" w:rsidRDefault="00CD52B4">
      <w:pPr>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4217EC" w14:paraId="13AA51EA" w14:textId="77777777" w:rsidTr="004217EC">
        <w:trPr>
          <w:trHeight w:val="510"/>
        </w:trPr>
        <w:tc>
          <w:tcPr>
            <w:tcW w:w="1418" w:type="dxa"/>
          </w:tcPr>
          <w:p w14:paraId="1D91C820" w14:textId="77777777" w:rsidR="004217EC" w:rsidRDefault="004217EC">
            <w:pPr>
              <w:rPr>
                <w:b/>
                <w:bCs/>
                <w:sz w:val="26"/>
              </w:rPr>
            </w:pPr>
            <w:bookmarkStart w:id="1" w:name="FirstLawyer"/>
            <w:r>
              <w:rPr>
                <w:rFonts w:hint="cs"/>
                <w:b/>
                <w:bCs/>
                <w:sz w:val="26"/>
                <w:rtl/>
              </w:rPr>
              <w:t>בעניין:</w:t>
            </w:r>
          </w:p>
        </w:tc>
        <w:tc>
          <w:tcPr>
            <w:tcW w:w="4820" w:type="dxa"/>
            <w:gridSpan w:val="2"/>
          </w:tcPr>
          <w:p w14:paraId="7CB745BE" w14:textId="77777777" w:rsidR="004217EC" w:rsidRDefault="004217EC">
            <w:pPr>
              <w:rPr>
                <w:b/>
                <w:bCs/>
                <w:sz w:val="26"/>
              </w:rPr>
            </w:pPr>
            <w:r>
              <w:rPr>
                <w:rFonts w:hint="cs"/>
                <w:b/>
                <w:bCs/>
                <w:sz w:val="26"/>
                <w:rtl/>
              </w:rPr>
              <w:t>מדינת ישראל</w:t>
            </w:r>
          </w:p>
          <w:p w14:paraId="1DFB8D3A" w14:textId="77777777" w:rsidR="004217EC" w:rsidRDefault="004217EC">
            <w:pPr>
              <w:rPr>
                <w:b/>
                <w:bCs/>
                <w:sz w:val="26"/>
              </w:rPr>
            </w:pPr>
            <w:r>
              <w:rPr>
                <w:rFonts w:hint="cs"/>
                <w:b/>
                <w:bCs/>
                <w:sz w:val="26"/>
                <w:rtl/>
              </w:rPr>
              <w:t xml:space="preserve">ע"י ב"כ ענף תביעות </w:t>
            </w:r>
          </w:p>
        </w:tc>
        <w:tc>
          <w:tcPr>
            <w:tcW w:w="2409" w:type="dxa"/>
          </w:tcPr>
          <w:p w14:paraId="56659FA5" w14:textId="77777777" w:rsidR="004217EC" w:rsidRDefault="004217EC">
            <w:pPr>
              <w:rPr>
                <w:b/>
                <w:bCs/>
                <w:sz w:val="26"/>
              </w:rPr>
            </w:pPr>
          </w:p>
        </w:tc>
      </w:tr>
      <w:tr w:rsidR="004217EC" w14:paraId="0BC22F3F" w14:textId="77777777" w:rsidTr="004217EC">
        <w:trPr>
          <w:trHeight w:val="510"/>
        </w:trPr>
        <w:tc>
          <w:tcPr>
            <w:tcW w:w="1418" w:type="dxa"/>
          </w:tcPr>
          <w:p w14:paraId="081530BD" w14:textId="77777777" w:rsidR="004217EC" w:rsidRDefault="004217EC">
            <w:pPr>
              <w:rPr>
                <w:b/>
                <w:bCs/>
                <w:sz w:val="26"/>
              </w:rPr>
            </w:pPr>
            <w:bookmarkStart w:id="2" w:name="FirstAppellant" w:colFirst="3" w:colLast="3"/>
            <w:bookmarkEnd w:id="1"/>
          </w:p>
        </w:tc>
        <w:tc>
          <w:tcPr>
            <w:tcW w:w="1757" w:type="dxa"/>
          </w:tcPr>
          <w:p w14:paraId="2FFB7503" w14:textId="77777777" w:rsidR="004217EC" w:rsidRDefault="004217EC">
            <w:pPr>
              <w:rPr>
                <w:b/>
                <w:bCs/>
                <w:sz w:val="26"/>
              </w:rPr>
            </w:pPr>
          </w:p>
        </w:tc>
        <w:tc>
          <w:tcPr>
            <w:tcW w:w="3063" w:type="dxa"/>
          </w:tcPr>
          <w:p w14:paraId="5CC4D053" w14:textId="77777777" w:rsidR="004217EC" w:rsidRDefault="004217EC">
            <w:pPr>
              <w:rPr>
                <w:b/>
                <w:bCs/>
                <w:sz w:val="26"/>
              </w:rPr>
            </w:pPr>
          </w:p>
        </w:tc>
        <w:tc>
          <w:tcPr>
            <w:tcW w:w="2409" w:type="dxa"/>
          </w:tcPr>
          <w:p w14:paraId="0578F100" w14:textId="77777777" w:rsidR="004217EC" w:rsidRDefault="004217EC">
            <w:pPr>
              <w:rPr>
                <w:b/>
                <w:bCs/>
                <w:sz w:val="26"/>
              </w:rPr>
            </w:pPr>
            <w:r>
              <w:rPr>
                <w:rFonts w:hint="cs"/>
                <w:b/>
                <w:bCs/>
                <w:sz w:val="26"/>
                <w:rtl/>
              </w:rPr>
              <w:t>המאשימה</w:t>
            </w:r>
          </w:p>
        </w:tc>
      </w:tr>
      <w:tr w:rsidR="004217EC" w14:paraId="28972178" w14:textId="77777777" w:rsidTr="004217EC">
        <w:trPr>
          <w:trHeight w:val="510"/>
        </w:trPr>
        <w:tc>
          <w:tcPr>
            <w:tcW w:w="1418" w:type="dxa"/>
          </w:tcPr>
          <w:p w14:paraId="339B37BD" w14:textId="77777777" w:rsidR="004217EC" w:rsidRDefault="004217EC">
            <w:pPr>
              <w:rPr>
                <w:b/>
                <w:bCs/>
                <w:sz w:val="26"/>
              </w:rPr>
            </w:pPr>
          </w:p>
        </w:tc>
        <w:tc>
          <w:tcPr>
            <w:tcW w:w="4820" w:type="dxa"/>
            <w:gridSpan w:val="2"/>
          </w:tcPr>
          <w:p w14:paraId="64B61BCF" w14:textId="77777777" w:rsidR="004217EC" w:rsidRDefault="004217EC">
            <w:pPr>
              <w:pStyle w:val="Heading4"/>
            </w:pPr>
            <w:r>
              <w:rPr>
                <w:rFonts w:hint="cs"/>
                <w:rtl/>
              </w:rPr>
              <w:t>נגד</w:t>
            </w:r>
          </w:p>
          <w:p w14:paraId="3955BF59" w14:textId="77777777" w:rsidR="004217EC" w:rsidRDefault="004217EC">
            <w:pPr>
              <w:rPr>
                <w:b/>
                <w:bCs/>
                <w:sz w:val="32"/>
                <w:szCs w:val="32"/>
              </w:rPr>
            </w:pPr>
          </w:p>
        </w:tc>
        <w:tc>
          <w:tcPr>
            <w:tcW w:w="2409" w:type="dxa"/>
          </w:tcPr>
          <w:p w14:paraId="299A896F" w14:textId="77777777" w:rsidR="004217EC" w:rsidRDefault="004217EC">
            <w:pPr>
              <w:rPr>
                <w:b/>
                <w:bCs/>
                <w:sz w:val="26"/>
              </w:rPr>
            </w:pPr>
          </w:p>
        </w:tc>
      </w:tr>
      <w:tr w:rsidR="004217EC" w14:paraId="58D19376" w14:textId="77777777" w:rsidTr="004217EC">
        <w:trPr>
          <w:trHeight w:val="510"/>
        </w:trPr>
        <w:tc>
          <w:tcPr>
            <w:tcW w:w="1418" w:type="dxa"/>
          </w:tcPr>
          <w:p w14:paraId="48EBD0A2" w14:textId="77777777" w:rsidR="004217EC" w:rsidRDefault="004217EC">
            <w:pPr>
              <w:rPr>
                <w:b/>
                <w:bCs/>
                <w:sz w:val="26"/>
              </w:rPr>
            </w:pPr>
            <w:bookmarkStart w:id="3" w:name="שם_ב" w:colFirst="1" w:colLast="1"/>
            <w:bookmarkEnd w:id="2"/>
          </w:p>
        </w:tc>
        <w:tc>
          <w:tcPr>
            <w:tcW w:w="4820" w:type="dxa"/>
            <w:gridSpan w:val="2"/>
          </w:tcPr>
          <w:p w14:paraId="19AFC11A" w14:textId="77777777" w:rsidR="004217EC" w:rsidRDefault="004217EC">
            <w:pPr>
              <w:rPr>
                <w:b/>
                <w:bCs/>
                <w:sz w:val="26"/>
              </w:rPr>
            </w:pPr>
            <w:r>
              <w:rPr>
                <w:rFonts w:hint="cs"/>
                <w:b/>
                <w:bCs/>
                <w:sz w:val="26"/>
                <w:rtl/>
              </w:rPr>
              <w:t>נאג'ח (בן מחמד) אטרש</w:t>
            </w:r>
          </w:p>
          <w:p w14:paraId="068FCBA7" w14:textId="77777777" w:rsidR="004217EC" w:rsidRDefault="004217EC">
            <w:pPr>
              <w:rPr>
                <w:b/>
                <w:bCs/>
                <w:sz w:val="26"/>
              </w:rPr>
            </w:pPr>
            <w:r>
              <w:rPr>
                <w:rFonts w:hint="cs"/>
                <w:b/>
                <w:bCs/>
                <w:sz w:val="26"/>
                <w:rtl/>
              </w:rPr>
              <w:t>ע"י ב"כ עו"ד עוויסאת</w:t>
            </w:r>
          </w:p>
        </w:tc>
        <w:tc>
          <w:tcPr>
            <w:tcW w:w="2409" w:type="dxa"/>
          </w:tcPr>
          <w:p w14:paraId="55848AE7" w14:textId="77777777" w:rsidR="004217EC" w:rsidRDefault="004217EC">
            <w:pPr>
              <w:rPr>
                <w:b/>
                <w:bCs/>
                <w:sz w:val="26"/>
              </w:rPr>
            </w:pPr>
          </w:p>
        </w:tc>
      </w:tr>
      <w:bookmarkEnd w:id="3"/>
      <w:tr w:rsidR="004217EC" w14:paraId="74E63B5A" w14:textId="77777777" w:rsidTr="004217EC">
        <w:trPr>
          <w:trHeight w:val="510"/>
        </w:trPr>
        <w:tc>
          <w:tcPr>
            <w:tcW w:w="1418" w:type="dxa"/>
          </w:tcPr>
          <w:p w14:paraId="7B130402" w14:textId="77777777" w:rsidR="004217EC" w:rsidRDefault="004217EC">
            <w:pPr>
              <w:rPr>
                <w:b/>
                <w:bCs/>
                <w:sz w:val="26"/>
              </w:rPr>
            </w:pPr>
          </w:p>
        </w:tc>
        <w:tc>
          <w:tcPr>
            <w:tcW w:w="1757" w:type="dxa"/>
          </w:tcPr>
          <w:p w14:paraId="238DC161" w14:textId="77777777" w:rsidR="004217EC" w:rsidRDefault="004217EC">
            <w:pPr>
              <w:rPr>
                <w:b/>
                <w:bCs/>
                <w:sz w:val="26"/>
              </w:rPr>
            </w:pPr>
          </w:p>
        </w:tc>
        <w:tc>
          <w:tcPr>
            <w:tcW w:w="3063" w:type="dxa"/>
          </w:tcPr>
          <w:p w14:paraId="10407B6F" w14:textId="77777777" w:rsidR="004217EC" w:rsidRDefault="004217EC">
            <w:pPr>
              <w:rPr>
                <w:b/>
                <w:bCs/>
                <w:sz w:val="26"/>
              </w:rPr>
            </w:pPr>
          </w:p>
        </w:tc>
        <w:tc>
          <w:tcPr>
            <w:tcW w:w="2409" w:type="dxa"/>
          </w:tcPr>
          <w:p w14:paraId="14CC18F5" w14:textId="77777777" w:rsidR="004217EC" w:rsidRDefault="004217EC">
            <w:pPr>
              <w:rPr>
                <w:b/>
                <w:bCs/>
                <w:sz w:val="26"/>
              </w:rPr>
            </w:pPr>
            <w:r>
              <w:rPr>
                <w:rFonts w:hint="cs"/>
                <w:b/>
                <w:bCs/>
                <w:sz w:val="26"/>
                <w:rtl/>
              </w:rPr>
              <w:t>הנאשם</w:t>
            </w:r>
          </w:p>
        </w:tc>
      </w:tr>
    </w:tbl>
    <w:p w14:paraId="3F7FEF6B" w14:textId="77777777" w:rsidR="009473D2" w:rsidRDefault="009473D2">
      <w:pPr>
        <w:rPr>
          <w:rtl/>
        </w:rPr>
      </w:pPr>
      <w:bookmarkStart w:id="4" w:name="LawTable"/>
      <w:bookmarkEnd w:id="4"/>
    </w:p>
    <w:p w14:paraId="2A10C24D" w14:textId="77777777" w:rsidR="009473D2" w:rsidRPr="009473D2" w:rsidRDefault="009473D2" w:rsidP="009473D2">
      <w:pPr>
        <w:spacing w:after="120" w:line="240" w:lineRule="exact"/>
        <w:ind w:left="283" w:hanging="283"/>
        <w:jc w:val="both"/>
        <w:rPr>
          <w:rFonts w:ascii="FrankRuehl" w:hAnsi="FrankRuehl" w:cs="FrankRuehl"/>
          <w:sz w:val="24"/>
          <w:szCs w:val="24"/>
          <w:rtl/>
        </w:rPr>
      </w:pPr>
    </w:p>
    <w:p w14:paraId="5FFAC310" w14:textId="77777777" w:rsidR="009473D2" w:rsidRPr="009473D2" w:rsidRDefault="009473D2" w:rsidP="009473D2">
      <w:pPr>
        <w:spacing w:after="120" w:line="240" w:lineRule="exact"/>
        <w:ind w:left="283" w:hanging="283"/>
        <w:jc w:val="both"/>
        <w:rPr>
          <w:rFonts w:ascii="FrankRuehl" w:hAnsi="FrankRuehl" w:cs="FrankRuehl"/>
          <w:sz w:val="24"/>
          <w:szCs w:val="24"/>
          <w:rtl/>
        </w:rPr>
      </w:pPr>
      <w:r w:rsidRPr="009473D2">
        <w:rPr>
          <w:rFonts w:ascii="FrankRuehl" w:hAnsi="FrankRuehl" w:cs="FrankRuehl"/>
          <w:sz w:val="24"/>
          <w:szCs w:val="24"/>
          <w:rtl/>
        </w:rPr>
        <w:lastRenderedPageBreak/>
        <w:t xml:space="preserve">חקיקה שאוזכרה: </w:t>
      </w:r>
    </w:p>
    <w:p w14:paraId="321A1468" w14:textId="77777777" w:rsidR="009473D2" w:rsidRPr="009473D2" w:rsidRDefault="009473D2" w:rsidP="009473D2">
      <w:pPr>
        <w:spacing w:after="120" w:line="240" w:lineRule="exact"/>
        <w:ind w:left="283" w:hanging="283"/>
        <w:jc w:val="both"/>
        <w:rPr>
          <w:rFonts w:ascii="FrankRuehl" w:hAnsi="FrankRuehl" w:cs="FrankRuehl"/>
          <w:sz w:val="24"/>
          <w:szCs w:val="24"/>
          <w:rtl/>
        </w:rPr>
      </w:pPr>
      <w:hyperlink r:id="rId6" w:history="1">
        <w:r w:rsidRPr="009473D2">
          <w:rPr>
            <w:rFonts w:ascii="FrankRuehl" w:hAnsi="FrankRuehl" w:cs="FrankRuehl"/>
            <w:color w:val="0000FF"/>
            <w:sz w:val="24"/>
            <w:szCs w:val="24"/>
            <w:u w:val="single"/>
            <w:rtl/>
          </w:rPr>
          <w:t>חוק העונשין, תשל"ז-1977</w:t>
        </w:r>
      </w:hyperlink>
      <w:r w:rsidRPr="009473D2">
        <w:rPr>
          <w:rFonts w:ascii="FrankRuehl" w:hAnsi="FrankRuehl" w:cs="FrankRuehl"/>
          <w:sz w:val="24"/>
          <w:szCs w:val="24"/>
          <w:rtl/>
        </w:rPr>
        <w:t xml:space="preserve">: סע'  </w:t>
      </w:r>
      <w:hyperlink r:id="rId7" w:history="1">
        <w:r w:rsidRPr="009473D2">
          <w:rPr>
            <w:rFonts w:ascii="FrankRuehl" w:hAnsi="FrankRuehl" w:cs="FrankRuehl"/>
            <w:color w:val="0000FF"/>
            <w:sz w:val="24"/>
            <w:szCs w:val="24"/>
            <w:u w:val="single"/>
            <w:rtl/>
          </w:rPr>
          <w:t>242</w:t>
        </w:r>
      </w:hyperlink>
      <w:r w:rsidRPr="009473D2">
        <w:rPr>
          <w:rFonts w:ascii="FrankRuehl" w:hAnsi="FrankRuehl" w:cs="FrankRuehl"/>
          <w:sz w:val="24"/>
          <w:szCs w:val="24"/>
          <w:rtl/>
        </w:rPr>
        <w:t xml:space="preserve">, </w:t>
      </w:r>
      <w:hyperlink r:id="rId8" w:history="1">
        <w:r w:rsidRPr="009473D2">
          <w:rPr>
            <w:rFonts w:ascii="FrankRuehl" w:hAnsi="FrankRuehl" w:cs="FrankRuehl"/>
            <w:color w:val="0000FF"/>
            <w:sz w:val="24"/>
            <w:szCs w:val="24"/>
            <w:u w:val="single"/>
            <w:rtl/>
          </w:rPr>
          <w:t>275</w:t>
        </w:r>
      </w:hyperlink>
      <w:r w:rsidRPr="009473D2">
        <w:rPr>
          <w:rFonts w:ascii="FrankRuehl" w:hAnsi="FrankRuehl" w:cs="FrankRuehl"/>
          <w:sz w:val="24"/>
          <w:szCs w:val="24"/>
          <w:rtl/>
        </w:rPr>
        <w:t xml:space="preserve">, </w:t>
      </w:r>
      <w:hyperlink r:id="rId9" w:history="1">
        <w:r w:rsidRPr="009473D2">
          <w:rPr>
            <w:rFonts w:ascii="FrankRuehl" w:hAnsi="FrankRuehl" w:cs="FrankRuehl"/>
            <w:color w:val="0000FF"/>
            <w:sz w:val="24"/>
            <w:szCs w:val="24"/>
            <w:u w:val="single"/>
            <w:rtl/>
          </w:rPr>
          <w:t>348(ג)</w:t>
        </w:r>
      </w:hyperlink>
    </w:p>
    <w:p w14:paraId="2D8D9A39" w14:textId="77777777" w:rsidR="009473D2" w:rsidRPr="009473D2" w:rsidRDefault="009473D2" w:rsidP="009473D2">
      <w:pPr>
        <w:spacing w:after="120" w:line="240" w:lineRule="exact"/>
        <w:ind w:left="283" w:hanging="283"/>
        <w:jc w:val="both"/>
        <w:rPr>
          <w:rFonts w:ascii="FrankRuehl" w:hAnsi="FrankRuehl" w:cs="FrankRuehl"/>
          <w:sz w:val="24"/>
          <w:szCs w:val="24"/>
          <w:rtl/>
        </w:rPr>
      </w:pPr>
      <w:hyperlink r:id="rId10" w:history="1">
        <w:r w:rsidRPr="009473D2">
          <w:rPr>
            <w:rFonts w:ascii="FrankRuehl" w:hAnsi="FrankRuehl" w:cs="FrankRuehl"/>
            <w:color w:val="0000FF"/>
            <w:sz w:val="24"/>
            <w:szCs w:val="24"/>
            <w:u w:val="single"/>
            <w:rtl/>
          </w:rPr>
          <w:t>חוק הכניסה לישראל, תשי"ב-1952</w:t>
        </w:r>
      </w:hyperlink>
      <w:r w:rsidRPr="009473D2">
        <w:rPr>
          <w:rFonts w:ascii="FrankRuehl" w:hAnsi="FrankRuehl" w:cs="FrankRuehl"/>
          <w:sz w:val="24"/>
          <w:szCs w:val="24"/>
          <w:rtl/>
        </w:rPr>
        <w:t xml:space="preserve">: סע'  </w:t>
      </w:r>
      <w:hyperlink r:id="rId11" w:history="1">
        <w:r w:rsidRPr="009473D2">
          <w:rPr>
            <w:rFonts w:ascii="FrankRuehl" w:hAnsi="FrankRuehl" w:cs="FrankRuehl"/>
            <w:color w:val="0000FF"/>
            <w:sz w:val="24"/>
            <w:szCs w:val="24"/>
            <w:u w:val="single"/>
            <w:rtl/>
          </w:rPr>
          <w:t>12(1)</w:t>
        </w:r>
      </w:hyperlink>
    </w:p>
    <w:p w14:paraId="2C623847" w14:textId="77777777" w:rsidR="009473D2" w:rsidRPr="009473D2" w:rsidRDefault="009473D2" w:rsidP="009473D2">
      <w:pPr>
        <w:spacing w:after="120" w:line="240" w:lineRule="exact"/>
        <w:ind w:left="283" w:hanging="283"/>
        <w:jc w:val="both"/>
        <w:rPr>
          <w:rFonts w:ascii="FrankRuehl" w:hAnsi="FrankRuehl" w:cs="FrankRuehl"/>
          <w:sz w:val="24"/>
          <w:szCs w:val="24"/>
          <w:rtl/>
        </w:rPr>
      </w:pPr>
    </w:p>
    <w:p w14:paraId="4F15BEC7" w14:textId="77777777" w:rsidR="009473D2" w:rsidRPr="009473D2" w:rsidRDefault="009473D2">
      <w:pPr>
        <w:rPr>
          <w:rtl/>
        </w:rPr>
      </w:pPr>
      <w:bookmarkStart w:id="5" w:name="LawTable_End"/>
      <w:bookmarkEnd w:id="5"/>
    </w:p>
    <w:p w14:paraId="1044C0F9" w14:textId="77777777" w:rsidR="009473D2" w:rsidRPr="009473D2" w:rsidRDefault="009473D2">
      <w:pPr>
        <w:rPr>
          <w:rtl/>
        </w:rPr>
      </w:pPr>
    </w:p>
    <w:p w14:paraId="38ABBA6B" w14:textId="77777777" w:rsidR="009473D2" w:rsidRPr="009473D2" w:rsidRDefault="009473D2">
      <w:pPr>
        <w:rPr>
          <w:rtl/>
        </w:rPr>
      </w:pPr>
    </w:p>
    <w:p w14:paraId="2F1B69EC" w14:textId="77777777" w:rsidR="00CD52B4" w:rsidRPr="009473D2" w:rsidRDefault="00CD52B4">
      <w:pPr>
        <w:rPr>
          <w:rFonts w:hint="cs"/>
          <w:rtl/>
        </w:rPr>
      </w:pPr>
    </w:p>
    <w:p w14:paraId="49BB4E69" w14:textId="77777777" w:rsidR="002E42FF" w:rsidRPr="002E42FF" w:rsidRDefault="002E42FF">
      <w:pPr>
        <w:pStyle w:val="Heading1"/>
        <w:rPr>
          <w:b w:val="0"/>
          <w:bCs w:val="0"/>
          <w:sz w:val="30"/>
          <w:u w:val="none"/>
          <w:rtl/>
        </w:rPr>
      </w:pPr>
      <w:bookmarkStart w:id="6" w:name="סוג_מסמך"/>
      <w:bookmarkEnd w:id="6"/>
    </w:p>
    <w:p w14:paraId="31BBFD85" w14:textId="77777777" w:rsidR="002E42FF" w:rsidRPr="002E42FF" w:rsidRDefault="002E42FF">
      <w:pPr>
        <w:pStyle w:val="Heading1"/>
        <w:rPr>
          <w:sz w:val="30"/>
          <w:u w:val="none"/>
          <w:rtl/>
        </w:rPr>
      </w:pPr>
    </w:p>
    <w:p w14:paraId="13F995F6" w14:textId="77777777" w:rsidR="00CD52B4" w:rsidRPr="002E42FF" w:rsidRDefault="00CD52B4">
      <w:pPr>
        <w:pStyle w:val="Heading1"/>
        <w:rPr>
          <w:sz w:val="30"/>
          <w:u w:val="none"/>
          <w:rtl/>
        </w:rPr>
      </w:pPr>
    </w:p>
    <w:p w14:paraId="68FAAC25" w14:textId="77777777" w:rsidR="00CD52B4" w:rsidRDefault="00CD52B4">
      <w:pPr>
        <w:ind w:left="709" w:hanging="709"/>
        <w:jc w:val="center"/>
        <w:rPr>
          <w:b/>
          <w:bCs/>
          <w:sz w:val="30"/>
          <w:szCs w:val="32"/>
          <w:u w:val="single"/>
          <w:rtl/>
        </w:rPr>
      </w:pPr>
      <w:bookmarkStart w:id="7" w:name="PsakDin"/>
      <w:bookmarkEnd w:id="0"/>
      <w:r>
        <w:rPr>
          <w:b/>
          <w:bCs/>
          <w:sz w:val="30"/>
          <w:szCs w:val="32"/>
          <w:u w:val="single"/>
          <w:rtl/>
        </w:rPr>
        <w:t>הכרעת דין</w:t>
      </w:r>
    </w:p>
    <w:bookmarkEnd w:id="7"/>
    <w:p w14:paraId="73AB06F7" w14:textId="77777777" w:rsidR="00CD52B4" w:rsidRDefault="00CD52B4">
      <w:pPr>
        <w:ind w:left="709" w:hanging="709"/>
        <w:rPr>
          <w:rFonts w:hint="cs"/>
          <w:rtl/>
        </w:rPr>
      </w:pPr>
      <w:r>
        <w:rPr>
          <w:rFonts w:hint="cs"/>
          <w:rtl/>
        </w:rPr>
        <w:t>1.</w:t>
      </w:r>
      <w:r>
        <w:rPr>
          <w:rFonts w:hint="cs"/>
          <w:rtl/>
        </w:rPr>
        <w:tab/>
      </w:r>
      <w:bookmarkStart w:id="8" w:name="ABSTRACT_START"/>
      <w:bookmarkEnd w:id="8"/>
      <w:r>
        <w:rPr>
          <w:rFonts w:hint="cs"/>
          <w:rtl/>
        </w:rPr>
        <w:t>שני מעשים מגונים (אחד מהם בקטינה ילידת 1992), (אישומים ראשון ושני), שני מעשים של שהייה בישראל שלא כחוק (אישומים ראשון ושני), מעשים של הפרעה לשוטר בשת מילוי תפקידו (אישום שני), נסיון להשמדת ראיה (אישום שלישי), של תקיפת אחת המתלוננות והשמעת איומים כלפיה, ושל תקיפת שוטר בנסיבות מחמירות, (אישום רביעי), הונחו לפיתחו של הנאשם בכתב האישום שהוגש עליו</w:t>
      </w:r>
      <w:bookmarkStart w:id="9" w:name="ABSTRACT_END"/>
      <w:bookmarkEnd w:id="9"/>
      <w:r>
        <w:rPr>
          <w:rFonts w:hint="cs"/>
          <w:rtl/>
        </w:rPr>
        <w:t xml:space="preserve">. </w:t>
      </w:r>
    </w:p>
    <w:p w14:paraId="033737C8" w14:textId="77777777" w:rsidR="00CD52B4" w:rsidRDefault="00CD52B4">
      <w:pPr>
        <w:ind w:left="709" w:hanging="709"/>
        <w:rPr>
          <w:rFonts w:hint="cs"/>
          <w:rtl/>
        </w:rPr>
      </w:pPr>
      <w:r>
        <w:rPr>
          <w:rFonts w:hint="cs"/>
          <w:rtl/>
        </w:rPr>
        <w:t>2.</w:t>
      </w:r>
      <w:r>
        <w:rPr>
          <w:rFonts w:hint="cs"/>
          <w:rtl/>
        </w:rPr>
        <w:tab/>
        <w:t xml:space="preserve">בהיפתח הדיון הודה הנאשם במעשים של שהיה בישראל שלא כחוק, בעובדות המונחות ביסוד האישום השלישי שעניינו נסיון להשמדת ראיה (אך כפר במשמעות המשפטית שביקשה המאשימה כי אלמד מהתנהגותו של הנאשם), בכך שדחף את המתלוננת (לפי האישום השני) לאחר מסדר הזיהוי, ובכך שבאותו מעמד דחף שוטר שהיה במקום, היכהו בידו, הרים כלפיו כיסא וזרקו לעברו (אישום רביעי). </w:t>
      </w:r>
    </w:p>
    <w:p w14:paraId="7863A57B" w14:textId="77777777" w:rsidR="00CD52B4" w:rsidRDefault="00CD52B4">
      <w:pPr>
        <w:ind w:left="709" w:hanging="709"/>
        <w:rPr>
          <w:rFonts w:hint="cs"/>
          <w:rtl/>
        </w:rPr>
      </w:pPr>
      <w:r>
        <w:rPr>
          <w:rFonts w:hint="cs"/>
          <w:rtl/>
        </w:rPr>
        <w:lastRenderedPageBreak/>
        <w:t>3.</w:t>
      </w:r>
      <w:r>
        <w:rPr>
          <w:rFonts w:hint="cs"/>
          <w:rtl/>
        </w:rPr>
        <w:tab/>
        <w:t xml:space="preserve">בא כח המאשימה הודיע כי יסתפק בהודאתו של הנאשם וכי לא יביא ראיות אלא לענין שני האישומים הראשונים שעיקר עניינם – מעשיו המיניים הניטענים של הנאשם. </w:t>
      </w:r>
    </w:p>
    <w:p w14:paraId="21D057E0" w14:textId="77777777" w:rsidR="00CD52B4" w:rsidRDefault="00CD52B4">
      <w:pPr>
        <w:ind w:left="709" w:hanging="709"/>
        <w:rPr>
          <w:rFonts w:hint="cs"/>
          <w:rtl/>
        </w:rPr>
      </w:pPr>
      <w:r>
        <w:rPr>
          <w:rFonts w:hint="cs"/>
          <w:rtl/>
        </w:rPr>
        <w:t>4.</w:t>
      </w:r>
      <w:r>
        <w:rPr>
          <w:rFonts w:hint="cs"/>
          <w:rtl/>
        </w:rPr>
        <w:tab/>
        <w:t xml:space="preserve">במועד שנקבע לשמיעת ראיותיה, הודיעתני באת כוחה המלומדת של המאשימה כי בשל קשיים ראייתיים לא יעלה בידה לבסס ראיות את המעשה המיני המיוחס לנאשם באישום הראשון, וביקשה, לפיכך, לזכות את הנאשם הימנו. </w:t>
      </w:r>
    </w:p>
    <w:p w14:paraId="50C7DE0D" w14:textId="77777777" w:rsidR="00CD52B4" w:rsidRDefault="00CD52B4">
      <w:pPr>
        <w:ind w:left="709" w:hanging="709"/>
        <w:rPr>
          <w:rFonts w:hint="cs"/>
          <w:color w:val="FFFFFF"/>
          <w:sz w:val="4"/>
          <w:szCs w:val="4"/>
          <w:rtl/>
        </w:rPr>
      </w:pPr>
    </w:p>
    <w:p w14:paraId="1E9E82F9" w14:textId="77777777" w:rsidR="00CD52B4" w:rsidRDefault="00CD52B4">
      <w:pPr>
        <w:ind w:left="709" w:hanging="709"/>
        <w:rPr>
          <w:rFonts w:hint="cs"/>
          <w:color w:val="FFFFFF"/>
          <w:sz w:val="4"/>
          <w:szCs w:val="4"/>
          <w:rtl/>
        </w:rPr>
      </w:pPr>
      <w:r>
        <w:rPr>
          <w:color w:val="FFFFFF"/>
          <w:sz w:val="4"/>
          <w:szCs w:val="4"/>
          <w:rtl/>
        </w:rPr>
        <w:t>5129371</w:t>
      </w:r>
    </w:p>
    <w:p w14:paraId="421353AA" w14:textId="77777777" w:rsidR="00CD52B4" w:rsidRDefault="00CD52B4">
      <w:pPr>
        <w:ind w:left="709" w:hanging="709"/>
        <w:rPr>
          <w:rFonts w:hint="cs"/>
          <w:rtl/>
        </w:rPr>
      </w:pPr>
      <w:r>
        <w:rPr>
          <w:color w:val="FFFFFF"/>
          <w:sz w:val="4"/>
          <w:szCs w:val="4"/>
          <w:rtl/>
        </w:rPr>
        <w:t>5129371</w:t>
      </w:r>
      <w:r>
        <w:rPr>
          <w:rFonts w:hint="cs"/>
          <w:rtl/>
        </w:rPr>
        <w:t>5.</w:t>
      </w:r>
      <w:r>
        <w:rPr>
          <w:rFonts w:hint="cs"/>
          <w:rtl/>
        </w:rPr>
        <w:tab/>
        <w:t xml:space="preserve">לבקשת המאשימה אני מזכה את הנאשם מהעבירה של מעשה מגונה לפי </w:t>
      </w:r>
      <w:hyperlink r:id="rId12" w:history="1">
        <w:r w:rsidR="009473D2" w:rsidRPr="009473D2">
          <w:rPr>
            <w:color w:val="0000FF"/>
            <w:u w:val="single"/>
            <w:rtl/>
          </w:rPr>
          <w:t>סעיף 348(ג)</w:t>
        </w:r>
      </w:hyperlink>
      <w:r>
        <w:rPr>
          <w:rFonts w:hint="cs"/>
          <w:rtl/>
        </w:rPr>
        <w:t xml:space="preserve"> ל</w:t>
      </w:r>
      <w:hyperlink r:id="rId13" w:history="1">
        <w:r w:rsidR="002E42FF" w:rsidRPr="002E42FF">
          <w:rPr>
            <w:rStyle w:val="Hyperlink"/>
            <w:rFonts w:hint="eastAsia"/>
            <w:rtl/>
          </w:rPr>
          <w:t>חוק</w:t>
        </w:r>
        <w:r w:rsidR="002E42FF" w:rsidRPr="002E42FF">
          <w:rPr>
            <w:rStyle w:val="Hyperlink"/>
            <w:rtl/>
          </w:rPr>
          <w:t xml:space="preserve"> העונשין</w:t>
        </w:r>
      </w:hyperlink>
      <w:r>
        <w:rPr>
          <w:rFonts w:hint="cs"/>
          <w:rtl/>
        </w:rPr>
        <w:t xml:space="preserve"> התשל"ז – 1977 (להלן:החוק) המיוחסת לו באישום הראשון, ומרשיעו, עפ"י הודאתו, בעבירה של שהייה בלתי חוקית בישראל, לפי </w:t>
      </w:r>
      <w:hyperlink r:id="rId14" w:history="1">
        <w:r w:rsidR="009473D2" w:rsidRPr="009473D2">
          <w:rPr>
            <w:color w:val="0000FF"/>
            <w:u w:val="single"/>
            <w:rtl/>
          </w:rPr>
          <w:t>סעיף 12(1)</w:t>
        </w:r>
      </w:hyperlink>
      <w:r>
        <w:rPr>
          <w:rFonts w:hint="cs"/>
          <w:rtl/>
        </w:rPr>
        <w:t xml:space="preserve"> ל</w:t>
      </w:r>
      <w:hyperlink r:id="rId15" w:history="1">
        <w:r w:rsidR="002E42FF" w:rsidRPr="002E42FF">
          <w:rPr>
            <w:rStyle w:val="Hyperlink"/>
            <w:rFonts w:hint="eastAsia"/>
            <w:rtl/>
          </w:rPr>
          <w:t>חוק</w:t>
        </w:r>
        <w:r w:rsidR="002E42FF" w:rsidRPr="002E42FF">
          <w:rPr>
            <w:rStyle w:val="Hyperlink"/>
            <w:rtl/>
          </w:rPr>
          <w:t xml:space="preserve"> הכניסה לישראל</w:t>
        </w:r>
      </w:hyperlink>
      <w:r>
        <w:rPr>
          <w:rFonts w:hint="cs"/>
          <w:rtl/>
        </w:rPr>
        <w:t xml:space="preserve">, תשי"ב –1952 (להלן:הפקודה) המיוחסת לו אף היא באישום זה. </w:t>
      </w:r>
    </w:p>
    <w:p w14:paraId="7A7D65FD" w14:textId="77777777" w:rsidR="00CD52B4" w:rsidRDefault="00CD52B4">
      <w:pPr>
        <w:ind w:left="709" w:hanging="709"/>
        <w:rPr>
          <w:rFonts w:hint="cs"/>
          <w:rtl/>
        </w:rPr>
      </w:pPr>
      <w:r>
        <w:rPr>
          <w:rFonts w:hint="cs"/>
          <w:rtl/>
        </w:rPr>
        <w:t>6.</w:t>
      </w:r>
      <w:r>
        <w:rPr>
          <w:rFonts w:hint="cs"/>
          <w:rtl/>
        </w:rPr>
        <w:tab/>
        <w:t xml:space="preserve">ביום 13.2.00, בשעה 13:00 לערך, שבה העדה ר.ת.ש  (להלן:המתלוננת) מהאוניברסיטה העברית שבגבעת רם לעבר ביתה שבגבעת מרדכי, כשהיא עושה דרכה  בשביל להולכי רגל הנמשך ממערב לדרך הרצוג ובמקביל לה, מעבר לגינה המפרידה בין הכביש ובין השביל. </w:t>
      </w:r>
    </w:p>
    <w:p w14:paraId="37BE94D2" w14:textId="77777777" w:rsidR="00CD52B4" w:rsidRDefault="00CD52B4">
      <w:pPr>
        <w:ind w:left="709" w:hanging="709"/>
        <w:rPr>
          <w:rFonts w:hint="cs"/>
          <w:rtl/>
        </w:rPr>
      </w:pPr>
      <w:r>
        <w:rPr>
          <w:rFonts w:hint="cs"/>
          <w:rtl/>
        </w:rPr>
        <w:t>7.</w:t>
      </w:r>
      <w:r>
        <w:rPr>
          <w:rFonts w:hint="cs"/>
          <w:rtl/>
        </w:rPr>
        <w:tab/>
        <w:t xml:space="preserve">המתלוננת, נערה צנומה,  ממשוקפת, כבת 22 ,הלומדת באוניברסיטה מחשבים ועבודה סוציאלית, הלכה לבדה בשביל כשבידה מטריה. </w:t>
      </w:r>
    </w:p>
    <w:p w14:paraId="25600426" w14:textId="77777777" w:rsidR="00CD52B4" w:rsidRDefault="00CD52B4">
      <w:pPr>
        <w:ind w:left="709" w:hanging="709"/>
        <w:rPr>
          <w:rFonts w:hint="cs"/>
          <w:rtl/>
        </w:rPr>
      </w:pPr>
      <w:r>
        <w:rPr>
          <w:rFonts w:hint="cs"/>
          <w:rtl/>
        </w:rPr>
        <w:t>8.</w:t>
      </w:r>
      <w:r>
        <w:rPr>
          <w:rFonts w:hint="cs"/>
          <w:rtl/>
        </w:rPr>
        <w:tab/>
        <w:t xml:space="preserve">בשלב מסויים, לא הרחק מצומת דרך הרצוג והכביש העולה לגבעת מרדכי (צומת "מכבי האש")  הבחינה בנאשם ההולך לידה, לפניה ומאחוריה. המתלוננת שמעה את הנאשם אומר דברים לא ברורים, אך התעלמה ממנו והמשיכה בדרכה. </w:t>
      </w:r>
    </w:p>
    <w:p w14:paraId="6F8BE0B2" w14:textId="77777777" w:rsidR="00CD52B4" w:rsidRDefault="00CD52B4">
      <w:pPr>
        <w:ind w:left="709" w:hanging="709"/>
        <w:rPr>
          <w:rFonts w:hint="cs"/>
          <w:rtl/>
        </w:rPr>
      </w:pPr>
      <w:r>
        <w:rPr>
          <w:rFonts w:hint="cs"/>
          <w:rtl/>
        </w:rPr>
        <w:t>9.</w:t>
      </w:r>
      <w:r>
        <w:rPr>
          <w:rFonts w:hint="cs"/>
          <w:rtl/>
        </w:rPr>
        <w:tab/>
        <w:t xml:space="preserve">הנאשם לא אמר נואש והתמיד במאמציו לנסות ולדבר עם המתלוננת. </w:t>
      </w:r>
      <w:r>
        <w:rPr>
          <w:rFonts w:hint="cs"/>
          <w:rtl/>
        </w:rPr>
        <w:br/>
        <w:t xml:space="preserve">כשזו לא נענתה, תקף אותה לפתע הנאשם, שהיה באותה עת לצידה, ותפסה בשתי ידיו. </w:t>
      </w:r>
    </w:p>
    <w:p w14:paraId="64380406" w14:textId="77777777" w:rsidR="00CD52B4" w:rsidRDefault="00CD52B4">
      <w:pPr>
        <w:ind w:left="709" w:hanging="709"/>
        <w:rPr>
          <w:rFonts w:hint="cs"/>
          <w:rtl/>
        </w:rPr>
      </w:pPr>
    </w:p>
    <w:p w14:paraId="53FF41A8" w14:textId="77777777" w:rsidR="00CD52B4" w:rsidRDefault="00CD52B4">
      <w:pPr>
        <w:ind w:left="709" w:hanging="709"/>
        <w:rPr>
          <w:rFonts w:hint="cs"/>
          <w:rtl/>
        </w:rPr>
      </w:pPr>
      <w:r>
        <w:rPr>
          <w:rFonts w:hint="cs"/>
          <w:rtl/>
        </w:rPr>
        <w:lastRenderedPageBreak/>
        <w:t>10.</w:t>
      </w:r>
      <w:r>
        <w:rPr>
          <w:rFonts w:hint="cs"/>
          <w:rtl/>
        </w:rPr>
        <w:tab/>
        <w:t xml:space="preserve">המתלוננת צעקה, ניסתה לברוח ואף דחפה את המטריה לפניו, אך משום כוחו הפיזי הרב, לא עלה בידה לברוח, והנאשם הצליח לדחוף אותה ולהפילה לעבר השיחים הנטועים לצד השביל. </w:t>
      </w:r>
    </w:p>
    <w:p w14:paraId="02869DF4" w14:textId="77777777" w:rsidR="00CD52B4" w:rsidRDefault="00CD52B4">
      <w:pPr>
        <w:ind w:left="709" w:hanging="709"/>
        <w:rPr>
          <w:rFonts w:hint="cs"/>
          <w:rtl/>
        </w:rPr>
      </w:pPr>
      <w:r>
        <w:rPr>
          <w:rFonts w:hint="cs"/>
          <w:rtl/>
        </w:rPr>
        <w:t>11.</w:t>
      </w:r>
      <w:r>
        <w:rPr>
          <w:rFonts w:hint="cs"/>
          <w:rtl/>
        </w:rPr>
        <w:tab/>
        <w:t xml:space="preserve">המתלוננת נפלה וחרף התנגדותה ומאבקה בו, לא עלה בידיה להשתחרר מאחיזתו, והנאשם הצליח להרים את שימלתה, להוריד את גרביוניה ואת תחתוניה ולגעת באיזור מפשעתה. </w:t>
      </w:r>
    </w:p>
    <w:p w14:paraId="01665DE8" w14:textId="77777777" w:rsidR="00CD52B4" w:rsidRDefault="00CD52B4">
      <w:pPr>
        <w:ind w:left="624" w:hanging="624"/>
        <w:rPr>
          <w:rFonts w:hint="cs"/>
          <w:rtl/>
        </w:rPr>
      </w:pPr>
      <w:r>
        <w:rPr>
          <w:rFonts w:hint="cs"/>
          <w:rtl/>
        </w:rPr>
        <w:t>12.</w:t>
      </w:r>
      <w:r>
        <w:rPr>
          <w:rFonts w:hint="cs"/>
          <w:rtl/>
        </w:rPr>
        <w:tab/>
        <w:t>את צריחותיה ביקש הנאשם למנוע ע"י אטימת פיה בכף ידו,  אותה נשכה המתלוננת.</w:t>
      </w:r>
      <w:r>
        <w:rPr>
          <w:rFonts w:hint="cs"/>
          <w:rtl/>
        </w:rPr>
        <w:br/>
        <w:t>בשלב מסויים, קם הנאשם ועזב את המקום.</w:t>
      </w:r>
      <w:r>
        <w:rPr>
          <w:rFonts w:hint="cs"/>
          <w:rtl/>
        </w:rPr>
        <w:br/>
        <w:t xml:space="preserve">בלכתו, ואף לפני מעשה התקיפה,  שאל הנאשם את המתלוננת אם יש לה 5 שקל. (המתלוננת בעמ' 13 שורה 16, ובחקירה נגדית – בעמ' 14 שורה 11). </w:t>
      </w:r>
    </w:p>
    <w:p w14:paraId="4F2D2C9A" w14:textId="77777777" w:rsidR="00CD52B4" w:rsidRDefault="00CD52B4">
      <w:pPr>
        <w:ind w:left="709" w:hanging="709"/>
        <w:rPr>
          <w:rFonts w:hint="cs"/>
          <w:rtl/>
        </w:rPr>
      </w:pPr>
      <w:r>
        <w:rPr>
          <w:rFonts w:hint="cs"/>
          <w:rtl/>
        </w:rPr>
        <w:t>13.</w:t>
      </w:r>
      <w:r>
        <w:rPr>
          <w:rFonts w:hint="cs"/>
          <w:rtl/>
        </w:rPr>
        <w:tab/>
        <w:t xml:space="preserve">המתלוננת מיהרה לביתה הסמוך למקום האירוע והודיעה למשטרה  על שקרה לה. </w:t>
      </w:r>
    </w:p>
    <w:p w14:paraId="1314FDF0" w14:textId="77777777" w:rsidR="00CD52B4" w:rsidRDefault="00CD52B4">
      <w:pPr>
        <w:ind w:left="675" w:hanging="675"/>
        <w:rPr>
          <w:rFonts w:hint="cs"/>
          <w:rtl/>
        </w:rPr>
      </w:pPr>
      <w:r>
        <w:rPr>
          <w:rFonts w:hint="cs"/>
          <w:rtl/>
        </w:rPr>
        <w:t>14.</w:t>
      </w:r>
      <w:r>
        <w:rPr>
          <w:rFonts w:hint="cs"/>
          <w:rtl/>
        </w:rPr>
        <w:tab/>
        <w:t xml:space="preserve">בעקבות הודעתה של המתלוננת, שכללה את מקום התקיפה באופן כללי, את נסיבותיה, ואת תיאורו של התוקף כאדם כבן 50, הלבוש מעיל "צבאי" ירוק, כובע צמר כהה, נעצר הנאשם כבר בשעה 14:17, לא הרחק מזירת האירוע, בידי כוחות המשטרה שהגיעו למקום, אך לא לפני שניסה להימלט מהמקום לכשבאו השוטרים. </w:t>
      </w:r>
    </w:p>
    <w:p w14:paraId="275E996F" w14:textId="77777777" w:rsidR="00CD52B4" w:rsidRDefault="00CD52B4">
      <w:pPr>
        <w:ind w:left="709" w:hanging="709"/>
        <w:rPr>
          <w:rFonts w:hint="cs"/>
          <w:rtl/>
        </w:rPr>
      </w:pPr>
      <w:r>
        <w:rPr>
          <w:rFonts w:hint="cs"/>
          <w:rtl/>
        </w:rPr>
        <w:t>15.</w:t>
      </w:r>
      <w:r>
        <w:rPr>
          <w:rFonts w:hint="cs"/>
          <w:rtl/>
        </w:rPr>
        <w:tab/>
        <w:t xml:space="preserve">הנאשם נעצר כשהוא לבוש במעיל "צבאי" ירוק וחבוש בכובע צמר שציבעו שחור. </w:t>
      </w:r>
    </w:p>
    <w:p w14:paraId="73310878" w14:textId="77777777" w:rsidR="00CD52B4" w:rsidRDefault="00CD52B4">
      <w:pPr>
        <w:ind w:left="709" w:hanging="709"/>
        <w:rPr>
          <w:rFonts w:hint="cs"/>
          <w:rtl/>
        </w:rPr>
      </w:pPr>
      <w:r>
        <w:rPr>
          <w:rFonts w:hint="cs"/>
          <w:rtl/>
        </w:rPr>
        <w:t>16.</w:t>
      </w:r>
      <w:r>
        <w:rPr>
          <w:rFonts w:hint="cs"/>
          <w:rtl/>
        </w:rPr>
        <w:tab/>
        <w:t xml:space="preserve">בתשובה לשאלות השוטרים מדוע ברח השיב כי פחד מהשוטרים. </w:t>
      </w:r>
    </w:p>
    <w:p w14:paraId="3B1ED8EF" w14:textId="77777777" w:rsidR="00CD52B4" w:rsidRDefault="00CD52B4">
      <w:pPr>
        <w:ind w:left="709" w:hanging="709"/>
        <w:rPr>
          <w:rFonts w:hint="cs"/>
          <w:rtl/>
        </w:rPr>
      </w:pPr>
      <w:r>
        <w:rPr>
          <w:rFonts w:hint="cs"/>
          <w:rtl/>
        </w:rPr>
        <w:t>17.</w:t>
      </w:r>
      <w:r>
        <w:rPr>
          <w:rFonts w:hint="cs"/>
          <w:rtl/>
        </w:rPr>
        <w:tab/>
        <w:t xml:space="preserve">ביום 15.2.00, בשעה 11:00, במעמד סניגוריתו דאז, עו"ד גב' ל. צמל, נערך לנאשם מסדר זיהוי חי והמתלוננת נתבקשה לזהותו. </w:t>
      </w:r>
    </w:p>
    <w:p w14:paraId="29750DAF" w14:textId="77777777" w:rsidR="00CD52B4" w:rsidRDefault="00CD52B4">
      <w:pPr>
        <w:ind w:left="709" w:hanging="709"/>
        <w:rPr>
          <w:rFonts w:hint="cs"/>
          <w:rtl/>
        </w:rPr>
      </w:pPr>
      <w:r>
        <w:rPr>
          <w:rFonts w:hint="cs"/>
          <w:rtl/>
        </w:rPr>
        <w:t>18.</w:t>
      </w:r>
      <w:r>
        <w:rPr>
          <w:rFonts w:hint="cs"/>
          <w:rtl/>
        </w:rPr>
        <w:tab/>
        <w:t xml:space="preserve">בהעדר טענה כלשהי לגבי עצם מסדר הזיהוי ניתן איפוא להסתפק בקביעה כי המתלוננת זיהתה את הנאשם שניצב שני מימין בשורת גברים שמנתה 8 איש. </w:t>
      </w:r>
    </w:p>
    <w:p w14:paraId="0A9AC9A5" w14:textId="77777777" w:rsidR="00CD52B4" w:rsidRDefault="00CD52B4">
      <w:pPr>
        <w:ind w:left="709" w:hanging="709"/>
        <w:rPr>
          <w:rFonts w:hint="cs"/>
          <w:rtl/>
        </w:rPr>
      </w:pPr>
      <w:r>
        <w:rPr>
          <w:rFonts w:hint="cs"/>
          <w:rtl/>
        </w:rPr>
        <w:t>19.</w:t>
      </w:r>
      <w:r>
        <w:rPr>
          <w:rFonts w:hint="cs"/>
          <w:rtl/>
        </w:rPr>
        <w:tab/>
        <w:t xml:space="preserve">לענין מסדר הזיהוי יש להעיר את ההערות הבאות: </w:t>
      </w:r>
    </w:p>
    <w:p w14:paraId="6F3674F6" w14:textId="77777777" w:rsidR="00CD52B4" w:rsidRDefault="00CD52B4">
      <w:pPr>
        <w:tabs>
          <w:tab w:val="clear" w:pos="624"/>
          <w:tab w:val="left" w:pos="1083"/>
        </w:tabs>
        <w:ind w:left="1083" w:hanging="425"/>
        <w:rPr>
          <w:rFonts w:hint="cs"/>
          <w:rtl/>
        </w:rPr>
      </w:pPr>
      <w:r>
        <w:rPr>
          <w:rFonts w:hint="cs"/>
          <w:rtl/>
        </w:rPr>
        <w:t>א.</w:t>
      </w:r>
      <w:r>
        <w:rPr>
          <w:rFonts w:hint="cs"/>
          <w:rtl/>
        </w:rPr>
        <w:tab/>
        <w:t>מיד לאחר שהמתלוננת הניחה את ידה על כתפו של הנאשם כאות לזיהויו הודאי, דחף אותה הנאשם בידו והיא נפלה לאחור על גבה.</w:t>
      </w:r>
      <w:r>
        <w:rPr>
          <w:color w:val="FFFFFF"/>
          <w:sz w:val="4"/>
          <w:szCs w:val="4"/>
          <w:rtl/>
        </w:rPr>
        <w:t>נ</w:t>
      </w:r>
    </w:p>
    <w:p w14:paraId="17320026" w14:textId="77777777" w:rsidR="00CD52B4" w:rsidRDefault="00CD52B4">
      <w:pPr>
        <w:tabs>
          <w:tab w:val="clear" w:pos="624"/>
          <w:tab w:val="left" w:pos="1083"/>
        </w:tabs>
        <w:ind w:left="1083" w:hanging="425"/>
        <w:rPr>
          <w:rFonts w:hint="cs"/>
          <w:rtl/>
        </w:rPr>
      </w:pPr>
      <w:r>
        <w:rPr>
          <w:rFonts w:hint="cs"/>
          <w:rtl/>
        </w:rPr>
        <w:t>ב.</w:t>
      </w:r>
      <w:r>
        <w:rPr>
          <w:rFonts w:hint="cs"/>
          <w:rtl/>
        </w:rPr>
        <w:tab/>
        <w:t xml:space="preserve">במהלך המסדר קרא הנאשם לעבר המתלוננת "אני הפשטתי אותך"? </w:t>
      </w:r>
    </w:p>
    <w:p w14:paraId="743C722A" w14:textId="77777777" w:rsidR="00CD52B4" w:rsidRDefault="00CD52B4">
      <w:pPr>
        <w:tabs>
          <w:tab w:val="clear" w:pos="624"/>
          <w:tab w:val="left" w:pos="1083"/>
        </w:tabs>
        <w:ind w:left="1083" w:hanging="425"/>
        <w:rPr>
          <w:rFonts w:hint="cs"/>
          <w:rtl/>
        </w:rPr>
      </w:pPr>
      <w:r>
        <w:rPr>
          <w:rFonts w:hint="cs"/>
          <w:rtl/>
        </w:rPr>
        <w:t>ג.</w:t>
      </w:r>
      <w:r>
        <w:rPr>
          <w:rFonts w:hint="cs"/>
          <w:rtl/>
        </w:rPr>
        <w:tab/>
        <w:t>במהלך המסדר רשמה לעצמה עו"ד צמל, כי המתלוננת נשמעה אומרת "לא יודעת” , "לא חושבת", "לא בטוחה" קודם שהניחה ידה על כתפו של הנאשם.</w:t>
      </w:r>
      <w:r>
        <w:rPr>
          <w:rFonts w:hint="cs"/>
          <w:rtl/>
        </w:rPr>
        <w:br/>
        <w:t xml:space="preserve">בתשובה לשאלתה של עורכת הדין מדוע אמרה דברים אלה השיבה המתלוננת כי באופן כללי יש לה "קצת בעיה" לזהות פרצופים, אך מששמעה את קולו של הנאשם חיזק הדבר את זיהויה אותו, והיא בטוחה שזה שאיש. </w:t>
      </w:r>
    </w:p>
    <w:p w14:paraId="4DF4B695" w14:textId="77777777" w:rsidR="00CD52B4" w:rsidRDefault="00CD52B4">
      <w:pPr>
        <w:ind w:left="709" w:hanging="709"/>
        <w:rPr>
          <w:rFonts w:hint="cs"/>
          <w:rtl/>
        </w:rPr>
      </w:pPr>
      <w:r>
        <w:rPr>
          <w:rFonts w:hint="cs"/>
          <w:rtl/>
        </w:rPr>
        <w:t>20.</w:t>
      </w:r>
      <w:r>
        <w:rPr>
          <w:rFonts w:hint="cs"/>
          <w:rtl/>
        </w:rPr>
        <w:tab/>
        <w:t xml:space="preserve">בעדותה בפני נתבקשה המתלוננת ע"י הסנגור המלומד לשוב ולהתייחס להיסוסיה, כביכול, בזיהוי הנאשם במסדר הזיהוי. </w:t>
      </w:r>
      <w:r>
        <w:rPr>
          <w:rFonts w:hint="cs"/>
          <w:rtl/>
        </w:rPr>
        <w:br/>
        <w:t xml:space="preserve">המתלוננת העידה כי לא מיהרה לזהות את הנאשם משום רצונה להיות בטוחה שאין שגגה נופלת מלפניה. וכדבריה:"לא רציתי להיות בטוחה רק ב- 99.5% אלא יותר מזה. אין לי ספק שזה האיש. אני בד"כ בחורה מאוד ספקנית ובמקרה הזה אין לי ספק". (עמ' 14 שורות 19-20). </w:t>
      </w:r>
    </w:p>
    <w:p w14:paraId="400D5FC0" w14:textId="77777777" w:rsidR="00CD52B4" w:rsidRDefault="00CD52B4">
      <w:pPr>
        <w:ind w:left="709" w:hanging="709"/>
        <w:rPr>
          <w:rFonts w:hint="cs"/>
          <w:rtl/>
        </w:rPr>
      </w:pPr>
      <w:r>
        <w:rPr>
          <w:rFonts w:hint="cs"/>
          <w:rtl/>
        </w:rPr>
        <w:tab/>
        <w:t xml:space="preserve">העדה שבה וסיפרה כי לאחר ששמעה את קולו של הנאשם סר מליבה כל ספק בדבר זיהויו. </w:t>
      </w:r>
    </w:p>
    <w:p w14:paraId="5C1F189F" w14:textId="77777777" w:rsidR="00CD52B4" w:rsidRDefault="00CD52B4">
      <w:pPr>
        <w:ind w:left="709" w:hanging="709"/>
        <w:rPr>
          <w:rFonts w:hint="cs"/>
          <w:rtl/>
        </w:rPr>
      </w:pPr>
    </w:p>
    <w:p w14:paraId="30007DBB" w14:textId="77777777" w:rsidR="00CD52B4" w:rsidRDefault="00CD52B4">
      <w:pPr>
        <w:ind w:left="709" w:hanging="709"/>
        <w:rPr>
          <w:rFonts w:hint="cs"/>
          <w:rtl/>
        </w:rPr>
      </w:pPr>
      <w:r>
        <w:rPr>
          <w:rFonts w:hint="cs"/>
          <w:rtl/>
        </w:rPr>
        <w:t>21.</w:t>
      </w:r>
      <w:r>
        <w:rPr>
          <w:rFonts w:hint="cs"/>
          <w:rtl/>
        </w:rPr>
        <w:tab/>
        <w:t xml:space="preserve">אעבור לבחון את גירסתו של הנאשם, שכבר עתה אוכל לומר לגביה, כי לא הותירה עלי רושם חיובי, וניכר בה כי בחר לגלות בה טפח ולכסות טפחיים. </w:t>
      </w:r>
    </w:p>
    <w:p w14:paraId="1DE42CFA" w14:textId="77777777" w:rsidR="00CD52B4" w:rsidRDefault="00CD52B4">
      <w:pPr>
        <w:ind w:left="709" w:hanging="709"/>
        <w:rPr>
          <w:rFonts w:hint="cs"/>
          <w:rtl/>
        </w:rPr>
      </w:pPr>
      <w:r>
        <w:rPr>
          <w:rFonts w:hint="cs"/>
          <w:rtl/>
        </w:rPr>
        <w:t>22.</w:t>
      </w:r>
      <w:r>
        <w:rPr>
          <w:rFonts w:hint="cs"/>
          <w:rtl/>
        </w:rPr>
        <w:tab/>
        <w:t xml:space="preserve">בהודעתו הראשונה במשטרה מיום 24.3.00 בשעה 15:30 (ת/4, והתרגום – ת/3) ש                                               נגבתה בשפה הערבית ע"י חוקר דובר ערבית ונרשמה בעברית תוך שהשוטר מקריא לנאשם, (שאינו יודע קרוא וכתוב) את שהוא רושם בה, סיפר הנאשם כי פגש בחורה שמצאה חן בעיניו ושאל אותה, כעילה לפתוח בשיחה עימה, אם יש לה 5 שקלים. </w:t>
      </w:r>
    </w:p>
    <w:p w14:paraId="559E3595" w14:textId="77777777" w:rsidR="00CD52B4" w:rsidRDefault="00CD52B4">
      <w:pPr>
        <w:ind w:left="709" w:hanging="709"/>
        <w:rPr>
          <w:rFonts w:hint="cs"/>
          <w:rtl/>
        </w:rPr>
      </w:pPr>
      <w:r>
        <w:rPr>
          <w:rFonts w:hint="cs"/>
          <w:rtl/>
        </w:rPr>
        <w:tab/>
        <w:t xml:space="preserve">הבחורה הוציאה כרטיס אוטובוס, אמרה לנאשם שזה 100 שקל והוסיפה כי היא מוכנה שינשקנה. </w:t>
      </w:r>
    </w:p>
    <w:p w14:paraId="317A68E6" w14:textId="77777777" w:rsidR="00CD52B4" w:rsidRDefault="00CD52B4">
      <w:pPr>
        <w:ind w:left="709" w:hanging="709"/>
        <w:rPr>
          <w:rFonts w:hint="cs"/>
          <w:rtl/>
        </w:rPr>
      </w:pPr>
      <w:r>
        <w:rPr>
          <w:rFonts w:hint="cs"/>
          <w:rtl/>
        </w:rPr>
        <w:tab/>
        <w:t xml:space="preserve">הנאשם תפס בראשה בימינו, חיבק אתה ונשק לה. בשלב זה החלה הבחורה לצעוק. הנאשם ביקש שתשיב לו 100 ₪ שנתן לה קודם לכן (?). </w:t>
      </w:r>
    </w:p>
    <w:p w14:paraId="40171C3E" w14:textId="77777777" w:rsidR="00CD52B4" w:rsidRDefault="00CD52B4">
      <w:pPr>
        <w:ind w:left="709" w:hanging="709"/>
        <w:rPr>
          <w:rFonts w:hint="cs"/>
          <w:rtl/>
        </w:rPr>
      </w:pPr>
      <w:r>
        <w:rPr>
          <w:rFonts w:hint="cs"/>
          <w:rtl/>
        </w:rPr>
        <w:tab/>
        <w:t xml:space="preserve">הבחורה אמרה לו שהוא "ערבי זבל", ולאחר מכן הוא עזב את המקום עד שנעצר בסביבה. </w:t>
      </w:r>
    </w:p>
    <w:p w14:paraId="51A34473" w14:textId="77777777" w:rsidR="00CD52B4" w:rsidRDefault="00CD52B4">
      <w:pPr>
        <w:ind w:left="709" w:hanging="709"/>
        <w:rPr>
          <w:rFonts w:hint="cs"/>
          <w:rtl/>
        </w:rPr>
      </w:pPr>
      <w:r>
        <w:rPr>
          <w:rFonts w:hint="cs"/>
          <w:rtl/>
        </w:rPr>
        <w:tab/>
        <w:t xml:space="preserve">הנאשם הוסיף וסיפר כי הבחורה, נפלה לריצפה בשעה שחיבקה, ובהיותה שם קראה לו "ערבי זבל", כי הבחורה, שאינה גבוהה, הרכיבה משקפיים, ולבשה שמלה עם מכנסיים. (החוקר רשם בהודעה כי במילה "מכנסיים" התכוון הנאשם לגרביונים). </w:t>
      </w:r>
    </w:p>
    <w:p w14:paraId="7F85C604" w14:textId="77777777" w:rsidR="00CD52B4" w:rsidRDefault="00CD52B4">
      <w:pPr>
        <w:ind w:left="709" w:hanging="709"/>
        <w:rPr>
          <w:rFonts w:hint="cs"/>
          <w:rtl/>
        </w:rPr>
      </w:pPr>
    </w:p>
    <w:p w14:paraId="4A0A8A47" w14:textId="77777777" w:rsidR="00CD52B4" w:rsidRDefault="00CD52B4">
      <w:pPr>
        <w:ind w:left="709" w:hanging="709"/>
        <w:rPr>
          <w:rFonts w:hint="cs"/>
          <w:rtl/>
        </w:rPr>
      </w:pPr>
      <w:r>
        <w:rPr>
          <w:rFonts w:hint="cs"/>
          <w:rtl/>
        </w:rPr>
        <w:t>23.</w:t>
      </w:r>
      <w:r>
        <w:rPr>
          <w:rFonts w:hint="cs"/>
          <w:rtl/>
        </w:rPr>
        <w:tab/>
        <w:t xml:space="preserve">בעדותו בפני הכחיש הנאשם כי פגש במתלוננת אי פעם לפני מסדר הזיהוי, כי דבר לא היה בינו ובין המתלוננת, כי לא ביקש 5 שקלים (שהרי בארנקו היו 350 ₪ ו"מה יעשו לי 5 ₪?" (עמ' 17 שורה 22), וכי לא אמר לחוקר שעד שימסור את גירסתו הוא מבקש לראות את הבחורה. </w:t>
      </w:r>
    </w:p>
    <w:p w14:paraId="1167A554" w14:textId="77777777" w:rsidR="00CD52B4" w:rsidRDefault="00CD52B4">
      <w:pPr>
        <w:pStyle w:val="BodyTextIndent3"/>
        <w:ind w:left="709"/>
        <w:rPr>
          <w:rFonts w:hint="cs"/>
          <w:rtl/>
        </w:rPr>
      </w:pPr>
      <w:r>
        <w:rPr>
          <w:rFonts w:hint="cs"/>
          <w:rtl/>
        </w:rPr>
        <w:t>24.</w:t>
      </w:r>
      <w:r>
        <w:rPr>
          <w:rFonts w:hint="cs"/>
          <w:rtl/>
        </w:rPr>
        <w:tab/>
        <w:t xml:space="preserve">כאמור, נאמנים עלי דברי עדותה של המתלוננת בפני, ודומני כי אף עדות הנאשם במשטרה תומכת בה, בעיקרה. </w:t>
      </w:r>
    </w:p>
    <w:p w14:paraId="503E51B2" w14:textId="77777777" w:rsidR="00CD52B4" w:rsidRDefault="00CD52B4">
      <w:pPr>
        <w:ind w:left="709" w:hanging="709"/>
        <w:rPr>
          <w:rFonts w:hint="cs"/>
          <w:rtl/>
        </w:rPr>
      </w:pPr>
      <w:r>
        <w:rPr>
          <w:rFonts w:hint="cs"/>
          <w:rtl/>
        </w:rPr>
        <w:t>25.</w:t>
      </w:r>
      <w:r>
        <w:rPr>
          <w:rFonts w:hint="cs"/>
          <w:rtl/>
        </w:rPr>
        <w:tab/>
        <w:t xml:space="preserve">לבד מהעובדה שהנאשם תיאר את המתלוננת כמראה (מרכיבה משקפיים ולבושה בשמלה ובגרביונים), הרי שהוא הודה כי פנה אליה תחילה בבקשה לקבל 5 שקלים (בקשה ששימשה בידו אמצעי לקידום שיחה בין השניים), וכי במהלך חיבוקה אותה היא נפלה לריצפה. כל שהנאשם מכחיש למעשה הוא את דחיפתה של המתלוננת, את הפשטתה מגרביוניה ומתחתוניה ואת נגיעתו בה באזור מפשעתה. </w:t>
      </w:r>
    </w:p>
    <w:p w14:paraId="01D0ECC3" w14:textId="77777777" w:rsidR="00CD52B4" w:rsidRDefault="00CD52B4">
      <w:pPr>
        <w:ind w:left="709" w:hanging="709"/>
        <w:rPr>
          <w:rFonts w:hint="cs"/>
          <w:rtl/>
        </w:rPr>
      </w:pPr>
      <w:r>
        <w:rPr>
          <w:rFonts w:hint="cs"/>
          <w:rtl/>
        </w:rPr>
        <w:t>26.</w:t>
      </w:r>
      <w:r>
        <w:rPr>
          <w:rFonts w:hint="cs"/>
          <w:rtl/>
        </w:rPr>
        <w:tab/>
        <w:t xml:space="preserve">זוהי הודאה במקצת מהמיוחס לו, וכשהיא מצטרפת לגירסתה של המתלוננת, שוב אין מנוס מהמסקנה כי הנאשם הוא זה שביצע את במתלוננת את המעשה המגונה המיוחס לו על ידה, וכמפורט בכתב האישום. </w:t>
      </w:r>
    </w:p>
    <w:p w14:paraId="4717B92D" w14:textId="77777777" w:rsidR="00CD52B4" w:rsidRDefault="00CD52B4">
      <w:pPr>
        <w:ind w:left="709" w:hanging="709"/>
        <w:rPr>
          <w:rFonts w:hint="cs"/>
          <w:rtl/>
        </w:rPr>
      </w:pPr>
      <w:r>
        <w:rPr>
          <w:rFonts w:hint="cs"/>
          <w:rtl/>
        </w:rPr>
        <w:t>27.</w:t>
      </w:r>
      <w:r>
        <w:rPr>
          <w:rFonts w:hint="cs"/>
          <w:rtl/>
        </w:rPr>
        <w:tab/>
        <w:t xml:space="preserve">סיכומו של דבר – עפ"י עדותה המהימנה עלי של המתלוננת, המתחזקת בעדותו של הנאשם עצמו במשטרה, ובהיותי סבור כי זיהויה את הנאשם הוכח במידה הדרושה, אני קובע כי הנאשם ביצע במתלוננת מעשה מגונה כמפורט באישום השני שבכתב האישום, בכפוף למחיקתן, מסעיף 3 של פרק העובדות באישום זה, של המילים "ומשערותיה את הסיכות שענדה", דבר שלא הוכח. </w:t>
      </w:r>
    </w:p>
    <w:p w14:paraId="7427C000" w14:textId="77777777" w:rsidR="00CD52B4" w:rsidRDefault="00CD52B4">
      <w:pPr>
        <w:ind w:left="709" w:hanging="709"/>
        <w:rPr>
          <w:rFonts w:hint="cs"/>
          <w:rtl/>
        </w:rPr>
      </w:pPr>
      <w:r>
        <w:rPr>
          <w:rFonts w:hint="cs"/>
          <w:rtl/>
        </w:rPr>
        <w:t>28.</w:t>
      </w:r>
      <w:r>
        <w:rPr>
          <w:rFonts w:hint="cs"/>
          <w:rtl/>
        </w:rPr>
        <w:tab/>
        <w:t xml:space="preserve">עפ"י הודאתו כי ברח מהשוטרים וכי שהה בישראל שלא כחוק אני מרשיע את הנאשם אף בעבירות של הפרעה לשוטר בשעת מילוי תפקידו, לפי </w:t>
      </w:r>
      <w:hyperlink r:id="rId16" w:history="1">
        <w:r w:rsidR="009473D2" w:rsidRPr="009473D2">
          <w:rPr>
            <w:color w:val="0000FF"/>
            <w:u w:val="single"/>
            <w:rtl/>
          </w:rPr>
          <w:t>סעיף 275</w:t>
        </w:r>
      </w:hyperlink>
      <w:r>
        <w:rPr>
          <w:rFonts w:hint="cs"/>
          <w:rtl/>
        </w:rPr>
        <w:t xml:space="preserve"> לחוק, ושל שהייה בישראל שלא כחוק, לפי </w:t>
      </w:r>
      <w:hyperlink r:id="rId17" w:history="1">
        <w:r w:rsidR="009473D2" w:rsidRPr="009473D2">
          <w:rPr>
            <w:rStyle w:val="Hyperlink"/>
            <w:rFonts w:hint="eastAsia"/>
            <w:rtl/>
          </w:rPr>
          <w:t>סעיף</w:t>
        </w:r>
        <w:r w:rsidR="009473D2" w:rsidRPr="009473D2">
          <w:rPr>
            <w:rStyle w:val="Hyperlink"/>
            <w:rtl/>
          </w:rPr>
          <w:t xml:space="preserve"> 12 (1)</w:t>
        </w:r>
      </w:hyperlink>
      <w:r>
        <w:rPr>
          <w:rFonts w:hint="cs"/>
          <w:rtl/>
        </w:rPr>
        <w:t>ל</w:t>
      </w:r>
      <w:hyperlink r:id="rId18" w:history="1">
        <w:r w:rsidR="002E42FF" w:rsidRPr="002E42FF">
          <w:rPr>
            <w:rStyle w:val="Hyperlink"/>
            <w:rFonts w:hint="eastAsia"/>
            <w:rtl/>
          </w:rPr>
          <w:t>חוק</w:t>
        </w:r>
        <w:r w:rsidR="002E42FF" w:rsidRPr="002E42FF">
          <w:rPr>
            <w:rStyle w:val="Hyperlink"/>
            <w:rtl/>
          </w:rPr>
          <w:t xml:space="preserve"> הכניסה לישראל</w:t>
        </w:r>
      </w:hyperlink>
      <w:r>
        <w:rPr>
          <w:rFonts w:hint="cs"/>
          <w:rtl/>
        </w:rPr>
        <w:t xml:space="preserve">, תשי"ב – 1962, שיוחסו לו באישום השני. </w:t>
      </w:r>
    </w:p>
    <w:p w14:paraId="33FDA9E0" w14:textId="77777777" w:rsidR="00CD52B4" w:rsidRDefault="00CD52B4">
      <w:pPr>
        <w:ind w:left="709" w:hanging="709"/>
        <w:rPr>
          <w:rFonts w:hint="cs"/>
          <w:rtl/>
        </w:rPr>
      </w:pPr>
      <w:r>
        <w:rPr>
          <w:rFonts w:hint="cs"/>
          <w:rtl/>
        </w:rPr>
        <w:t>29.</w:t>
      </w:r>
      <w:r>
        <w:rPr>
          <w:rFonts w:hint="cs"/>
          <w:rtl/>
        </w:rPr>
        <w:tab/>
        <w:t xml:space="preserve">לענין מעשה הניסיון להשמדת ראיה שיוחס לנאשם, מעשה שהיה כך היה. </w:t>
      </w:r>
      <w:r>
        <w:rPr>
          <w:rFonts w:hint="cs"/>
          <w:rtl/>
        </w:rPr>
        <w:br/>
        <w:t>ביום 13.2.00 גבה החוקר קיוורקיאן את עדותו של הנאשם (ת/4).</w:t>
      </w:r>
      <w:r>
        <w:rPr>
          <w:rFonts w:hint="cs"/>
          <w:rtl/>
        </w:rPr>
        <w:br/>
        <w:t xml:space="preserve">העדות נגבתה, כאמור, בערבית ונרשמה בערבית כשהחוקר מקריא לנאשם את שהוא כותב מפיו. </w:t>
      </w:r>
      <w:r>
        <w:rPr>
          <w:rFonts w:hint="cs"/>
          <w:rtl/>
        </w:rPr>
        <w:br/>
        <w:t xml:space="preserve">בשלב מסויים, כשנתבקש הנאשם לחתום על הדף הראשון של העדות (שהחוקר סובבו לעברו), הוא תפס בדף, קרע אותו והשליכו לריצפה. (נא לראות את הדף הראשון של ת/4). </w:t>
      </w:r>
      <w:r>
        <w:rPr>
          <w:rFonts w:hint="cs"/>
          <w:rtl/>
        </w:rPr>
        <w:br/>
        <w:t xml:space="preserve">החוקר התכופף לריצפה, אסף את הקרעים וחיברם יחדיו. </w:t>
      </w:r>
    </w:p>
    <w:p w14:paraId="256AC32E" w14:textId="77777777" w:rsidR="00CD52B4" w:rsidRDefault="00CD52B4">
      <w:pPr>
        <w:ind w:left="709" w:hanging="709"/>
        <w:rPr>
          <w:rFonts w:hint="cs"/>
          <w:rtl/>
        </w:rPr>
      </w:pPr>
      <w:r>
        <w:rPr>
          <w:rFonts w:hint="cs"/>
          <w:rtl/>
        </w:rPr>
        <w:t>30.</w:t>
      </w:r>
      <w:r>
        <w:rPr>
          <w:rFonts w:hint="cs"/>
          <w:rtl/>
        </w:rPr>
        <w:tab/>
        <w:t>הנאשם מודה כי קרע את הדף.</w:t>
      </w:r>
      <w:r>
        <w:rPr>
          <w:rFonts w:hint="cs"/>
          <w:rtl/>
        </w:rPr>
        <w:br/>
        <w:t xml:space="preserve">לטענתו עשה זאת משום שהחוקר רשם מפיו דברים שלא אמר. הנאשם הוסיף והעיד כי החוקר לא הקריא לו כל משפט שכתב, אלא רק את העדות כולה, ובתום כתיבתה. </w:t>
      </w:r>
    </w:p>
    <w:p w14:paraId="0BCE7629" w14:textId="77777777" w:rsidR="00CD52B4" w:rsidRDefault="00CD52B4">
      <w:pPr>
        <w:ind w:left="709" w:hanging="709"/>
        <w:rPr>
          <w:rFonts w:hint="cs"/>
          <w:rtl/>
        </w:rPr>
      </w:pPr>
      <w:r>
        <w:rPr>
          <w:rFonts w:hint="cs"/>
          <w:rtl/>
        </w:rPr>
        <w:t>31.</w:t>
      </w:r>
      <w:r>
        <w:rPr>
          <w:rFonts w:hint="cs"/>
          <w:rtl/>
        </w:rPr>
        <w:tab/>
        <w:t xml:space="preserve">חוששני, כי אף אם היה ממש בגירסת הנאשם, עדיין אין בה כדי לחלצו מהמשמעות הנודעת למעשה קריעת ההודעה, דהיינו נסיון להשמיד ראיה. </w:t>
      </w:r>
    </w:p>
    <w:p w14:paraId="0A97AA16" w14:textId="77777777" w:rsidR="00CD52B4" w:rsidRDefault="00CD52B4">
      <w:pPr>
        <w:ind w:left="709" w:hanging="709"/>
        <w:rPr>
          <w:rFonts w:hint="cs"/>
          <w:rtl/>
        </w:rPr>
      </w:pPr>
      <w:r>
        <w:rPr>
          <w:rFonts w:hint="cs"/>
          <w:rtl/>
        </w:rPr>
        <w:t>32.</w:t>
      </w:r>
      <w:r>
        <w:rPr>
          <w:rFonts w:hint="cs"/>
          <w:rtl/>
        </w:rPr>
        <w:tab/>
        <w:t xml:space="preserve">אני מרשיע את הנאשם בעבירה של נסיון להשמדת ראיה לפי </w:t>
      </w:r>
      <w:hyperlink r:id="rId19" w:history="1">
        <w:r w:rsidR="009473D2" w:rsidRPr="009473D2">
          <w:rPr>
            <w:rStyle w:val="Hyperlink"/>
            <w:rFonts w:hint="eastAsia"/>
            <w:rtl/>
          </w:rPr>
          <w:t>סעיף</w:t>
        </w:r>
        <w:r w:rsidR="009473D2" w:rsidRPr="009473D2">
          <w:rPr>
            <w:rStyle w:val="Hyperlink"/>
            <w:rtl/>
          </w:rPr>
          <w:t xml:space="preserve"> 242</w:t>
        </w:r>
      </w:hyperlink>
      <w:r>
        <w:rPr>
          <w:rFonts w:hint="cs"/>
          <w:rtl/>
        </w:rPr>
        <w:t xml:space="preserve"> ל</w:t>
      </w:r>
      <w:hyperlink r:id="rId20" w:history="1">
        <w:r w:rsidR="002E42FF" w:rsidRPr="002E42FF">
          <w:rPr>
            <w:rStyle w:val="Hyperlink"/>
            <w:rFonts w:hint="eastAsia"/>
            <w:rtl/>
          </w:rPr>
          <w:t>חוק</w:t>
        </w:r>
        <w:r w:rsidR="002E42FF" w:rsidRPr="002E42FF">
          <w:rPr>
            <w:rStyle w:val="Hyperlink"/>
            <w:rtl/>
          </w:rPr>
          <w:t xml:space="preserve"> העונשין</w:t>
        </w:r>
      </w:hyperlink>
      <w:r>
        <w:rPr>
          <w:rFonts w:hint="cs"/>
          <w:rtl/>
        </w:rPr>
        <w:t xml:space="preserve">,  תשל"ז – 1977. </w:t>
      </w:r>
    </w:p>
    <w:p w14:paraId="7764C164" w14:textId="77777777" w:rsidR="00CD52B4" w:rsidRDefault="00CD52B4">
      <w:pPr>
        <w:ind w:left="709" w:hanging="709"/>
        <w:rPr>
          <w:rFonts w:hint="cs"/>
          <w:rtl/>
        </w:rPr>
      </w:pPr>
      <w:r>
        <w:rPr>
          <w:rFonts w:hint="cs"/>
          <w:rtl/>
        </w:rPr>
        <w:t>33.</w:t>
      </w:r>
      <w:r>
        <w:rPr>
          <w:rFonts w:hint="cs"/>
          <w:rtl/>
        </w:rPr>
        <w:tab/>
        <w:t xml:space="preserve">על פי הודאתו אני מרשיע את הנאשם בעבירות של תקיפה ושל תקיפת שוטר בנסיבות מחמירות, כפי שיוחסו לו באישום השלישי. </w:t>
      </w:r>
      <w:r>
        <w:rPr>
          <w:rFonts w:hint="cs"/>
          <w:rtl/>
        </w:rPr>
        <w:br/>
        <w:t xml:space="preserve">אני מזכהו מהעבירה של איומים שיוחסה לו בכתב האישום, לאחר שזו לא הוכחה. </w:t>
      </w:r>
    </w:p>
    <w:p w14:paraId="6F5C0A64" w14:textId="77777777" w:rsidR="00CD52B4" w:rsidRDefault="00CD52B4">
      <w:pPr>
        <w:rPr>
          <w:rFonts w:hint="cs"/>
          <w:rtl/>
        </w:rPr>
      </w:pPr>
    </w:p>
    <w:p w14:paraId="3907A247" w14:textId="77777777" w:rsidR="00CD52B4" w:rsidRDefault="00CD52B4">
      <w:pPr>
        <w:rPr>
          <w:rFonts w:hint="cs"/>
          <w:rtl/>
        </w:rPr>
      </w:pPr>
      <w:r>
        <w:rPr>
          <w:rFonts w:hint="cs"/>
          <w:rtl/>
        </w:rPr>
        <w:t xml:space="preserve">ניתנה היום, 11.2.01 , במעמד הנאשם, סנגורו, עו"ד עוויסת, וב"כ המאשימה_______. </w:t>
      </w:r>
    </w:p>
    <w:p w14:paraId="74E952AF" w14:textId="77777777" w:rsidR="00CD52B4" w:rsidRDefault="00CD52B4">
      <w:pPr>
        <w:rPr>
          <w:rFonts w:hint="cs"/>
          <w:rtl/>
        </w:rPr>
      </w:pPr>
    </w:p>
    <w:p w14:paraId="3615FC0F" w14:textId="77777777" w:rsidR="00CD52B4" w:rsidRDefault="00CD52B4">
      <w:pPr>
        <w:rPr>
          <w:rFonts w:hint="cs"/>
          <w:rtl/>
        </w:rPr>
      </w:pPr>
    </w:p>
    <w:tbl>
      <w:tblPr>
        <w:tblW w:w="0" w:type="auto"/>
        <w:tblInd w:w="6436" w:type="dxa"/>
        <w:tblBorders>
          <w:top w:val="single" w:sz="4" w:space="0" w:color="auto"/>
        </w:tblBorders>
        <w:tblLook w:val="0000" w:firstRow="0" w:lastRow="0" w:firstColumn="0" w:lastColumn="0" w:noHBand="0" w:noVBand="0"/>
      </w:tblPr>
      <w:tblGrid>
        <w:gridCol w:w="2093"/>
      </w:tblGrid>
      <w:tr w:rsidR="00CD52B4" w14:paraId="640BD461" w14:textId="77777777">
        <w:tc>
          <w:tcPr>
            <w:tcW w:w="2093" w:type="dxa"/>
            <w:tcBorders>
              <w:top w:val="single" w:sz="4" w:space="0" w:color="auto"/>
              <w:left w:val="nil"/>
              <w:bottom w:val="nil"/>
              <w:right w:val="nil"/>
            </w:tcBorders>
          </w:tcPr>
          <w:p w14:paraId="0473A84A" w14:textId="77777777" w:rsidR="00CD52B4" w:rsidRDefault="00CD52B4">
            <w:pPr>
              <w:pStyle w:val="Heading3"/>
              <w:rPr>
                <w:u w:val="none"/>
              </w:rPr>
            </w:pPr>
            <w:r>
              <w:rPr>
                <w:rFonts w:hint="cs"/>
                <w:u w:val="none"/>
                <w:rtl/>
              </w:rPr>
              <w:t>חיים לי- רן, שופט</w:t>
            </w:r>
          </w:p>
        </w:tc>
      </w:tr>
    </w:tbl>
    <w:p w14:paraId="34DF819A" w14:textId="77777777" w:rsidR="00CD52B4" w:rsidRDefault="00CD52B4">
      <w:pPr>
        <w:rPr>
          <w:rtl/>
        </w:rPr>
      </w:pPr>
      <w:r>
        <w:rPr>
          <w:rtl/>
        </w:rPr>
        <w:t>נוסח מסמך זה כפוף לשינויי ניסוח ועריכה</w:t>
      </w:r>
    </w:p>
    <w:p w14:paraId="7D7BCE27" w14:textId="77777777" w:rsidR="00CD52B4" w:rsidRDefault="00CD52B4">
      <w:pPr>
        <w:rPr>
          <w:rtl/>
        </w:rPr>
      </w:pPr>
    </w:p>
    <w:sectPr w:rsidR="00CD52B4">
      <w:headerReference w:type="even" r:id="rId21"/>
      <w:headerReference w:type="default" r:id="rId22"/>
      <w:footerReference w:type="even" r:id="rId23"/>
      <w:footerReference w:type="default" r:id="rId24"/>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6015" w14:textId="77777777" w:rsidR="00B723F5" w:rsidRDefault="00B723F5">
      <w:pPr>
        <w:spacing w:before="0" w:line="240" w:lineRule="auto"/>
      </w:pPr>
      <w:r>
        <w:separator/>
      </w:r>
    </w:p>
  </w:endnote>
  <w:endnote w:type="continuationSeparator" w:id="0">
    <w:p w14:paraId="68537F57" w14:textId="77777777" w:rsidR="00B723F5" w:rsidRDefault="00B723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EAA3E" w14:textId="77777777" w:rsidR="007A35BF" w:rsidRDefault="007A35B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4D25D07C" w14:textId="77777777" w:rsidR="007A35BF" w:rsidRDefault="007A35B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EBBF538" w14:textId="77777777" w:rsidR="007A35BF" w:rsidRDefault="007A35B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M:\00000000\05-06-29\ps-all\09 = 01-02-11 - noa\OutDoc\s00001541-109.doc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E835" w14:textId="77777777" w:rsidR="007A35BF" w:rsidRDefault="007A35B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27063">
      <w:rPr>
        <w:rFonts w:hAnsi="FrankRuehl" w:cs="FrankRuehl"/>
        <w:noProof/>
        <w:sz w:val="24"/>
        <w:rtl/>
      </w:rPr>
      <w:t>1</w:t>
    </w:r>
    <w:r>
      <w:rPr>
        <w:rFonts w:hAnsi="FrankRuehl" w:cs="FrankRuehl"/>
        <w:sz w:val="24"/>
        <w:rtl/>
      </w:rPr>
      <w:fldChar w:fldCharType="end"/>
    </w:r>
  </w:p>
  <w:p w14:paraId="7E9F23E0" w14:textId="77777777" w:rsidR="007A35BF" w:rsidRDefault="007A35B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30347F" w14:textId="77777777" w:rsidR="007A35BF" w:rsidRDefault="007A35B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M:\00000000\05-06-29\ps-all\09 = 01-02-11 - noa\OutDoc\s00001541-109.doc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ACE0" w14:textId="77777777" w:rsidR="00B723F5" w:rsidRDefault="00B723F5">
      <w:pPr>
        <w:spacing w:before="0" w:line="240" w:lineRule="auto"/>
      </w:pPr>
      <w:r>
        <w:separator/>
      </w:r>
    </w:p>
  </w:footnote>
  <w:footnote w:type="continuationSeparator" w:id="0">
    <w:p w14:paraId="241D3286" w14:textId="77777777" w:rsidR="00B723F5" w:rsidRDefault="00B723F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4F24" w14:textId="77777777" w:rsidR="007A35BF" w:rsidRDefault="007A35BF">
    <w:pPr>
      <w:pStyle w:val="Header"/>
      <w:pBdr>
        <w:bottom w:val="single" w:sz="4" w:space="1" w:color="auto"/>
      </w:pBdr>
      <w:tabs>
        <w:tab w:val="clear" w:pos="624"/>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1541/00</w:t>
    </w:r>
    <w:r>
      <w:rPr>
        <w:rFonts w:hAnsi="David"/>
        <w:color w:val="000000"/>
        <w:sz w:val="22"/>
        <w:szCs w:val="22"/>
        <w:rtl/>
      </w:rPr>
      <w:tab/>
      <w:t xml:space="preserve"> מדינת ישראל נ' נאג'ח בן מחמד אטרש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D528" w14:textId="77777777" w:rsidR="007A35BF" w:rsidRDefault="007A35BF">
    <w:pPr>
      <w:pStyle w:val="Header"/>
      <w:pBdr>
        <w:bottom w:val="single" w:sz="4" w:space="1" w:color="auto"/>
      </w:pBdr>
      <w:tabs>
        <w:tab w:val="clear" w:pos="624"/>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1541/00</w:t>
    </w:r>
    <w:r>
      <w:rPr>
        <w:rFonts w:hAnsi="David"/>
        <w:color w:val="000000"/>
        <w:sz w:val="22"/>
        <w:szCs w:val="22"/>
        <w:rtl/>
      </w:rPr>
      <w:tab/>
      <w:t xml:space="preserve"> מדינת ישראל נ' נאג'ח בן מחמד אטרש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4217EC"/>
    <w:rsid w:val="002E42FF"/>
    <w:rsid w:val="0031281B"/>
    <w:rsid w:val="004217EC"/>
    <w:rsid w:val="007A35BF"/>
    <w:rsid w:val="009473D2"/>
    <w:rsid w:val="00B723F5"/>
    <w:rsid w:val="00BD2AF3"/>
    <w:rsid w:val="00CD52B4"/>
    <w:rsid w:val="00E270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5DF4D6"/>
  <w15:chartTrackingRefBased/>
  <w15:docId w15:val="{823B8E89-8A10-4912-A7AA-0ACE0D3C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624"/>
      </w:tabs>
      <w:bidi/>
      <w:spacing w:before="240" w:line="360" w:lineRule="auto"/>
      <w:ind w:left="1361" w:hanging="1361"/>
    </w:pPr>
    <w:rPr>
      <w:rFonts w:cs="Narkisim"/>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after="60"/>
      <w:jc w:val="center"/>
      <w:outlineLvl w:val="1"/>
    </w:pPr>
    <w:rPr>
      <w:rFonts w:ascii="Arial" w:cs="David"/>
      <w:b/>
      <w:bCs/>
      <w:sz w:val="24"/>
      <w:szCs w:val="28"/>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b/>
      <w:bCs/>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rPr>
      <w:rFonts w:cs="David"/>
      <w:szCs w:val="24"/>
    </w:rPr>
  </w:style>
  <w:style w:type="paragraph" w:styleId="Footer">
    <w:name w:val="footer"/>
    <w:basedOn w:val="Normal"/>
    <w:semiHidden/>
    <w:pPr>
      <w:tabs>
        <w:tab w:val="center" w:pos="4153"/>
        <w:tab w:val="right" w:pos="8306"/>
      </w:tabs>
      <w:snapToGrid w:val="0"/>
      <w:jc w:val="both"/>
    </w:pPr>
    <w:rPr>
      <w:rFonts w:cs="David"/>
      <w:sz w:val="22"/>
      <w:szCs w:val="24"/>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BodyText">
    <w:name w:val="Body Text"/>
    <w:basedOn w:val="Normal"/>
    <w:semiHidden/>
  </w:style>
  <w:style w:type="paragraph" w:styleId="BodyTextIndent">
    <w:name w:val="Body Text Indent"/>
    <w:basedOn w:val="Normal"/>
    <w:semiHidden/>
    <w:pPr>
      <w:spacing w:after="120"/>
      <w:ind w:left="283"/>
    </w:pPr>
  </w:style>
  <w:style w:type="paragraph" w:styleId="BodyTextIndent2">
    <w:name w:val="Body Text Indent 2"/>
    <w:basedOn w:val="Normal"/>
    <w:semiHidden/>
    <w:pPr>
      <w:ind w:left="720"/>
    </w:pPr>
  </w:style>
  <w:style w:type="paragraph" w:styleId="BodyTextIndent3">
    <w:name w:val="Body Text Indent 3"/>
    <w:basedOn w:val="Normal"/>
    <w:semiHidden/>
    <w:pPr>
      <w:ind w:left="658" w:hanging="709"/>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2E42FF"/>
    <w:rPr>
      <w:rFonts w:ascii="Tahoma" w:hAnsi="Tahoma" w:cs="Tahoma"/>
      <w:sz w:val="16"/>
      <w:szCs w:val="16"/>
    </w:rPr>
  </w:style>
  <w:style w:type="character" w:styleId="Hyperlink">
    <w:name w:val="Hyperlink"/>
    <w:rsid w:val="002E4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law/70301" TargetMode="External"/><Relationship Id="rId18" Type="http://schemas.openxmlformats.org/officeDocument/2006/relationships/hyperlink" Target="http://www.nevo.co.il/law/9072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242" TargetMode="External"/><Relationship Id="rId12" Type="http://schemas.openxmlformats.org/officeDocument/2006/relationships/hyperlink" Target="http://www.nevo.co.il/law/70301/348.c" TargetMode="External"/><Relationship Id="rId17" Type="http://schemas.openxmlformats.org/officeDocument/2006/relationships/hyperlink" Target="http://www.nevo.co.il/law/90721/12.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275"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0721/12.1"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90721" TargetMode="External"/><Relationship Id="rId23" Type="http://schemas.openxmlformats.org/officeDocument/2006/relationships/footer" Target="footer1.xml"/><Relationship Id="rId10" Type="http://schemas.openxmlformats.org/officeDocument/2006/relationships/hyperlink" Target="http://www.nevo.co.il/law/90721" TargetMode="External"/><Relationship Id="rId19" Type="http://schemas.openxmlformats.org/officeDocument/2006/relationships/hyperlink" Target="http://www.nevo.co.il/law/70301/242" TargetMode="Externa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90721/12.1"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1330</Words>
  <Characters>7584</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8897</CharactersWithSpaces>
  <SharedDoc>false</SharedDoc>
  <HLinks>
    <vt:vector size="90" baseType="variant">
      <vt:variant>
        <vt:i4>7995492</vt:i4>
      </vt:variant>
      <vt:variant>
        <vt:i4>42</vt:i4>
      </vt:variant>
      <vt:variant>
        <vt:i4>0</vt:i4>
      </vt:variant>
      <vt:variant>
        <vt:i4>5</vt:i4>
      </vt:variant>
      <vt:variant>
        <vt:lpwstr>http://www.nevo.co.il/law/70301</vt:lpwstr>
      </vt:variant>
      <vt:variant>
        <vt:lpwstr/>
      </vt:variant>
      <vt:variant>
        <vt:i4>6357095</vt:i4>
      </vt:variant>
      <vt:variant>
        <vt:i4>39</vt:i4>
      </vt:variant>
      <vt:variant>
        <vt:i4>0</vt:i4>
      </vt:variant>
      <vt:variant>
        <vt:i4>5</vt:i4>
      </vt:variant>
      <vt:variant>
        <vt:lpwstr>http://www.nevo.co.il/law/70301/242</vt:lpwstr>
      </vt:variant>
      <vt:variant>
        <vt:lpwstr/>
      </vt:variant>
      <vt:variant>
        <vt:i4>7864430</vt:i4>
      </vt:variant>
      <vt:variant>
        <vt:i4>36</vt:i4>
      </vt:variant>
      <vt:variant>
        <vt:i4>0</vt:i4>
      </vt:variant>
      <vt:variant>
        <vt:i4>5</vt:i4>
      </vt:variant>
      <vt:variant>
        <vt:lpwstr>http://www.nevo.co.il/law/90721</vt:lpwstr>
      </vt:variant>
      <vt:variant>
        <vt:lpwstr/>
      </vt:variant>
      <vt:variant>
        <vt:i4>5505088</vt:i4>
      </vt:variant>
      <vt:variant>
        <vt:i4>33</vt:i4>
      </vt:variant>
      <vt:variant>
        <vt:i4>0</vt:i4>
      </vt:variant>
      <vt:variant>
        <vt:i4>5</vt:i4>
      </vt:variant>
      <vt:variant>
        <vt:lpwstr>http://www.nevo.co.il/law/90721/12.1</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7864430</vt:i4>
      </vt:variant>
      <vt:variant>
        <vt:i4>27</vt:i4>
      </vt:variant>
      <vt:variant>
        <vt:i4>0</vt:i4>
      </vt:variant>
      <vt:variant>
        <vt:i4>5</vt:i4>
      </vt:variant>
      <vt:variant>
        <vt:lpwstr>http://www.nevo.co.il/law/90721</vt:lpwstr>
      </vt:variant>
      <vt:variant>
        <vt:lpwstr/>
      </vt:variant>
      <vt:variant>
        <vt:i4>5505088</vt:i4>
      </vt:variant>
      <vt:variant>
        <vt:i4>24</vt:i4>
      </vt:variant>
      <vt:variant>
        <vt:i4>0</vt:i4>
      </vt:variant>
      <vt:variant>
        <vt:i4>5</vt:i4>
      </vt:variant>
      <vt:variant>
        <vt:lpwstr>http://www.nevo.co.il/law/90721/12.1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5505088</vt:i4>
      </vt:variant>
      <vt:variant>
        <vt:i4>15</vt:i4>
      </vt:variant>
      <vt:variant>
        <vt:i4>0</vt:i4>
      </vt:variant>
      <vt:variant>
        <vt:i4>5</vt:i4>
      </vt:variant>
      <vt:variant>
        <vt:lpwstr>http://www.nevo.co.il/law/90721/12.1</vt:lpwstr>
      </vt:variant>
      <vt:variant>
        <vt:lpwstr/>
      </vt:variant>
      <vt:variant>
        <vt:i4>7864430</vt:i4>
      </vt:variant>
      <vt:variant>
        <vt:i4>12</vt:i4>
      </vt:variant>
      <vt:variant>
        <vt:i4>0</vt:i4>
      </vt:variant>
      <vt:variant>
        <vt:i4>5</vt:i4>
      </vt:variant>
      <vt:variant>
        <vt:lpwstr>http://www.nevo.co.il/law/90721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6357095</vt:i4>
      </vt:variant>
      <vt:variant>
        <vt:i4>3</vt:i4>
      </vt:variant>
      <vt:variant>
        <vt:i4>0</vt:i4>
      </vt:variant>
      <vt:variant>
        <vt:i4>5</vt:i4>
      </vt:variant>
      <vt:variant>
        <vt:lpwstr>http://www.nevo.co.il/law/70301/242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2001-02-08T07:01:00Z</cp:lastPrinted>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1541</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נאג'ח בן מחמד אטרש</vt:lpwstr>
  </property>
  <property fmtid="{D5CDD505-2E9C-101B-9397-08002B2CF9AE}" pid="9" name="LAWYER">
    <vt:lpwstr>;עוויסאת</vt:lpwstr>
  </property>
  <property fmtid="{D5CDD505-2E9C-101B-9397-08002B2CF9AE}" pid="10" name="JUDGE">
    <vt:lpwstr>חיים לי - רן</vt:lpwstr>
  </property>
  <property fmtid="{D5CDD505-2E9C-101B-9397-08002B2CF9AE}" pid="11" name="CITY">
    <vt:lpwstr>י-ם</vt:lpwstr>
  </property>
  <property fmtid="{D5CDD505-2E9C-101B-9397-08002B2CF9AE}" pid="12" name="DATE">
    <vt:lpwstr>20010211</vt:lpwstr>
  </property>
  <property fmtid="{D5CDD505-2E9C-101B-9397-08002B2CF9AE}" pid="13" name="WORDNUMPAGES">
    <vt:lpwstr>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NOTES1">
    <vt:lpwstr>ProcID=213&amp;PartA=19&amp;PartC=20</vt:lpwstr>
  </property>
  <property fmtid="{D5CDD505-2E9C-101B-9397-08002B2CF9AE}" pid="32" name="LAWLISTTMP1">
    <vt:lpwstr>70301/348.c;275;242</vt:lpwstr>
  </property>
  <property fmtid="{D5CDD505-2E9C-101B-9397-08002B2CF9AE}" pid="33" name="LAWLISTTMP2">
    <vt:lpwstr>90721/012.1:2</vt:lpwstr>
  </property>
</Properties>
</file>