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91A5B" w14:textId="77777777" w:rsidR="00B7319B" w:rsidRDefault="00B7319B">
      <w:pPr>
        <w:pStyle w:val="Header"/>
        <w:rPr>
          <w:rFonts w:hint="cs"/>
          <w:rtl/>
        </w:rPr>
      </w:pPr>
      <w:bookmarkStart w:id="0" w:name="צד_ג"/>
      <w:bookmarkStart w:id="1" w:name="LastJudge"/>
    </w:p>
    <w:p w14:paraId="37A4CC22" w14:textId="77777777" w:rsidR="00B7319B" w:rsidRDefault="00B7319B">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14"/>
        <w:gridCol w:w="964"/>
        <w:gridCol w:w="1951"/>
      </w:tblGrid>
      <w:tr w:rsidR="00B7319B" w14:paraId="7C4A3801" w14:textId="77777777" w:rsidTr="00B7319B">
        <w:trPr>
          <w:cantSplit/>
          <w:trHeight w:val="195"/>
        </w:trPr>
        <w:tc>
          <w:tcPr>
            <w:tcW w:w="5614" w:type="dxa"/>
            <w:vMerge w:val="restart"/>
            <w:tcBorders>
              <w:top w:val="single" w:sz="4" w:space="0" w:color="auto"/>
              <w:left w:val="single" w:sz="4" w:space="0" w:color="auto"/>
              <w:bottom w:val="single" w:sz="4" w:space="0" w:color="auto"/>
              <w:right w:val="single" w:sz="4" w:space="0" w:color="auto"/>
            </w:tcBorders>
          </w:tcPr>
          <w:p w14:paraId="4837FB3C" w14:textId="77777777" w:rsidR="00B7319B" w:rsidRDefault="00B7319B">
            <w:pPr>
              <w:rPr>
                <w:b/>
                <w:bCs/>
              </w:rPr>
            </w:pPr>
            <w:r>
              <w:rPr>
                <w:rFonts w:hint="cs"/>
                <w:b/>
                <w:bCs/>
                <w:rtl/>
              </w:rPr>
              <w:t>בית משפט השלום רחובות</w:t>
            </w:r>
          </w:p>
        </w:tc>
        <w:tc>
          <w:tcPr>
            <w:tcW w:w="2915" w:type="dxa"/>
            <w:gridSpan w:val="2"/>
            <w:tcBorders>
              <w:top w:val="single" w:sz="4" w:space="0" w:color="auto"/>
              <w:left w:val="single" w:sz="4" w:space="0" w:color="auto"/>
              <w:bottom w:val="single" w:sz="4" w:space="0" w:color="auto"/>
              <w:right w:val="single" w:sz="4" w:space="0" w:color="auto"/>
            </w:tcBorders>
          </w:tcPr>
          <w:p w14:paraId="26AE0032" w14:textId="77777777" w:rsidR="00B7319B" w:rsidRDefault="00B7319B">
            <w:pPr>
              <w:rPr>
                <w:b/>
                <w:bCs/>
              </w:rPr>
            </w:pPr>
            <w:r>
              <w:rPr>
                <w:rFonts w:hint="cs"/>
                <w:b/>
                <w:bCs/>
                <w:rtl/>
              </w:rPr>
              <w:t>פ  002233/00</w:t>
            </w:r>
          </w:p>
        </w:tc>
      </w:tr>
      <w:tr w:rsidR="00B7319B" w14:paraId="6CEDD4E8" w14:textId="77777777" w:rsidTr="00B7319B">
        <w:trPr>
          <w:cantSplit/>
          <w:trHeight w:val="195"/>
        </w:trPr>
        <w:tc>
          <w:tcPr>
            <w:tcW w:w="0" w:type="auto"/>
            <w:vMerge/>
            <w:tcBorders>
              <w:top w:val="single" w:sz="4" w:space="0" w:color="auto"/>
              <w:left w:val="single" w:sz="4" w:space="0" w:color="auto"/>
              <w:bottom w:val="single" w:sz="4" w:space="0" w:color="auto"/>
              <w:right w:val="single" w:sz="4" w:space="0" w:color="auto"/>
            </w:tcBorders>
            <w:vAlign w:val="center"/>
          </w:tcPr>
          <w:p w14:paraId="46538742" w14:textId="77777777" w:rsidR="00B7319B" w:rsidRDefault="00B7319B">
            <w:pPr>
              <w:bidi w:val="0"/>
              <w:spacing w:line="240" w:lineRule="auto"/>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0D78C36D" w14:textId="77777777" w:rsidR="00B7319B" w:rsidRDefault="00B7319B">
            <w:pPr>
              <w:rPr>
                <w:b/>
                <w:bCs/>
              </w:rPr>
            </w:pPr>
          </w:p>
        </w:tc>
      </w:tr>
      <w:tr w:rsidR="00B7319B" w14:paraId="2A3BD2FE" w14:textId="77777777" w:rsidTr="00B7319B">
        <w:trPr>
          <w:trHeight w:val="286"/>
        </w:trPr>
        <w:tc>
          <w:tcPr>
            <w:tcW w:w="5614" w:type="dxa"/>
            <w:tcBorders>
              <w:top w:val="single" w:sz="4" w:space="0" w:color="auto"/>
              <w:left w:val="single" w:sz="4" w:space="0" w:color="auto"/>
              <w:bottom w:val="single" w:sz="4" w:space="0" w:color="auto"/>
              <w:right w:val="single" w:sz="4" w:space="0" w:color="auto"/>
            </w:tcBorders>
          </w:tcPr>
          <w:p w14:paraId="7B0DBDD7" w14:textId="77777777" w:rsidR="00B7319B" w:rsidRDefault="00B7319B">
            <w:pPr>
              <w:rPr>
                <w:b/>
                <w:bCs/>
              </w:rPr>
            </w:pPr>
            <w:r>
              <w:rPr>
                <w:rFonts w:hint="cs"/>
                <w:b/>
                <w:bCs/>
                <w:rtl/>
              </w:rPr>
              <w:t>בפני כבוד השופטת אילנה גת</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938E128" w14:textId="77777777" w:rsidR="00B7319B" w:rsidRDefault="00B7319B">
            <w:pPr>
              <w:rPr>
                <w:b/>
                <w:bCs/>
              </w:rPr>
            </w:pPr>
            <w:r>
              <w:rPr>
                <w:rFonts w:hint="cs"/>
                <w:b/>
                <w:bCs/>
                <w:rtl/>
              </w:rPr>
              <w:t>תאריך:</w:t>
            </w:r>
          </w:p>
        </w:tc>
        <w:tc>
          <w:tcPr>
            <w:tcW w:w="1951" w:type="dxa"/>
            <w:tcBorders>
              <w:top w:val="single" w:sz="4" w:space="0" w:color="auto"/>
              <w:left w:val="single" w:sz="4" w:space="0" w:color="auto"/>
              <w:bottom w:val="single" w:sz="4" w:space="0" w:color="auto"/>
              <w:right w:val="single" w:sz="4" w:space="0" w:color="auto"/>
            </w:tcBorders>
          </w:tcPr>
          <w:p w14:paraId="7622A5B4" w14:textId="77777777" w:rsidR="00B7319B" w:rsidRDefault="00B7319B">
            <w:pPr>
              <w:rPr>
                <w:b/>
                <w:bCs/>
              </w:rPr>
            </w:pPr>
            <w:r>
              <w:rPr>
                <w:rFonts w:hint="cs"/>
                <w:b/>
                <w:bCs/>
                <w:rtl/>
              </w:rPr>
              <w:t>19/02/2002</w:t>
            </w:r>
          </w:p>
        </w:tc>
      </w:tr>
    </w:tbl>
    <w:p w14:paraId="541A23A1" w14:textId="77777777" w:rsidR="00B7319B" w:rsidRDefault="00B7319B">
      <w:pPr>
        <w:pStyle w:val="Header"/>
        <w:jc w:val="left"/>
        <w:rPr>
          <w:rFonts w:hint="cs"/>
          <w:szCs w:val="20"/>
          <w:rtl/>
        </w:rPr>
      </w:pPr>
    </w:p>
    <w:p w14:paraId="09D5AAAA" w14:textId="77777777" w:rsidR="00B7319B" w:rsidRDefault="00B7319B">
      <w:pPr>
        <w:rPr>
          <w:rFonts w:hint="cs"/>
          <w:rtl/>
        </w:rPr>
      </w:pPr>
    </w:p>
    <w:tbl>
      <w:tblPr>
        <w:bidiVisual/>
        <w:tblW w:w="8647" w:type="dxa"/>
        <w:tblCellMar>
          <w:left w:w="107" w:type="dxa"/>
          <w:right w:w="107" w:type="dxa"/>
        </w:tblCellMar>
        <w:tblLook w:val="0000" w:firstRow="0" w:lastRow="0" w:firstColumn="0" w:lastColumn="0" w:noHBand="0" w:noVBand="0"/>
      </w:tblPr>
      <w:tblGrid>
        <w:gridCol w:w="1332"/>
        <w:gridCol w:w="86"/>
        <w:gridCol w:w="1757"/>
        <w:gridCol w:w="3063"/>
        <w:gridCol w:w="2324"/>
        <w:gridCol w:w="85"/>
      </w:tblGrid>
      <w:tr w:rsidR="00B7319B" w14:paraId="08B80084" w14:textId="77777777" w:rsidTr="00B7319B">
        <w:tc>
          <w:tcPr>
            <w:tcW w:w="1418" w:type="dxa"/>
            <w:gridSpan w:val="2"/>
          </w:tcPr>
          <w:p w14:paraId="6500E0B2" w14:textId="77777777" w:rsidR="00B7319B" w:rsidRDefault="00B7319B">
            <w:pPr>
              <w:rPr>
                <w:b/>
                <w:bCs/>
              </w:rPr>
            </w:pPr>
            <w:bookmarkStart w:id="2" w:name="FirstAppellant"/>
            <w:r>
              <w:rPr>
                <w:rFonts w:hint="cs"/>
                <w:b/>
                <w:bCs/>
                <w:rtl/>
              </w:rPr>
              <w:t>בעניין:</w:t>
            </w:r>
          </w:p>
        </w:tc>
        <w:tc>
          <w:tcPr>
            <w:tcW w:w="4820" w:type="dxa"/>
            <w:gridSpan w:val="2"/>
          </w:tcPr>
          <w:p w14:paraId="6DB8FB8E" w14:textId="77777777" w:rsidR="00B7319B" w:rsidRDefault="00B7319B">
            <w:pPr>
              <w:rPr>
                <w:b/>
                <w:bCs/>
              </w:rPr>
            </w:pPr>
            <w:r>
              <w:rPr>
                <w:rFonts w:hint="cs"/>
                <w:b/>
                <w:bCs/>
                <w:rtl/>
              </w:rPr>
              <w:t>מדינת ישראל</w:t>
            </w:r>
          </w:p>
        </w:tc>
        <w:tc>
          <w:tcPr>
            <w:tcW w:w="2409" w:type="dxa"/>
            <w:gridSpan w:val="2"/>
          </w:tcPr>
          <w:p w14:paraId="6C977031" w14:textId="77777777" w:rsidR="00B7319B" w:rsidRDefault="00B7319B">
            <w:pPr>
              <w:rPr>
                <w:b/>
                <w:bCs/>
              </w:rPr>
            </w:pPr>
          </w:p>
        </w:tc>
      </w:tr>
      <w:tr w:rsidR="00B7319B" w14:paraId="05FBAE88" w14:textId="77777777" w:rsidTr="00B7319B">
        <w:tc>
          <w:tcPr>
            <w:tcW w:w="1418" w:type="dxa"/>
            <w:gridSpan w:val="2"/>
          </w:tcPr>
          <w:p w14:paraId="15F86D0C" w14:textId="77777777" w:rsidR="00B7319B" w:rsidRDefault="00B7319B">
            <w:pPr>
              <w:rPr>
                <w:b/>
                <w:bCs/>
              </w:rPr>
            </w:pPr>
            <w:bookmarkStart w:id="3" w:name="בא_כוח_א" w:colFirst="1" w:colLast="1"/>
            <w:bookmarkEnd w:id="2"/>
          </w:p>
        </w:tc>
        <w:tc>
          <w:tcPr>
            <w:tcW w:w="1757" w:type="dxa"/>
          </w:tcPr>
          <w:p w14:paraId="767C1576" w14:textId="77777777" w:rsidR="00B7319B" w:rsidRDefault="00B7319B">
            <w:pPr>
              <w:rPr>
                <w:b/>
                <w:bCs/>
              </w:rPr>
            </w:pPr>
          </w:p>
        </w:tc>
        <w:tc>
          <w:tcPr>
            <w:tcW w:w="3063" w:type="dxa"/>
          </w:tcPr>
          <w:p w14:paraId="1150413D" w14:textId="77777777" w:rsidR="00B7319B" w:rsidRDefault="00B7319B">
            <w:pPr>
              <w:rPr>
                <w:b/>
                <w:bCs/>
              </w:rPr>
            </w:pPr>
          </w:p>
        </w:tc>
        <w:tc>
          <w:tcPr>
            <w:tcW w:w="2409" w:type="dxa"/>
            <w:gridSpan w:val="2"/>
          </w:tcPr>
          <w:p w14:paraId="4EE36DE4" w14:textId="77777777" w:rsidR="00B7319B" w:rsidRDefault="00B7319B">
            <w:pPr>
              <w:rPr>
                <w:b/>
                <w:bCs/>
              </w:rPr>
            </w:pPr>
            <w:r>
              <w:rPr>
                <w:rFonts w:hint="cs"/>
                <w:b/>
                <w:bCs/>
                <w:rtl/>
              </w:rPr>
              <w:t>המאשימה</w:t>
            </w:r>
          </w:p>
        </w:tc>
      </w:tr>
      <w:bookmarkEnd w:id="3"/>
      <w:tr w:rsidR="00B7319B" w14:paraId="66314E43" w14:textId="77777777" w:rsidTr="00B7319B">
        <w:tc>
          <w:tcPr>
            <w:tcW w:w="1418" w:type="dxa"/>
            <w:gridSpan w:val="2"/>
          </w:tcPr>
          <w:p w14:paraId="23633DB2" w14:textId="77777777" w:rsidR="00B7319B" w:rsidRDefault="00B7319B">
            <w:pPr>
              <w:rPr>
                <w:b/>
                <w:bCs/>
              </w:rPr>
            </w:pPr>
          </w:p>
        </w:tc>
        <w:tc>
          <w:tcPr>
            <w:tcW w:w="4820" w:type="dxa"/>
            <w:gridSpan w:val="2"/>
          </w:tcPr>
          <w:p w14:paraId="3142A889" w14:textId="77777777" w:rsidR="00B7319B" w:rsidRDefault="00B7319B">
            <w:pPr>
              <w:jc w:val="center"/>
              <w:rPr>
                <w:b/>
                <w:bCs/>
              </w:rPr>
            </w:pPr>
            <w:r>
              <w:rPr>
                <w:rFonts w:hint="cs"/>
                <w:b/>
                <w:bCs/>
                <w:rtl/>
              </w:rPr>
              <w:t>נגד</w:t>
            </w:r>
          </w:p>
          <w:p w14:paraId="6548658F" w14:textId="77777777" w:rsidR="00B7319B" w:rsidRDefault="00B7319B">
            <w:pPr>
              <w:jc w:val="center"/>
              <w:rPr>
                <w:b/>
                <w:bCs/>
              </w:rPr>
            </w:pPr>
          </w:p>
        </w:tc>
        <w:tc>
          <w:tcPr>
            <w:tcW w:w="2409" w:type="dxa"/>
            <w:gridSpan w:val="2"/>
          </w:tcPr>
          <w:p w14:paraId="256D1E54" w14:textId="77777777" w:rsidR="00B7319B" w:rsidRDefault="00B7319B">
            <w:pPr>
              <w:rPr>
                <w:b/>
                <w:bCs/>
              </w:rPr>
            </w:pPr>
          </w:p>
        </w:tc>
      </w:tr>
      <w:tr w:rsidR="00B7319B" w14:paraId="1D5F9024" w14:textId="77777777" w:rsidTr="00B7319B">
        <w:tc>
          <w:tcPr>
            <w:tcW w:w="1418" w:type="dxa"/>
            <w:gridSpan w:val="2"/>
          </w:tcPr>
          <w:p w14:paraId="0C9440B3" w14:textId="77777777" w:rsidR="00B7319B" w:rsidRDefault="00B7319B">
            <w:pPr>
              <w:rPr>
                <w:b/>
                <w:bCs/>
              </w:rPr>
            </w:pPr>
            <w:bookmarkStart w:id="4" w:name="שם_ב" w:colFirst="0" w:colLast="0"/>
          </w:p>
        </w:tc>
        <w:tc>
          <w:tcPr>
            <w:tcW w:w="4820" w:type="dxa"/>
            <w:gridSpan w:val="2"/>
          </w:tcPr>
          <w:p w14:paraId="2E82DD22" w14:textId="77777777" w:rsidR="00B7319B" w:rsidRDefault="00B7319B">
            <w:pPr>
              <w:rPr>
                <w:b/>
                <w:bCs/>
              </w:rPr>
            </w:pPr>
            <w:r>
              <w:rPr>
                <w:rFonts w:hint="cs"/>
                <w:b/>
                <w:bCs/>
                <w:rtl/>
              </w:rPr>
              <w:t>הלל שמואל</w:t>
            </w:r>
          </w:p>
        </w:tc>
        <w:tc>
          <w:tcPr>
            <w:tcW w:w="2409" w:type="dxa"/>
            <w:gridSpan w:val="2"/>
          </w:tcPr>
          <w:p w14:paraId="6D6A2D7A" w14:textId="77777777" w:rsidR="00B7319B" w:rsidRDefault="00B7319B">
            <w:pPr>
              <w:rPr>
                <w:b/>
                <w:bCs/>
              </w:rPr>
            </w:pPr>
          </w:p>
        </w:tc>
      </w:tr>
      <w:tr w:rsidR="00B7319B" w14:paraId="5F17EF10" w14:textId="77777777" w:rsidTr="00B7319B">
        <w:tc>
          <w:tcPr>
            <w:tcW w:w="1418" w:type="dxa"/>
            <w:gridSpan w:val="2"/>
          </w:tcPr>
          <w:p w14:paraId="7629816D" w14:textId="77777777" w:rsidR="00B7319B" w:rsidRDefault="00B7319B">
            <w:pPr>
              <w:rPr>
                <w:b/>
                <w:bCs/>
              </w:rPr>
            </w:pPr>
            <w:bookmarkStart w:id="5" w:name="בא_כוח_ב" w:colFirst="1" w:colLast="1"/>
            <w:bookmarkEnd w:id="4"/>
          </w:p>
        </w:tc>
        <w:tc>
          <w:tcPr>
            <w:tcW w:w="1757" w:type="dxa"/>
          </w:tcPr>
          <w:p w14:paraId="31573653" w14:textId="77777777" w:rsidR="00B7319B" w:rsidRDefault="00B7319B">
            <w:pPr>
              <w:rPr>
                <w:b/>
                <w:bCs/>
              </w:rPr>
            </w:pPr>
          </w:p>
        </w:tc>
        <w:tc>
          <w:tcPr>
            <w:tcW w:w="3063" w:type="dxa"/>
          </w:tcPr>
          <w:p w14:paraId="79CBCE36" w14:textId="77777777" w:rsidR="00B7319B" w:rsidRDefault="00B7319B">
            <w:pPr>
              <w:rPr>
                <w:b/>
                <w:bCs/>
              </w:rPr>
            </w:pPr>
          </w:p>
        </w:tc>
        <w:tc>
          <w:tcPr>
            <w:tcW w:w="2409" w:type="dxa"/>
            <w:gridSpan w:val="2"/>
          </w:tcPr>
          <w:p w14:paraId="1AB2F970" w14:textId="77777777" w:rsidR="00B7319B" w:rsidRDefault="00B7319B">
            <w:pPr>
              <w:rPr>
                <w:b/>
                <w:bCs/>
              </w:rPr>
            </w:pPr>
            <w:r>
              <w:rPr>
                <w:rFonts w:hint="cs"/>
                <w:b/>
                <w:bCs/>
                <w:rtl/>
              </w:rPr>
              <w:t>הנאשם</w:t>
            </w:r>
          </w:p>
        </w:tc>
      </w:tr>
      <w:tr w:rsidR="00B7319B" w14:paraId="559089A7" w14:textId="77777777" w:rsidTr="00B7319B">
        <w:trPr>
          <w:gridAfter w:val="1"/>
          <w:wAfter w:w="85" w:type="dxa"/>
        </w:trPr>
        <w:tc>
          <w:tcPr>
            <w:tcW w:w="1332" w:type="dxa"/>
          </w:tcPr>
          <w:p w14:paraId="343B2D8D" w14:textId="77777777" w:rsidR="00B7319B" w:rsidRDefault="00B7319B">
            <w:pPr>
              <w:rPr>
                <w:b/>
                <w:bCs/>
              </w:rPr>
            </w:pPr>
            <w:bookmarkStart w:id="6" w:name="FirstLawyer"/>
            <w:bookmarkEnd w:id="5"/>
            <w:r>
              <w:rPr>
                <w:rFonts w:hint="cs"/>
                <w:b/>
                <w:bCs/>
                <w:rtl/>
              </w:rPr>
              <w:t>הנוכחים:</w:t>
            </w:r>
          </w:p>
        </w:tc>
        <w:tc>
          <w:tcPr>
            <w:tcW w:w="7230" w:type="dxa"/>
            <w:gridSpan w:val="4"/>
          </w:tcPr>
          <w:p w14:paraId="5D4F53E9" w14:textId="77777777" w:rsidR="00B7319B" w:rsidRDefault="00B7319B">
            <w:pPr>
              <w:rPr>
                <w:b/>
                <w:bCs/>
              </w:rPr>
            </w:pPr>
            <w:r>
              <w:rPr>
                <w:rFonts w:hint="cs"/>
                <w:b/>
                <w:bCs/>
                <w:rtl/>
              </w:rPr>
              <w:t xml:space="preserve">ב"כ המאשימה עו"ד בן דוד יריב  </w:t>
            </w:r>
          </w:p>
          <w:p w14:paraId="4752FBBE" w14:textId="77777777" w:rsidR="00B7319B" w:rsidRDefault="00B7319B">
            <w:pPr>
              <w:rPr>
                <w:b/>
                <w:bCs/>
              </w:rPr>
            </w:pPr>
            <w:r>
              <w:rPr>
                <w:rFonts w:hint="cs"/>
                <w:b/>
                <w:bCs/>
                <w:rtl/>
              </w:rPr>
              <w:t>הנאשם בעצמו וב"כ עו"ד שני</w:t>
            </w:r>
          </w:p>
        </w:tc>
      </w:tr>
    </w:tbl>
    <w:p w14:paraId="24FDBF82" w14:textId="77777777" w:rsidR="00B26D6E" w:rsidRDefault="00B26D6E">
      <w:pPr>
        <w:rPr>
          <w:rtl/>
        </w:rPr>
      </w:pPr>
      <w:bookmarkStart w:id="7" w:name="LawTable"/>
      <w:bookmarkEnd w:id="6"/>
      <w:bookmarkEnd w:id="7"/>
    </w:p>
    <w:p w14:paraId="35A8B106" w14:textId="77777777" w:rsidR="00B26D6E" w:rsidRPr="00B26D6E" w:rsidRDefault="00B26D6E" w:rsidP="00B26D6E">
      <w:pPr>
        <w:spacing w:after="120" w:line="240" w:lineRule="exact"/>
        <w:ind w:left="283" w:hanging="283"/>
        <w:jc w:val="both"/>
        <w:rPr>
          <w:rFonts w:ascii="FrankRuehl" w:hAnsi="FrankRuehl" w:cs="FrankRuehl"/>
          <w:sz w:val="24"/>
          <w:rtl/>
        </w:rPr>
      </w:pPr>
    </w:p>
    <w:p w14:paraId="239C0202" w14:textId="77777777" w:rsidR="00B26D6E" w:rsidRPr="00B26D6E" w:rsidRDefault="00B26D6E" w:rsidP="00B26D6E">
      <w:pPr>
        <w:spacing w:after="120" w:line="240" w:lineRule="exact"/>
        <w:ind w:left="283" w:hanging="283"/>
        <w:jc w:val="both"/>
        <w:rPr>
          <w:rFonts w:ascii="FrankRuehl" w:hAnsi="FrankRuehl" w:cs="FrankRuehl"/>
          <w:sz w:val="24"/>
          <w:rtl/>
        </w:rPr>
      </w:pPr>
      <w:r w:rsidRPr="00B26D6E">
        <w:rPr>
          <w:rFonts w:ascii="FrankRuehl" w:hAnsi="FrankRuehl" w:cs="FrankRuehl"/>
          <w:sz w:val="24"/>
          <w:rtl/>
        </w:rPr>
        <w:t xml:space="preserve">חקיקה שאוזכרה: </w:t>
      </w:r>
    </w:p>
    <w:p w14:paraId="3305BD80" w14:textId="77777777" w:rsidR="00B26D6E" w:rsidRPr="00B26D6E" w:rsidRDefault="00B26D6E" w:rsidP="00B26D6E">
      <w:pPr>
        <w:spacing w:after="120" w:line="240" w:lineRule="exact"/>
        <w:ind w:left="283" w:hanging="283"/>
        <w:jc w:val="both"/>
        <w:rPr>
          <w:rFonts w:ascii="FrankRuehl" w:hAnsi="FrankRuehl" w:cs="FrankRuehl"/>
          <w:sz w:val="24"/>
          <w:rtl/>
        </w:rPr>
      </w:pPr>
      <w:hyperlink r:id="rId6" w:history="1">
        <w:r w:rsidRPr="00B26D6E">
          <w:rPr>
            <w:rFonts w:ascii="FrankRuehl" w:hAnsi="FrankRuehl" w:cs="FrankRuehl"/>
            <w:color w:val="0000FF"/>
            <w:sz w:val="24"/>
            <w:u w:val="single"/>
            <w:rtl/>
          </w:rPr>
          <w:t>חוק העונשין, תשל"ז-1977</w:t>
        </w:r>
      </w:hyperlink>
      <w:r w:rsidRPr="00B26D6E">
        <w:rPr>
          <w:rFonts w:ascii="FrankRuehl" w:hAnsi="FrankRuehl" w:cs="FrankRuehl"/>
          <w:sz w:val="24"/>
          <w:rtl/>
        </w:rPr>
        <w:t xml:space="preserve">: סע'  </w:t>
      </w:r>
      <w:hyperlink r:id="rId7" w:history="1">
        <w:r w:rsidRPr="00B26D6E">
          <w:rPr>
            <w:rFonts w:ascii="FrankRuehl" w:hAnsi="FrankRuehl" w:cs="FrankRuehl"/>
            <w:color w:val="0000FF"/>
            <w:sz w:val="24"/>
            <w:u w:val="single"/>
            <w:rtl/>
          </w:rPr>
          <w:t>349 (א)</w:t>
        </w:r>
      </w:hyperlink>
    </w:p>
    <w:p w14:paraId="7E43A8DE" w14:textId="77777777" w:rsidR="00B26D6E" w:rsidRPr="00B26D6E" w:rsidRDefault="00B26D6E" w:rsidP="00B26D6E">
      <w:pPr>
        <w:spacing w:after="120" w:line="240" w:lineRule="exact"/>
        <w:ind w:left="283" w:hanging="283"/>
        <w:jc w:val="both"/>
        <w:rPr>
          <w:rFonts w:ascii="FrankRuehl" w:hAnsi="FrankRuehl" w:cs="FrankRuehl"/>
          <w:sz w:val="24"/>
          <w:rtl/>
        </w:rPr>
      </w:pPr>
      <w:hyperlink r:id="rId8" w:history="1">
        <w:r w:rsidRPr="00B26D6E">
          <w:rPr>
            <w:rFonts w:ascii="FrankRuehl" w:hAnsi="FrankRuehl" w:cs="FrankRuehl"/>
            <w:color w:val="0000FF"/>
            <w:sz w:val="24"/>
            <w:u w:val="single"/>
            <w:rtl/>
          </w:rPr>
          <w:t>חוק למניעת הטרדה מינית, תשנ"ח-1998</w:t>
        </w:r>
      </w:hyperlink>
      <w:r w:rsidRPr="00B26D6E">
        <w:rPr>
          <w:rFonts w:ascii="FrankRuehl" w:hAnsi="FrankRuehl" w:cs="FrankRuehl"/>
          <w:sz w:val="24"/>
          <w:rtl/>
        </w:rPr>
        <w:t xml:space="preserve">: סע'  </w:t>
      </w:r>
      <w:hyperlink r:id="rId9" w:history="1">
        <w:r w:rsidRPr="00B26D6E">
          <w:rPr>
            <w:rFonts w:ascii="FrankRuehl" w:hAnsi="FrankRuehl" w:cs="FrankRuehl"/>
            <w:color w:val="0000FF"/>
            <w:sz w:val="24"/>
            <w:u w:val="single"/>
            <w:rtl/>
          </w:rPr>
          <w:t>(6)</w:t>
        </w:r>
      </w:hyperlink>
      <w:r w:rsidRPr="00B26D6E">
        <w:rPr>
          <w:rFonts w:ascii="FrankRuehl" w:hAnsi="FrankRuehl" w:cs="FrankRuehl"/>
          <w:sz w:val="24"/>
          <w:rtl/>
        </w:rPr>
        <w:t xml:space="preserve">, </w:t>
      </w:r>
      <w:hyperlink r:id="rId10" w:history="1">
        <w:r w:rsidRPr="00B26D6E">
          <w:rPr>
            <w:rFonts w:ascii="FrankRuehl" w:hAnsi="FrankRuehl" w:cs="FrankRuehl"/>
            <w:color w:val="0000FF"/>
            <w:sz w:val="24"/>
            <w:u w:val="single"/>
            <w:rtl/>
          </w:rPr>
          <w:t>3(א)(4)</w:t>
        </w:r>
      </w:hyperlink>
      <w:r w:rsidRPr="00B26D6E">
        <w:rPr>
          <w:rFonts w:ascii="FrankRuehl" w:hAnsi="FrankRuehl" w:cs="FrankRuehl"/>
          <w:sz w:val="24"/>
          <w:rtl/>
        </w:rPr>
        <w:t xml:space="preserve">, </w:t>
      </w:r>
      <w:hyperlink r:id="rId11" w:history="1">
        <w:r w:rsidRPr="00B26D6E">
          <w:rPr>
            <w:rFonts w:ascii="FrankRuehl" w:hAnsi="FrankRuehl" w:cs="FrankRuehl"/>
            <w:color w:val="0000FF"/>
            <w:sz w:val="24"/>
            <w:u w:val="single"/>
            <w:rtl/>
          </w:rPr>
          <w:t>3 (א)(5)</w:t>
        </w:r>
      </w:hyperlink>
      <w:r w:rsidRPr="00B26D6E">
        <w:rPr>
          <w:rFonts w:ascii="FrankRuehl" w:hAnsi="FrankRuehl" w:cs="FrankRuehl"/>
          <w:sz w:val="24"/>
          <w:rtl/>
        </w:rPr>
        <w:t xml:space="preserve">, </w:t>
      </w:r>
      <w:hyperlink r:id="rId12" w:history="1">
        <w:r w:rsidRPr="00B26D6E">
          <w:rPr>
            <w:rFonts w:ascii="FrankRuehl" w:hAnsi="FrankRuehl" w:cs="FrankRuehl"/>
            <w:color w:val="0000FF"/>
            <w:sz w:val="24"/>
            <w:u w:val="single"/>
            <w:rtl/>
          </w:rPr>
          <w:t>4</w:t>
        </w:r>
      </w:hyperlink>
      <w:r w:rsidRPr="00B26D6E">
        <w:rPr>
          <w:rFonts w:ascii="FrankRuehl" w:hAnsi="FrankRuehl" w:cs="FrankRuehl"/>
          <w:sz w:val="24"/>
          <w:rtl/>
        </w:rPr>
        <w:t xml:space="preserve">, </w:t>
      </w:r>
      <w:hyperlink r:id="rId13" w:history="1">
        <w:r w:rsidRPr="00B26D6E">
          <w:rPr>
            <w:rFonts w:ascii="FrankRuehl" w:hAnsi="FrankRuehl" w:cs="FrankRuehl"/>
            <w:color w:val="0000FF"/>
            <w:sz w:val="24"/>
            <w:u w:val="single"/>
            <w:rtl/>
          </w:rPr>
          <w:t>5 (א)</w:t>
        </w:r>
      </w:hyperlink>
    </w:p>
    <w:p w14:paraId="04B256E5" w14:textId="77777777" w:rsidR="00B26D6E" w:rsidRPr="00B26D6E" w:rsidRDefault="00B26D6E" w:rsidP="00B26D6E">
      <w:pPr>
        <w:spacing w:after="120" w:line="240" w:lineRule="exact"/>
        <w:ind w:left="283" w:hanging="283"/>
        <w:jc w:val="both"/>
        <w:rPr>
          <w:rFonts w:ascii="FrankRuehl" w:hAnsi="FrankRuehl" w:cs="FrankRuehl"/>
          <w:sz w:val="24"/>
          <w:rtl/>
        </w:rPr>
      </w:pPr>
    </w:p>
    <w:p w14:paraId="48BC479D" w14:textId="77777777" w:rsidR="00B26D6E" w:rsidRPr="00B26D6E" w:rsidRDefault="00B26D6E">
      <w:pPr>
        <w:rPr>
          <w:rtl/>
        </w:rPr>
      </w:pPr>
      <w:bookmarkStart w:id="8" w:name="LawTable_End"/>
      <w:bookmarkEnd w:id="8"/>
    </w:p>
    <w:p w14:paraId="7A142341" w14:textId="77777777" w:rsidR="00B26D6E" w:rsidRPr="00B26D6E" w:rsidRDefault="00B26D6E">
      <w:pPr>
        <w:rPr>
          <w:rtl/>
        </w:rPr>
      </w:pPr>
    </w:p>
    <w:p w14:paraId="719970EB" w14:textId="77777777" w:rsidR="00B26D6E" w:rsidRPr="00B26D6E" w:rsidRDefault="00B26D6E">
      <w:pPr>
        <w:rPr>
          <w:rtl/>
        </w:rPr>
      </w:pPr>
    </w:p>
    <w:p w14:paraId="268DCE66" w14:textId="77777777" w:rsidR="00B7319B" w:rsidRPr="00B26D6E" w:rsidRDefault="00B7319B">
      <w:pPr>
        <w:rPr>
          <w:rFonts w:hint="cs"/>
          <w:rtl/>
        </w:rPr>
      </w:pPr>
    </w:p>
    <w:p w14:paraId="2933EF9B" w14:textId="77777777" w:rsidR="00CB6FCA" w:rsidRPr="00CB6FCA" w:rsidRDefault="00CB6FCA">
      <w:pPr>
        <w:jc w:val="center"/>
        <w:rPr>
          <w:szCs w:val="28"/>
          <w:rtl/>
        </w:rPr>
      </w:pPr>
      <w:bookmarkStart w:id="9" w:name="סוג_מסמך"/>
      <w:bookmarkEnd w:id="0"/>
      <w:bookmarkEnd w:id="9"/>
    </w:p>
    <w:p w14:paraId="487BCAE6" w14:textId="77777777" w:rsidR="00CB6FCA" w:rsidRPr="00CB6FCA" w:rsidRDefault="00CB6FCA">
      <w:pPr>
        <w:jc w:val="center"/>
        <w:rPr>
          <w:b/>
          <w:bCs/>
          <w:szCs w:val="28"/>
          <w:rtl/>
        </w:rPr>
      </w:pPr>
    </w:p>
    <w:p w14:paraId="5023BF3B" w14:textId="77777777" w:rsidR="00B7319B" w:rsidRPr="00CB6FCA" w:rsidRDefault="00B7319B">
      <w:pPr>
        <w:jc w:val="center"/>
        <w:rPr>
          <w:b/>
          <w:bCs/>
          <w:szCs w:val="28"/>
          <w:rtl/>
        </w:rPr>
      </w:pPr>
    </w:p>
    <w:p w14:paraId="066C26EF" w14:textId="77777777" w:rsidR="00B7319B" w:rsidRDefault="00B7319B">
      <w:pPr>
        <w:jc w:val="center"/>
        <w:rPr>
          <w:b/>
          <w:bCs/>
          <w:szCs w:val="28"/>
          <w:u w:val="single"/>
          <w:rtl/>
        </w:rPr>
      </w:pPr>
      <w:bookmarkStart w:id="10" w:name="PsakDin"/>
      <w:bookmarkEnd w:id="1"/>
      <w:r>
        <w:rPr>
          <w:b/>
          <w:bCs/>
          <w:szCs w:val="28"/>
          <w:u w:val="single"/>
          <w:rtl/>
        </w:rPr>
        <w:t>הכרעת דין</w:t>
      </w:r>
    </w:p>
    <w:bookmarkEnd w:id="10"/>
    <w:p w14:paraId="7E1E52E5" w14:textId="77777777" w:rsidR="00B7319B" w:rsidRDefault="00B7319B">
      <w:pPr>
        <w:jc w:val="center"/>
        <w:rPr>
          <w:rFonts w:hint="cs"/>
          <w:b/>
          <w:bCs/>
          <w:szCs w:val="28"/>
          <w:u w:val="single"/>
          <w:rtl/>
        </w:rPr>
      </w:pPr>
    </w:p>
    <w:p w14:paraId="6C5F249C" w14:textId="77777777" w:rsidR="00B7319B" w:rsidRDefault="00B7319B">
      <w:pPr>
        <w:rPr>
          <w:rFonts w:hint="cs"/>
          <w:b/>
          <w:bCs/>
          <w:color w:val="000000"/>
          <w:rtl/>
        </w:rPr>
      </w:pPr>
      <w:bookmarkStart w:id="11" w:name="ABSTRACT_START"/>
      <w:bookmarkEnd w:id="11"/>
      <w:r>
        <w:rPr>
          <w:rFonts w:hint="cs"/>
          <w:b/>
          <w:bCs/>
          <w:color w:val="000000"/>
          <w:rtl/>
        </w:rPr>
        <w:t xml:space="preserve">נגד הנאשם הוגש כתב אישום המייחס לו עבירות של מעשה מגונה בפומבי עבירה לפי </w:t>
      </w:r>
      <w:hyperlink r:id="rId14" w:history="1">
        <w:r w:rsidR="00B26D6E" w:rsidRPr="00B26D6E">
          <w:rPr>
            <w:b/>
            <w:bCs/>
            <w:color w:val="0000FF"/>
            <w:u w:val="single"/>
            <w:rtl/>
          </w:rPr>
          <w:t>סעיף 349 (א)</w:t>
        </w:r>
      </w:hyperlink>
      <w:r>
        <w:rPr>
          <w:rFonts w:hint="cs"/>
          <w:b/>
          <w:bCs/>
          <w:color w:val="000000"/>
          <w:rtl/>
        </w:rPr>
        <w:t xml:space="preserve"> ל</w:t>
      </w:r>
      <w:hyperlink r:id="rId15" w:history="1">
        <w:r w:rsidR="00CB6FCA" w:rsidRPr="00CB6FCA">
          <w:rPr>
            <w:rStyle w:val="Hyperlink"/>
            <w:rFonts w:hint="eastAsia"/>
            <w:b/>
            <w:bCs/>
            <w:rtl/>
          </w:rPr>
          <w:t>חוק</w:t>
        </w:r>
        <w:r w:rsidR="00CB6FCA" w:rsidRPr="00CB6FCA">
          <w:rPr>
            <w:rStyle w:val="Hyperlink"/>
            <w:b/>
            <w:bCs/>
            <w:rtl/>
          </w:rPr>
          <w:t xml:space="preserve"> העונשין</w:t>
        </w:r>
      </w:hyperlink>
      <w:r>
        <w:rPr>
          <w:rFonts w:hint="cs"/>
          <w:b/>
          <w:bCs/>
          <w:color w:val="000000"/>
          <w:rtl/>
        </w:rPr>
        <w:t xml:space="preserve"> וכן שתי עבירות של הטרדה מינית</w:t>
      </w:r>
      <w:bookmarkStart w:id="12" w:name="ABSTRACT_END"/>
      <w:bookmarkEnd w:id="12"/>
      <w:r>
        <w:rPr>
          <w:rFonts w:hint="cs"/>
          <w:b/>
          <w:bCs/>
          <w:color w:val="000000"/>
          <w:rtl/>
        </w:rPr>
        <w:t xml:space="preserve">: האחת לפי סעיף </w:t>
      </w:r>
      <w:hyperlink r:id="rId16" w:history="1">
        <w:r w:rsidR="00B26D6E" w:rsidRPr="00B26D6E">
          <w:rPr>
            <w:b/>
            <w:bCs/>
            <w:color w:val="0000FF"/>
            <w:u w:val="single"/>
            <w:rtl/>
          </w:rPr>
          <w:t>4</w:t>
        </w:r>
      </w:hyperlink>
      <w:r>
        <w:rPr>
          <w:rFonts w:hint="cs"/>
          <w:b/>
          <w:bCs/>
          <w:color w:val="000000"/>
          <w:rtl/>
        </w:rPr>
        <w:t>+</w:t>
      </w:r>
      <w:hyperlink r:id="rId17" w:history="1">
        <w:r w:rsidR="00B26D6E" w:rsidRPr="00B26D6E">
          <w:rPr>
            <w:b/>
            <w:bCs/>
            <w:color w:val="0000FF"/>
            <w:u w:val="single"/>
            <w:rtl/>
          </w:rPr>
          <w:t>3 (א)(5)</w:t>
        </w:r>
      </w:hyperlink>
      <w:r>
        <w:rPr>
          <w:rFonts w:hint="cs"/>
          <w:b/>
          <w:bCs/>
          <w:color w:val="000000"/>
          <w:rtl/>
        </w:rPr>
        <w:t xml:space="preserve"> + </w:t>
      </w:r>
      <w:hyperlink r:id="rId18" w:history="1">
        <w:r w:rsidR="00B26D6E" w:rsidRPr="00B26D6E">
          <w:rPr>
            <w:rStyle w:val="Hyperlink"/>
            <w:b/>
            <w:bCs/>
            <w:rtl/>
          </w:rPr>
          <w:t>5 (א)</w:t>
        </w:r>
      </w:hyperlink>
      <w:r>
        <w:rPr>
          <w:rFonts w:hint="cs"/>
          <w:b/>
          <w:bCs/>
          <w:color w:val="000000"/>
          <w:rtl/>
        </w:rPr>
        <w:t xml:space="preserve"> ל</w:t>
      </w:r>
      <w:hyperlink r:id="rId19" w:history="1">
        <w:r w:rsidR="00CB6FCA" w:rsidRPr="00CB6FCA">
          <w:rPr>
            <w:rStyle w:val="Hyperlink"/>
            <w:rFonts w:hint="eastAsia"/>
            <w:b/>
            <w:bCs/>
            <w:rtl/>
          </w:rPr>
          <w:t>חוק</w:t>
        </w:r>
        <w:r w:rsidR="00CB6FCA" w:rsidRPr="00CB6FCA">
          <w:rPr>
            <w:rStyle w:val="Hyperlink"/>
            <w:b/>
            <w:bCs/>
            <w:rtl/>
          </w:rPr>
          <w:t xml:space="preserve"> למניעת הטרדה מינית</w:t>
        </w:r>
      </w:hyperlink>
      <w:r>
        <w:rPr>
          <w:rFonts w:hint="cs"/>
          <w:b/>
          <w:bCs/>
          <w:color w:val="000000"/>
          <w:rtl/>
        </w:rPr>
        <w:t xml:space="preserve"> תשנ"ח 1998 והשניה הטרדה מינית עבירה לפי סעיף </w:t>
      </w:r>
      <w:hyperlink r:id="rId20" w:history="1">
        <w:r w:rsidR="00B26D6E" w:rsidRPr="00B26D6E">
          <w:rPr>
            <w:b/>
            <w:bCs/>
            <w:color w:val="0000FF"/>
            <w:u w:val="single"/>
            <w:rtl/>
          </w:rPr>
          <w:t>4</w:t>
        </w:r>
      </w:hyperlink>
      <w:r>
        <w:rPr>
          <w:rFonts w:hint="cs"/>
          <w:b/>
          <w:bCs/>
          <w:color w:val="000000"/>
          <w:rtl/>
        </w:rPr>
        <w:t>+</w:t>
      </w:r>
      <w:hyperlink r:id="rId21" w:history="1">
        <w:r w:rsidR="00B26D6E" w:rsidRPr="00B26D6E">
          <w:rPr>
            <w:b/>
            <w:bCs/>
            <w:color w:val="0000FF"/>
            <w:u w:val="single"/>
            <w:rtl/>
          </w:rPr>
          <w:t>3(א)(4)</w:t>
        </w:r>
      </w:hyperlink>
      <w:r>
        <w:rPr>
          <w:rFonts w:hint="cs"/>
          <w:b/>
          <w:bCs/>
          <w:color w:val="000000"/>
          <w:rtl/>
        </w:rPr>
        <w:t xml:space="preserve"> + </w:t>
      </w:r>
    </w:p>
    <w:p w14:paraId="190C539C" w14:textId="77777777" w:rsidR="00B7319B" w:rsidRDefault="00B26D6E">
      <w:pPr>
        <w:rPr>
          <w:rFonts w:hint="cs"/>
          <w:b/>
          <w:bCs/>
          <w:color w:val="000000"/>
          <w:rtl/>
        </w:rPr>
      </w:pPr>
      <w:hyperlink r:id="rId22" w:history="1">
        <w:r w:rsidRPr="00B26D6E">
          <w:rPr>
            <w:b/>
            <w:bCs/>
            <w:color w:val="0000FF"/>
            <w:u w:val="single"/>
            <w:rtl/>
          </w:rPr>
          <w:t>(6)</w:t>
        </w:r>
      </w:hyperlink>
      <w:r w:rsidR="00B7319B">
        <w:rPr>
          <w:rFonts w:hint="cs"/>
          <w:b/>
          <w:bCs/>
          <w:color w:val="000000"/>
          <w:rtl/>
        </w:rPr>
        <w:t>+</w:t>
      </w:r>
      <w:hyperlink r:id="rId23" w:history="1">
        <w:r w:rsidRPr="00B26D6E">
          <w:rPr>
            <w:b/>
            <w:bCs/>
            <w:color w:val="0000FF"/>
            <w:u w:val="single"/>
            <w:rtl/>
          </w:rPr>
          <w:t>5 (א)</w:t>
        </w:r>
      </w:hyperlink>
      <w:r w:rsidR="00B7319B">
        <w:rPr>
          <w:rFonts w:hint="cs"/>
          <w:b/>
          <w:bCs/>
          <w:color w:val="000000"/>
          <w:rtl/>
        </w:rPr>
        <w:t xml:space="preserve"> ל</w:t>
      </w:r>
      <w:hyperlink r:id="rId24" w:history="1">
        <w:r w:rsidR="00CB6FCA" w:rsidRPr="00CB6FCA">
          <w:rPr>
            <w:rStyle w:val="Hyperlink"/>
            <w:rFonts w:hint="eastAsia"/>
            <w:b/>
            <w:bCs/>
            <w:rtl/>
          </w:rPr>
          <w:t>חוק</w:t>
        </w:r>
        <w:r w:rsidR="00CB6FCA" w:rsidRPr="00CB6FCA">
          <w:rPr>
            <w:rStyle w:val="Hyperlink"/>
            <w:b/>
            <w:bCs/>
            <w:rtl/>
          </w:rPr>
          <w:t xml:space="preserve"> למניעת הטרדה מינית</w:t>
        </w:r>
      </w:hyperlink>
      <w:r w:rsidR="00B7319B">
        <w:rPr>
          <w:rFonts w:hint="cs"/>
          <w:b/>
          <w:bCs/>
          <w:color w:val="000000"/>
          <w:rtl/>
        </w:rPr>
        <w:t xml:space="preserve"> תשנ"ח – 1998.</w:t>
      </w:r>
    </w:p>
    <w:p w14:paraId="08F0408C" w14:textId="77777777" w:rsidR="00B7319B" w:rsidRDefault="00B7319B">
      <w:pPr>
        <w:rPr>
          <w:rFonts w:hint="cs"/>
          <w:b/>
          <w:bCs/>
          <w:color w:val="000000"/>
          <w:rtl/>
        </w:rPr>
      </w:pPr>
    </w:p>
    <w:p w14:paraId="03E8E92B" w14:textId="77777777" w:rsidR="00B7319B" w:rsidRDefault="00B7319B">
      <w:pPr>
        <w:rPr>
          <w:rFonts w:hint="cs"/>
          <w:b/>
          <w:bCs/>
          <w:rtl/>
        </w:rPr>
      </w:pPr>
      <w:r>
        <w:rPr>
          <w:rFonts w:hint="cs"/>
          <w:b/>
          <w:bCs/>
          <w:rtl/>
        </w:rPr>
        <w:t xml:space="preserve">עפ"י עובדות כתב האישום, בתאריך 02.08.99 בשעה 19.30 או בסמוך לכך בנס ציונה במשרדו של הנאשם בקניותר עשה הנאשם מעשה מגונה בפני הקטינה מ.י ילידת 1982 שהינה מועסקת על ידי הנאשם (להלן: "המתלוננת") בכך שכיבה את האור במשרדו וכשהמתלוננת עמו הכניס ידיו למכנסיו ואונן כשהוא נאנח. לאחר מכן הוריד מכנסיו התיישב ושוב אונן, ולבסוף שם ידו על ידה של המתלוננת. </w:t>
      </w:r>
    </w:p>
    <w:p w14:paraId="1945D3D7" w14:textId="77777777" w:rsidR="00B7319B" w:rsidRDefault="00B7319B">
      <w:pPr>
        <w:rPr>
          <w:rFonts w:hint="cs"/>
          <w:b/>
          <w:bCs/>
          <w:rtl/>
        </w:rPr>
      </w:pPr>
      <w:r>
        <w:rPr>
          <w:rFonts w:hint="cs"/>
          <w:b/>
          <w:bCs/>
          <w:rtl/>
        </w:rPr>
        <w:t>באותן נסיבות הטריד הנאשם מינית את המתלוננת בכך שעשה את המתואר בסעיף 1 לעיל ואף אמר למתלוננת "תחשבי שהחבר שלך רוצה לגמור ואת מגרה אותו דרך הטלפון" ושאל את המתלוננת אם "היא יורדת לחבר שלה והחבר שלה יורד לה" והוסיף שאם המתלוננת לא רוצה לעשות לו ביד "שלפחות תעמוד כדי שיראה את גופה".</w:t>
      </w:r>
    </w:p>
    <w:p w14:paraId="26DCA1F2" w14:textId="77777777" w:rsidR="00B7319B" w:rsidRDefault="00B7319B">
      <w:pPr>
        <w:pStyle w:val="BodyText"/>
        <w:rPr>
          <w:b/>
          <w:bCs/>
          <w:rtl/>
        </w:rPr>
      </w:pPr>
      <w:r>
        <w:rPr>
          <w:rFonts w:hint="cs"/>
          <w:b/>
          <w:bCs/>
          <w:rtl/>
        </w:rPr>
        <w:t>במהלך חודש יולי 1999 בנס ציונה בקניותר בחנותו של הנאשם עשה הנאשם מעשה מגונה במתלוננת בכך שנשק לה על שפתיה והניח ידו על ישבנה.</w:t>
      </w:r>
    </w:p>
    <w:p w14:paraId="793D7549" w14:textId="77777777" w:rsidR="00B7319B" w:rsidRDefault="00B7319B">
      <w:pPr>
        <w:rPr>
          <w:b/>
          <w:bCs/>
          <w:rtl/>
        </w:rPr>
      </w:pPr>
    </w:p>
    <w:p w14:paraId="45C97073" w14:textId="77777777" w:rsidR="00B7319B" w:rsidRDefault="00B7319B">
      <w:pPr>
        <w:rPr>
          <w:rFonts w:hint="cs"/>
          <w:b/>
          <w:bCs/>
          <w:rtl/>
        </w:rPr>
      </w:pPr>
      <w:r>
        <w:rPr>
          <w:rFonts w:hint="cs"/>
          <w:b/>
          <w:bCs/>
          <w:rtl/>
        </w:rPr>
        <w:t xml:space="preserve">הנאשם כפר בעובדות כתב האישום. </w:t>
      </w:r>
    </w:p>
    <w:p w14:paraId="5BEBBA3A" w14:textId="77777777" w:rsidR="00B7319B" w:rsidRDefault="00B7319B">
      <w:pPr>
        <w:rPr>
          <w:rFonts w:hint="cs"/>
          <w:b/>
          <w:bCs/>
          <w:rtl/>
        </w:rPr>
      </w:pPr>
    </w:p>
    <w:p w14:paraId="7D5423B9" w14:textId="77777777" w:rsidR="00B7319B" w:rsidRDefault="00B7319B">
      <w:pPr>
        <w:rPr>
          <w:rFonts w:hint="cs"/>
          <w:b/>
          <w:bCs/>
          <w:rtl/>
        </w:rPr>
      </w:pPr>
      <w:r>
        <w:rPr>
          <w:rFonts w:hint="cs"/>
          <w:b/>
          <w:bCs/>
          <w:rtl/>
        </w:rPr>
        <w:t xml:space="preserve">המתלוננת שעבדה בחנותו של הנאשם סיפרה כי ביום האירוע 2.8.99 ירדה למשרד להביא לנאשם קולה וסיגריות עפ"י בקשתו. כשנכנסה סגר את הדלת בטענה שמיזוג האוויר לא יצא. הוא החל לשאול אותה על יחסיה האינטימיים עם החבר שלה. </w:t>
      </w:r>
    </w:p>
    <w:p w14:paraId="1FEB7C8D" w14:textId="77777777" w:rsidR="00B7319B" w:rsidRDefault="00B7319B">
      <w:pPr>
        <w:rPr>
          <w:rFonts w:hint="cs"/>
          <w:b/>
          <w:bCs/>
          <w:rtl/>
        </w:rPr>
      </w:pPr>
      <w:r>
        <w:rPr>
          <w:rFonts w:hint="cs"/>
          <w:b/>
          <w:bCs/>
          <w:rtl/>
        </w:rPr>
        <w:t>לדבריה הייתה נבוכה מהשאלות, נעצה עיניה ברצפה "ולא רוצה לראות מה קורה כי באותו רגע הוא הכניס את היד למכנסיים שלו... הוא אמר לי שהוא מקווה שאני לא נפגעת מזה וכל מיני שאלות שתוך כדי הוא נאנח ומנסה לגמור" (עמ' 10 שורות 28-26).</w:t>
      </w:r>
    </w:p>
    <w:p w14:paraId="2815E8F1" w14:textId="77777777" w:rsidR="00B7319B" w:rsidRDefault="00B7319B">
      <w:pPr>
        <w:rPr>
          <w:rFonts w:hint="cs"/>
          <w:b/>
          <w:bCs/>
          <w:rtl/>
        </w:rPr>
      </w:pPr>
      <w:r>
        <w:rPr>
          <w:rFonts w:hint="cs"/>
          <w:b/>
          <w:bCs/>
          <w:rtl/>
        </w:rPr>
        <w:t xml:space="preserve">וממשיכה המתלוננת ומספרת כי הנאשם אונן ואמר לה "שהוא רוצה שאני אגרה אותו... הוא אמר לי שהוא לא קיים יחסים עם החברה שלו שבועיים ושארחם עליו" (עמ' 11 שורות 3-2). </w:t>
      </w:r>
    </w:p>
    <w:p w14:paraId="6B963679" w14:textId="77777777" w:rsidR="00B7319B" w:rsidRDefault="00B7319B">
      <w:pPr>
        <w:rPr>
          <w:rFonts w:hint="cs"/>
          <w:b/>
          <w:bCs/>
          <w:rtl/>
        </w:rPr>
      </w:pPr>
    </w:p>
    <w:p w14:paraId="7CB4A063" w14:textId="77777777" w:rsidR="00B7319B" w:rsidRDefault="00B7319B">
      <w:pPr>
        <w:rPr>
          <w:rFonts w:hint="cs"/>
          <w:b/>
          <w:bCs/>
          <w:rtl/>
        </w:rPr>
      </w:pPr>
      <w:r>
        <w:rPr>
          <w:rFonts w:hint="cs"/>
          <w:b/>
          <w:bCs/>
          <w:rtl/>
        </w:rPr>
        <w:t xml:space="preserve">עוד סיפרה המתלוננת כי כאשר הכניס את היד למכנסיים ביקש שתגרה ואתו בכל מיני דרכים ואם היא מתביישת להכניס את היד למכנסיו, שלפחות תעמוד והוא יתגרה מזה (עמ' 11 שורות </w:t>
      </w:r>
    </w:p>
    <w:p w14:paraId="3879ED7A" w14:textId="77777777" w:rsidR="00B7319B" w:rsidRDefault="00B7319B">
      <w:pPr>
        <w:rPr>
          <w:rFonts w:hint="cs"/>
          <w:b/>
          <w:bCs/>
          <w:rtl/>
        </w:rPr>
      </w:pPr>
      <w:r>
        <w:rPr>
          <w:rFonts w:hint="cs"/>
          <w:b/>
          <w:bCs/>
          <w:rtl/>
        </w:rPr>
        <w:t xml:space="preserve">8-6). </w:t>
      </w:r>
    </w:p>
    <w:p w14:paraId="3898305F" w14:textId="77777777" w:rsidR="00B7319B" w:rsidRDefault="00B7319B">
      <w:pPr>
        <w:rPr>
          <w:rFonts w:hint="cs"/>
          <w:b/>
          <w:bCs/>
          <w:rtl/>
        </w:rPr>
      </w:pPr>
      <w:r>
        <w:rPr>
          <w:rFonts w:hint="cs"/>
          <w:b/>
          <w:bCs/>
          <w:rtl/>
        </w:rPr>
        <w:t xml:space="preserve">המתלוננת מספרת כי הייתה נבוכה והנאשם הביע צער אם פגע בה וביקש שהדבר יישאר ביניהם. היא עלתה לחנות לקחת את חפציה ועזבה. </w:t>
      </w:r>
    </w:p>
    <w:p w14:paraId="41847831" w14:textId="77777777" w:rsidR="00B7319B" w:rsidRDefault="00B7319B">
      <w:pPr>
        <w:rPr>
          <w:rFonts w:hint="cs"/>
          <w:b/>
          <w:bCs/>
          <w:rtl/>
        </w:rPr>
      </w:pPr>
    </w:p>
    <w:p w14:paraId="1203B4D0" w14:textId="77777777" w:rsidR="00B7319B" w:rsidRDefault="00B7319B">
      <w:pPr>
        <w:rPr>
          <w:rFonts w:hint="cs"/>
          <w:b/>
          <w:bCs/>
          <w:rtl/>
        </w:rPr>
      </w:pPr>
      <w:r>
        <w:rPr>
          <w:rFonts w:hint="cs"/>
          <w:b/>
          <w:bCs/>
          <w:rtl/>
        </w:rPr>
        <w:t xml:space="preserve">עוד סיפרה המתלוננת כי הנאשם ניסה במשך החודש קודם לארוע להתחיל איתה וכשהייתה עוברת הוא היה שולח את ידו לישבנה. </w:t>
      </w:r>
    </w:p>
    <w:p w14:paraId="333C4E34" w14:textId="77777777" w:rsidR="00B7319B" w:rsidRDefault="00B7319B">
      <w:pPr>
        <w:rPr>
          <w:rFonts w:hint="cs"/>
          <w:b/>
          <w:bCs/>
          <w:rtl/>
        </w:rPr>
      </w:pPr>
    </w:p>
    <w:p w14:paraId="2B90F509" w14:textId="77777777" w:rsidR="00B7319B" w:rsidRDefault="00B7319B">
      <w:pPr>
        <w:rPr>
          <w:rFonts w:hint="cs"/>
          <w:b/>
          <w:bCs/>
          <w:rtl/>
        </w:rPr>
      </w:pPr>
      <w:r>
        <w:rPr>
          <w:rFonts w:hint="cs"/>
          <w:b/>
          <w:bCs/>
          <w:rtl/>
        </w:rPr>
        <w:lastRenderedPageBreak/>
        <w:t xml:space="preserve">בחקירתה הנגדית ביקש הסנגור להצביע על אי דיוקים של המתלוננת בעדותה לעומת ההודעה במשטרה, אך המתלוננת הסבירה את הדברים. </w:t>
      </w:r>
    </w:p>
    <w:p w14:paraId="7315336E" w14:textId="77777777" w:rsidR="00B7319B" w:rsidRDefault="00B7319B">
      <w:pPr>
        <w:rPr>
          <w:rFonts w:hint="cs"/>
          <w:b/>
          <w:bCs/>
          <w:rtl/>
        </w:rPr>
      </w:pPr>
      <w:r>
        <w:rPr>
          <w:rFonts w:hint="cs"/>
          <w:b/>
          <w:bCs/>
          <w:rtl/>
        </w:rPr>
        <w:t xml:space="preserve">לדבריה "בפעם הראשונה זה היה בישיבה אבל המכנסיים לא היו למטה ואז הוא קם והפשיט את מכנסיו לגמרי" (עמ' 15 שורות 12-11). בהמשך כשנשאלה אם יכלה לראותו מפשיל את מכנסיו מאחורי השולחן בחושך ענתה "כן הוא עמד, הפשיל את המכנסיים וישב" (עמ' 17 שורה 20). </w:t>
      </w:r>
    </w:p>
    <w:p w14:paraId="0F630903" w14:textId="77777777" w:rsidR="00B7319B" w:rsidRDefault="00B7319B">
      <w:pPr>
        <w:rPr>
          <w:rFonts w:hint="cs"/>
          <w:b/>
          <w:bCs/>
          <w:rtl/>
        </w:rPr>
      </w:pPr>
    </w:p>
    <w:p w14:paraId="655D69EA" w14:textId="77777777" w:rsidR="00B7319B" w:rsidRDefault="00B7319B">
      <w:pPr>
        <w:rPr>
          <w:rFonts w:hint="cs"/>
          <w:b/>
          <w:bCs/>
          <w:rtl/>
        </w:rPr>
      </w:pPr>
      <w:r>
        <w:rPr>
          <w:rFonts w:hint="cs"/>
          <w:b/>
          <w:bCs/>
          <w:rtl/>
        </w:rPr>
        <w:t xml:space="preserve">על האירוע סיפרה המתלוננת לחבר שלה (שהוא היום בעלה) עוד באותו יום. הוא האיץ בה ללכת למשטרה אך היא התביישה, ופנתה למשטרה כעבור 3 ימים בלחץ אמה. </w:t>
      </w:r>
    </w:p>
    <w:p w14:paraId="4BB52E31" w14:textId="77777777" w:rsidR="00B7319B" w:rsidRDefault="00B7319B">
      <w:pPr>
        <w:rPr>
          <w:rFonts w:hint="cs"/>
          <w:b/>
          <w:bCs/>
          <w:rtl/>
        </w:rPr>
      </w:pPr>
    </w:p>
    <w:p w14:paraId="00B9F522" w14:textId="77777777" w:rsidR="00B7319B" w:rsidRDefault="00B7319B">
      <w:pPr>
        <w:rPr>
          <w:rFonts w:hint="cs"/>
          <w:b/>
          <w:bCs/>
          <w:rtl/>
        </w:rPr>
      </w:pPr>
      <w:r>
        <w:rPr>
          <w:rFonts w:hint="cs"/>
          <w:b/>
          <w:bCs/>
          <w:rtl/>
        </w:rPr>
        <w:t xml:space="preserve">המתלוננת הצליחה להעביר את התחושה הקשה וההלם שחשה לנוכח מעשי הנאשם "באותו רגע הייתי קפואה הרגלים שלי רעדו הייתי בוכיה" (עמ' 18 שורה 3). דברים אלה ציינה המתלוננת משנשאלה מדוע לא קמה ויצאה, אך מצאה לנכון להוסיף שאם הדבר היה קורה לה היום הייתה צועקת עליו ומחטיפה לו יוצאת משם ועושה לו שם סקנדל ומפרסמת בקניון... והולכת למשטרה ומביאה את המשטרה לשם" (עמ' 18 שורות 2-1). הזעם והעלבון ניכרו בדבריה של המתלוננת.  </w:t>
      </w:r>
    </w:p>
    <w:p w14:paraId="78FDB8F8" w14:textId="77777777" w:rsidR="00B7319B" w:rsidRDefault="00B7319B">
      <w:pPr>
        <w:rPr>
          <w:rFonts w:hint="cs"/>
          <w:b/>
          <w:bCs/>
          <w:rtl/>
        </w:rPr>
      </w:pPr>
    </w:p>
    <w:p w14:paraId="38ADF4F6" w14:textId="77777777" w:rsidR="00B7319B" w:rsidRDefault="00B7319B">
      <w:pPr>
        <w:rPr>
          <w:rFonts w:hint="cs"/>
          <w:b/>
          <w:bCs/>
          <w:rtl/>
        </w:rPr>
      </w:pPr>
      <w:r>
        <w:rPr>
          <w:rFonts w:hint="cs"/>
          <w:b/>
          <w:bCs/>
          <w:rtl/>
        </w:rPr>
        <w:t xml:space="preserve">בחקירה הנגדית העלה הסניגור את שאלות הנשיקות שנישק הנאשם את המתלוננת באירועים קודמים. </w:t>
      </w:r>
    </w:p>
    <w:p w14:paraId="049B51EB" w14:textId="77777777" w:rsidR="00B7319B" w:rsidRDefault="00B7319B">
      <w:pPr>
        <w:rPr>
          <w:rFonts w:hint="cs"/>
          <w:b/>
          <w:bCs/>
          <w:rtl/>
        </w:rPr>
      </w:pPr>
      <w:r>
        <w:rPr>
          <w:rFonts w:hint="cs"/>
          <w:b/>
          <w:bCs/>
          <w:rtl/>
        </w:rPr>
        <w:t xml:space="preserve">בחקירתה הראשית לא סיפרה המתלוננת על נשיקות, אך משעורר זאת הסניגור נשאלה על כך בחקירה חוזרת ואז סיפרה כי נישק אותה על השפתיים "היה מנשק אותי כאילו שהוא אומר לי שלום אבל זו הייתה נשיקה מוגזמת. יותר מדי הוא היה מנסה אבל כל הזמן הייתי הולכת ממנו ובורחת" (עמ' 21 שורות 17-16). </w:t>
      </w:r>
    </w:p>
    <w:p w14:paraId="55A261F6" w14:textId="77777777" w:rsidR="00B7319B" w:rsidRDefault="00B7319B">
      <w:pPr>
        <w:rPr>
          <w:rFonts w:hint="cs"/>
          <w:b/>
          <w:bCs/>
          <w:rtl/>
        </w:rPr>
      </w:pPr>
    </w:p>
    <w:p w14:paraId="5195000B" w14:textId="77777777" w:rsidR="00B7319B" w:rsidRDefault="00B7319B">
      <w:pPr>
        <w:rPr>
          <w:rFonts w:hint="cs"/>
          <w:b/>
          <w:bCs/>
          <w:rtl/>
        </w:rPr>
      </w:pPr>
      <w:r>
        <w:rPr>
          <w:rFonts w:hint="cs"/>
          <w:b/>
          <w:bCs/>
          <w:rtl/>
        </w:rPr>
        <w:t xml:space="preserve">לגירסת הנאשם ביקש אותו יום מהעובד אלירן "שיגיד למורן שתוריד לי כוס קפה למטה" (עמ' 28 שורה 10). לדבריו בחקירתו הראשית שהתה מורן, המתלוננת, במחסן כ- 20 דקות, הוא לא פגע בה ואינו יודע מדוע העלילה זאת עליו. </w:t>
      </w:r>
    </w:p>
    <w:p w14:paraId="5C2F927E" w14:textId="77777777" w:rsidR="00B7319B" w:rsidRDefault="00B7319B">
      <w:pPr>
        <w:rPr>
          <w:rFonts w:hint="cs"/>
          <w:b/>
          <w:bCs/>
          <w:rtl/>
        </w:rPr>
      </w:pPr>
      <w:r>
        <w:rPr>
          <w:rFonts w:hint="cs"/>
          <w:b/>
          <w:bCs/>
          <w:rtl/>
        </w:rPr>
        <w:t xml:space="preserve">לציין כי ע.ה/1 אלירן שעובד עד היום אצל הנאשם ציין, שהנאשם ביקש ממנו לשלוח "עובדת פנויה למטה עם קפה" (מע' 23 שורה 17). נראה שהעד ביקש להגן על הנאשם ולהשאיר את הרושם כאילו הנאשם לא ביקש במיוחד את מורן-המתלוננת שתרד אליו. </w:t>
      </w:r>
    </w:p>
    <w:p w14:paraId="2813C637" w14:textId="77777777" w:rsidR="00B7319B" w:rsidRDefault="00B7319B">
      <w:pPr>
        <w:rPr>
          <w:rFonts w:hint="cs"/>
          <w:b/>
          <w:bCs/>
          <w:rtl/>
        </w:rPr>
      </w:pPr>
    </w:p>
    <w:p w14:paraId="19A7E8AD" w14:textId="77777777" w:rsidR="00B7319B" w:rsidRDefault="00B7319B">
      <w:pPr>
        <w:rPr>
          <w:rFonts w:hint="cs"/>
          <w:b/>
          <w:bCs/>
          <w:rtl/>
        </w:rPr>
      </w:pPr>
      <w:r>
        <w:rPr>
          <w:rFonts w:hint="cs"/>
          <w:b/>
          <w:bCs/>
          <w:rtl/>
        </w:rPr>
        <w:t xml:space="preserve">משום מה הסניגור שאל את המתלוננת שאלות רבות בקשר למצב התאורה במחסן וניסה לקעקע עדותה. אך גם הנאשם בחקירתו הנגדית סיפר כי הוא כיבה את האור במחסן. דהיינו אם אין חלון במחסן, מטבע הדברים שהאור דלוק, וכאשר הודה שכיבה את האור בשל המזגן, הרי הוא תומך בטענות המתלוננת. אך מאוחר יותר חזר בו משהודה שאת הדלתות שמופיעות בצילומים ניתן לסגור בלי לנעול ענה שאינו יכול לענות על השאלה אם כיבה את האור, ובכלל אינו יודע אם עשה זאת (עמ' 30 שורה 8). </w:t>
      </w:r>
    </w:p>
    <w:p w14:paraId="5995ED44" w14:textId="77777777" w:rsidR="00B7319B" w:rsidRDefault="00B7319B">
      <w:pPr>
        <w:rPr>
          <w:rFonts w:hint="cs"/>
          <w:b/>
          <w:bCs/>
          <w:rtl/>
        </w:rPr>
      </w:pPr>
    </w:p>
    <w:p w14:paraId="67BC4149" w14:textId="77777777" w:rsidR="00B7319B" w:rsidRDefault="00B7319B">
      <w:pPr>
        <w:rPr>
          <w:rFonts w:hint="cs"/>
          <w:b/>
          <w:bCs/>
          <w:rtl/>
        </w:rPr>
      </w:pPr>
      <w:r>
        <w:rPr>
          <w:rFonts w:hint="cs"/>
          <w:b/>
          <w:bCs/>
          <w:rtl/>
        </w:rPr>
        <w:t xml:space="preserve">כשעומת עם דבריו במשטרה שכיבה את האור בשביל האווירה ענה: "לא יודע מה היה שם" (עמ' 30 שורה 10). </w:t>
      </w:r>
    </w:p>
    <w:p w14:paraId="3C2189D3" w14:textId="77777777" w:rsidR="00B7319B" w:rsidRDefault="00B7319B">
      <w:pPr>
        <w:rPr>
          <w:rFonts w:hint="cs"/>
          <w:b/>
          <w:bCs/>
          <w:rtl/>
        </w:rPr>
      </w:pPr>
      <w:r>
        <w:rPr>
          <w:rFonts w:hint="cs"/>
          <w:b/>
          <w:bCs/>
          <w:rtl/>
        </w:rPr>
        <w:t>את הסיבה לעלילה שהעלילה עליו המתלוננת לטענתו תלה בכך שלא רצה לתת לה 10,000 ₪ משהסתבכה בהריון מחברה.</w:t>
      </w:r>
    </w:p>
    <w:p w14:paraId="6DB14A9A" w14:textId="77777777" w:rsidR="00B7319B" w:rsidRDefault="00B7319B">
      <w:pPr>
        <w:rPr>
          <w:rFonts w:hint="cs"/>
          <w:b/>
          <w:bCs/>
          <w:rtl/>
        </w:rPr>
      </w:pPr>
      <w:r>
        <w:rPr>
          <w:rFonts w:hint="cs"/>
          <w:b/>
          <w:bCs/>
          <w:rtl/>
        </w:rPr>
        <w:t xml:space="preserve">טענה זו כלל לא העלה בהודעתו במשטרה. </w:t>
      </w:r>
    </w:p>
    <w:p w14:paraId="4587E5D0" w14:textId="77777777" w:rsidR="00B7319B" w:rsidRDefault="00B7319B">
      <w:pPr>
        <w:rPr>
          <w:rFonts w:hint="cs"/>
          <w:b/>
          <w:bCs/>
          <w:rtl/>
        </w:rPr>
      </w:pPr>
    </w:p>
    <w:p w14:paraId="09883DC0" w14:textId="77777777" w:rsidR="00B7319B" w:rsidRDefault="00B7319B">
      <w:pPr>
        <w:rPr>
          <w:rFonts w:hint="cs"/>
          <w:b/>
          <w:bCs/>
          <w:rtl/>
        </w:rPr>
      </w:pPr>
      <w:r>
        <w:rPr>
          <w:rFonts w:hint="cs"/>
          <w:b/>
          <w:bCs/>
          <w:rtl/>
        </w:rPr>
        <w:t xml:space="preserve">נראה כי הנאשם לא ידע איך לצאת מהמצב שהכניס את עצמו ובמהלך הזמן המציא את גירסת הסחיטה. </w:t>
      </w:r>
    </w:p>
    <w:p w14:paraId="4AB5926A" w14:textId="77777777" w:rsidR="00B7319B" w:rsidRDefault="00B7319B">
      <w:pPr>
        <w:rPr>
          <w:rFonts w:hint="cs"/>
          <w:b/>
          <w:bCs/>
          <w:rtl/>
        </w:rPr>
      </w:pPr>
    </w:p>
    <w:p w14:paraId="32BED808" w14:textId="77777777" w:rsidR="00B7319B" w:rsidRDefault="00B7319B">
      <w:pPr>
        <w:rPr>
          <w:rFonts w:hint="cs"/>
          <w:b/>
          <w:bCs/>
          <w:rtl/>
        </w:rPr>
      </w:pPr>
      <w:r>
        <w:rPr>
          <w:rFonts w:hint="cs"/>
          <w:b/>
          <w:bCs/>
          <w:rtl/>
        </w:rPr>
        <w:t xml:space="preserve">עדותו של הנאשם הייתה מלאת סתירות והתפתלויות כמו בעמ' 32 לפרוטוקול, שם ציין כי המתלוננת לא הייתה צריכה כסף למרות שמספר דקות קודם ציין את נושא הסחיטה. </w:t>
      </w:r>
    </w:p>
    <w:p w14:paraId="5E72777B" w14:textId="77777777" w:rsidR="00B7319B" w:rsidRDefault="00B7319B">
      <w:pPr>
        <w:rPr>
          <w:rFonts w:hint="cs"/>
          <w:b/>
          <w:bCs/>
          <w:rtl/>
        </w:rPr>
      </w:pPr>
    </w:p>
    <w:p w14:paraId="685E9BF2" w14:textId="77777777" w:rsidR="00B7319B" w:rsidRDefault="00B7319B">
      <w:pPr>
        <w:rPr>
          <w:rFonts w:hint="cs"/>
          <w:b/>
          <w:bCs/>
          <w:rtl/>
        </w:rPr>
      </w:pPr>
      <w:r>
        <w:rPr>
          <w:rFonts w:hint="cs"/>
          <w:b/>
          <w:bCs/>
          <w:rtl/>
        </w:rPr>
        <w:t xml:space="preserve">עוד ציין בעדותו שלא דיבר במחסן על סקס ומין שעה שבהודעתו אומר שכן דיבר. ומיד אח"כ הודה ששאל אותה מה מגרה את החבר שלה ועל יחסיה האינטימיים אתו. </w:t>
      </w:r>
    </w:p>
    <w:p w14:paraId="10919332" w14:textId="77777777" w:rsidR="00B7319B" w:rsidRDefault="00B7319B">
      <w:pPr>
        <w:rPr>
          <w:rFonts w:hint="cs"/>
          <w:b/>
          <w:bCs/>
          <w:rtl/>
        </w:rPr>
      </w:pPr>
    </w:p>
    <w:p w14:paraId="3BC89771" w14:textId="77777777" w:rsidR="00B7319B" w:rsidRDefault="00B7319B">
      <w:pPr>
        <w:rPr>
          <w:rFonts w:hint="cs"/>
          <w:b/>
          <w:bCs/>
          <w:rtl/>
        </w:rPr>
      </w:pPr>
      <w:r>
        <w:rPr>
          <w:rFonts w:hint="cs"/>
          <w:b/>
          <w:bCs/>
          <w:rtl/>
        </w:rPr>
        <w:t>לעומת התפתלויותיו של הנאשם הייתה עדות המתלוננת עדות של נערה צעירה שהשתדלה למסור עדות מדויקת של חוויה מזעזעת שעברה.</w:t>
      </w:r>
    </w:p>
    <w:p w14:paraId="19669F52" w14:textId="77777777" w:rsidR="00B7319B" w:rsidRDefault="00B7319B">
      <w:pPr>
        <w:rPr>
          <w:rFonts w:hint="cs"/>
          <w:b/>
          <w:bCs/>
          <w:rtl/>
        </w:rPr>
      </w:pPr>
      <w:r>
        <w:rPr>
          <w:rFonts w:hint="cs"/>
          <w:b/>
          <w:bCs/>
          <w:rtl/>
        </w:rPr>
        <w:t xml:space="preserve">שקריו של הנאשם מהווים חיזוק לעדויות התביעה, שממילא היתה מהימנה עלי.  </w:t>
      </w:r>
    </w:p>
    <w:p w14:paraId="10FADB64" w14:textId="77777777" w:rsidR="00B7319B" w:rsidRDefault="00B7319B">
      <w:pPr>
        <w:rPr>
          <w:rFonts w:hint="cs"/>
          <w:b/>
          <w:bCs/>
          <w:rtl/>
        </w:rPr>
      </w:pPr>
    </w:p>
    <w:p w14:paraId="02BF5390" w14:textId="77777777" w:rsidR="00B7319B" w:rsidRDefault="00B7319B">
      <w:pPr>
        <w:rPr>
          <w:rFonts w:hint="cs"/>
          <w:b/>
          <w:bCs/>
          <w:rtl/>
        </w:rPr>
      </w:pPr>
      <w:r>
        <w:rPr>
          <w:rFonts w:hint="cs"/>
          <w:b/>
          <w:bCs/>
          <w:rtl/>
        </w:rPr>
        <w:t xml:space="preserve">לנוכח כל האמור לעיל, משהאמנתי לגירסת המתלוננת, לא נותר לי אלא להרשיע את הנאשם בעבירות המיוחסות לו בכתב האישום. </w:t>
      </w:r>
    </w:p>
    <w:p w14:paraId="00F572B0" w14:textId="77777777" w:rsidR="00B7319B" w:rsidRDefault="00B7319B">
      <w:pPr>
        <w:rPr>
          <w:rFonts w:hint="cs"/>
          <w:b/>
          <w:bCs/>
          <w:rtl/>
        </w:rPr>
      </w:pPr>
    </w:p>
    <w:p w14:paraId="633D8655" w14:textId="77777777" w:rsidR="00B7319B" w:rsidRDefault="00B7319B">
      <w:pPr>
        <w:rPr>
          <w:rFonts w:hint="cs"/>
          <w:b/>
          <w:bCs/>
          <w:color w:val="000000"/>
          <w:rtl/>
        </w:rPr>
      </w:pPr>
      <w:r>
        <w:rPr>
          <w:rFonts w:hint="cs"/>
          <w:b/>
          <w:bCs/>
          <w:color w:val="000000"/>
          <w:rtl/>
        </w:rPr>
        <w:t>ניתנה היום ז' באדר, תשס"ב (19 בפברואר 2002) בנוכחות: ב"כ התביעה עו"ד בן דוד יריב, הנאשם בעצמו וב"כ עו"ד שני.</w:t>
      </w:r>
    </w:p>
    <w:p w14:paraId="4A5744C9" w14:textId="77777777" w:rsidR="00B7319B" w:rsidRDefault="00B7319B">
      <w:pPr>
        <w:rPr>
          <w:rFonts w:hint="cs"/>
          <w:b/>
          <w:bCs/>
          <w:color w:val="000000"/>
          <w:rtl/>
        </w:rPr>
      </w:pPr>
      <w:r>
        <w:rPr>
          <w:rFonts w:hint="cs"/>
          <w:b/>
          <w:bCs/>
          <w:color w:val="000000"/>
          <w:rtl/>
        </w:rPr>
        <w:t>מותר לפרסום מיום 19/02/2002</w:t>
      </w:r>
    </w:p>
    <w:p w14:paraId="10F6BEEB" w14:textId="77777777" w:rsidR="00B7319B" w:rsidRDefault="00B7319B">
      <w:pPr>
        <w:rPr>
          <w:rFonts w:hint="cs"/>
          <w:b/>
          <w:bCs/>
          <w:color w:val="000080"/>
          <w:rtl/>
        </w:rPr>
      </w:pPr>
    </w:p>
    <w:p w14:paraId="6507066D" w14:textId="77777777" w:rsidR="00B7319B" w:rsidRDefault="00B7319B">
      <w:pPr>
        <w:jc w:val="right"/>
        <w:rPr>
          <w:rFonts w:hint="cs"/>
          <w:b/>
          <w:bCs/>
          <w:sz w:val="24"/>
          <w:rtl/>
        </w:rPr>
      </w:pPr>
      <w:r>
        <w:rPr>
          <w:rFonts w:hint="cs"/>
          <w:b/>
          <w:bCs/>
          <w:sz w:val="24"/>
          <w:rtl/>
        </w:rPr>
        <w:t>______________</w:t>
      </w:r>
    </w:p>
    <w:p w14:paraId="598E6142" w14:textId="77777777" w:rsidR="00B7319B" w:rsidRDefault="00B7319B">
      <w:pPr>
        <w:jc w:val="center"/>
        <w:rPr>
          <w:rFonts w:hint="cs"/>
          <w:b/>
          <w:bCs/>
          <w:sz w:val="24"/>
          <w:rtl/>
        </w:rPr>
      </w:pPr>
      <w:r>
        <w:rPr>
          <w:rFonts w:hint="cs"/>
          <w:b/>
          <w:bCs/>
          <w:sz w:val="24"/>
          <w:rtl/>
        </w:rPr>
        <w:t xml:space="preserve">       </w:t>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t xml:space="preserve">  אילנה גת, שופטת</w:t>
      </w:r>
    </w:p>
    <w:p w14:paraId="4635FCC3" w14:textId="77777777" w:rsidR="00B7319B" w:rsidRDefault="00B7319B">
      <w:pPr>
        <w:rPr>
          <w:b/>
          <w:bCs/>
          <w:u w:val="single"/>
          <w:rtl/>
        </w:rPr>
      </w:pPr>
      <w:r>
        <w:rPr>
          <w:rFonts w:hint="cs"/>
          <w:b/>
          <w:bCs/>
          <w:u w:val="single"/>
          <w:rtl/>
        </w:rPr>
        <w:t>התובע:</w:t>
      </w:r>
    </w:p>
    <w:p w14:paraId="202EB23D" w14:textId="77777777" w:rsidR="00B7319B" w:rsidRDefault="00B7319B">
      <w:pPr>
        <w:rPr>
          <w:rFonts w:hint="cs"/>
          <w:rtl/>
        </w:rPr>
      </w:pPr>
      <w:r>
        <w:rPr>
          <w:rFonts w:hint="cs"/>
          <w:rtl/>
        </w:rPr>
        <w:t xml:space="preserve">מדובר ביליד 66 ללא עבר פלילי. הורשע זה עתה בעבירה אשר מיוחסת לו בכתב האישום. </w:t>
      </w:r>
    </w:p>
    <w:p w14:paraId="3A788921" w14:textId="77777777" w:rsidR="00B7319B" w:rsidRDefault="00B7319B">
      <w:pPr>
        <w:rPr>
          <w:rFonts w:hint="cs"/>
          <w:rtl/>
        </w:rPr>
      </w:pPr>
      <w:r>
        <w:rPr>
          <w:rFonts w:hint="cs"/>
          <w:rtl/>
        </w:rPr>
        <w:t>לאור כך שזו הרשעתו הראשונה אני מסכים שהנאשם ילך לתסקיר שירות מבחן.</w:t>
      </w:r>
    </w:p>
    <w:p w14:paraId="3D318EF4" w14:textId="77777777" w:rsidR="00B7319B" w:rsidRDefault="00B7319B">
      <w:pPr>
        <w:rPr>
          <w:rFonts w:hint="cs"/>
          <w:rtl/>
        </w:rPr>
      </w:pPr>
    </w:p>
    <w:p w14:paraId="314609EC" w14:textId="77777777" w:rsidR="00B7319B" w:rsidRDefault="00B7319B">
      <w:pPr>
        <w:rPr>
          <w:rFonts w:hint="cs"/>
          <w:b/>
          <w:bCs/>
          <w:u w:val="single"/>
          <w:rtl/>
        </w:rPr>
      </w:pPr>
      <w:r>
        <w:rPr>
          <w:rFonts w:hint="cs"/>
          <w:b/>
          <w:bCs/>
          <w:u w:val="single"/>
          <w:rtl/>
        </w:rPr>
        <w:t>הסנגור:</w:t>
      </w:r>
    </w:p>
    <w:p w14:paraId="66F7700F" w14:textId="77777777" w:rsidR="00B7319B" w:rsidRDefault="00B7319B">
      <w:pPr>
        <w:rPr>
          <w:rFonts w:hint="cs"/>
          <w:rtl/>
        </w:rPr>
      </w:pPr>
      <w:r>
        <w:rPr>
          <w:rFonts w:hint="cs"/>
          <w:rtl/>
        </w:rPr>
        <w:t>מסכים שהנאשם ילך לתסקיר שירות מבחן.</w:t>
      </w:r>
    </w:p>
    <w:p w14:paraId="3D92DAAC" w14:textId="77777777" w:rsidR="00B7319B" w:rsidRDefault="00B7319B">
      <w:pPr>
        <w:jc w:val="center"/>
        <w:rPr>
          <w:rFonts w:hint="cs"/>
          <w:b/>
          <w:bCs/>
          <w:szCs w:val="28"/>
          <w:u w:val="single"/>
          <w:rtl/>
        </w:rPr>
      </w:pPr>
      <w:bookmarkStart w:id="13" w:name="Decision1"/>
    </w:p>
    <w:p w14:paraId="45DBCF8D" w14:textId="77777777" w:rsidR="00B7319B" w:rsidRDefault="00B7319B">
      <w:pPr>
        <w:jc w:val="center"/>
        <w:rPr>
          <w:rFonts w:hint="cs"/>
          <w:b/>
          <w:bCs/>
          <w:szCs w:val="28"/>
          <w:u w:val="single"/>
          <w:rtl/>
        </w:rPr>
      </w:pPr>
    </w:p>
    <w:p w14:paraId="1CB6309D" w14:textId="77777777" w:rsidR="00B7319B" w:rsidRDefault="00B7319B">
      <w:pPr>
        <w:jc w:val="center"/>
        <w:rPr>
          <w:rFonts w:hint="cs"/>
          <w:b/>
          <w:bCs/>
          <w:szCs w:val="28"/>
          <w:u w:val="single"/>
          <w:rtl/>
        </w:rPr>
      </w:pPr>
    </w:p>
    <w:p w14:paraId="1473A917" w14:textId="77777777" w:rsidR="00B7319B" w:rsidRDefault="00B7319B">
      <w:pPr>
        <w:jc w:val="center"/>
        <w:rPr>
          <w:rFonts w:hint="cs"/>
          <w:b/>
          <w:bCs/>
          <w:szCs w:val="28"/>
          <w:u w:val="single"/>
          <w:rtl/>
        </w:rPr>
      </w:pPr>
      <w:r>
        <w:rPr>
          <w:rFonts w:hint="cs"/>
          <w:b/>
          <w:bCs/>
          <w:szCs w:val="28"/>
          <w:u w:val="single"/>
          <w:rtl/>
        </w:rPr>
        <w:t>החלטה</w:t>
      </w:r>
    </w:p>
    <w:p w14:paraId="342A97B8" w14:textId="77777777" w:rsidR="00B7319B" w:rsidRDefault="00B7319B">
      <w:pPr>
        <w:rPr>
          <w:rFonts w:hint="cs"/>
          <w:b/>
          <w:bCs/>
          <w:sz w:val="24"/>
          <w:rtl/>
        </w:rPr>
      </w:pPr>
    </w:p>
    <w:p w14:paraId="610B48CE" w14:textId="77777777" w:rsidR="00B7319B" w:rsidRDefault="00B7319B">
      <w:pPr>
        <w:rPr>
          <w:rFonts w:hint="cs"/>
          <w:b/>
          <w:bCs/>
          <w:sz w:val="24"/>
          <w:rtl/>
        </w:rPr>
      </w:pPr>
      <w:r>
        <w:rPr>
          <w:rFonts w:hint="cs"/>
          <w:b/>
          <w:bCs/>
          <w:sz w:val="24"/>
          <w:rtl/>
        </w:rPr>
        <w:t>המשך הטעון לעונש נדחה לאחר קבלת תסקיר שירות מבחן ליום 14.5.2002 שעה 8:30.</w:t>
      </w:r>
    </w:p>
    <w:p w14:paraId="08F4F44F" w14:textId="77777777" w:rsidR="00B7319B" w:rsidRDefault="00B7319B">
      <w:pPr>
        <w:rPr>
          <w:rFonts w:hint="cs"/>
          <w:b/>
          <w:bCs/>
          <w:sz w:val="24"/>
          <w:rtl/>
        </w:rPr>
      </w:pPr>
    </w:p>
    <w:p w14:paraId="384D3CA3" w14:textId="77777777" w:rsidR="00B7319B" w:rsidRDefault="00B7319B">
      <w:pPr>
        <w:rPr>
          <w:rFonts w:hint="cs"/>
          <w:b/>
          <w:bCs/>
          <w:color w:val="FFFFFF"/>
          <w:sz w:val="2"/>
          <w:szCs w:val="2"/>
          <w:rtl/>
        </w:rPr>
      </w:pPr>
    </w:p>
    <w:p w14:paraId="061C0D10" w14:textId="77777777" w:rsidR="00B7319B" w:rsidRDefault="00B7319B">
      <w:pPr>
        <w:rPr>
          <w:b/>
          <w:bCs/>
          <w:color w:val="FFFFFF"/>
          <w:sz w:val="2"/>
          <w:szCs w:val="2"/>
          <w:rtl/>
        </w:rPr>
      </w:pPr>
      <w:r>
        <w:rPr>
          <w:b/>
          <w:bCs/>
          <w:color w:val="FFFFFF"/>
          <w:sz w:val="2"/>
          <w:szCs w:val="2"/>
          <w:rtl/>
        </w:rPr>
        <w:t>5129371</w:t>
      </w:r>
    </w:p>
    <w:p w14:paraId="7D2DDC1A" w14:textId="77777777" w:rsidR="00B7319B" w:rsidRDefault="00B7319B">
      <w:pPr>
        <w:rPr>
          <w:rFonts w:hint="cs"/>
          <w:b/>
          <w:bCs/>
          <w:sz w:val="24"/>
          <w:rtl/>
        </w:rPr>
      </w:pPr>
      <w:r>
        <w:rPr>
          <w:b/>
          <w:bCs/>
          <w:color w:val="FFFFFF"/>
          <w:sz w:val="2"/>
          <w:szCs w:val="2"/>
          <w:rtl/>
        </w:rPr>
        <w:t>54678313</w:t>
      </w:r>
      <w:r>
        <w:rPr>
          <w:rFonts w:hint="cs"/>
          <w:b/>
          <w:bCs/>
          <w:sz w:val="24"/>
          <w:rtl/>
        </w:rPr>
        <w:t>תשומת לב שירות המבחן לכתובת הנאשם ברח' כצנלסון 42 בנס ציונה. טלפון : 355537 – 051.</w:t>
      </w:r>
    </w:p>
    <w:p w14:paraId="6361C19C" w14:textId="77777777" w:rsidR="00B7319B" w:rsidRDefault="00B7319B">
      <w:pPr>
        <w:rPr>
          <w:rFonts w:hint="cs"/>
          <w:b/>
          <w:bCs/>
          <w:sz w:val="24"/>
          <w:rtl/>
        </w:rPr>
      </w:pPr>
    </w:p>
    <w:p w14:paraId="384D7ABA" w14:textId="77777777" w:rsidR="00B7319B" w:rsidRDefault="00B7319B">
      <w:pPr>
        <w:rPr>
          <w:rFonts w:hint="cs"/>
          <w:b/>
          <w:bCs/>
          <w:sz w:val="24"/>
          <w:rtl/>
        </w:rPr>
      </w:pPr>
      <w:r>
        <w:rPr>
          <w:rFonts w:hint="cs"/>
          <w:b/>
          <w:bCs/>
          <w:sz w:val="24"/>
          <w:rtl/>
        </w:rPr>
        <w:t xml:space="preserve">ניתנה היום ז' באדר, תשס"ב (19 </w:t>
      </w:r>
      <w:r>
        <w:rPr>
          <w:b/>
          <w:bCs/>
          <w:sz w:val="24"/>
          <w:rtl/>
        </w:rPr>
        <w:t xml:space="preserve"> בפברואר </w:t>
      </w:r>
      <w:r>
        <w:rPr>
          <w:rFonts w:hint="cs"/>
          <w:b/>
          <w:bCs/>
          <w:sz w:val="24"/>
          <w:rtl/>
        </w:rPr>
        <w:t>2002) במעמד הצדדים.</w:t>
      </w:r>
    </w:p>
    <w:p w14:paraId="0F6A117B" w14:textId="77777777" w:rsidR="00B7319B" w:rsidRDefault="00B7319B">
      <w:pPr>
        <w:jc w:val="right"/>
        <w:rPr>
          <w:rFonts w:hint="cs"/>
          <w:color w:val="FFFFFF"/>
          <w:sz w:val="2"/>
          <w:szCs w:val="2"/>
          <w:rtl/>
        </w:rPr>
      </w:pPr>
    </w:p>
    <w:p w14:paraId="732D6257" w14:textId="77777777" w:rsidR="00B7319B" w:rsidRDefault="00B7319B">
      <w:pPr>
        <w:jc w:val="right"/>
        <w:rPr>
          <w:color w:val="FFFFFF"/>
          <w:sz w:val="2"/>
          <w:szCs w:val="2"/>
          <w:rtl/>
        </w:rPr>
      </w:pPr>
      <w:r>
        <w:rPr>
          <w:color w:val="FFFFFF"/>
          <w:sz w:val="2"/>
          <w:szCs w:val="2"/>
          <w:rtl/>
        </w:rPr>
        <w:t>5129371</w:t>
      </w:r>
    </w:p>
    <w:p w14:paraId="2F228876" w14:textId="77777777" w:rsidR="00B7319B" w:rsidRDefault="00B7319B">
      <w:pPr>
        <w:jc w:val="right"/>
        <w:rPr>
          <w:rFonts w:hint="cs"/>
          <w:b/>
          <w:bCs/>
          <w:sz w:val="24"/>
          <w:rtl/>
        </w:rPr>
      </w:pPr>
      <w:r>
        <w:rPr>
          <w:color w:val="FFFFFF"/>
          <w:sz w:val="2"/>
          <w:szCs w:val="2"/>
          <w:rtl/>
        </w:rPr>
        <w:t>54678313</w:t>
      </w:r>
      <w:r>
        <w:rPr>
          <w:rFonts w:hint="cs"/>
          <w:rtl/>
        </w:rPr>
        <w:t xml:space="preserve">                                                                                </w:t>
      </w:r>
      <w:r>
        <w:rPr>
          <w:rFonts w:hint="cs"/>
          <w:b/>
          <w:bCs/>
          <w:sz w:val="24"/>
          <w:rtl/>
        </w:rPr>
        <w:t>______________</w:t>
      </w:r>
    </w:p>
    <w:p w14:paraId="5AD9DD39" w14:textId="77777777" w:rsidR="00B7319B" w:rsidRDefault="00B7319B">
      <w:pPr>
        <w:keepNext/>
        <w:rPr>
          <w:rFonts w:hAnsi="David" w:hint="cs"/>
          <w:color w:val="000000"/>
          <w:sz w:val="22"/>
          <w:szCs w:val="22"/>
          <w:rtl/>
        </w:rPr>
      </w:pPr>
    </w:p>
    <w:p w14:paraId="7308C30C" w14:textId="77777777" w:rsidR="00B7319B" w:rsidRDefault="00B7319B">
      <w:pPr>
        <w:keepNext/>
        <w:rPr>
          <w:rFonts w:hAnsi="David" w:hint="cs"/>
          <w:color w:val="000000"/>
          <w:sz w:val="22"/>
          <w:szCs w:val="22"/>
          <w:rtl/>
        </w:rPr>
      </w:pPr>
    </w:p>
    <w:p w14:paraId="322FA06A" w14:textId="77777777" w:rsidR="00B7319B" w:rsidRDefault="00B7319B">
      <w:pPr>
        <w:keepNext/>
        <w:rPr>
          <w:rFonts w:hAnsi="David"/>
          <w:color w:val="000000"/>
          <w:sz w:val="22"/>
          <w:szCs w:val="22"/>
          <w:rtl/>
        </w:rPr>
      </w:pPr>
      <w:r>
        <w:rPr>
          <w:rFonts w:hAnsi="David"/>
          <w:color w:val="000000"/>
          <w:sz w:val="22"/>
          <w:szCs w:val="22"/>
          <w:rtl/>
        </w:rPr>
        <w:t>אילנה גת 54678313-2233/00</w:t>
      </w:r>
    </w:p>
    <w:p w14:paraId="6829E27D" w14:textId="77777777" w:rsidR="00B7319B" w:rsidRDefault="00B7319B">
      <w:pPr>
        <w:jc w:val="center"/>
        <w:rPr>
          <w:rFonts w:hint="cs"/>
          <w:b/>
          <w:bCs/>
          <w:sz w:val="24"/>
          <w:rtl/>
        </w:rPr>
      </w:pPr>
      <w:r>
        <w:rPr>
          <w:rFonts w:hint="cs"/>
          <w:b/>
          <w:bCs/>
          <w:sz w:val="24"/>
          <w:rtl/>
        </w:rPr>
        <w:t xml:space="preserve">       </w:t>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t xml:space="preserve">  אילנה גת, שופטת</w:t>
      </w:r>
    </w:p>
    <w:p w14:paraId="29E2C967" w14:textId="77777777" w:rsidR="00B7319B" w:rsidRDefault="00B7319B">
      <w:pPr>
        <w:rPr>
          <w:rtl/>
        </w:rPr>
      </w:pPr>
    </w:p>
    <w:p w14:paraId="7C552EC9" w14:textId="77777777" w:rsidR="00B7319B" w:rsidRDefault="00B7319B">
      <w:pPr>
        <w:rPr>
          <w:rFonts w:hint="cs"/>
          <w:b/>
          <w:bCs/>
          <w:sz w:val="24"/>
          <w:rtl/>
        </w:rPr>
      </w:pPr>
    </w:p>
    <w:bookmarkEnd w:id="13"/>
    <w:p w14:paraId="6AF0C1F7" w14:textId="77777777" w:rsidR="00B7319B" w:rsidRDefault="00B7319B">
      <w:pPr>
        <w:rPr>
          <w:rFonts w:hint="cs"/>
          <w:color w:val="000000"/>
          <w:rtl/>
        </w:rPr>
      </w:pPr>
      <w:r>
        <w:rPr>
          <w:rFonts w:hint="cs"/>
          <w:rtl/>
        </w:rPr>
        <w:t xml:space="preserve">002233/00פ  133 אירית/אביבה פינטו  </w:t>
      </w:r>
    </w:p>
    <w:p w14:paraId="314DFEC4" w14:textId="77777777" w:rsidR="00B7319B" w:rsidRDefault="00B7319B">
      <w:pPr>
        <w:rPr>
          <w:rtl/>
        </w:rPr>
      </w:pPr>
      <w:r>
        <w:rPr>
          <w:color w:val="000000"/>
          <w:rtl/>
        </w:rPr>
        <w:t>נוסח מסמך זה כפוף לשינויי ניסוח ועריכה</w:t>
      </w:r>
    </w:p>
    <w:sectPr w:rsidR="00B7319B">
      <w:headerReference w:type="even" r:id="rId25"/>
      <w:headerReference w:type="default" r:id="rId26"/>
      <w:footerReference w:type="even" r:id="rId27"/>
      <w:footerReference w:type="default" r:id="rId28"/>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BA04D" w14:textId="77777777" w:rsidR="00B16284" w:rsidRDefault="00B16284">
      <w:r>
        <w:separator/>
      </w:r>
    </w:p>
  </w:endnote>
  <w:endnote w:type="continuationSeparator" w:id="0">
    <w:p w14:paraId="072B743A" w14:textId="77777777" w:rsidR="00B16284" w:rsidRDefault="00B16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D77AA" w14:textId="77777777" w:rsidR="00290557" w:rsidRDefault="0029055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7B747604" w14:textId="77777777" w:rsidR="00290557" w:rsidRDefault="0029055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E07FAC" w14:textId="77777777" w:rsidR="00290557" w:rsidRDefault="0029055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E:\nevo\03=2002-Feb-Final-200-orly\s00002233-371.doc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89D2" w14:textId="77777777" w:rsidR="00290557" w:rsidRDefault="0029055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A73AC8">
      <w:rPr>
        <w:rFonts w:hAnsi="FrankRuehl" w:cs="FrankRuehl"/>
        <w:noProof/>
        <w:sz w:val="24"/>
        <w:rtl/>
      </w:rPr>
      <w:t>1</w:t>
    </w:r>
    <w:r>
      <w:rPr>
        <w:rFonts w:hAnsi="FrankRuehl" w:cs="FrankRuehl"/>
        <w:sz w:val="24"/>
        <w:rtl/>
      </w:rPr>
      <w:fldChar w:fldCharType="end"/>
    </w:r>
  </w:p>
  <w:p w14:paraId="25F52B5C" w14:textId="77777777" w:rsidR="00290557" w:rsidRDefault="0029055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98D3BBE" w14:textId="77777777" w:rsidR="00290557" w:rsidRDefault="0029055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E:\nevo\03=2002-Feb-Final-200-orly\s00002233-371.doc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37D8C" w14:textId="77777777" w:rsidR="00B16284" w:rsidRDefault="00B16284">
      <w:r>
        <w:separator/>
      </w:r>
    </w:p>
  </w:footnote>
  <w:footnote w:type="continuationSeparator" w:id="0">
    <w:p w14:paraId="3DC325B3" w14:textId="77777777" w:rsidR="00B16284" w:rsidRDefault="00B16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88991" w14:textId="77777777" w:rsidR="00290557" w:rsidRDefault="0029055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2233/00</w:t>
    </w:r>
    <w:r>
      <w:rPr>
        <w:rFonts w:hAnsi="David"/>
        <w:color w:val="000000"/>
        <w:sz w:val="22"/>
        <w:szCs w:val="22"/>
        <w:rtl/>
      </w:rPr>
      <w:tab/>
      <w:t xml:space="preserve"> מדינת ישראל נ' הלל שמואל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9893" w14:textId="77777777" w:rsidR="00290557" w:rsidRDefault="0029055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2233/00</w:t>
    </w:r>
    <w:r>
      <w:rPr>
        <w:rFonts w:hAnsi="David"/>
        <w:color w:val="000000"/>
        <w:sz w:val="22"/>
        <w:szCs w:val="22"/>
        <w:rtl/>
      </w:rPr>
      <w:tab/>
      <w:t xml:space="preserve"> מדינת ישראל נ' הלל שמואל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B7319B"/>
    <w:rsid w:val="00290557"/>
    <w:rsid w:val="00610C65"/>
    <w:rsid w:val="00A73AC8"/>
    <w:rsid w:val="00B16284"/>
    <w:rsid w:val="00B26D6E"/>
    <w:rsid w:val="00B7319B"/>
    <w:rsid w:val="00CB6FCA"/>
    <w:rsid w:val="00F074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872B4B"/>
  <w15:chartTrackingRefBased/>
  <w15:docId w15:val="{DBF66478-2102-46E0-B40F-2E2C3211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4"/>
      <w:lang w:eastAsia="he-IL"/>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style>
  <w:style w:type="paragraph" w:styleId="Footer">
    <w:name w:val="footer"/>
    <w:basedOn w:val="Normal"/>
    <w:pPr>
      <w:tabs>
        <w:tab w:val="center" w:pos="4153"/>
        <w:tab w:val="right" w:pos="8306"/>
      </w:tabs>
      <w:snapToGrid w:val="0"/>
      <w:jc w:val="both"/>
    </w:pPr>
    <w:rPr>
      <w:sz w:val="22"/>
    </w:rPr>
  </w:style>
  <w:style w:type="paragraph" w:styleId="BodyText">
    <w:name w:val="Body Text"/>
    <w:basedOn w:val="Normal"/>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CB6F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2507" TargetMode="External"/><Relationship Id="rId13" Type="http://schemas.openxmlformats.org/officeDocument/2006/relationships/hyperlink" Target="http://www.nevo.co.il/law/72507/5.a" TargetMode="External"/><Relationship Id="rId18" Type="http://schemas.openxmlformats.org/officeDocument/2006/relationships/hyperlink" Target="http://www.nevo.co.il/law/72507/5.a"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72507/3.a.4" TargetMode="External"/><Relationship Id="rId7" Type="http://schemas.openxmlformats.org/officeDocument/2006/relationships/hyperlink" Target="http://www.nevo.co.il/law/70301/349.a" TargetMode="External"/><Relationship Id="rId12" Type="http://schemas.openxmlformats.org/officeDocument/2006/relationships/hyperlink" Target="http://www.nevo.co.il/law/72507/4" TargetMode="External"/><Relationship Id="rId17" Type="http://schemas.openxmlformats.org/officeDocument/2006/relationships/hyperlink" Target="http://www.nevo.co.il/law/72507/3.a.5"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2507/4" TargetMode="External"/><Relationship Id="rId20" Type="http://schemas.openxmlformats.org/officeDocument/2006/relationships/hyperlink" Target="http://www.nevo.co.il/law/72507/4"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2507/3.a.5" TargetMode="External"/><Relationship Id="rId24" Type="http://schemas.openxmlformats.org/officeDocument/2006/relationships/hyperlink" Target="http://www.nevo.co.il/law/72507"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2507/5.a" TargetMode="External"/><Relationship Id="rId28" Type="http://schemas.openxmlformats.org/officeDocument/2006/relationships/footer" Target="footer2.xml"/><Relationship Id="rId10" Type="http://schemas.openxmlformats.org/officeDocument/2006/relationships/hyperlink" Target="http://www.nevo.co.il/law/72507/3.a.4" TargetMode="External"/><Relationship Id="rId19" Type="http://schemas.openxmlformats.org/officeDocument/2006/relationships/hyperlink" Target="http://www.nevo.co.il/law/72507" TargetMode="External"/><Relationship Id="rId4" Type="http://schemas.openxmlformats.org/officeDocument/2006/relationships/footnotes" Target="footnotes.xml"/><Relationship Id="rId9" Type="http://schemas.openxmlformats.org/officeDocument/2006/relationships/hyperlink" Target="http://www.nevo.co.il/law/72507/3.6" TargetMode="External"/><Relationship Id="rId14" Type="http://schemas.openxmlformats.org/officeDocument/2006/relationships/hyperlink" Target="http://www.nevo.co.il/law/70301/349.a" TargetMode="External"/><Relationship Id="rId22" Type="http://schemas.openxmlformats.org/officeDocument/2006/relationships/hyperlink" Target="http://www.nevo.co.il/law/72507/3.6"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1099</Words>
  <Characters>6267</Characters>
  <Application>Microsoft Office Word</Application>
  <DocSecurity>0</DocSecurity>
  <Lines>52</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7352</CharactersWithSpaces>
  <SharedDoc>false</SharedDoc>
  <HLinks>
    <vt:vector size="114" baseType="variant">
      <vt:variant>
        <vt:i4>7864418</vt:i4>
      </vt:variant>
      <vt:variant>
        <vt:i4>54</vt:i4>
      </vt:variant>
      <vt:variant>
        <vt:i4>0</vt:i4>
      </vt:variant>
      <vt:variant>
        <vt:i4>5</vt:i4>
      </vt:variant>
      <vt:variant>
        <vt:lpwstr>http://www.nevo.co.il/law/72507</vt:lpwstr>
      </vt:variant>
      <vt:variant>
        <vt:lpwstr/>
      </vt:variant>
      <vt:variant>
        <vt:i4>7929952</vt:i4>
      </vt:variant>
      <vt:variant>
        <vt:i4>51</vt:i4>
      </vt:variant>
      <vt:variant>
        <vt:i4>0</vt:i4>
      </vt:variant>
      <vt:variant>
        <vt:i4>5</vt:i4>
      </vt:variant>
      <vt:variant>
        <vt:lpwstr>http://www.nevo.co.il/law/72507/5.a</vt:lpwstr>
      </vt:variant>
      <vt:variant>
        <vt:lpwstr/>
      </vt:variant>
      <vt:variant>
        <vt:i4>7929958</vt:i4>
      </vt:variant>
      <vt:variant>
        <vt:i4>48</vt:i4>
      </vt:variant>
      <vt:variant>
        <vt:i4>0</vt:i4>
      </vt:variant>
      <vt:variant>
        <vt:i4>5</vt:i4>
      </vt:variant>
      <vt:variant>
        <vt:lpwstr>http://www.nevo.co.il/law/72507/3.6</vt:lpwstr>
      </vt:variant>
      <vt:variant>
        <vt:lpwstr/>
      </vt:variant>
      <vt:variant>
        <vt:i4>5701639</vt:i4>
      </vt:variant>
      <vt:variant>
        <vt:i4>45</vt:i4>
      </vt:variant>
      <vt:variant>
        <vt:i4>0</vt:i4>
      </vt:variant>
      <vt:variant>
        <vt:i4>5</vt:i4>
      </vt:variant>
      <vt:variant>
        <vt:lpwstr>http://www.nevo.co.il/law/72507/3.a.4</vt:lpwstr>
      </vt:variant>
      <vt:variant>
        <vt:lpwstr/>
      </vt:variant>
      <vt:variant>
        <vt:i4>5701717</vt:i4>
      </vt:variant>
      <vt:variant>
        <vt:i4>42</vt:i4>
      </vt:variant>
      <vt:variant>
        <vt:i4>0</vt:i4>
      </vt:variant>
      <vt:variant>
        <vt:i4>5</vt:i4>
      </vt:variant>
      <vt:variant>
        <vt:lpwstr>http://www.nevo.co.il/law/72507/4</vt:lpwstr>
      </vt:variant>
      <vt:variant>
        <vt:lpwstr/>
      </vt:variant>
      <vt:variant>
        <vt:i4>7864418</vt:i4>
      </vt:variant>
      <vt:variant>
        <vt:i4>39</vt:i4>
      </vt:variant>
      <vt:variant>
        <vt:i4>0</vt:i4>
      </vt:variant>
      <vt:variant>
        <vt:i4>5</vt:i4>
      </vt:variant>
      <vt:variant>
        <vt:lpwstr>http://www.nevo.co.il/law/72507</vt:lpwstr>
      </vt:variant>
      <vt:variant>
        <vt:lpwstr/>
      </vt:variant>
      <vt:variant>
        <vt:i4>7929952</vt:i4>
      </vt:variant>
      <vt:variant>
        <vt:i4>36</vt:i4>
      </vt:variant>
      <vt:variant>
        <vt:i4>0</vt:i4>
      </vt:variant>
      <vt:variant>
        <vt:i4>5</vt:i4>
      </vt:variant>
      <vt:variant>
        <vt:lpwstr>http://www.nevo.co.il/law/72507/5.a</vt:lpwstr>
      </vt:variant>
      <vt:variant>
        <vt:lpwstr/>
      </vt:variant>
      <vt:variant>
        <vt:i4>5701639</vt:i4>
      </vt:variant>
      <vt:variant>
        <vt:i4>33</vt:i4>
      </vt:variant>
      <vt:variant>
        <vt:i4>0</vt:i4>
      </vt:variant>
      <vt:variant>
        <vt:i4>5</vt:i4>
      </vt:variant>
      <vt:variant>
        <vt:lpwstr>http://www.nevo.co.il/law/72507/3.a.5</vt:lpwstr>
      </vt:variant>
      <vt:variant>
        <vt:lpwstr/>
      </vt:variant>
      <vt:variant>
        <vt:i4>5701717</vt:i4>
      </vt:variant>
      <vt:variant>
        <vt:i4>30</vt:i4>
      </vt:variant>
      <vt:variant>
        <vt:i4>0</vt:i4>
      </vt:variant>
      <vt:variant>
        <vt:i4>5</vt:i4>
      </vt:variant>
      <vt:variant>
        <vt:lpwstr>http://www.nevo.co.il/law/72507/4</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5177439</vt:i4>
      </vt:variant>
      <vt:variant>
        <vt:i4>24</vt:i4>
      </vt:variant>
      <vt:variant>
        <vt:i4>0</vt:i4>
      </vt:variant>
      <vt:variant>
        <vt:i4>5</vt:i4>
      </vt:variant>
      <vt:variant>
        <vt:lpwstr>http://www.nevo.co.il/law/70301/349.a</vt:lpwstr>
      </vt:variant>
      <vt:variant>
        <vt:lpwstr/>
      </vt:variant>
      <vt:variant>
        <vt:i4>7929952</vt:i4>
      </vt:variant>
      <vt:variant>
        <vt:i4>21</vt:i4>
      </vt:variant>
      <vt:variant>
        <vt:i4>0</vt:i4>
      </vt:variant>
      <vt:variant>
        <vt:i4>5</vt:i4>
      </vt:variant>
      <vt:variant>
        <vt:lpwstr>http://www.nevo.co.il/law/72507/5.a</vt:lpwstr>
      </vt:variant>
      <vt:variant>
        <vt:lpwstr/>
      </vt:variant>
      <vt:variant>
        <vt:i4>5701717</vt:i4>
      </vt:variant>
      <vt:variant>
        <vt:i4>18</vt:i4>
      </vt:variant>
      <vt:variant>
        <vt:i4>0</vt:i4>
      </vt:variant>
      <vt:variant>
        <vt:i4>5</vt:i4>
      </vt:variant>
      <vt:variant>
        <vt:lpwstr>http://www.nevo.co.il/law/72507/4</vt:lpwstr>
      </vt:variant>
      <vt:variant>
        <vt:lpwstr/>
      </vt:variant>
      <vt:variant>
        <vt:i4>5701639</vt:i4>
      </vt:variant>
      <vt:variant>
        <vt:i4>15</vt:i4>
      </vt:variant>
      <vt:variant>
        <vt:i4>0</vt:i4>
      </vt:variant>
      <vt:variant>
        <vt:i4>5</vt:i4>
      </vt:variant>
      <vt:variant>
        <vt:lpwstr>http://www.nevo.co.il/law/72507/3.a.5</vt:lpwstr>
      </vt:variant>
      <vt:variant>
        <vt:lpwstr/>
      </vt:variant>
      <vt:variant>
        <vt:i4>5701639</vt:i4>
      </vt:variant>
      <vt:variant>
        <vt:i4>12</vt:i4>
      </vt:variant>
      <vt:variant>
        <vt:i4>0</vt:i4>
      </vt:variant>
      <vt:variant>
        <vt:i4>5</vt:i4>
      </vt:variant>
      <vt:variant>
        <vt:lpwstr>http://www.nevo.co.il/law/72507/3.a.4</vt:lpwstr>
      </vt:variant>
      <vt:variant>
        <vt:lpwstr/>
      </vt:variant>
      <vt:variant>
        <vt:i4>7929958</vt:i4>
      </vt:variant>
      <vt:variant>
        <vt:i4>9</vt:i4>
      </vt:variant>
      <vt:variant>
        <vt:i4>0</vt:i4>
      </vt:variant>
      <vt:variant>
        <vt:i4>5</vt:i4>
      </vt:variant>
      <vt:variant>
        <vt:lpwstr>http://www.nevo.co.il/law/72507/3.6</vt:lpwstr>
      </vt:variant>
      <vt:variant>
        <vt:lpwstr/>
      </vt:variant>
      <vt:variant>
        <vt:i4>7864418</vt:i4>
      </vt:variant>
      <vt:variant>
        <vt:i4>6</vt:i4>
      </vt:variant>
      <vt:variant>
        <vt:i4>0</vt:i4>
      </vt:variant>
      <vt:variant>
        <vt:i4>5</vt:i4>
      </vt:variant>
      <vt:variant>
        <vt:lpwstr>http://www.nevo.co.il/law/72507</vt:lpwstr>
      </vt:variant>
      <vt:variant>
        <vt:lpwstr/>
      </vt:variant>
      <vt:variant>
        <vt:i4>5177439</vt:i4>
      </vt:variant>
      <vt:variant>
        <vt:i4>3</vt:i4>
      </vt:variant>
      <vt:variant>
        <vt:i4>0</vt:i4>
      </vt:variant>
      <vt:variant>
        <vt:i4>5</vt:i4>
      </vt:variant>
      <vt:variant>
        <vt:lpwstr>http://www.nevo.co.il/law/70301/349.a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2022-05-24T10:08:00Z</dcterms:created>
  <dcterms:modified xsi:type="dcterms:W3CDTF">2022-05-24T10:08:00Z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2233</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הלל שמואל</vt:lpwstr>
  </property>
  <property fmtid="{D5CDD505-2E9C-101B-9397-08002B2CF9AE}" pid="9" name="LAWYER">
    <vt:lpwstr>בן דוד יריב;שני</vt:lpwstr>
  </property>
  <property fmtid="{D5CDD505-2E9C-101B-9397-08002B2CF9AE}" pid="10" name="JUDGE">
    <vt:lpwstr>אילנה גת</vt:lpwstr>
  </property>
  <property fmtid="{D5CDD505-2E9C-101B-9397-08002B2CF9AE}" pid="11" name="CITY">
    <vt:lpwstr>רח'</vt:lpwstr>
  </property>
  <property fmtid="{D5CDD505-2E9C-101B-9397-08002B2CF9AE}" pid="12" name="DATE">
    <vt:lpwstr>20020219</vt:lpwstr>
  </property>
  <property fmtid="{D5CDD505-2E9C-101B-9397-08002B2CF9AE}" pid="13" name="WORDNUMPAGES">
    <vt:lpwstr>5</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NOTES1">
    <vt:lpwstr>ProcID=213&amp;PartA=28&amp;PartC=26</vt:lpwstr>
  </property>
  <property fmtid="{D5CDD505-2E9C-101B-9397-08002B2CF9AE}" pid="32" name="CASENOTES2">
    <vt:lpwstr>ProcID=213&amp;PartA=12&amp;PartC=11</vt:lpwstr>
  </property>
  <property fmtid="{D5CDD505-2E9C-101B-9397-08002B2CF9AE}" pid="33" name="CASENOTES3">
    <vt:lpwstr>ProcID=213&amp;PartA=17&amp;PartC=16</vt:lpwstr>
  </property>
  <property fmtid="{D5CDD505-2E9C-101B-9397-08002B2CF9AE}" pid="34" name="LAWLISTTMP1">
    <vt:lpwstr>70301/349.a</vt:lpwstr>
  </property>
  <property fmtid="{D5CDD505-2E9C-101B-9397-08002B2CF9AE}" pid="35" name="LAWLISTTMP2">
    <vt:lpwstr>72507/004:2;003.a.5;005.a:2;003.a.4;003.6</vt:lpwstr>
  </property>
</Properties>
</file>