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B2E7A" w14:textId="77777777" w:rsidR="009235D1" w:rsidRDefault="009235D1">
      <w:pPr>
        <w:spacing w:line="240" w:lineRule="auto"/>
        <w:jc w:val="center"/>
        <w:rPr>
          <w:rFonts w:hint="cs"/>
          <w:rtl/>
        </w:rPr>
      </w:pPr>
    </w:p>
    <w:p w14:paraId="4CB2E45F" w14:textId="77777777" w:rsidR="009235D1" w:rsidRDefault="009235D1">
      <w:pPr>
        <w:spacing w:line="240" w:lineRule="auto"/>
        <w:jc w:val="center"/>
        <w:rPr>
          <w:rFonts w:hint="cs"/>
          <w:rtl/>
        </w:rPr>
      </w:pPr>
      <w:r>
        <w:t xml:space="preserve">    </w:t>
      </w:r>
    </w:p>
    <w:p w14:paraId="05EFF9A4" w14:textId="77777777" w:rsidR="009235D1" w:rsidRDefault="009235D1">
      <w:pPr>
        <w:spacing w:line="240" w:lineRule="auto"/>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678"/>
        <w:gridCol w:w="850"/>
        <w:gridCol w:w="2235"/>
      </w:tblGrid>
      <w:tr w:rsidR="00B231FF" w14:paraId="63F108B8" w14:textId="77777777" w:rsidTr="00B231FF">
        <w:trPr>
          <w:cantSplit/>
          <w:trHeight w:val="195"/>
        </w:trPr>
        <w:tc>
          <w:tcPr>
            <w:tcW w:w="5444" w:type="dxa"/>
            <w:gridSpan w:val="2"/>
            <w:vMerge w:val="restart"/>
            <w:tcBorders>
              <w:top w:val="single" w:sz="4" w:space="0" w:color="auto"/>
              <w:left w:val="single" w:sz="4" w:space="0" w:color="auto"/>
              <w:bottom w:val="single" w:sz="4" w:space="0" w:color="auto"/>
              <w:right w:val="single" w:sz="4" w:space="0" w:color="auto"/>
            </w:tcBorders>
          </w:tcPr>
          <w:p w14:paraId="6248B5FC" w14:textId="77777777" w:rsidR="00B231FF" w:rsidRDefault="00B231FF">
            <w:pPr>
              <w:spacing w:line="240" w:lineRule="auto"/>
              <w:rPr>
                <w:b/>
                <w:bCs/>
                <w:sz w:val="24"/>
              </w:rPr>
            </w:pPr>
            <w:r>
              <w:rPr>
                <w:rFonts w:hint="cs"/>
                <w:b/>
                <w:bCs/>
                <w:sz w:val="24"/>
                <w:rtl/>
              </w:rPr>
              <w:t>בית משפט השלום ירושלים</w:t>
            </w:r>
          </w:p>
        </w:tc>
        <w:tc>
          <w:tcPr>
            <w:tcW w:w="3085" w:type="dxa"/>
            <w:gridSpan w:val="2"/>
            <w:tcBorders>
              <w:top w:val="single" w:sz="4" w:space="0" w:color="auto"/>
              <w:left w:val="single" w:sz="4" w:space="0" w:color="auto"/>
              <w:bottom w:val="single" w:sz="4" w:space="0" w:color="auto"/>
              <w:right w:val="single" w:sz="4" w:space="0" w:color="auto"/>
            </w:tcBorders>
          </w:tcPr>
          <w:p w14:paraId="1A7A613C" w14:textId="77777777" w:rsidR="00B231FF" w:rsidRDefault="00B231FF">
            <w:pPr>
              <w:spacing w:line="240" w:lineRule="auto"/>
              <w:rPr>
                <w:b/>
                <w:bCs/>
                <w:sz w:val="24"/>
              </w:rPr>
            </w:pPr>
            <w:r>
              <w:rPr>
                <w:rFonts w:hint="cs"/>
                <w:b/>
                <w:bCs/>
                <w:sz w:val="24"/>
                <w:rtl/>
              </w:rPr>
              <w:t>פ  002743/00</w:t>
            </w:r>
          </w:p>
        </w:tc>
      </w:tr>
      <w:tr w:rsidR="00B231FF" w14:paraId="3BF52A8B" w14:textId="77777777" w:rsidTr="00B231FF">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0E87773" w14:textId="77777777" w:rsidR="00B231FF" w:rsidRDefault="00B231FF">
            <w:pPr>
              <w:bidi w:val="0"/>
              <w:spacing w:line="240" w:lineRule="auto"/>
              <w:jc w:val="left"/>
              <w:rPr>
                <w:b/>
                <w:bCs/>
                <w:sz w:val="24"/>
              </w:rPr>
            </w:pPr>
          </w:p>
        </w:tc>
        <w:tc>
          <w:tcPr>
            <w:tcW w:w="3085" w:type="dxa"/>
            <w:gridSpan w:val="2"/>
            <w:tcBorders>
              <w:top w:val="single" w:sz="4" w:space="0" w:color="auto"/>
              <w:left w:val="single" w:sz="4" w:space="0" w:color="auto"/>
              <w:bottom w:val="single" w:sz="4" w:space="0" w:color="auto"/>
              <w:right w:val="single" w:sz="4" w:space="0" w:color="auto"/>
            </w:tcBorders>
          </w:tcPr>
          <w:p w14:paraId="613B533D" w14:textId="77777777" w:rsidR="00B231FF" w:rsidRDefault="00B231FF">
            <w:pPr>
              <w:spacing w:line="240" w:lineRule="auto"/>
              <w:rPr>
                <w:b/>
                <w:bCs/>
                <w:sz w:val="24"/>
              </w:rPr>
            </w:pPr>
          </w:p>
        </w:tc>
      </w:tr>
      <w:tr w:rsidR="00B231FF" w14:paraId="01D6108D" w14:textId="77777777" w:rsidTr="00B231FF">
        <w:trPr>
          <w:trHeight w:val="286"/>
        </w:trPr>
        <w:tc>
          <w:tcPr>
            <w:tcW w:w="766" w:type="dxa"/>
            <w:tcBorders>
              <w:top w:val="single" w:sz="4" w:space="0" w:color="auto"/>
              <w:left w:val="single" w:sz="4" w:space="0" w:color="auto"/>
              <w:bottom w:val="single" w:sz="4" w:space="0" w:color="auto"/>
              <w:right w:val="single" w:sz="4" w:space="0" w:color="auto"/>
            </w:tcBorders>
          </w:tcPr>
          <w:p w14:paraId="476DF91A" w14:textId="77777777" w:rsidR="00B231FF" w:rsidRDefault="00B231FF">
            <w:pPr>
              <w:spacing w:line="240" w:lineRule="auto"/>
              <w:rPr>
                <w:b/>
                <w:bCs/>
                <w:sz w:val="24"/>
              </w:rPr>
            </w:pPr>
            <w:bookmarkStart w:id="0" w:name="LastJudge"/>
            <w:r>
              <w:rPr>
                <w:rFonts w:hint="cs"/>
                <w:b/>
                <w:bCs/>
                <w:sz w:val="24"/>
                <w:rtl/>
              </w:rPr>
              <w:t>לפני:</w:t>
            </w:r>
          </w:p>
        </w:tc>
        <w:tc>
          <w:tcPr>
            <w:tcW w:w="4678" w:type="dxa"/>
            <w:tcBorders>
              <w:top w:val="single" w:sz="4" w:space="0" w:color="auto"/>
              <w:left w:val="single" w:sz="4" w:space="0" w:color="auto"/>
              <w:bottom w:val="single" w:sz="4" w:space="0" w:color="auto"/>
              <w:right w:val="single" w:sz="4" w:space="0" w:color="auto"/>
            </w:tcBorders>
          </w:tcPr>
          <w:p w14:paraId="60FA35C8" w14:textId="77777777" w:rsidR="00B231FF" w:rsidRDefault="00B231FF">
            <w:pPr>
              <w:spacing w:line="240" w:lineRule="auto"/>
              <w:rPr>
                <w:b/>
                <w:bCs/>
                <w:sz w:val="24"/>
              </w:rPr>
            </w:pPr>
            <w:r>
              <w:rPr>
                <w:rFonts w:hint="cs"/>
                <w:b/>
                <w:bCs/>
                <w:sz w:val="24"/>
                <w:rtl/>
              </w:rPr>
              <w:t>כבוד הנשיא אמנון כהן, שופט מחוזי</w:t>
            </w:r>
          </w:p>
          <w:p w14:paraId="79EE239A" w14:textId="77777777" w:rsidR="00B231FF" w:rsidRDefault="00B231FF">
            <w:pPr>
              <w:spacing w:line="240" w:lineRule="auto"/>
              <w:rPr>
                <w:b/>
                <w:bCs/>
                <w:sz w:val="24"/>
              </w:rPr>
            </w:pPr>
          </w:p>
        </w:tc>
        <w:tc>
          <w:tcPr>
            <w:tcW w:w="85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3FD8C501" w14:textId="77777777" w:rsidR="00B231FF" w:rsidRDefault="00B231FF">
            <w:pPr>
              <w:spacing w:line="240" w:lineRule="auto"/>
              <w:rPr>
                <w:b/>
                <w:bCs/>
                <w:sz w:val="24"/>
              </w:rPr>
            </w:pPr>
            <w:r>
              <w:rPr>
                <w:rFonts w:hint="cs"/>
                <w:b/>
                <w:bCs/>
                <w:sz w:val="24"/>
                <w:rtl/>
              </w:rPr>
              <w:t>תאריך:</w:t>
            </w:r>
          </w:p>
        </w:tc>
        <w:tc>
          <w:tcPr>
            <w:tcW w:w="2235" w:type="dxa"/>
            <w:tcBorders>
              <w:top w:val="single" w:sz="4" w:space="0" w:color="auto"/>
              <w:left w:val="single" w:sz="4" w:space="0" w:color="auto"/>
              <w:bottom w:val="single" w:sz="4" w:space="0" w:color="auto"/>
              <w:right w:val="single" w:sz="4" w:space="0" w:color="auto"/>
            </w:tcBorders>
          </w:tcPr>
          <w:p w14:paraId="7A0A8D27" w14:textId="77777777" w:rsidR="00B231FF" w:rsidRDefault="00B231FF">
            <w:pPr>
              <w:spacing w:line="240" w:lineRule="auto"/>
              <w:rPr>
                <w:b/>
                <w:bCs/>
                <w:sz w:val="24"/>
              </w:rPr>
            </w:pPr>
            <w:r>
              <w:rPr>
                <w:rFonts w:hint="cs"/>
                <w:b/>
                <w:bCs/>
                <w:sz w:val="24"/>
                <w:rtl/>
              </w:rPr>
              <w:t>05/12/01</w:t>
            </w:r>
          </w:p>
        </w:tc>
      </w:tr>
      <w:bookmarkEnd w:id="0"/>
    </w:tbl>
    <w:p w14:paraId="0C459C9C" w14:textId="77777777" w:rsidR="009235D1" w:rsidRDefault="009235D1">
      <w:pPr>
        <w:pStyle w:val="Header"/>
        <w:spacing w:line="240" w:lineRule="auto"/>
        <w:jc w:val="left"/>
        <w:rPr>
          <w:rFonts w:hint="cs"/>
          <w:szCs w:val="20"/>
          <w:rtl/>
        </w:rPr>
      </w:pPr>
    </w:p>
    <w:p w14:paraId="6595C6AB" w14:textId="77777777" w:rsidR="009235D1" w:rsidRDefault="009235D1">
      <w:pPr>
        <w:rPr>
          <w:rFonts w:hint="cs"/>
          <w:rtl/>
        </w:rPr>
      </w:pPr>
    </w:p>
    <w:tbl>
      <w:tblPr>
        <w:bidiVisual/>
        <w:tblW w:w="8591" w:type="dxa"/>
        <w:tblInd w:w="-29" w:type="dxa"/>
        <w:tblCellMar>
          <w:left w:w="107" w:type="dxa"/>
          <w:right w:w="107" w:type="dxa"/>
        </w:tblCellMar>
        <w:tblLook w:val="0000" w:firstRow="0" w:lastRow="0" w:firstColumn="0" w:lastColumn="0" w:noHBand="0" w:noVBand="0"/>
      </w:tblPr>
      <w:tblGrid>
        <w:gridCol w:w="1362"/>
        <w:gridCol w:w="1757"/>
        <w:gridCol w:w="3063"/>
        <w:gridCol w:w="2409"/>
      </w:tblGrid>
      <w:tr w:rsidR="00B231FF" w14:paraId="330EE557" w14:textId="77777777" w:rsidTr="00B231FF">
        <w:tc>
          <w:tcPr>
            <w:tcW w:w="1362" w:type="dxa"/>
          </w:tcPr>
          <w:p w14:paraId="3DF36F38" w14:textId="77777777" w:rsidR="00B231FF" w:rsidRDefault="00B231FF">
            <w:pPr>
              <w:spacing w:line="240" w:lineRule="auto"/>
              <w:rPr>
                <w:b/>
                <w:bCs/>
                <w:szCs w:val="26"/>
              </w:rPr>
            </w:pPr>
            <w:bookmarkStart w:id="1" w:name="שם_א" w:colFirst="1" w:colLast="1"/>
            <w:bookmarkStart w:id="2" w:name="FirstAppellant"/>
            <w:r>
              <w:rPr>
                <w:rFonts w:hint="cs"/>
                <w:b/>
                <w:bCs/>
                <w:rtl/>
              </w:rPr>
              <w:t>בעניין:</w:t>
            </w:r>
          </w:p>
        </w:tc>
        <w:tc>
          <w:tcPr>
            <w:tcW w:w="4820" w:type="dxa"/>
            <w:gridSpan w:val="2"/>
          </w:tcPr>
          <w:p w14:paraId="3EFE917C" w14:textId="77777777" w:rsidR="00B231FF" w:rsidRDefault="00B231FF">
            <w:pPr>
              <w:spacing w:line="240" w:lineRule="auto"/>
              <w:rPr>
                <w:b/>
                <w:bCs/>
              </w:rPr>
            </w:pPr>
            <w:r>
              <w:rPr>
                <w:rFonts w:hint="cs"/>
                <w:b/>
                <w:bCs/>
                <w:rtl/>
              </w:rPr>
              <w:t>מדינת ישראל</w:t>
            </w:r>
          </w:p>
        </w:tc>
        <w:tc>
          <w:tcPr>
            <w:tcW w:w="2409" w:type="dxa"/>
          </w:tcPr>
          <w:p w14:paraId="4720093B" w14:textId="77777777" w:rsidR="00B231FF" w:rsidRDefault="00B231FF">
            <w:pPr>
              <w:spacing w:line="240" w:lineRule="auto"/>
              <w:rPr>
                <w:b/>
                <w:bCs/>
              </w:rPr>
            </w:pPr>
            <w:r>
              <w:rPr>
                <w:rFonts w:hint="cs"/>
                <w:b/>
                <w:bCs/>
                <w:rtl/>
              </w:rPr>
              <w:t>המאשימה</w:t>
            </w:r>
          </w:p>
        </w:tc>
      </w:tr>
      <w:bookmarkEnd w:id="1"/>
      <w:bookmarkEnd w:id="2"/>
      <w:tr w:rsidR="00B231FF" w14:paraId="76636673" w14:textId="77777777" w:rsidTr="00B231FF">
        <w:tc>
          <w:tcPr>
            <w:tcW w:w="1362" w:type="dxa"/>
          </w:tcPr>
          <w:p w14:paraId="5D810A54" w14:textId="77777777" w:rsidR="00B231FF" w:rsidRDefault="00B231FF">
            <w:pPr>
              <w:spacing w:line="240" w:lineRule="auto"/>
              <w:rPr>
                <w:b/>
                <w:bCs/>
              </w:rPr>
            </w:pPr>
          </w:p>
        </w:tc>
        <w:tc>
          <w:tcPr>
            <w:tcW w:w="4820" w:type="dxa"/>
            <w:gridSpan w:val="2"/>
          </w:tcPr>
          <w:p w14:paraId="3A761C8C" w14:textId="77777777" w:rsidR="00B231FF" w:rsidRDefault="00B231FF">
            <w:pPr>
              <w:spacing w:line="240" w:lineRule="auto"/>
              <w:jc w:val="center"/>
              <w:rPr>
                <w:b/>
                <w:bCs/>
              </w:rPr>
            </w:pPr>
            <w:r>
              <w:rPr>
                <w:rFonts w:hint="cs"/>
                <w:b/>
                <w:bCs/>
                <w:rtl/>
              </w:rPr>
              <w:t>נ  ג  ד</w:t>
            </w:r>
          </w:p>
        </w:tc>
        <w:tc>
          <w:tcPr>
            <w:tcW w:w="2409" w:type="dxa"/>
          </w:tcPr>
          <w:p w14:paraId="6031ED24" w14:textId="77777777" w:rsidR="00B231FF" w:rsidRDefault="00B231FF">
            <w:pPr>
              <w:spacing w:line="240" w:lineRule="auto"/>
              <w:rPr>
                <w:b/>
                <w:bCs/>
              </w:rPr>
            </w:pPr>
          </w:p>
        </w:tc>
      </w:tr>
      <w:tr w:rsidR="00B231FF" w14:paraId="4091D824" w14:textId="77777777" w:rsidTr="00B231FF">
        <w:tc>
          <w:tcPr>
            <w:tcW w:w="1362" w:type="dxa"/>
          </w:tcPr>
          <w:p w14:paraId="5E5E4AF4" w14:textId="77777777" w:rsidR="00B231FF" w:rsidRDefault="00B231FF">
            <w:pPr>
              <w:spacing w:line="240" w:lineRule="auto"/>
              <w:rPr>
                <w:b/>
                <w:bCs/>
                <w:szCs w:val="26"/>
              </w:rPr>
            </w:pPr>
            <w:bookmarkStart w:id="3" w:name="שם_ב" w:colFirst="1" w:colLast="1"/>
          </w:p>
        </w:tc>
        <w:tc>
          <w:tcPr>
            <w:tcW w:w="4820" w:type="dxa"/>
            <w:gridSpan w:val="2"/>
          </w:tcPr>
          <w:p w14:paraId="626E522C" w14:textId="77777777" w:rsidR="00B231FF" w:rsidRDefault="00B231FF">
            <w:pPr>
              <w:spacing w:line="240" w:lineRule="auto"/>
              <w:rPr>
                <w:b/>
                <w:bCs/>
              </w:rPr>
            </w:pPr>
            <w:r>
              <w:rPr>
                <w:rFonts w:hint="cs"/>
                <w:b/>
                <w:bCs/>
                <w:rtl/>
              </w:rPr>
              <w:t>מימון אביטן</w:t>
            </w:r>
          </w:p>
        </w:tc>
        <w:tc>
          <w:tcPr>
            <w:tcW w:w="2409" w:type="dxa"/>
          </w:tcPr>
          <w:p w14:paraId="3D535287" w14:textId="77777777" w:rsidR="00B231FF" w:rsidRDefault="00B231FF">
            <w:pPr>
              <w:spacing w:line="240" w:lineRule="auto"/>
              <w:rPr>
                <w:b/>
                <w:bCs/>
              </w:rPr>
            </w:pPr>
          </w:p>
        </w:tc>
      </w:tr>
      <w:tr w:rsidR="00B231FF" w14:paraId="2FBDBEA7" w14:textId="77777777" w:rsidTr="00B231FF">
        <w:tc>
          <w:tcPr>
            <w:tcW w:w="1362" w:type="dxa"/>
          </w:tcPr>
          <w:p w14:paraId="361DA16A" w14:textId="77777777" w:rsidR="00B231FF" w:rsidRDefault="00B231FF">
            <w:pPr>
              <w:spacing w:line="240" w:lineRule="auto"/>
              <w:rPr>
                <w:b/>
                <w:bCs/>
                <w:szCs w:val="26"/>
              </w:rPr>
            </w:pPr>
            <w:bookmarkStart w:id="4" w:name="FirstLawyer"/>
            <w:bookmarkEnd w:id="3"/>
          </w:p>
        </w:tc>
        <w:tc>
          <w:tcPr>
            <w:tcW w:w="1757" w:type="dxa"/>
          </w:tcPr>
          <w:p w14:paraId="29C62C29" w14:textId="77777777" w:rsidR="00B231FF" w:rsidRDefault="00B231FF">
            <w:pPr>
              <w:spacing w:line="240" w:lineRule="auto"/>
              <w:rPr>
                <w:b/>
                <w:bCs/>
              </w:rPr>
            </w:pPr>
            <w:r>
              <w:rPr>
                <w:rFonts w:hint="cs"/>
                <w:b/>
                <w:bCs/>
                <w:rtl/>
              </w:rPr>
              <w:t>ע"י ב"כ עו"ד</w:t>
            </w:r>
          </w:p>
        </w:tc>
        <w:tc>
          <w:tcPr>
            <w:tcW w:w="3063" w:type="dxa"/>
          </w:tcPr>
          <w:p w14:paraId="3298F3C4" w14:textId="77777777" w:rsidR="00B231FF" w:rsidRDefault="00B231FF">
            <w:pPr>
              <w:spacing w:line="240" w:lineRule="auto"/>
              <w:rPr>
                <w:b/>
                <w:bCs/>
              </w:rPr>
            </w:pPr>
            <w:r>
              <w:rPr>
                <w:rFonts w:hint="cs"/>
                <w:b/>
                <w:bCs/>
                <w:rtl/>
              </w:rPr>
              <w:t>שטרק פאול</w:t>
            </w:r>
            <w:bookmarkStart w:id="5" w:name="בא_כוח_ב"/>
            <w:bookmarkEnd w:id="5"/>
          </w:p>
        </w:tc>
        <w:tc>
          <w:tcPr>
            <w:tcW w:w="2409" w:type="dxa"/>
          </w:tcPr>
          <w:p w14:paraId="30CC7BFF" w14:textId="77777777" w:rsidR="00B231FF" w:rsidRDefault="00B231FF">
            <w:pPr>
              <w:spacing w:line="240" w:lineRule="auto"/>
              <w:rPr>
                <w:b/>
                <w:bCs/>
              </w:rPr>
            </w:pPr>
            <w:r>
              <w:rPr>
                <w:rFonts w:hint="cs"/>
                <w:b/>
                <w:bCs/>
                <w:rtl/>
              </w:rPr>
              <w:t>ה</w:t>
            </w:r>
            <w:bookmarkStart w:id="6" w:name="כינוי_ב"/>
            <w:bookmarkEnd w:id="6"/>
            <w:r>
              <w:rPr>
                <w:rFonts w:hint="cs"/>
                <w:b/>
                <w:bCs/>
                <w:rtl/>
              </w:rPr>
              <w:t>נאשם</w:t>
            </w:r>
          </w:p>
        </w:tc>
      </w:tr>
    </w:tbl>
    <w:p w14:paraId="1D47DE6B" w14:textId="77777777" w:rsidR="00582DED" w:rsidRDefault="00582DED">
      <w:pPr>
        <w:rPr>
          <w:rtl/>
        </w:rPr>
      </w:pPr>
      <w:bookmarkStart w:id="7" w:name="LawTable"/>
      <w:bookmarkEnd w:id="4"/>
      <w:bookmarkEnd w:id="7"/>
    </w:p>
    <w:p w14:paraId="692C68DD" w14:textId="77777777" w:rsidR="00582DED" w:rsidRPr="00582DED" w:rsidRDefault="00582DED" w:rsidP="00582DED">
      <w:pPr>
        <w:spacing w:after="120" w:line="240" w:lineRule="exact"/>
        <w:ind w:left="283" w:hanging="283"/>
        <w:rPr>
          <w:rFonts w:ascii="FrankRuehl" w:hAnsi="FrankRuehl" w:cs="FrankRuehl"/>
          <w:sz w:val="24"/>
          <w:rtl/>
        </w:rPr>
      </w:pPr>
    </w:p>
    <w:p w14:paraId="67BFD6C0" w14:textId="77777777" w:rsidR="00582DED" w:rsidRPr="00582DED" w:rsidRDefault="00582DED" w:rsidP="00582DED">
      <w:pPr>
        <w:spacing w:after="120" w:line="240" w:lineRule="exact"/>
        <w:ind w:left="283" w:hanging="283"/>
        <w:rPr>
          <w:rFonts w:ascii="FrankRuehl" w:hAnsi="FrankRuehl" w:cs="FrankRuehl"/>
          <w:sz w:val="24"/>
          <w:rtl/>
        </w:rPr>
      </w:pPr>
      <w:r w:rsidRPr="00582DED">
        <w:rPr>
          <w:rFonts w:ascii="FrankRuehl" w:hAnsi="FrankRuehl" w:cs="FrankRuehl"/>
          <w:sz w:val="24"/>
          <w:rtl/>
        </w:rPr>
        <w:t xml:space="preserve">חקיקה שאוזכרה: </w:t>
      </w:r>
    </w:p>
    <w:p w14:paraId="459E763E" w14:textId="77777777" w:rsidR="00582DED" w:rsidRPr="00582DED" w:rsidRDefault="00582DED" w:rsidP="00582DED">
      <w:pPr>
        <w:spacing w:after="120" w:line="240" w:lineRule="exact"/>
        <w:ind w:left="283" w:hanging="283"/>
        <w:rPr>
          <w:rFonts w:ascii="FrankRuehl" w:hAnsi="FrankRuehl" w:cs="FrankRuehl"/>
          <w:sz w:val="24"/>
          <w:rtl/>
        </w:rPr>
      </w:pPr>
      <w:hyperlink r:id="rId6" w:history="1">
        <w:r w:rsidRPr="00582DED">
          <w:rPr>
            <w:rFonts w:ascii="FrankRuehl" w:hAnsi="FrankRuehl" w:cs="FrankRuehl"/>
            <w:color w:val="0000FF"/>
            <w:sz w:val="24"/>
            <w:u w:val="single"/>
            <w:rtl/>
          </w:rPr>
          <w:t>חוק העונשין, תשל"ז-1977</w:t>
        </w:r>
      </w:hyperlink>
      <w:r w:rsidRPr="00582DED">
        <w:rPr>
          <w:rFonts w:ascii="FrankRuehl" w:hAnsi="FrankRuehl" w:cs="FrankRuehl"/>
          <w:sz w:val="24"/>
          <w:rtl/>
        </w:rPr>
        <w:t xml:space="preserve">: סע'  </w:t>
      </w:r>
      <w:hyperlink r:id="rId7" w:history="1">
        <w:r w:rsidRPr="00582DED">
          <w:rPr>
            <w:rFonts w:ascii="FrankRuehl" w:hAnsi="FrankRuehl" w:cs="FrankRuehl"/>
            <w:color w:val="0000FF"/>
            <w:sz w:val="24"/>
            <w:u w:val="single"/>
            <w:rtl/>
          </w:rPr>
          <w:t>348(ג)</w:t>
        </w:r>
      </w:hyperlink>
      <w:r w:rsidRPr="00582DED">
        <w:rPr>
          <w:rFonts w:ascii="FrankRuehl" w:hAnsi="FrankRuehl" w:cs="FrankRuehl"/>
          <w:sz w:val="24"/>
          <w:rtl/>
        </w:rPr>
        <w:t xml:space="preserve">, </w:t>
      </w:r>
      <w:hyperlink r:id="rId8" w:history="1">
        <w:r w:rsidRPr="00582DED">
          <w:rPr>
            <w:rFonts w:ascii="FrankRuehl" w:hAnsi="FrankRuehl" w:cs="FrankRuehl"/>
            <w:color w:val="0000FF"/>
            <w:sz w:val="24"/>
            <w:u w:val="single"/>
            <w:rtl/>
          </w:rPr>
          <w:t>348ג'</w:t>
        </w:r>
      </w:hyperlink>
    </w:p>
    <w:p w14:paraId="6B2AF0FA" w14:textId="77777777" w:rsidR="00582DED" w:rsidRPr="00582DED" w:rsidRDefault="00582DED" w:rsidP="00582DED">
      <w:pPr>
        <w:spacing w:after="120" w:line="240" w:lineRule="exact"/>
        <w:ind w:left="283" w:hanging="283"/>
        <w:rPr>
          <w:rFonts w:ascii="FrankRuehl" w:hAnsi="FrankRuehl" w:cs="FrankRuehl"/>
          <w:sz w:val="24"/>
          <w:rtl/>
        </w:rPr>
      </w:pPr>
      <w:hyperlink r:id="rId9" w:history="1">
        <w:r w:rsidRPr="00582DED">
          <w:rPr>
            <w:rFonts w:ascii="FrankRuehl" w:hAnsi="FrankRuehl" w:cs="FrankRuehl"/>
            <w:color w:val="0000FF"/>
            <w:sz w:val="24"/>
            <w:u w:val="single"/>
            <w:rtl/>
          </w:rPr>
          <w:t>חוק הסניגוריה הציבורית, תשנ"ו-1995</w:t>
        </w:r>
      </w:hyperlink>
      <w:r w:rsidRPr="00582DED">
        <w:rPr>
          <w:rFonts w:ascii="FrankRuehl" w:hAnsi="FrankRuehl" w:cs="FrankRuehl"/>
          <w:sz w:val="24"/>
          <w:rtl/>
        </w:rPr>
        <w:t xml:space="preserve">: סע'  </w:t>
      </w:r>
      <w:hyperlink r:id="rId10" w:history="1">
        <w:r w:rsidRPr="00582DED">
          <w:rPr>
            <w:rFonts w:ascii="FrankRuehl" w:hAnsi="FrankRuehl" w:cs="FrankRuehl"/>
            <w:color w:val="0000FF"/>
            <w:sz w:val="24"/>
            <w:u w:val="single"/>
            <w:rtl/>
          </w:rPr>
          <w:t>18(ב)</w:t>
        </w:r>
      </w:hyperlink>
    </w:p>
    <w:p w14:paraId="696B9975" w14:textId="77777777" w:rsidR="00582DED" w:rsidRPr="00582DED" w:rsidRDefault="00582DED" w:rsidP="00582DED">
      <w:pPr>
        <w:spacing w:after="120" w:line="240" w:lineRule="exact"/>
        <w:ind w:left="283" w:hanging="283"/>
        <w:rPr>
          <w:rFonts w:ascii="FrankRuehl" w:hAnsi="FrankRuehl" w:cs="FrankRuehl"/>
          <w:sz w:val="24"/>
          <w:rtl/>
        </w:rPr>
      </w:pPr>
    </w:p>
    <w:p w14:paraId="5FEB1A68" w14:textId="77777777" w:rsidR="00582DED" w:rsidRPr="00582DED" w:rsidRDefault="00582DED">
      <w:pPr>
        <w:rPr>
          <w:rtl/>
        </w:rPr>
      </w:pPr>
      <w:bookmarkStart w:id="8" w:name="LawTable_End"/>
      <w:bookmarkEnd w:id="8"/>
    </w:p>
    <w:p w14:paraId="5961001D" w14:textId="77777777" w:rsidR="00582DED" w:rsidRPr="00582DED" w:rsidRDefault="00582DED">
      <w:pPr>
        <w:rPr>
          <w:rtl/>
        </w:rPr>
      </w:pPr>
    </w:p>
    <w:p w14:paraId="794E4DCB" w14:textId="77777777" w:rsidR="00582DED" w:rsidRPr="00582DED" w:rsidRDefault="00582DED">
      <w:pPr>
        <w:rPr>
          <w:rtl/>
        </w:rPr>
      </w:pPr>
    </w:p>
    <w:p w14:paraId="4C0B6F37" w14:textId="77777777" w:rsidR="009235D1" w:rsidRPr="00582DED" w:rsidRDefault="009235D1">
      <w:pPr>
        <w:rPr>
          <w:rFonts w:hint="cs"/>
          <w:rtl/>
        </w:rPr>
      </w:pPr>
    </w:p>
    <w:p w14:paraId="6DB65E3B" w14:textId="77777777" w:rsidR="00643D4A" w:rsidRPr="00643D4A" w:rsidRDefault="00643D4A">
      <w:pPr>
        <w:jc w:val="center"/>
        <w:rPr>
          <w:sz w:val="32"/>
          <w:szCs w:val="32"/>
          <w:rtl/>
        </w:rPr>
      </w:pPr>
      <w:bookmarkStart w:id="9" w:name="סוג_מסמך"/>
      <w:bookmarkEnd w:id="9"/>
    </w:p>
    <w:p w14:paraId="0849E1B1" w14:textId="77777777" w:rsidR="00643D4A" w:rsidRPr="00643D4A" w:rsidRDefault="00643D4A">
      <w:pPr>
        <w:jc w:val="center"/>
        <w:rPr>
          <w:b/>
          <w:bCs/>
          <w:sz w:val="32"/>
          <w:szCs w:val="32"/>
          <w:rtl/>
        </w:rPr>
      </w:pPr>
    </w:p>
    <w:p w14:paraId="1563F847" w14:textId="77777777" w:rsidR="009235D1" w:rsidRPr="00643D4A" w:rsidRDefault="009235D1">
      <w:pPr>
        <w:jc w:val="center"/>
        <w:rPr>
          <w:b/>
          <w:bCs/>
          <w:sz w:val="32"/>
          <w:szCs w:val="32"/>
          <w:rtl/>
        </w:rPr>
      </w:pPr>
    </w:p>
    <w:p w14:paraId="37387F61" w14:textId="77777777" w:rsidR="009235D1" w:rsidRDefault="009235D1">
      <w:pPr>
        <w:jc w:val="center"/>
        <w:rPr>
          <w:b/>
          <w:bCs/>
          <w:sz w:val="32"/>
          <w:szCs w:val="32"/>
          <w:u w:val="single"/>
          <w:rtl/>
        </w:rPr>
      </w:pPr>
      <w:bookmarkStart w:id="10" w:name="PsakDin"/>
      <w:r>
        <w:rPr>
          <w:b/>
          <w:bCs/>
          <w:sz w:val="32"/>
          <w:szCs w:val="32"/>
          <w:u w:val="single"/>
          <w:rtl/>
        </w:rPr>
        <w:t>הכרעת דין</w:t>
      </w:r>
    </w:p>
    <w:bookmarkEnd w:id="10"/>
    <w:p w14:paraId="0D7B7FF0" w14:textId="77777777" w:rsidR="009235D1" w:rsidRDefault="009235D1">
      <w:pPr>
        <w:rPr>
          <w:rFonts w:hint="cs"/>
          <w:sz w:val="24"/>
          <w:rtl/>
        </w:rPr>
      </w:pPr>
      <w:r>
        <w:rPr>
          <w:rFonts w:hint="cs"/>
          <w:sz w:val="24"/>
          <w:rtl/>
        </w:rPr>
        <w:t>נגד הנאשם הוגש כתב אישום לפיו, בתאריך 5.12.99, בשעות הבוקר בשעה שאינה ידועה במדויק למאשימה, בחנות צעצועים ברחוב שאולזון בהר נוף בירושלים, עשה מעשה מגונה בקטינה ל.ז. ילידת 1982, (להלן: "</w:t>
      </w:r>
      <w:r>
        <w:rPr>
          <w:rFonts w:hint="cs"/>
          <w:b/>
          <w:bCs/>
          <w:sz w:val="24"/>
          <w:rtl/>
        </w:rPr>
        <w:t>המתלוננת</w:t>
      </w:r>
      <w:r>
        <w:rPr>
          <w:rFonts w:hint="cs"/>
          <w:sz w:val="24"/>
          <w:rtl/>
        </w:rPr>
        <w:t>") ללא הסכמתה, בכך שכאשר נכנסה לחנות ליטף את פניה ושאל מה היא רוצה. בהתאם לאמור בכתב האישום, אמרה המתלוננת לנאשם, שהיא מעוניינת בקניית מתנה לילד בן שבע והנאשם הציע לה מתנה חינם. המתלוננת סרבה לקבלה, והנאשם הציע לשלם לה דמי כיס וכל העת נגע בידיו בזרועותיה ושאל אם רוצה אותו. כמו כן נטען, כי הנאשם אף תפס בכף ידה והציע כי יחמם אותה. המתלוננת משכה את ידה בחזרה, אך הנאשם שב ותפס בידה והציע, כי יקח אותה אליו הביתה בלי שאשתו תדע מכך.</w:t>
      </w:r>
    </w:p>
    <w:p w14:paraId="55E7C98B" w14:textId="77777777" w:rsidR="009235D1" w:rsidRDefault="009235D1">
      <w:pPr>
        <w:rPr>
          <w:rFonts w:hint="cs"/>
          <w:sz w:val="24"/>
          <w:rtl/>
        </w:rPr>
      </w:pPr>
    </w:p>
    <w:p w14:paraId="382BAB8B" w14:textId="77777777" w:rsidR="009235D1" w:rsidRDefault="009235D1">
      <w:pPr>
        <w:rPr>
          <w:rFonts w:hint="cs"/>
          <w:rtl/>
        </w:rPr>
      </w:pPr>
      <w:bookmarkStart w:id="11" w:name="ABSTRACT_START"/>
      <w:bookmarkEnd w:id="11"/>
      <w:r>
        <w:rPr>
          <w:rFonts w:hint="cs"/>
          <w:sz w:val="24"/>
          <w:rtl/>
        </w:rPr>
        <w:t xml:space="preserve">סעיף האישום שיוחס לנאשם הינו מעשה מגונה בניגוד </w:t>
      </w:r>
      <w:hyperlink r:id="rId11" w:history="1">
        <w:r w:rsidR="00582DED" w:rsidRPr="00582DED">
          <w:rPr>
            <w:color w:val="0000FF"/>
            <w:sz w:val="24"/>
            <w:u w:val="single"/>
            <w:rtl/>
          </w:rPr>
          <w:t>לסעיף 348ג'</w:t>
        </w:r>
      </w:hyperlink>
      <w:r>
        <w:rPr>
          <w:rFonts w:hint="cs"/>
          <w:sz w:val="24"/>
          <w:rtl/>
        </w:rPr>
        <w:t xml:space="preserve"> </w:t>
      </w:r>
      <w:r>
        <w:rPr>
          <w:rFonts w:hint="cs"/>
          <w:rtl/>
        </w:rPr>
        <w:t>ל</w:t>
      </w:r>
      <w:hyperlink r:id="rId12" w:history="1">
        <w:r w:rsidR="00643D4A" w:rsidRPr="00643D4A">
          <w:rPr>
            <w:rStyle w:val="Hyperlink"/>
            <w:rFonts w:hint="eastAsia"/>
            <w:rtl/>
          </w:rPr>
          <w:t>חוק</w:t>
        </w:r>
        <w:r w:rsidR="00643D4A" w:rsidRPr="00643D4A">
          <w:rPr>
            <w:rStyle w:val="Hyperlink"/>
            <w:rtl/>
          </w:rPr>
          <w:t xml:space="preserve"> העונשין</w:t>
        </w:r>
      </w:hyperlink>
      <w:r>
        <w:rPr>
          <w:rFonts w:hint="cs"/>
          <w:rtl/>
        </w:rPr>
        <w:t xml:space="preserve"> התשל"ז – 1977.</w:t>
      </w:r>
      <w:bookmarkStart w:id="12" w:name="ABSTRACT_END"/>
      <w:bookmarkEnd w:id="12"/>
    </w:p>
    <w:p w14:paraId="7E60C95C" w14:textId="77777777" w:rsidR="009235D1" w:rsidRDefault="009235D1">
      <w:pPr>
        <w:rPr>
          <w:color w:val="FFFFFF"/>
          <w:sz w:val="4"/>
          <w:szCs w:val="4"/>
          <w:rtl/>
        </w:rPr>
      </w:pPr>
    </w:p>
    <w:p w14:paraId="6219D4C4" w14:textId="77777777" w:rsidR="009235D1" w:rsidRDefault="009235D1">
      <w:pPr>
        <w:rPr>
          <w:sz w:val="24"/>
          <w:rtl/>
        </w:rPr>
      </w:pPr>
      <w:r>
        <w:rPr>
          <w:color w:val="FFFFFF"/>
          <w:sz w:val="4"/>
          <w:szCs w:val="4"/>
          <w:rtl/>
        </w:rPr>
        <w:t>5129371</w:t>
      </w:r>
    </w:p>
    <w:p w14:paraId="14045745" w14:textId="77777777" w:rsidR="009235D1" w:rsidRDefault="009235D1">
      <w:pPr>
        <w:rPr>
          <w:rFonts w:hint="cs"/>
          <w:sz w:val="24"/>
          <w:rtl/>
        </w:rPr>
      </w:pPr>
      <w:r>
        <w:rPr>
          <w:rFonts w:hint="cs"/>
          <w:sz w:val="24"/>
          <w:rtl/>
        </w:rPr>
        <w:t>בישיבה הראשונה הוקרא לנאשם כתב האישום והנאשם כפר בעובדותיו, פרט לכך ש"</w:t>
      </w:r>
      <w:r>
        <w:rPr>
          <w:rFonts w:hint="cs"/>
          <w:b/>
          <w:bCs/>
          <w:sz w:val="24"/>
          <w:rtl/>
        </w:rPr>
        <w:t>נתן לה יד והיא נתנה לו יד</w:t>
      </w:r>
      <w:r>
        <w:rPr>
          <w:rFonts w:hint="cs"/>
          <w:sz w:val="24"/>
          <w:rtl/>
        </w:rPr>
        <w:t>". הנאשם גם ציין, כי הוא מוגבל מבחינה רפואית.</w:t>
      </w:r>
      <w:r>
        <w:rPr>
          <w:color w:val="FFFFFF"/>
          <w:sz w:val="4"/>
          <w:szCs w:val="4"/>
          <w:rtl/>
        </w:rPr>
        <w:t>נ</w:t>
      </w:r>
    </w:p>
    <w:p w14:paraId="0594B368" w14:textId="77777777" w:rsidR="009235D1" w:rsidRDefault="009235D1">
      <w:pPr>
        <w:rPr>
          <w:rFonts w:hint="cs"/>
          <w:sz w:val="24"/>
          <w:rtl/>
        </w:rPr>
      </w:pPr>
      <w:r>
        <w:rPr>
          <w:rFonts w:hint="cs"/>
          <w:sz w:val="24"/>
          <w:rtl/>
        </w:rPr>
        <w:t xml:space="preserve"> </w:t>
      </w:r>
    </w:p>
    <w:p w14:paraId="34B35F3E" w14:textId="77777777" w:rsidR="009235D1" w:rsidRDefault="009235D1">
      <w:pPr>
        <w:rPr>
          <w:rFonts w:hint="cs"/>
          <w:sz w:val="24"/>
          <w:rtl/>
        </w:rPr>
      </w:pPr>
      <w:r>
        <w:rPr>
          <w:rFonts w:hint="cs"/>
          <w:sz w:val="24"/>
          <w:rtl/>
        </w:rPr>
        <w:t xml:space="preserve">נעתרתי לבקשת הנאשם ומיניתי לו סניגור מטעם הסניגוריה הציבורית לפי סעיף </w:t>
      </w:r>
      <w:hyperlink r:id="rId13" w:history="1">
        <w:r w:rsidR="00582DED" w:rsidRPr="00582DED">
          <w:rPr>
            <w:color w:val="0000FF"/>
            <w:sz w:val="24"/>
            <w:u w:val="single"/>
            <w:rtl/>
          </w:rPr>
          <w:t>18(ב)</w:t>
        </w:r>
      </w:hyperlink>
      <w:r>
        <w:rPr>
          <w:rFonts w:hint="cs"/>
          <w:sz w:val="24"/>
          <w:rtl/>
        </w:rPr>
        <w:t>ל</w:t>
      </w:r>
      <w:hyperlink r:id="rId14" w:history="1">
        <w:r w:rsidR="00643D4A" w:rsidRPr="00643D4A">
          <w:rPr>
            <w:rStyle w:val="Hyperlink"/>
            <w:rFonts w:hint="eastAsia"/>
            <w:sz w:val="24"/>
            <w:rtl/>
          </w:rPr>
          <w:t>חוק</w:t>
        </w:r>
        <w:r w:rsidR="00643D4A" w:rsidRPr="00643D4A">
          <w:rPr>
            <w:rStyle w:val="Hyperlink"/>
            <w:sz w:val="24"/>
            <w:rtl/>
          </w:rPr>
          <w:t xml:space="preserve"> הסניגוריה הציבורית</w:t>
        </w:r>
      </w:hyperlink>
      <w:r>
        <w:rPr>
          <w:rFonts w:hint="cs"/>
          <w:sz w:val="24"/>
          <w:rtl/>
        </w:rPr>
        <w:t>.</w:t>
      </w:r>
      <w:r>
        <w:rPr>
          <w:color w:val="FFFFFF"/>
          <w:sz w:val="4"/>
          <w:szCs w:val="4"/>
          <w:rtl/>
        </w:rPr>
        <w:t>ב</w:t>
      </w:r>
    </w:p>
    <w:p w14:paraId="6059ABC8" w14:textId="77777777" w:rsidR="009235D1" w:rsidRDefault="009235D1">
      <w:pPr>
        <w:rPr>
          <w:rFonts w:hint="cs"/>
          <w:sz w:val="24"/>
          <w:rtl/>
        </w:rPr>
      </w:pPr>
    </w:p>
    <w:p w14:paraId="6B2004D3" w14:textId="77777777" w:rsidR="009235D1" w:rsidRDefault="009235D1">
      <w:pPr>
        <w:rPr>
          <w:rFonts w:hint="cs"/>
          <w:sz w:val="24"/>
          <w:rtl/>
        </w:rPr>
      </w:pPr>
      <w:r>
        <w:rPr>
          <w:rFonts w:hint="cs"/>
          <w:sz w:val="24"/>
          <w:rtl/>
        </w:rPr>
        <w:t xml:space="preserve">בישיבה הבאה, הוקרא כתב האישום בשנית וב"כ הנאשם ביקש להוסיף, כי מעשיו של הנאשם נעדרים את הכוונה הפלילית הדרושה בעבירת מעשה מגונה. </w:t>
      </w:r>
    </w:p>
    <w:p w14:paraId="46660571" w14:textId="77777777" w:rsidR="009235D1" w:rsidRDefault="009235D1">
      <w:pPr>
        <w:rPr>
          <w:rFonts w:hint="cs"/>
          <w:sz w:val="24"/>
          <w:rtl/>
        </w:rPr>
      </w:pPr>
    </w:p>
    <w:p w14:paraId="52EBA461" w14:textId="77777777" w:rsidR="009235D1" w:rsidRDefault="009235D1">
      <w:pPr>
        <w:rPr>
          <w:rFonts w:hint="cs"/>
          <w:sz w:val="24"/>
          <w:rtl/>
        </w:rPr>
      </w:pPr>
      <w:r>
        <w:rPr>
          <w:rFonts w:hint="cs"/>
          <w:sz w:val="24"/>
          <w:rtl/>
        </w:rPr>
        <w:t>יצויין, כי בתיק דנן לא מתעוררת כלל שאלה של זיהוי.</w:t>
      </w:r>
      <w:r>
        <w:rPr>
          <w:color w:val="FFFFFF"/>
          <w:sz w:val="4"/>
          <w:szCs w:val="4"/>
          <w:rtl/>
        </w:rPr>
        <w:t>ו</w:t>
      </w:r>
    </w:p>
    <w:p w14:paraId="350DFF65" w14:textId="77777777" w:rsidR="009235D1" w:rsidRDefault="009235D1">
      <w:pPr>
        <w:rPr>
          <w:rFonts w:hint="cs"/>
          <w:sz w:val="24"/>
          <w:rtl/>
        </w:rPr>
      </w:pPr>
    </w:p>
    <w:p w14:paraId="750B9D94" w14:textId="77777777" w:rsidR="009235D1" w:rsidRDefault="009235D1">
      <w:pPr>
        <w:rPr>
          <w:rFonts w:hint="cs"/>
          <w:sz w:val="24"/>
          <w:rtl/>
        </w:rPr>
      </w:pPr>
      <w:r>
        <w:rPr>
          <w:rFonts w:hint="cs"/>
          <w:sz w:val="24"/>
          <w:rtl/>
        </w:rPr>
        <w:t>המתלוננת, אשר אינה תושבת ירושלים, הגיעה לעיר לביקור חברתה. בבוקרו של יום הארוע, בעת שהתלוותה אל חברתה לשיעור ספרות בהר נוף, יצאה המתלוננת מהכיתה,לבדה, בטרם הסתיים השיעור ומתוך כוונה לחזור אל חברתה, ושמה פעמיה לעבר המכולת הסמוכה.</w:t>
      </w:r>
      <w:r>
        <w:rPr>
          <w:color w:val="FFFFFF"/>
          <w:sz w:val="4"/>
          <w:szCs w:val="4"/>
          <w:rtl/>
        </w:rPr>
        <w:t>נ</w:t>
      </w:r>
    </w:p>
    <w:p w14:paraId="59A93970" w14:textId="77777777" w:rsidR="009235D1" w:rsidRDefault="009235D1">
      <w:pPr>
        <w:rPr>
          <w:rFonts w:hint="cs"/>
          <w:sz w:val="24"/>
          <w:rtl/>
        </w:rPr>
      </w:pPr>
    </w:p>
    <w:p w14:paraId="4C0D757F" w14:textId="77777777" w:rsidR="009235D1" w:rsidRDefault="009235D1">
      <w:pPr>
        <w:pStyle w:val="BodyTextIndent"/>
        <w:rPr>
          <w:rFonts w:cs="David" w:hint="cs"/>
          <w:rtl/>
        </w:rPr>
      </w:pPr>
      <w:r>
        <w:rPr>
          <w:rFonts w:cs="David" w:hint="cs"/>
          <w:rtl/>
        </w:rPr>
        <w:t xml:space="preserve">המתלוננת העידה, כי החליטה להיכנס לחנות הצעצועים למרות שלא היה ברשותה כסף, על מנת לבחון אפשרויות לקניית מתנות יום-הולדת לאחיה הקטנים, ולברר מחירים. </w:t>
      </w:r>
    </w:p>
    <w:p w14:paraId="3B6173FC" w14:textId="77777777" w:rsidR="009235D1" w:rsidRDefault="009235D1">
      <w:pPr>
        <w:pStyle w:val="BodyTextIndent"/>
        <w:rPr>
          <w:rFonts w:cs="David" w:hint="cs"/>
          <w:rtl/>
        </w:rPr>
      </w:pPr>
    </w:p>
    <w:p w14:paraId="24AB6523" w14:textId="77777777" w:rsidR="009235D1" w:rsidRDefault="009235D1">
      <w:pPr>
        <w:pStyle w:val="BodyTextIndent"/>
        <w:rPr>
          <w:rFonts w:cs="David" w:hint="cs"/>
          <w:b/>
          <w:bCs/>
          <w:rtl/>
        </w:rPr>
      </w:pPr>
      <w:r>
        <w:rPr>
          <w:rFonts w:cs="David" w:hint="cs"/>
          <w:rtl/>
        </w:rPr>
        <w:t>המתלוננת העידה, כי נכנסה לחנות הצעצועים של הנאשם. לאחר שהתעניינה באחד הצעצועים, החל הנאשם לגעת בה בכתפיים, בידיים והתחיל ללטף אותה תוך שהוא שואל אותה שאלות (עמ' 2, שורה 6). המתלוננת מסרה, כי הנאשם ליטף אותה בפניה בעודו שואל אותה אם ברצונה לקבל את הצעצוע כמתנה,</w:t>
      </w:r>
      <w:r>
        <w:rPr>
          <w:rFonts w:cs="David" w:hint="cs"/>
          <w:b/>
          <w:bCs/>
          <w:rtl/>
        </w:rPr>
        <w:t xml:space="preserve"> "בחינם"</w:t>
      </w:r>
      <w:r>
        <w:rPr>
          <w:rFonts w:cs="David" w:hint="cs"/>
          <w:rtl/>
        </w:rPr>
        <w:t xml:space="preserve"> (עמ' 2, שורה 10). המתלוננת סירבה ונימקה את סירובה בכך שאינה </w:t>
      </w:r>
      <w:r>
        <w:rPr>
          <w:rFonts w:cs="David" w:hint="cs"/>
          <w:b/>
          <w:bCs/>
          <w:rtl/>
        </w:rPr>
        <w:t>נזקקת</w:t>
      </w:r>
      <w:r>
        <w:rPr>
          <w:rFonts w:cs="David" w:hint="cs"/>
          <w:rtl/>
        </w:rPr>
        <w:t xml:space="preserve"> ואין היא מעונינת לקבל מותרות ללא תשלום, שכן, בעיניה הדבר חשוד כ</w:t>
      </w:r>
      <w:r>
        <w:rPr>
          <w:rFonts w:cs="David" w:hint="cs"/>
          <w:b/>
          <w:bCs/>
          <w:rtl/>
        </w:rPr>
        <w:t xml:space="preserve">"גזל וגניבה" . </w:t>
      </w:r>
    </w:p>
    <w:p w14:paraId="5E53BA58" w14:textId="77777777" w:rsidR="009235D1" w:rsidRDefault="009235D1">
      <w:pPr>
        <w:pStyle w:val="BodyTextIndent"/>
        <w:rPr>
          <w:rFonts w:cs="David" w:hint="cs"/>
          <w:b/>
          <w:bCs/>
          <w:rtl/>
        </w:rPr>
      </w:pPr>
    </w:p>
    <w:p w14:paraId="4D209883" w14:textId="77777777" w:rsidR="009235D1" w:rsidRDefault="009235D1">
      <w:pPr>
        <w:pStyle w:val="BodyTextIndent"/>
        <w:rPr>
          <w:rFonts w:cs="David" w:hint="cs"/>
          <w:rtl/>
        </w:rPr>
      </w:pPr>
      <w:r>
        <w:rPr>
          <w:rFonts w:cs="David" w:hint="cs"/>
          <w:rtl/>
        </w:rPr>
        <w:t>בהתאם לעדותה,</w:t>
      </w:r>
      <w:r>
        <w:rPr>
          <w:rFonts w:cs="David" w:hint="cs"/>
          <w:b/>
          <w:bCs/>
          <w:rtl/>
        </w:rPr>
        <w:t xml:space="preserve"> </w:t>
      </w:r>
      <w:r>
        <w:rPr>
          <w:rFonts w:cs="David" w:hint="cs"/>
          <w:rtl/>
        </w:rPr>
        <w:t xml:space="preserve">נוכח סירובה המשיך הנאשם ואמר </w:t>
      </w:r>
      <w:r>
        <w:rPr>
          <w:rFonts w:cs="David" w:hint="cs"/>
          <w:b/>
          <w:bCs/>
          <w:rtl/>
        </w:rPr>
        <w:t>" ... 'אם את רוצה לקבל, את יכולה, את רוצה לבוא אלי הביתה ? את יפה,' ... הוא ליטף אותי... ואמר לי – יש לך עוד חברות כהות ? אני אוהב אותך..."</w:t>
      </w:r>
      <w:r>
        <w:rPr>
          <w:rFonts w:cs="David" w:hint="cs"/>
          <w:rtl/>
        </w:rPr>
        <w:t xml:space="preserve"> משעמדה המתלוננת בסירובה וציינה כי היא ממהרת חזר הנאשם ואמר </w:t>
      </w:r>
      <w:r>
        <w:rPr>
          <w:rFonts w:cs="David" w:hint="cs"/>
          <w:b/>
          <w:bCs/>
          <w:rtl/>
        </w:rPr>
        <w:t>"אם את רוצה את הצעצוע תבואי אלי בשעה 12:30, הבית שלי לא רחוק, עשה כך עם היד, לא הבנתי בדיוק, אך תבואי אלי לבית, אל תדאגי אשתי לא תהיה שם.."</w:t>
      </w:r>
      <w:r>
        <w:rPr>
          <w:rFonts w:cs="David" w:hint="cs"/>
          <w:rtl/>
        </w:rPr>
        <w:t xml:space="preserve"> (עמ' 2 שורות 13-18).</w:t>
      </w:r>
      <w:r>
        <w:rPr>
          <w:rFonts w:cs="David"/>
          <w:color w:val="FFFFFF"/>
          <w:sz w:val="4"/>
          <w:szCs w:val="4"/>
          <w:rtl/>
        </w:rPr>
        <w:t>ב</w:t>
      </w:r>
    </w:p>
    <w:p w14:paraId="7687AB8F" w14:textId="77777777" w:rsidR="009235D1" w:rsidRDefault="009235D1">
      <w:pPr>
        <w:rPr>
          <w:rFonts w:hint="cs"/>
          <w:sz w:val="24"/>
          <w:rtl/>
        </w:rPr>
      </w:pPr>
    </w:p>
    <w:p w14:paraId="4DCD8236" w14:textId="77777777" w:rsidR="009235D1" w:rsidRDefault="009235D1">
      <w:pPr>
        <w:rPr>
          <w:rFonts w:hint="cs"/>
          <w:sz w:val="24"/>
          <w:rtl/>
        </w:rPr>
      </w:pPr>
      <w:r>
        <w:rPr>
          <w:rFonts w:hint="cs"/>
          <w:sz w:val="24"/>
          <w:rtl/>
        </w:rPr>
        <w:t>המתלוננת מתארת, כי משניעורה מקיפאונה (עמ' 2,שורה 15) נמלטה מן החנות בעודה רועדת ומפוחדת ונכנסה אל המכבסה הסמוכה מחשש שהנאשם עלול לעקוב אחריה, וסיפרה למוכר במכבסה בקצרה על הקורות אותה ועל פחדיה.</w:t>
      </w:r>
      <w:r>
        <w:rPr>
          <w:color w:val="FFFFFF"/>
          <w:sz w:val="4"/>
          <w:szCs w:val="4"/>
          <w:rtl/>
        </w:rPr>
        <w:t>ו</w:t>
      </w:r>
    </w:p>
    <w:p w14:paraId="600935CB" w14:textId="77777777" w:rsidR="009235D1" w:rsidRDefault="009235D1">
      <w:pPr>
        <w:rPr>
          <w:rFonts w:hint="cs"/>
          <w:sz w:val="24"/>
          <w:rtl/>
        </w:rPr>
      </w:pPr>
    </w:p>
    <w:p w14:paraId="5C61A754" w14:textId="77777777" w:rsidR="009235D1" w:rsidRDefault="009235D1">
      <w:pPr>
        <w:rPr>
          <w:rFonts w:hint="cs"/>
          <w:sz w:val="24"/>
          <w:rtl/>
        </w:rPr>
      </w:pPr>
      <w:r>
        <w:rPr>
          <w:rFonts w:hint="cs"/>
          <w:sz w:val="24"/>
          <w:rtl/>
        </w:rPr>
        <w:t xml:space="preserve">על ההתרחשות במכבסה מעידה המתלוננת בזו הלשון: </w:t>
      </w:r>
    </w:p>
    <w:p w14:paraId="295D21A6" w14:textId="77777777" w:rsidR="009235D1" w:rsidRDefault="009235D1">
      <w:pPr>
        <w:rPr>
          <w:rFonts w:hint="cs"/>
          <w:sz w:val="24"/>
          <w:rtl/>
        </w:rPr>
      </w:pPr>
    </w:p>
    <w:p w14:paraId="74E0B8DD" w14:textId="77777777" w:rsidR="009235D1" w:rsidRDefault="009235D1">
      <w:pPr>
        <w:ind w:left="720"/>
        <w:rPr>
          <w:rFonts w:hint="cs"/>
          <w:sz w:val="24"/>
          <w:rtl/>
        </w:rPr>
      </w:pPr>
      <w:r>
        <w:rPr>
          <w:rFonts w:hint="cs"/>
          <w:b/>
          <w:bCs/>
          <w:sz w:val="24"/>
          <w:rtl/>
        </w:rPr>
        <w:t>"נכנסתי למכבסה, ... מכבסה גדולה ואחד לא הבין מה אני, כנראה שראה עלי ולא הבין שאל אותי 'ילדה מה קרה', אני הצצתי כך לראות אם הוא נמצא ובאמת לא עקב אחרי בריצה או משהו כזה לתפוס אותי אך הוא הלך עם הידיים בכיסים, כאילו בסגנון מטייל, אך בעצם לראות לאן אני הולכת.... אז ניגשתי למוכר במכבסה...ואמרתי לו תעשה כאילו אתה מדבר אלי על כביסה או משהו כזה, כי אני מפחדת ותזהר, כי איש אחד יכול לעבור כאן ולעשות לי משהו ואני מפחדת.... אז שאל אותי מה קרה לך וסיפרתי לו בערך, ... הוא אמר לי אל תפחדי הוא לא יעשה לך כלום, משהו כזה."</w:t>
      </w:r>
      <w:r>
        <w:rPr>
          <w:rFonts w:hint="cs"/>
          <w:sz w:val="24"/>
          <w:rtl/>
        </w:rPr>
        <w:t xml:space="preserve"> (עמ' 2 שורות 21-32).</w:t>
      </w:r>
      <w:r>
        <w:rPr>
          <w:color w:val="FFFFFF"/>
          <w:sz w:val="4"/>
          <w:szCs w:val="4"/>
          <w:rtl/>
        </w:rPr>
        <w:t>נ</w:t>
      </w:r>
    </w:p>
    <w:p w14:paraId="6C20F523" w14:textId="77777777" w:rsidR="009235D1" w:rsidRDefault="009235D1">
      <w:pPr>
        <w:rPr>
          <w:rFonts w:hint="cs"/>
          <w:sz w:val="24"/>
          <w:rtl/>
        </w:rPr>
      </w:pPr>
    </w:p>
    <w:p w14:paraId="47692D7C" w14:textId="77777777" w:rsidR="009235D1" w:rsidRDefault="009235D1">
      <w:pPr>
        <w:rPr>
          <w:rFonts w:hint="cs"/>
          <w:sz w:val="24"/>
          <w:rtl/>
        </w:rPr>
      </w:pPr>
    </w:p>
    <w:p w14:paraId="2902CBEF" w14:textId="77777777" w:rsidR="009235D1" w:rsidRDefault="009235D1">
      <w:pPr>
        <w:rPr>
          <w:rFonts w:hint="cs"/>
          <w:sz w:val="24"/>
          <w:rtl/>
        </w:rPr>
      </w:pPr>
      <w:r>
        <w:rPr>
          <w:rFonts w:hint="cs"/>
          <w:sz w:val="24"/>
          <w:rtl/>
        </w:rPr>
        <w:t>המתלוננת המשיכה והעידה בעדותה הראשית, כי לאחר מכן, שבה אל חברתה וסיפרה לה את שארע.</w:t>
      </w:r>
      <w:r>
        <w:rPr>
          <w:color w:val="FFFFFF"/>
          <w:sz w:val="4"/>
          <w:szCs w:val="4"/>
          <w:rtl/>
        </w:rPr>
        <w:t>ב</w:t>
      </w:r>
    </w:p>
    <w:p w14:paraId="6B565A27" w14:textId="77777777" w:rsidR="009235D1" w:rsidRDefault="009235D1">
      <w:pPr>
        <w:rPr>
          <w:rFonts w:hint="cs"/>
          <w:sz w:val="24"/>
          <w:rtl/>
        </w:rPr>
      </w:pPr>
    </w:p>
    <w:p w14:paraId="6ACD6B33" w14:textId="77777777" w:rsidR="009235D1" w:rsidRDefault="009235D1">
      <w:pPr>
        <w:rPr>
          <w:rFonts w:hint="cs"/>
          <w:sz w:val="24"/>
          <w:rtl/>
        </w:rPr>
      </w:pPr>
      <w:r>
        <w:rPr>
          <w:rFonts w:hint="cs"/>
          <w:sz w:val="24"/>
          <w:rtl/>
        </w:rPr>
        <w:t>האדם השלישי לו סיפרה המתלוננת על האירוע היה החבר של חברתה, אלון לוי, שהבחין שפניה אינם כתמול שלשום וביקש לברר מדוע נפלו פניה. לאחר שסיפרה לו, המליץ לה לפנות למשטרה בהקדם. המתלוננת היססה בתחילה אך לבסוף שוכנעה. תחילה הסיעה החבר, אלון לוי, אל החנות וביקש ממנה לבדוק אם המוכר (הנאשם) שם, המתלוננת הבחינה בו ומיד לאחר מכן, הזמינו משטרה (עמ' 3 שורות 18-23).</w:t>
      </w:r>
      <w:r>
        <w:rPr>
          <w:color w:val="FFFFFF"/>
          <w:sz w:val="4"/>
          <w:szCs w:val="4"/>
          <w:rtl/>
        </w:rPr>
        <w:t>ו</w:t>
      </w:r>
    </w:p>
    <w:p w14:paraId="6596660E" w14:textId="77777777" w:rsidR="009235D1" w:rsidRDefault="009235D1">
      <w:pPr>
        <w:rPr>
          <w:rFonts w:hint="cs"/>
          <w:sz w:val="24"/>
          <w:rtl/>
        </w:rPr>
      </w:pPr>
    </w:p>
    <w:p w14:paraId="55D621E4" w14:textId="77777777" w:rsidR="009235D1" w:rsidRDefault="009235D1">
      <w:pPr>
        <w:rPr>
          <w:rFonts w:hint="cs"/>
          <w:sz w:val="24"/>
          <w:rtl/>
        </w:rPr>
      </w:pPr>
      <w:r>
        <w:rPr>
          <w:rFonts w:hint="cs"/>
          <w:sz w:val="24"/>
          <w:rtl/>
        </w:rPr>
        <w:t xml:space="preserve">המתלוננת הוסיפה והסבירה, כי חששה לערב גורמים רבים בארוע, בפרט את הוריה. כדבריה: </w:t>
      </w:r>
    </w:p>
    <w:p w14:paraId="12DF1CDF" w14:textId="77777777" w:rsidR="009235D1" w:rsidRDefault="009235D1">
      <w:pPr>
        <w:rPr>
          <w:rFonts w:hint="cs"/>
          <w:sz w:val="24"/>
          <w:rtl/>
        </w:rPr>
      </w:pPr>
    </w:p>
    <w:p w14:paraId="14633FDA" w14:textId="77777777" w:rsidR="009235D1" w:rsidRDefault="009235D1">
      <w:pPr>
        <w:ind w:left="720" w:hanging="720"/>
        <w:rPr>
          <w:rFonts w:hint="cs"/>
          <w:sz w:val="24"/>
          <w:rtl/>
        </w:rPr>
      </w:pPr>
      <w:r>
        <w:rPr>
          <w:rFonts w:hint="cs"/>
          <w:sz w:val="24"/>
          <w:rtl/>
        </w:rPr>
        <w:tab/>
      </w:r>
      <w:r>
        <w:rPr>
          <w:rFonts w:hint="cs"/>
          <w:b/>
          <w:bCs/>
          <w:sz w:val="24"/>
          <w:rtl/>
        </w:rPr>
        <w:t>"פחדתי שאולי ההורים שלי יכעסו עלי שגבר נגע בי. זה פחד שהיה לי, כי הייתי תמימה.... אנו חברה של אנשים דתיים, המשפחה שלי חרדית, .... גם במשטרה פחדתי ובכיתי, גם לאלון בכיתי"</w:t>
      </w:r>
      <w:r>
        <w:rPr>
          <w:rFonts w:hint="cs"/>
          <w:sz w:val="24"/>
          <w:rtl/>
        </w:rPr>
        <w:t xml:space="preserve"> (עמ' 4 שורות 15-17).</w:t>
      </w:r>
      <w:r>
        <w:rPr>
          <w:color w:val="FFFFFF"/>
          <w:sz w:val="4"/>
          <w:szCs w:val="4"/>
          <w:rtl/>
        </w:rPr>
        <w:t>נ</w:t>
      </w:r>
    </w:p>
    <w:p w14:paraId="3E954172" w14:textId="77777777" w:rsidR="009235D1" w:rsidRDefault="009235D1">
      <w:pPr>
        <w:rPr>
          <w:rFonts w:hint="cs"/>
          <w:sz w:val="24"/>
          <w:rtl/>
        </w:rPr>
      </w:pPr>
    </w:p>
    <w:p w14:paraId="7EFC958A" w14:textId="77777777" w:rsidR="009235D1" w:rsidRDefault="009235D1">
      <w:pPr>
        <w:rPr>
          <w:rFonts w:hint="cs"/>
          <w:sz w:val="24"/>
          <w:rtl/>
        </w:rPr>
      </w:pPr>
      <w:r>
        <w:rPr>
          <w:rFonts w:hint="cs"/>
          <w:sz w:val="24"/>
          <w:rtl/>
        </w:rPr>
        <w:t>המתלוננת חזרה על עיקר דבריה גם במהלך החקירה הנגדית והותירה רושם חיובי.</w:t>
      </w:r>
      <w:r>
        <w:rPr>
          <w:color w:val="FFFFFF"/>
          <w:sz w:val="4"/>
          <w:szCs w:val="4"/>
          <w:rtl/>
        </w:rPr>
        <w:t>ב</w:t>
      </w:r>
    </w:p>
    <w:p w14:paraId="3B01DB40" w14:textId="77777777" w:rsidR="009235D1" w:rsidRDefault="009235D1">
      <w:pPr>
        <w:rPr>
          <w:rFonts w:hint="cs"/>
          <w:sz w:val="24"/>
          <w:rtl/>
        </w:rPr>
      </w:pPr>
    </w:p>
    <w:p w14:paraId="5144F380" w14:textId="77777777" w:rsidR="009235D1" w:rsidRDefault="009235D1">
      <w:pPr>
        <w:rPr>
          <w:rFonts w:hint="cs"/>
          <w:sz w:val="24"/>
          <w:rtl/>
        </w:rPr>
      </w:pPr>
      <w:r>
        <w:rPr>
          <w:rFonts w:hint="cs"/>
          <w:sz w:val="24"/>
          <w:rtl/>
        </w:rPr>
        <w:t>ב"כ הנאשם ניסה בשאלותיו לשוות למעשי הנאשם אופי "</w:t>
      </w:r>
      <w:r>
        <w:rPr>
          <w:rFonts w:hint="cs"/>
          <w:b/>
          <w:bCs/>
          <w:sz w:val="24"/>
          <w:rtl/>
        </w:rPr>
        <w:t xml:space="preserve">אבהי" </w:t>
      </w:r>
      <w:r>
        <w:rPr>
          <w:rFonts w:hint="cs"/>
          <w:sz w:val="24"/>
          <w:rtl/>
        </w:rPr>
        <w:t>וליטול בכך את העוקץ מן "</w:t>
      </w:r>
      <w:r>
        <w:rPr>
          <w:rFonts w:hint="cs"/>
          <w:b/>
          <w:bCs/>
          <w:sz w:val="24"/>
          <w:rtl/>
        </w:rPr>
        <w:t>המגונה</w:t>
      </w:r>
      <w:r>
        <w:rPr>
          <w:rFonts w:hint="cs"/>
          <w:sz w:val="24"/>
          <w:rtl/>
        </w:rPr>
        <w:t xml:space="preserve">" שבמעשה. עם זאת, המתלוננת השיבה בנחרצות, כי אין מדובר בתחושותיה בלבד: </w:t>
      </w:r>
    </w:p>
    <w:p w14:paraId="5D3E59C1" w14:textId="77777777" w:rsidR="009235D1" w:rsidRDefault="009235D1">
      <w:pPr>
        <w:rPr>
          <w:rFonts w:hint="cs"/>
          <w:sz w:val="24"/>
          <w:rtl/>
        </w:rPr>
      </w:pPr>
    </w:p>
    <w:p w14:paraId="3C061C4D" w14:textId="77777777" w:rsidR="009235D1" w:rsidRDefault="009235D1">
      <w:pPr>
        <w:ind w:left="720"/>
        <w:rPr>
          <w:rFonts w:hint="cs"/>
          <w:b/>
          <w:bCs/>
          <w:sz w:val="24"/>
          <w:rtl/>
        </w:rPr>
      </w:pPr>
      <w:r>
        <w:rPr>
          <w:rFonts w:hint="cs"/>
          <w:b/>
          <w:bCs/>
          <w:sz w:val="24"/>
          <w:rtl/>
        </w:rPr>
        <w:t>"זה לא מה שחשתי זה גם מה שהוא אמר. אם כבודו יפרש את המשפט של החימום, את הלטיפות, אם אני רוצה להגיע הביתה ושלא אדאג כי אשתו לא תהיה שם בתירוץ בשבילי שיביא לי משחק מתנה, אם זה נראה חביב ולא רצון לנצל ילדה בגלל המין שלה – זה יחליט השופט"</w:t>
      </w:r>
      <w:r>
        <w:rPr>
          <w:rFonts w:hint="cs"/>
          <w:sz w:val="24"/>
          <w:rtl/>
        </w:rPr>
        <w:t xml:space="preserve"> (עמ' 10, שורות 6-8).</w:t>
      </w:r>
      <w:r>
        <w:rPr>
          <w:rFonts w:hint="cs"/>
          <w:b/>
          <w:bCs/>
          <w:sz w:val="24"/>
          <w:rtl/>
        </w:rPr>
        <w:t xml:space="preserve"> </w:t>
      </w:r>
    </w:p>
    <w:p w14:paraId="517891FC" w14:textId="77777777" w:rsidR="009235D1" w:rsidRDefault="009235D1">
      <w:pPr>
        <w:ind w:left="720"/>
        <w:rPr>
          <w:rFonts w:hint="cs"/>
          <w:b/>
          <w:bCs/>
          <w:sz w:val="24"/>
          <w:rtl/>
        </w:rPr>
      </w:pPr>
    </w:p>
    <w:p w14:paraId="19854C7D" w14:textId="77777777" w:rsidR="009235D1" w:rsidRDefault="009235D1">
      <w:pPr>
        <w:rPr>
          <w:rFonts w:hint="cs"/>
          <w:sz w:val="24"/>
          <w:rtl/>
        </w:rPr>
      </w:pPr>
      <w:r>
        <w:rPr>
          <w:rFonts w:hint="cs"/>
          <w:sz w:val="24"/>
          <w:rtl/>
        </w:rPr>
        <w:t>כמו כן, נשאלה המתלוננת:</w:t>
      </w:r>
    </w:p>
    <w:p w14:paraId="29D40604" w14:textId="77777777" w:rsidR="009235D1" w:rsidRDefault="009235D1">
      <w:pPr>
        <w:rPr>
          <w:rFonts w:hint="cs"/>
          <w:sz w:val="24"/>
          <w:rtl/>
        </w:rPr>
      </w:pPr>
    </w:p>
    <w:p w14:paraId="45F7A08B" w14:textId="77777777" w:rsidR="009235D1" w:rsidRDefault="009235D1">
      <w:pPr>
        <w:rPr>
          <w:rFonts w:hint="cs"/>
          <w:b/>
          <w:bCs/>
          <w:sz w:val="24"/>
          <w:rtl/>
        </w:rPr>
      </w:pPr>
      <w:r>
        <w:rPr>
          <w:rFonts w:hint="cs"/>
          <w:sz w:val="24"/>
          <w:rtl/>
        </w:rPr>
        <w:tab/>
      </w:r>
      <w:r>
        <w:rPr>
          <w:rFonts w:hint="cs"/>
          <w:b/>
          <w:bCs/>
          <w:sz w:val="24"/>
          <w:rtl/>
        </w:rPr>
        <w:t>"הוא שם ידיים עלייך בצורה שסבא היה נותן חיבוק לנכדה. נכון?"</w:t>
      </w:r>
    </w:p>
    <w:p w14:paraId="47D6CD36" w14:textId="77777777" w:rsidR="009235D1" w:rsidRDefault="009235D1">
      <w:pPr>
        <w:rPr>
          <w:rFonts w:hint="cs"/>
          <w:rtl/>
        </w:rPr>
      </w:pPr>
      <w:r>
        <w:rPr>
          <w:rFonts w:hint="cs"/>
          <w:b/>
          <w:bCs/>
          <w:sz w:val="24"/>
          <w:rtl/>
          <w:lang w:eastAsia="he-IL"/>
        </w:rPr>
        <w:br w:type="page"/>
      </w:r>
      <w:r>
        <w:rPr>
          <w:rFonts w:hint="cs"/>
          <w:rtl/>
        </w:rPr>
        <w:t>על כך השיבה המתלוננת:</w:t>
      </w:r>
    </w:p>
    <w:p w14:paraId="168B6CDB" w14:textId="77777777" w:rsidR="009235D1" w:rsidRDefault="009235D1">
      <w:pPr>
        <w:pStyle w:val="BodyTextIndent"/>
        <w:rPr>
          <w:rFonts w:cs="David" w:hint="cs"/>
          <w:rtl/>
        </w:rPr>
      </w:pPr>
    </w:p>
    <w:p w14:paraId="7DDBD809" w14:textId="77777777" w:rsidR="009235D1" w:rsidRDefault="009235D1">
      <w:pPr>
        <w:ind w:left="720" w:hanging="720"/>
        <w:rPr>
          <w:rFonts w:hint="cs"/>
          <w:sz w:val="24"/>
          <w:rtl/>
        </w:rPr>
      </w:pPr>
      <w:r>
        <w:rPr>
          <w:rFonts w:hint="cs"/>
          <w:sz w:val="24"/>
          <w:rtl/>
        </w:rPr>
        <w:tab/>
      </w:r>
      <w:r>
        <w:rPr>
          <w:rFonts w:hint="cs"/>
          <w:b/>
          <w:bCs/>
          <w:sz w:val="24"/>
          <w:rtl/>
        </w:rPr>
        <w:t>"כן ולא. כי היו תנועות שבהתחלה הוא אמר וואי איזה חמודה זה כמו שסבא אומר איזה מתוקה אני אוהב אותך את נכדה שלי אך כשלקח לי את היד ואמר אם אני רוצה שיחמם אותי וליטף אותי בזרועות ואם אני רוצה להגיע לדירה שלו ולא אדאג כי אשתו לא תהיה שם, זה לא סבא לנכדה, זה היה משהו כמו...."</w:t>
      </w:r>
      <w:r>
        <w:rPr>
          <w:rFonts w:hint="cs"/>
          <w:sz w:val="24"/>
          <w:rtl/>
        </w:rPr>
        <w:t xml:space="preserve"> (עמ' 8, שורות 16-20).</w:t>
      </w:r>
      <w:r>
        <w:rPr>
          <w:color w:val="FFFFFF"/>
          <w:sz w:val="4"/>
          <w:szCs w:val="4"/>
          <w:rtl/>
        </w:rPr>
        <w:t>ו</w:t>
      </w:r>
    </w:p>
    <w:p w14:paraId="75FBC03C" w14:textId="77777777" w:rsidR="009235D1" w:rsidRDefault="009235D1">
      <w:pPr>
        <w:ind w:left="720" w:hanging="720"/>
        <w:rPr>
          <w:rFonts w:hint="cs"/>
          <w:sz w:val="24"/>
          <w:rtl/>
        </w:rPr>
      </w:pPr>
    </w:p>
    <w:p w14:paraId="560ABE73" w14:textId="77777777" w:rsidR="009235D1" w:rsidRDefault="009235D1">
      <w:pPr>
        <w:rPr>
          <w:rFonts w:hint="cs"/>
          <w:sz w:val="24"/>
          <w:rtl/>
        </w:rPr>
      </w:pPr>
      <w:r>
        <w:rPr>
          <w:rFonts w:hint="cs"/>
          <w:sz w:val="24"/>
          <w:rtl/>
        </w:rPr>
        <w:t xml:space="preserve">בהמשך חקירתה הנגדית ביקש ב"כ הנאשם לברר </w:t>
      </w:r>
      <w:r>
        <w:rPr>
          <w:rFonts w:hint="cs"/>
          <w:i/>
          <w:iCs/>
          <w:sz w:val="24"/>
          <w:u w:val="single"/>
          <w:rtl/>
        </w:rPr>
        <w:t>כיצד</w:t>
      </w:r>
      <w:r>
        <w:rPr>
          <w:rFonts w:hint="cs"/>
          <w:sz w:val="24"/>
          <w:rtl/>
        </w:rPr>
        <w:t xml:space="preserve"> נגע בה הנאשם ובכך ביקש לשלול את האפשרות שהנאשם ביצע את המעשה, שכן, לגירסת הנאשם הינו משותק באחת מידיו ולתמיכה בגרסתו הגיש לבית המשפט מסמך רפואי המעיד על מוגבלותו (</w:t>
      </w:r>
      <w:r>
        <w:rPr>
          <w:rFonts w:hint="cs"/>
          <w:b/>
          <w:bCs/>
          <w:sz w:val="24"/>
          <w:rtl/>
        </w:rPr>
        <w:t>"חולשה קבועה בכל פלג גוף שמאל</w:t>
      </w:r>
      <w:r>
        <w:rPr>
          <w:rFonts w:hint="cs"/>
          <w:sz w:val="24"/>
          <w:rtl/>
        </w:rPr>
        <w:t xml:space="preserve">" – נ/1, ארחיב על כך בהמשך הדברים). </w:t>
      </w:r>
    </w:p>
    <w:p w14:paraId="753916F8" w14:textId="77777777" w:rsidR="009235D1" w:rsidRDefault="009235D1">
      <w:pPr>
        <w:rPr>
          <w:rFonts w:hint="cs"/>
          <w:sz w:val="24"/>
          <w:rtl/>
        </w:rPr>
      </w:pPr>
    </w:p>
    <w:p w14:paraId="2A331617" w14:textId="77777777" w:rsidR="009235D1" w:rsidRDefault="009235D1">
      <w:pPr>
        <w:rPr>
          <w:rFonts w:hint="cs"/>
          <w:sz w:val="24"/>
          <w:rtl/>
        </w:rPr>
      </w:pPr>
      <w:r>
        <w:rPr>
          <w:rFonts w:hint="cs"/>
          <w:sz w:val="24"/>
          <w:rtl/>
        </w:rPr>
        <w:t xml:space="preserve">המתלוננת לא זכרה לציין באיזו משתי ידיו השתמש וציינה, כי בחלק מנגיעותיו השתמש הנאשם בשתי ידיו </w:t>
      </w:r>
      <w:r>
        <w:rPr>
          <w:rFonts w:hint="cs"/>
          <w:b/>
          <w:bCs/>
          <w:sz w:val="24"/>
          <w:rtl/>
        </w:rPr>
        <w:t>"אך לא בחוזק, לכן גם יכלתי להתחמק"</w:t>
      </w:r>
      <w:r>
        <w:rPr>
          <w:rFonts w:hint="cs"/>
          <w:sz w:val="24"/>
          <w:rtl/>
        </w:rPr>
        <w:t xml:space="preserve"> (עמ' 6 שורות 1-2).</w:t>
      </w:r>
      <w:r>
        <w:rPr>
          <w:color w:val="FFFFFF"/>
          <w:sz w:val="4"/>
          <w:szCs w:val="4"/>
          <w:rtl/>
        </w:rPr>
        <w:t>נ</w:t>
      </w:r>
    </w:p>
    <w:p w14:paraId="04E33CB6" w14:textId="77777777" w:rsidR="009235D1" w:rsidRDefault="009235D1">
      <w:pPr>
        <w:rPr>
          <w:rFonts w:hint="cs"/>
          <w:sz w:val="24"/>
          <w:rtl/>
        </w:rPr>
      </w:pPr>
    </w:p>
    <w:p w14:paraId="1C9CC91E" w14:textId="77777777" w:rsidR="009235D1" w:rsidRDefault="009235D1">
      <w:pPr>
        <w:rPr>
          <w:rFonts w:hint="cs"/>
          <w:sz w:val="24"/>
          <w:rtl/>
        </w:rPr>
      </w:pPr>
      <w:r>
        <w:rPr>
          <w:rFonts w:hint="cs"/>
          <w:sz w:val="24"/>
          <w:rtl/>
        </w:rPr>
        <w:t>לא התרשמתי, כי הנאשם לא יכול היה להשתמש בשתי ידיו וגם בעת הדיון באולם ביצע הנאשם מספר תנועות בידו השמאלית.</w:t>
      </w:r>
      <w:r>
        <w:rPr>
          <w:color w:val="FFFFFF"/>
          <w:sz w:val="4"/>
          <w:szCs w:val="4"/>
          <w:rtl/>
        </w:rPr>
        <w:t>ב</w:t>
      </w:r>
    </w:p>
    <w:p w14:paraId="45DC43D0" w14:textId="77777777" w:rsidR="009235D1" w:rsidRDefault="009235D1">
      <w:pPr>
        <w:rPr>
          <w:rFonts w:hint="cs"/>
          <w:sz w:val="24"/>
          <w:rtl/>
        </w:rPr>
      </w:pPr>
    </w:p>
    <w:p w14:paraId="2E225A15" w14:textId="77777777" w:rsidR="009235D1" w:rsidRDefault="009235D1">
      <w:pPr>
        <w:rPr>
          <w:rFonts w:hint="cs"/>
          <w:sz w:val="24"/>
          <w:rtl/>
        </w:rPr>
      </w:pPr>
      <w:r>
        <w:rPr>
          <w:rFonts w:hint="cs"/>
          <w:sz w:val="24"/>
          <w:rtl/>
        </w:rPr>
        <w:t xml:space="preserve">נקודה נוספת, אשר זכתה להתיחסות בחקירתה הנגדית, היתה מידת החשיפה של החנות לעוברים ושבים. ב"כ הנאשם הציג למתלוננת מספר תמונות על מנת להמחיש טענותיו (נ/2-נ/7). אולם, המתלוננת ציינה, כי החנות היתה חשוכה מעט יותר וכן כי לא היו לקוחות נוספים אותה שעה. </w:t>
      </w:r>
    </w:p>
    <w:p w14:paraId="76E69119" w14:textId="77777777" w:rsidR="009235D1" w:rsidRDefault="009235D1">
      <w:pPr>
        <w:rPr>
          <w:rFonts w:hint="cs"/>
          <w:sz w:val="24"/>
          <w:rtl/>
        </w:rPr>
      </w:pPr>
      <w:r>
        <w:rPr>
          <w:rFonts w:hint="cs"/>
          <w:sz w:val="24"/>
          <w:rtl/>
        </w:rPr>
        <w:t>מהתבוננות בתמונות, נראה, כי החנות אכן נראית צפופה וקטנה, אך חלון הראווה עמוס מוצרים לעייפה ועל כן קשה להבחין מבעד לחלון במתרחש בחנות פנימה וגם אם דלת החנות היתה פתוחה, אין בכך, כדי לשלול את קרות האירוע.</w:t>
      </w:r>
      <w:r>
        <w:rPr>
          <w:color w:val="FFFFFF"/>
          <w:sz w:val="4"/>
          <w:szCs w:val="4"/>
          <w:rtl/>
        </w:rPr>
        <w:t>ו</w:t>
      </w:r>
    </w:p>
    <w:p w14:paraId="06595223" w14:textId="77777777" w:rsidR="009235D1" w:rsidRDefault="009235D1">
      <w:pPr>
        <w:rPr>
          <w:rFonts w:hint="cs"/>
          <w:sz w:val="24"/>
          <w:rtl/>
        </w:rPr>
      </w:pPr>
      <w:r>
        <w:rPr>
          <w:rFonts w:hint="cs"/>
          <w:sz w:val="24"/>
          <w:rtl/>
        </w:rPr>
        <w:t xml:space="preserve"> </w:t>
      </w:r>
    </w:p>
    <w:p w14:paraId="2BB0CB7A" w14:textId="77777777" w:rsidR="009235D1" w:rsidRDefault="009235D1">
      <w:pPr>
        <w:rPr>
          <w:rFonts w:hint="cs"/>
          <w:sz w:val="24"/>
          <w:rtl/>
        </w:rPr>
      </w:pPr>
      <w:r>
        <w:rPr>
          <w:rFonts w:hint="cs"/>
          <w:sz w:val="24"/>
          <w:rtl/>
        </w:rPr>
        <w:t>בעניין זה כבר נפסק בעבר בבית המשפט המחוזי כהאי לישנא:</w:t>
      </w:r>
    </w:p>
    <w:p w14:paraId="387ADB17" w14:textId="77777777" w:rsidR="009235D1" w:rsidRDefault="009235D1">
      <w:pPr>
        <w:rPr>
          <w:rFonts w:hint="cs"/>
          <w:sz w:val="24"/>
          <w:rtl/>
        </w:rPr>
      </w:pPr>
    </w:p>
    <w:p w14:paraId="5C33DE0A" w14:textId="77777777" w:rsidR="009235D1" w:rsidRDefault="009235D1">
      <w:pPr>
        <w:ind w:left="720" w:hanging="720"/>
        <w:rPr>
          <w:rFonts w:hint="cs"/>
          <w:sz w:val="24"/>
          <w:rtl/>
        </w:rPr>
      </w:pPr>
      <w:r>
        <w:rPr>
          <w:rFonts w:hint="cs"/>
          <w:sz w:val="24"/>
          <w:rtl/>
        </w:rPr>
        <w:tab/>
      </w:r>
      <w:r>
        <w:rPr>
          <w:rFonts w:hint="cs"/>
          <w:b/>
          <w:bCs/>
          <w:sz w:val="24"/>
          <w:rtl/>
        </w:rPr>
        <w:t xml:space="preserve">"לרוע המזל, לא ההגיון שולט במעשי התקיפה המיניים ולכן סכנה פוטנציאלית להיתפס, איננה בהכרח מונעת אותם" </w:t>
      </w:r>
      <w:r>
        <w:rPr>
          <w:rFonts w:hint="cs"/>
          <w:sz w:val="24"/>
          <w:rtl/>
        </w:rPr>
        <w:t>(</w:t>
      </w:r>
      <w:hyperlink r:id="rId15" w:history="1">
        <w:r w:rsidR="00643D4A" w:rsidRPr="00643D4A">
          <w:rPr>
            <w:rStyle w:val="Hyperlink"/>
            <w:rFonts w:hint="eastAsia"/>
            <w:sz w:val="24"/>
            <w:rtl/>
          </w:rPr>
          <w:t>ע</w:t>
        </w:r>
        <w:r w:rsidR="00643D4A" w:rsidRPr="00643D4A">
          <w:rPr>
            <w:rStyle w:val="Hyperlink"/>
            <w:sz w:val="24"/>
            <w:rtl/>
          </w:rPr>
          <w:t>"פ (תל-אביב-יפו) 4314/98</w:t>
        </w:r>
      </w:hyperlink>
      <w:r>
        <w:rPr>
          <w:rFonts w:hint="cs"/>
          <w:sz w:val="24"/>
          <w:rtl/>
        </w:rPr>
        <w:t xml:space="preserve">, </w:t>
      </w:r>
      <w:r>
        <w:rPr>
          <w:rFonts w:hint="cs"/>
          <w:b/>
          <w:bCs/>
          <w:sz w:val="24"/>
          <w:rtl/>
        </w:rPr>
        <w:t>יוסף דיין נ' מדינת ישראל</w:t>
      </w:r>
      <w:r>
        <w:rPr>
          <w:rFonts w:hint="cs"/>
          <w:sz w:val="24"/>
          <w:rtl/>
        </w:rPr>
        <w:t xml:space="preserve">, תק-מח 71(3), 2422 ,עמ' 2430). </w:t>
      </w:r>
    </w:p>
    <w:p w14:paraId="4CDA19EC" w14:textId="77777777" w:rsidR="009235D1" w:rsidRDefault="009235D1">
      <w:pPr>
        <w:rPr>
          <w:rFonts w:hint="cs"/>
          <w:sz w:val="24"/>
          <w:rtl/>
        </w:rPr>
      </w:pPr>
    </w:p>
    <w:p w14:paraId="662148FA" w14:textId="77777777" w:rsidR="009235D1" w:rsidRDefault="009235D1">
      <w:pPr>
        <w:rPr>
          <w:rFonts w:hint="cs"/>
          <w:sz w:val="24"/>
          <w:rtl/>
        </w:rPr>
      </w:pPr>
      <w:r>
        <w:rPr>
          <w:rFonts w:hint="cs"/>
          <w:sz w:val="24"/>
          <w:rtl/>
        </w:rPr>
        <w:t>עדת תביעה מס' 2, הגב' חגית דיליאן, אשר גבתה את הודעת הנאשם נחקרה על התרשמותה ממצבו הבריאותי של הנאשם. הגב' דיליאן העידה, כי הנאשם ציין, כי הינו משותק בידו ועל כן מצאה לנכון לרשום זאת מפיו, אף שלא הבחינה בכך בעיניה ולא ראתה צורך לבדוק אותו בדיקה רפואית. כמו כן, העידה כי הנאשם לא הציג בפניה תעודת עיוור, אילו היה מציג היתה מציינת זאת ואף על פי כן, אין בכך כדי לגרוע מהחקירה.</w:t>
      </w:r>
      <w:r>
        <w:rPr>
          <w:color w:val="FFFFFF"/>
          <w:sz w:val="4"/>
          <w:szCs w:val="4"/>
          <w:rtl/>
        </w:rPr>
        <w:t>נ</w:t>
      </w:r>
    </w:p>
    <w:p w14:paraId="25F97B49" w14:textId="77777777" w:rsidR="009235D1" w:rsidRDefault="009235D1">
      <w:pPr>
        <w:rPr>
          <w:rFonts w:hint="cs"/>
          <w:sz w:val="24"/>
          <w:rtl/>
        </w:rPr>
      </w:pPr>
    </w:p>
    <w:p w14:paraId="6EFB588A" w14:textId="77777777" w:rsidR="009235D1" w:rsidRDefault="009235D1">
      <w:pPr>
        <w:rPr>
          <w:rFonts w:hint="cs"/>
          <w:sz w:val="24"/>
          <w:rtl/>
        </w:rPr>
      </w:pPr>
      <w:r>
        <w:rPr>
          <w:rFonts w:hint="cs"/>
          <w:sz w:val="24"/>
          <w:rtl/>
        </w:rPr>
        <w:t>עד תביעה מס' 3, אלון לוי, אשר בא לקחת את חברתו ואת המתלוננת מהחוג לספרות, העיד על מצבה הנפשי של המתלוננת מיד לאחר הארוע.</w:t>
      </w:r>
      <w:r>
        <w:rPr>
          <w:color w:val="FFFFFF"/>
          <w:sz w:val="4"/>
          <w:szCs w:val="4"/>
          <w:rtl/>
        </w:rPr>
        <w:t>ב</w:t>
      </w:r>
    </w:p>
    <w:p w14:paraId="3B8088BD" w14:textId="77777777" w:rsidR="009235D1" w:rsidRDefault="009235D1">
      <w:pPr>
        <w:rPr>
          <w:rFonts w:hint="cs"/>
          <w:sz w:val="24"/>
          <w:rtl/>
        </w:rPr>
      </w:pPr>
    </w:p>
    <w:p w14:paraId="4D0A95FF" w14:textId="77777777" w:rsidR="009235D1" w:rsidRDefault="009235D1">
      <w:pPr>
        <w:rPr>
          <w:rFonts w:hint="cs"/>
          <w:sz w:val="24"/>
          <w:rtl/>
        </w:rPr>
      </w:pPr>
      <w:r>
        <w:rPr>
          <w:rFonts w:hint="cs"/>
          <w:sz w:val="24"/>
          <w:rtl/>
        </w:rPr>
        <w:t>בעדותו הראשית תיאר את מצבה הנפשי כדלקמן:</w:t>
      </w:r>
    </w:p>
    <w:p w14:paraId="2A294196" w14:textId="77777777" w:rsidR="009235D1" w:rsidRDefault="009235D1">
      <w:pPr>
        <w:rPr>
          <w:rFonts w:hint="cs"/>
          <w:sz w:val="24"/>
          <w:rtl/>
        </w:rPr>
      </w:pPr>
    </w:p>
    <w:p w14:paraId="0BC5EB31" w14:textId="77777777" w:rsidR="009235D1" w:rsidRDefault="009235D1">
      <w:pPr>
        <w:ind w:left="720" w:hanging="720"/>
        <w:rPr>
          <w:rFonts w:hint="cs"/>
          <w:sz w:val="24"/>
          <w:rtl/>
        </w:rPr>
      </w:pPr>
      <w:r>
        <w:rPr>
          <w:rFonts w:hint="cs"/>
          <w:b/>
          <w:bCs/>
          <w:sz w:val="24"/>
          <w:rtl/>
        </w:rPr>
        <w:tab/>
        <w:t>"ראיתי אותה רועדת, מגמגמת בדיבור. שאלתי מה קרה, מה יש, בתחילה פחדה לספר לי אך לאט לאט שכנעתי אותה הוצאתי ממנה..."</w:t>
      </w:r>
      <w:r>
        <w:rPr>
          <w:rFonts w:hint="cs"/>
          <w:sz w:val="24"/>
          <w:rtl/>
        </w:rPr>
        <w:t xml:space="preserve"> (עמ' 15, שורות 5-9).</w:t>
      </w:r>
      <w:r>
        <w:rPr>
          <w:color w:val="FFFFFF"/>
          <w:sz w:val="4"/>
          <w:szCs w:val="4"/>
          <w:rtl/>
        </w:rPr>
        <w:t>ו</w:t>
      </w:r>
    </w:p>
    <w:p w14:paraId="42DC6628" w14:textId="77777777" w:rsidR="009235D1" w:rsidRDefault="009235D1">
      <w:pPr>
        <w:rPr>
          <w:rFonts w:hint="cs"/>
          <w:sz w:val="24"/>
          <w:rtl/>
        </w:rPr>
      </w:pPr>
    </w:p>
    <w:p w14:paraId="1C47DE95" w14:textId="77777777" w:rsidR="009235D1" w:rsidRDefault="009235D1">
      <w:pPr>
        <w:rPr>
          <w:rFonts w:hint="cs"/>
          <w:sz w:val="24"/>
          <w:rtl/>
        </w:rPr>
      </w:pPr>
      <w:r>
        <w:rPr>
          <w:rFonts w:hint="cs"/>
          <w:sz w:val="24"/>
          <w:rtl/>
        </w:rPr>
        <w:t>אלון לוי חזר על עיקרי הדברים גם בחקירתו הנגדית בציינו שהוא מכיר את המתלוננת היכרות מוקדמת ועל כן הבחין כי התנהגותה באותה העת אינה אופיינית לה (עמ' 16, שורות 23-29).</w:t>
      </w:r>
      <w:r>
        <w:rPr>
          <w:color w:val="FFFFFF"/>
          <w:sz w:val="4"/>
          <w:szCs w:val="4"/>
          <w:rtl/>
        </w:rPr>
        <w:t>נ</w:t>
      </w:r>
    </w:p>
    <w:p w14:paraId="0C32A9A3" w14:textId="77777777" w:rsidR="009235D1" w:rsidRDefault="009235D1">
      <w:pPr>
        <w:rPr>
          <w:rFonts w:hint="cs"/>
          <w:sz w:val="24"/>
          <w:rtl/>
        </w:rPr>
      </w:pPr>
      <w:r>
        <w:rPr>
          <w:rFonts w:hint="cs"/>
          <w:sz w:val="24"/>
          <w:rtl/>
        </w:rPr>
        <w:t xml:space="preserve">כמו כן, העיד בחקירתו הנגדית כי </w:t>
      </w:r>
      <w:r>
        <w:rPr>
          <w:rFonts w:hint="cs"/>
          <w:b/>
          <w:bCs/>
          <w:sz w:val="24"/>
          <w:rtl/>
        </w:rPr>
        <w:t>"ראיתי אותה מבוהלת והתחילה לבכות באמצע הסיפור"</w:t>
      </w:r>
      <w:r>
        <w:rPr>
          <w:rFonts w:hint="cs"/>
          <w:sz w:val="24"/>
          <w:rtl/>
        </w:rPr>
        <w:t xml:space="preserve"> (עמ' 16, שורה 28).</w:t>
      </w:r>
      <w:r>
        <w:rPr>
          <w:color w:val="FFFFFF"/>
          <w:sz w:val="4"/>
          <w:szCs w:val="4"/>
          <w:rtl/>
        </w:rPr>
        <w:t>ב</w:t>
      </w:r>
    </w:p>
    <w:p w14:paraId="0EA28BD7" w14:textId="77777777" w:rsidR="009235D1" w:rsidRDefault="009235D1">
      <w:pPr>
        <w:rPr>
          <w:rFonts w:hint="cs"/>
          <w:sz w:val="24"/>
          <w:rtl/>
        </w:rPr>
      </w:pPr>
    </w:p>
    <w:p w14:paraId="0CDB5E5F" w14:textId="77777777" w:rsidR="009235D1" w:rsidRDefault="009235D1">
      <w:pPr>
        <w:rPr>
          <w:rFonts w:hint="cs"/>
          <w:sz w:val="24"/>
          <w:rtl/>
        </w:rPr>
      </w:pPr>
      <w:r>
        <w:rPr>
          <w:rFonts w:hint="cs"/>
          <w:sz w:val="24"/>
          <w:rtl/>
        </w:rPr>
        <w:t>העד העיד, כי הוא עצמו היה בהלם מהמקרה (עמ' 18 שורה 12) והתרשמותו, כי הנאשם "ניסה להתעסק איתה" (עמ' 15 שורה 10), נבעה מכך שסיפרה לו על הליטוף שלווה במלל בעל קונוטציה מינית (</w:t>
      </w:r>
      <w:r>
        <w:rPr>
          <w:rFonts w:hint="cs"/>
          <w:b/>
          <w:bCs/>
          <w:sz w:val="24"/>
          <w:rtl/>
        </w:rPr>
        <w:t>"אמר לה אני אחמם אותך"</w:t>
      </w:r>
      <w:r>
        <w:rPr>
          <w:rFonts w:hint="cs"/>
          <w:sz w:val="24"/>
          <w:rtl/>
        </w:rPr>
        <w:t xml:space="preserve"> – עמ' 18, שורות 3-6).</w:t>
      </w:r>
      <w:r>
        <w:rPr>
          <w:color w:val="FFFFFF"/>
          <w:sz w:val="4"/>
          <w:szCs w:val="4"/>
          <w:rtl/>
        </w:rPr>
        <w:t>ו</w:t>
      </w:r>
    </w:p>
    <w:p w14:paraId="56C01CE1" w14:textId="77777777" w:rsidR="009235D1" w:rsidRDefault="009235D1">
      <w:pPr>
        <w:rPr>
          <w:rFonts w:hint="cs"/>
          <w:sz w:val="24"/>
          <w:rtl/>
        </w:rPr>
      </w:pPr>
    </w:p>
    <w:p w14:paraId="2320D0B0" w14:textId="77777777" w:rsidR="009235D1" w:rsidRDefault="009235D1">
      <w:pPr>
        <w:rPr>
          <w:rFonts w:hint="cs"/>
          <w:sz w:val="24"/>
          <w:rtl/>
        </w:rPr>
      </w:pPr>
      <w:r>
        <w:rPr>
          <w:rFonts w:hint="cs"/>
          <w:sz w:val="24"/>
          <w:rtl/>
        </w:rPr>
        <w:t>לבקשת ב"כ הנאשם, הוגשה הודעתו של אלון לוי במשטרה (נ/1). הודעה זו נגבתה כחודש אחרי הארוע, בכך יש כבר כדי להסביר אי אילו פרטים חסרים אף שלא מצאתי, כי חסרו פרטים מהותיים בהשוואה לעדותו בבית המשפט. לא רק שאין  בהודעתו כדי לגרוע מעדותו, היא אף מאמתת את עדותו על מצבה הנפשי הנסער, פחדיה, הבכי שלה ומיידיות הגשת התלונה ואף עולה בקנה אחד עם דבריה של המתלוננת בעדותה.</w:t>
      </w:r>
    </w:p>
    <w:p w14:paraId="3CF2A776" w14:textId="77777777" w:rsidR="009235D1" w:rsidRDefault="009235D1">
      <w:pPr>
        <w:rPr>
          <w:rFonts w:hint="cs"/>
          <w:sz w:val="24"/>
          <w:rtl/>
        </w:rPr>
      </w:pPr>
    </w:p>
    <w:p w14:paraId="440F2432" w14:textId="77777777" w:rsidR="009235D1" w:rsidRDefault="009235D1">
      <w:pPr>
        <w:rPr>
          <w:rFonts w:hint="cs"/>
          <w:sz w:val="24"/>
          <w:rtl/>
        </w:rPr>
      </w:pPr>
      <w:r>
        <w:rPr>
          <w:rFonts w:hint="cs"/>
          <w:sz w:val="24"/>
          <w:rtl/>
        </w:rPr>
        <w:t xml:space="preserve">כאמור, בתשובתו לכתב האישום השיב הנאשם כי המגע היחיד שהיה בינו לבין המתלוננת היה לחיצת יד תמת לב, כלשונו: </w:t>
      </w:r>
      <w:r>
        <w:rPr>
          <w:rFonts w:hint="cs"/>
          <w:b/>
          <w:bCs/>
          <w:sz w:val="24"/>
          <w:rtl/>
        </w:rPr>
        <w:t>"נתתי לה יד היא נתנה לי יד היא הלכה ופתאום משטרה באה אלי בערב"</w:t>
      </w:r>
      <w:r>
        <w:rPr>
          <w:rFonts w:hint="cs"/>
          <w:sz w:val="24"/>
          <w:rtl/>
        </w:rPr>
        <w:t xml:space="preserve"> (עמ' 1 לפרוטוקול).</w:t>
      </w:r>
    </w:p>
    <w:p w14:paraId="13EC7333" w14:textId="77777777" w:rsidR="009235D1" w:rsidRDefault="009235D1">
      <w:pPr>
        <w:rPr>
          <w:rFonts w:hint="cs"/>
          <w:sz w:val="24"/>
          <w:rtl/>
        </w:rPr>
      </w:pPr>
      <w:r>
        <w:rPr>
          <w:rFonts w:hint="cs"/>
          <w:sz w:val="24"/>
          <w:rtl/>
        </w:rPr>
        <w:t xml:space="preserve">לעומת זאת, בהודעתו במשטרה הרחיק עצמו הנאשם מן המעשה באומרו </w:t>
      </w:r>
      <w:r>
        <w:rPr>
          <w:rFonts w:hint="cs"/>
          <w:b/>
          <w:bCs/>
          <w:sz w:val="24"/>
          <w:rtl/>
        </w:rPr>
        <w:t>"חס וחלילה אני דתי ולא נוגע בנשים, יש לי נכדות גדולות ממנה"</w:t>
      </w:r>
      <w:r>
        <w:rPr>
          <w:rFonts w:hint="cs"/>
          <w:sz w:val="24"/>
          <w:rtl/>
        </w:rPr>
        <w:t xml:space="preserve"> (ת/1, שורות 22-23) וכן בהמשך דבריו </w:t>
      </w:r>
      <w:r>
        <w:rPr>
          <w:rFonts w:hint="cs"/>
          <w:b/>
          <w:bCs/>
          <w:sz w:val="24"/>
          <w:rtl/>
        </w:rPr>
        <w:t>"זה לא נכון אני לא נוגע באף בת"</w:t>
      </w:r>
      <w:r>
        <w:rPr>
          <w:rFonts w:hint="cs"/>
          <w:sz w:val="24"/>
          <w:rtl/>
        </w:rPr>
        <w:t xml:space="preserve"> (ת/1, שורה 41).</w:t>
      </w:r>
    </w:p>
    <w:p w14:paraId="710C279E" w14:textId="77777777" w:rsidR="009235D1" w:rsidRDefault="009235D1">
      <w:pPr>
        <w:rPr>
          <w:rFonts w:hint="cs"/>
          <w:sz w:val="24"/>
          <w:rtl/>
        </w:rPr>
      </w:pPr>
    </w:p>
    <w:p w14:paraId="7A58CC29" w14:textId="77777777" w:rsidR="009235D1" w:rsidRDefault="009235D1">
      <w:pPr>
        <w:rPr>
          <w:rFonts w:hint="cs"/>
          <w:sz w:val="24"/>
          <w:rtl/>
        </w:rPr>
      </w:pPr>
      <w:r>
        <w:rPr>
          <w:rFonts w:hint="cs"/>
          <w:sz w:val="24"/>
          <w:rtl/>
        </w:rPr>
        <w:t xml:space="preserve">בעדותו בבית המשפט חזר בו הנאשם מהכחשה גורפת זו וטען כי </w:t>
      </w:r>
      <w:r>
        <w:rPr>
          <w:rFonts w:hint="cs"/>
          <w:b/>
          <w:bCs/>
          <w:sz w:val="24"/>
          <w:rtl/>
        </w:rPr>
        <w:t xml:space="preserve">"היא באה נתנה לי את היד מעבר לשולחן ואמרה לי שלום. יש שני שולחנות ביננו, היא הושיטה את היד מעבר לשני השולחנות" </w:t>
      </w:r>
      <w:r>
        <w:rPr>
          <w:rFonts w:hint="cs"/>
          <w:sz w:val="24"/>
          <w:rtl/>
        </w:rPr>
        <w:t xml:space="preserve">(עמ' 21, שורות 21-22). בתגובה לשאלות בדבר נגיעות בפנים ובזרועות משיב הנאשם </w:t>
      </w:r>
      <w:r>
        <w:rPr>
          <w:rFonts w:hint="cs"/>
          <w:b/>
          <w:bCs/>
          <w:sz w:val="24"/>
          <w:rtl/>
        </w:rPr>
        <w:t>"לא נגעתי בה בכלל. היא היתה רחוקה ממני. היא שלחה לי יד ראשונה וחוץ מזה לא נגעתי בה באף מקום בגוף"</w:t>
      </w:r>
      <w:r>
        <w:rPr>
          <w:rFonts w:hint="cs"/>
          <w:sz w:val="24"/>
          <w:rtl/>
        </w:rPr>
        <w:t xml:space="preserve"> (עמ' 22,שורות 31-32). </w:t>
      </w:r>
    </w:p>
    <w:p w14:paraId="3B9D3329" w14:textId="77777777" w:rsidR="009235D1" w:rsidRDefault="009235D1">
      <w:pPr>
        <w:rPr>
          <w:rFonts w:hint="cs"/>
          <w:sz w:val="24"/>
          <w:rtl/>
        </w:rPr>
      </w:pPr>
    </w:p>
    <w:p w14:paraId="18C085E3" w14:textId="77777777" w:rsidR="009235D1" w:rsidRDefault="009235D1">
      <w:pPr>
        <w:rPr>
          <w:rFonts w:hint="cs"/>
          <w:sz w:val="24"/>
          <w:rtl/>
        </w:rPr>
      </w:pPr>
      <w:r>
        <w:rPr>
          <w:rFonts w:hint="cs"/>
          <w:sz w:val="24"/>
          <w:rtl/>
        </w:rPr>
        <w:t>הנאשם חוזר ומציין כי מאז שעבר ארוע מוחי אחת מידיו משותקת וכן רגלו, דבר אשר מכביד על הליכתו</w:t>
      </w:r>
      <w:r>
        <w:rPr>
          <w:rFonts w:hint="cs"/>
          <w:b/>
          <w:bCs/>
          <w:sz w:val="24"/>
          <w:rtl/>
        </w:rPr>
        <w:t xml:space="preserve">. </w:t>
      </w:r>
      <w:r>
        <w:rPr>
          <w:rFonts w:hint="cs"/>
          <w:sz w:val="24"/>
          <w:rtl/>
        </w:rPr>
        <w:t xml:space="preserve">כמו כן, ציין, כי אין הוא מתפקד מינית מזה 18 שנה. לתמיכה בדבריו אלה הגיש מסמך רפואי המאשר </w:t>
      </w:r>
      <w:r>
        <w:rPr>
          <w:rFonts w:hint="cs"/>
          <w:b/>
          <w:bCs/>
          <w:sz w:val="24"/>
          <w:rtl/>
        </w:rPr>
        <w:t>"חולשה קבועה בכל פלג גוף שמאלי"</w:t>
      </w:r>
      <w:r>
        <w:rPr>
          <w:rFonts w:hint="cs"/>
          <w:sz w:val="24"/>
          <w:rtl/>
        </w:rPr>
        <w:t xml:space="preserve">(נ/1). </w:t>
      </w:r>
    </w:p>
    <w:p w14:paraId="2CDD0EB6" w14:textId="77777777" w:rsidR="009235D1" w:rsidRDefault="009235D1">
      <w:pPr>
        <w:rPr>
          <w:rFonts w:hint="cs"/>
          <w:sz w:val="24"/>
          <w:rtl/>
        </w:rPr>
      </w:pPr>
    </w:p>
    <w:p w14:paraId="378A2D44" w14:textId="77777777" w:rsidR="009235D1" w:rsidRDefault="009235D1">
      <w:pPr>
        <w:rPr>
          <w:rFonts w:hint="cs"/>
          <w:sz w:val="24"/>
          <w:rtl/>
        </w:rPr>
      </w:pPr>
      <w:r>
        <w:rPr>
          <w:rFonts w:hint="cs"/>
          <w:sz w:val="24"/>
          <w:rtl/>
        </w:rPr>
        <w:t>ואולם, מסמך רפואי זה אינו פוגע בעדות המתלוננת ואינו שולל את האפשרות שהנאשם אכן ביצע את המיוחס לו בכתב האישום.</w:t>
      </w:r>
    </w:p>
    <w:p w14:paraId="4AF758AD" w14:textId="77777777" w:rsidR="009235D1" w:rsidRDefault="009235D1">
      <w:pPr>
        <w:rPr>
          <w:rFonts w:hint="cs"/>
          <w:sz w:val="24"/>
          <w:rtl/>
        </w:rPr>
      </w:pPr>
    </w:p>
    <w:p w14:paraId="0E11CFEC" w14:textId="77777777" w:rsidR="009235D1" w:rsidRDefault="009235D1">
      <w:pPr>
        <w:rPr>
          <w:rFonts w:hint="cs"/>
          <w:sz w:val="24"/>
          <w:rtl/>
        </w:rPr>
      </w:pPr>
      <w:r>
        <w:rPr>
          <w:rFonts w:hint="cs"/>
          <w:sz w:val="24"/>
          <w:rtl/>
        </w:rPr>
        <w:t xml:space="preserve">בחקירתו הנגדית נחקר הנאשם בעניין מגבלותיו הגופניות. הנאשם העיד, כי אין הוא נעזר במקל הליכה אם כי הוא ממעט להתהלך (עמ' 24, שורות 10-15). כמו כן, העיד, כי בשל ידו המשותקת, כאשר מגיע לקוח לחנותו, הוא </w:t>
      </w:r>
      <w:r>
        <w:rPr>
          <w:rFonts w:hint="cs"/>
          <w:b/>
          <w:bCs/>
          <w:sz w:val="24"/>
          <w:rtl/>
        </w:rPr>
        <w:t>"לוקח בעצמו"</w:t>
      </w:r>
      <w:r>
        <w:rPr>
          <w:rFonts w:hint="cs"/>
          <w:sz w:val="24"/>
          <w:rtl/>
        </w:rPr>
        <w:t xml:space="preserve"> וכן ציין, כי אין ביכולתו, בשל מגבלותיו, לסדר את החנות בעצמו ועל כן הוא מבקש מדי פעם מילד שנכנס שיסדר לו את החנות (עמ' 24, שורות 24 -25). למרות כל האמור, עובד הנאשם בחנות מהבוקר עד הערב למעט הפסקת צהריים של שלוש שעות (עמ' 24 שורות 29-30). זאת בשונה מגרסתו הראשונה, לפיה הוא אך מחליף את בנו בחנות בשעות הבוקר עד לשעה 10:00 לערך. בהמשך חקירתו הנגדית, מסייג הנאשם את דבריו לגבי השיתוק בידו וטוען, כי </w:t>
      </w:r>
      <w:r>
        <w:rPr>
          <w:rFonts w:hint="cs"/>
          <w:b/>
          <w:bCs/>
          <w:sz w:val="24"/>
          <w:rtl/>
        </w:rPr>
        <w:t>"נכון שאני יכול להכניס ולהוציא את יד שמאל מהכיס ללא עזרה"</w:t>
      </w:r>
      <w:r>
        <w:rPr>
          <w:rFonts w:hint="cs"/>
          <w:sz w:val="24"/>
          <w:rtl/>
        </w:rPr>
        <w:t xml:space="preserve"> כאשר שתי שורות קודם לכן טען </w:t>
      </w:r>
      <w:r>
        <w:rPr>
          <w:rFonts w:hint="cs"/>
          <w:b/>
          <w:bCs/>
          <w:sz w:val="24"/>
          <w:rtl/>
        </w:rPr>
        <w:t>"היד שלי תמיד בכיס"</w:t>
      </w:r>
      <w:r>
        <w:rPr>
          <w:rFonts w:hint="cs"/>
          <w:sz w:val="24"/>
          <w:rtl/>
        </w:rPr>
        <w:t xml:space="preserve"> וכן מציין, כי ביכולתו לבצע תנועה של הושטת יד וכי יכול להתלבש, זאת, בניגוד לדבריו הנחרצים, כי ידו </w:t>
      </w:r>
      <w:r>
        <w:rPr>
          <w:rFonts w:hint="cs"/>
          <w:b/>
          <w:bCs/>
          <w:sz w:val="24"/>
          <w:rtl/>
        </w:rPr>
        <w:t>"משותקת לגמרי"</w:t>
      </w:r>
      <w:r>
        <w:rPr>
          <w:rFonts w:hint="cs"/>
          <w:sz w:val="24"/>
          <w:rtl/>
        </w:rPr>
        <w:t xml:space="preserve"> (עמ' 30 שורה 8, לעומת עמ' 30 שורה 6. וכן עמ' 30 שורות 1-2, לעומת עמ' 29 שורה 31). כך גם מעיד הנאשם, כי הוא מסוגל ללכת מס' צעדים בלבד (עמ' 29,ש ורה 18) אך לאחר מכן מציין, </w:t>
      </w:r>
      <w:r>
        <w:rPr>
          <w:rFonts w:hint="cs"/>
          <w:b/>
          <w:bCs/>
          <w:sz w:val="24"/>
          <w:rtl/>
        </w:rPr>
        <w:t>"אני לא משותק לגמרי. אני יכול. אני גם הולך לבית כנסת. ברוך השם"</w:t>
      </w:r>
      <w:r>
        <w:rPr>
          <w:rFonts w:hint="cs"/>
          <w:sz w:val="24"/>
          <w:rtl/>
        </w:rPr>
        <w:t xml:space="preserve"> (עמ' 29, שורה 29).</w:t>
      </w:r>
    </w:p>
    <w:p w14:paraId="5C6259DD" w14:textId="77777777" w:rsidR="009235D1" w:rsidRDefault="009235D1">
      <w:pPr>
        <w:rPr>
          <w:rFonts w:hint="cs"/>
          <w:sz w:val="24"/>
          <w:rtl/>
        </w:rPr>
      </w:pPr>
    </w:p>
    <w:p w14:paraId="441E57EA" w14:textId="77777777" w:rsidR="009235D1" w:rsidRDefault="009235D1">
      <w:pPr>
        <w:rPr>
          <w:rFonts w:hint="cs"/>
          <w:sz w:val="24"/>
          <w:rtl/>
        </w:rPr>
      </w:pPr>
      <w:r>
        <w:rPr>
          <w:rFonts w:hint="cs"/>
          <w:sz w:val="24"/>
          <w:rtl/>
        </w:rPr>
        <w:t>כאמור, גם אני הבחנתי בעובדה שהנאשם מניע את ידו השמאלית בעת הדיון.</w:t>
      </w:r>
    </w:p>
    <w:p w14:paraId="5B1F83AC" w14:textId="77777777" w:rsidR="009235D1" w:rsidRDefault="009235D1">
      <w:pPr>
        <w:rPr>
          <w:rFonts w:hint="cs"/>
          <w:sz w:val="24"/>
          <w:rtl/>
        </w:rPr>
      </w:pPr>
    </w:p>
    <w:p w14:paraId="630B4B41" w14:textId="77777777" w:rsidR="009235D1" w:rsidRDefault="009235D1">
      <w:pPr>
        <w:rPr>
          <w:rFonts w:hint="cs"/>
          <w:sz w:val="24"/>
          <w:rtl/>
        </w:rPr>
      </w:pPr>
      <w:r>
        <w:rPr>
          <w:rFonts w:hint="cs"/>
          <w:sz w:val="24"/>
          <w:rtl/>
        </w:rPr>
        <w:t>לקראת סוף חקירתו הנגדית שב הנאשם וטען כי דבריה של המתלוננת הינם שקר וכי לא היו דברים מעולם. כמו כן, לדבריו, היתה תנועה של אנשים בחנות על כן לא יתכן שהוא והמתלוננת שהו בחנות לבדם. עם זאת, בשלב מסוים בחקירתו הנגדית חזר בו הנאשם מטענה זו וטען שברגע בו הושיטה לו המתלוננת יד היו רק שניהם בחנות (עמ' 28,שורות 20-22, 14-15).</w:t>
      </w:r>
    </w:p>
    <w:p w14:paraId="4352DA6C" w14:textId="77777777" w:rsidR="009235D1" w:rsidRDefault="009235D1">
      <w:pPr>
        <w:rPr>
          <w:rFonts w:hint="cs"/>
          <w:sz w:val="24"/>
          <w:rtl/>
        </w:rPr>
      </w:pPr>
    </w:p>
    <w:p w14:paraId="5C924AF5" w14:textId="77777777" w:rsidR="009235D1" w:rsidRDefault="009235D1">
      <w:pPr>
        <w:rPr>
          <w:rFonts w:hint="cs"/>
          <w:sz w:val="24"/>
          <w:rtl/>
        </w:rPr>
      </w:pPr>
      <w:r>
        <w:rPr>
          <w:rFonts w:hint="cs"/>
          <w:sz w:val="24"/>
          <w:rtl/>
        </w:rPr>
        <w:t xml:space="preserve">זאת ועוד, בעדותו בבית המשפט הציג הנאשם גירסה שונה במעט מעדותו במשטרה לפיה ניצלה המתלוננת שעת כושר, בעת שהיה הנאשם "רדום" וניסתה לגנוב מחנותו צעצוע. לאחר שפקח הנאשם את עיניו התעמת איתה ולגרסתו אמר לה </w:t>
      </w:r>
      <w:r>
        <w:rPr>
          <w:rFonts w:hint="cs"/>
          <w:b/>
          <w:bCs/>
          <w:sz w:val="24"/>
          <w:rtl/>
        </w:rPr>
        <w:t>"קחי אותו תביאי כסף מחר. אמרה מצטערת אין לה כסף...אמרתי לה למה לקחת את זה ? אמרה לי זה יפה. החזירה אותו"</w:t>
      </w:r>
      <w:r>
        <w:rPr>
          <w:rFonts w:hint="cs"/>
          <w:sz w:val="24"/>
          <w:rtl/>
        </w:rPr>
        <w:t xml:space="preserve"> (עמ' 21, שורות 17-22). </w:t>
      </w:r>
    </w:p>
    <w:p w14:paraId="73527E27" w14:textId="77777777" w:rsidR="009235D1" w:rsidRDefault="009235D1">
      <w:pPr>
        <w:rPr>
          <w:rFonts w:hint="cs"/>
          <w:sz w:val="24"/>
          <w:rtl/>
        </w:rPr>
      </w:pPr>
    </w:p>
    <w:p w14:paraId="3EBEA69D" w14:textId="77777777" w:rsidR="009235D1" w:rsidRDefault="009235D1">
      <w:pPr>
        <w:rPr>
          <w:rFonts w:hint="cs"/>
          <w:sz w:val="24"/>
          <w:rtl/>
        </w:rPr>
      </w:pPr>
      <w:r>
        <w:rPr>
          <w:rFonts w:hint="cs"/>
          <w:sz w:val="24"/>
          <w:rtl/>
        </w:rPr>
        <w:t>יצויין, כי הנאשם לא העלה טענה זו במשטרה.</w:t>
      </w:r>
    </w:p>
    <w:p w14:paraId="330AA609" w14:textId="77777777" w:rsidR="009235D1" w:rsidRDefault="009235D1">
      <w:pPr>
        <w:rPr>
          <w:rFonts w:hint="cs"/>
          <w:sz w:val="24"/>
          <w:rtl/>
        </w:rPr>
      </w:pPr>
    </w:p>
    <w:p w14:paraId="3A90684F" w14:textId="77777777" w:rsidR="009235D1" w:rsidRDefault="009235D1">
      <w:pPr>
        <w:rPr>
          <w:rFonts w:hint="cs"/>
          <w:sz w:val="24"/>
          <w:rtl/>
        </w:rPr>
      </w:pPr>
      <w:r>
        <w:rPr>
          <w:rFonts w:hint="cs"/>
          <w:sz w:val="24"/>
          <w:rtl/>
        </w:rPr>
        <w:t xml:space="preserve">לא מצאתי דופי בעדותה של המתלוננת, שהעידה בגילוי לב על פחדיה ומבוכתה ועמדה בנחרצות על גרסתה הראשונה. </w:t>
      </w:r>
    </w:p>
    <w:p w14:paraId="50FE6BA6" w14:textId="77777777" w:rsidR="009235D1" w:rsidRDefault="009235D1">
      <w:pPr>
        <w:rPr>
          <w:rFonts w:hint="cs"/>
          <w:sz w:val="24"/>
          <w:rtl/>
        </w:rPr>
      </w:pPr>
    </w:p>
    <w:p w14:paraId="4B74AE0C" w14:textId="77777777" w:rsidR="009235D1" w:rsidRDefault="009235D1">
      <w:pPr>
        <w:rPr>
          <w:rFonts w:hint="cs"/>
          <w:sz w:val="24"/>
          <w:rtl/>
        </w:rPr>
      </w:pPr>
      <w:r>
        <w:rPr>
          <w:rFonts w:hint="cs"/>
          <w:sz w:val="24"/>
          <w:rtl/>
        </w:rPr>
        <w:t xml:space="preserve">עדותו של עד תביעה מס' 3, אלון לוי, על מצבה הנפשי של המתלוננת שעות ספורות לאחר הארוע מהימנה עלי. </w:t>
      </w:r>
    </w:p>
    <w:p w14:paraId="5645EE08" w14:textId="77777777" w:rsidR="009235D1" w:rsidRDefault="009235D1">
      <w:pPr>
        <w:rPr>
          <w:rFonts w:hint="cs"/>
          <w:sz w:val="24"/>
          <w:rtl/>
        </w:rPr>
      </w:pPr>
    </w:p>
    <w:p w14:paraId="53C9836B" w14:textId="77777777" w:rsidR="009235D1" w:rsidRDefault="009235D1">
      <w:pPr>
        <w:rPr>
          <w:rFonts w:hint="cs"/>
          <w:sz w:val="24"/>
          <w:rtl/>
        </w:rPr>
      </w:pPr>
      <w:r>
        <w:rPr>
          <w:rFonts w:hint="cs"/>
          <w:sz w:val="24"/>
          <w:rtl/>
        </w:rPr>
        <w:t>אף שעד זה המעיט בתיאור נגיעותיו של הנאשם במתלוננת, מקובל עלי, כי המתלוננת סיפרה לו את עיקרי הדברים.</w:t>
      </w:r>
    </w:p>
    <w:p w14:paraId="74C389E4" w14:textId="77777777" w:rsidR="009235D1" w:rsidRDefault="009235D1">
      <w:pPr>
        <w:rPr>
          <w:rFonts w:hint="cs"/>
          <w:sz w:val="24"/>
          <w:rtl/>
        </w:rPr>
      </w:pPr>
    </w:p>
    <w:p w14:paraId="0C8DF0DC" w14:textId="77777777" w:rsidR="009235D1" w:rsidRDefault="009235D1">
      <w:pPr>
        <w:rPr>
          <w:rFonts w:hint="cs"/>
          <w:sz w:val="24"/>
          <w:rtl/>
        </w:rPr>
      </w:pPr>
      <w:r>
        <w:rPr>
          <w:rFonts w:hint="cs"/>
          <w:sz w:val="24"/>
          <w:rtl/>
        </w:rPr>
        <w:t xml:space="preserve">גם אם אין חפיפה מוחלטת בין עדותה של המתלוננת לעדותו של אלון לוי, אין בכך כדי לבטל את התרשמותי החיובית מהמתלוננת ואין כל חובה שתהיה זהות מוחלטת בדברי העדים. </w:t>
      </w:r>
    </w:p>
    <w:p w14:paraId="3C5DD34E" w14:textId="77777777" w:rsidR="009235D1" w:rsidRDefault="009235D1">
      <w:pPr>
        <w:rPr>
          <w:rFonts w:hint="cs"/>
          <w:sz w:val="24"/>
          <w:rtl/>
        </w:rPr>
      </w:pPr>
    </w:p>
    <w:p w14:paraId="768037B1" w14:textId="77777777" w:rsidR="009235D1" w:rsidRDefault="009235D1">
      <w:pPr>
        <w:rPr>
          <w:rFonts w:hint="cs"/>
          <w:sz w:val="24"/>
          <w:rtl/>
        </w:rPr>
      </w:pPr>
      <w:r>
        <w:rPr>
          <w:rFonts w:hint="cs"/>
          <w:sz w:val="24"/>
          <w:rtl/>
        </w:rPr>
        <w:t xml:space="preserve">ב"כ הנאשם טען בפני כי אף אם יש לתת אמון מלא בגירסת המתלוננת הרי שאין מעשיו מהווים מעשה מגונה מאחר והם נעדרים את הכוונה הנדרשת בעבירה מסוג זה. </w:t>
      </w:r>
    </w:p>
    <w:p w14:paraId="2FE571C5" w14:textId="77777777" w:rsidR="009235D1" w:rsidRDefault="009235D1">
      <w:pPr>
        <w:rPr>
          <w:rFonts w:hint="cs"/>
          <w:sz w:val="24"/>
          <w:rtl/>
        </w:rPr>
      </w:pPr>
    </w:p>
    <w:p w14:paraId="104A5EC6" w14:textId="77777777" w:rsidR="009235D1" w:rsidRDefault="009235D1">
      <w:pPr>
        <w:rPr>
          <w:rFonts w:hint="cs"/>
          <w:sz w:val="24"/>
          <w:rtl/>
        </w:rPr>
      </w:pPr>
      <w:r>
        <w:rPr>
          <w:rFonts w:hint="cs"/>
          <w:sz w:val="24"/>
          <w:rtl/>
        </w:rPr>
        <w:t>בטענה זו יש משום תרתי דסתרי: מאחר ודחיתי את טענותיו העובדתיות של הנאשם וקבעתי כממצא שתיאורה העובדתי של המתלוננת הוא הנכון, לא נראה לי, כי יש צורך לדון ביסוד הנפשי, שכן, לא יתכן שהנאשם יטען שלא נגע במתלוננת ולא שוחח איתה ולאחר מכן יטען, שבמעשיו ובדבריו לא היתה כוונה מינית.</w:t>
      </w:r>
    </w:p>
    <w:p w14:paraId="10227AFE" w14:textId="77777777" w:rsidR="009235D1" w:rsidRDefault="009235D1">
      <w:pPr>
        <w:rPr>
          <w:rFonts w:hint="cs"/>
          <w:sz w:val="24"/>
          <w:rtl/>
        </w:rPr>
      </w:pPr>
    </w:p>
    <w:p w14:paraId="15D52A6F" w14:textId="77777777" w:rsidR="009235D1" w:rsidRDefault="009235D1">
      <w:pPr>
        <w:rPr>
          <w:rFonts w:hint="cs"/>
          <w:sz w:val="24"/>
          <w:rtl/>
        </w:rPr>
      </w:pPr>
      <w:r>
        <w:rPr>
          <w:rFonts w:hint="cs"/>
          <w:sz w:val="24"/>
          <w:rtl/>
        </w:rPr>
        <w:t>למרות זאת, אתייחס גם ליסוד הנפשי הנדרש לביצוע מעשה מגונה ("</w:t>
      </w:r>
      <w:r>
        <w:rPr>
          <w:rFonts w:hint="cs"/>
          <w:b/>
          <w:bCs/>
          <w:sz w:val="24"/>
          <w:rtl/>
        </w:rPr>
        <w:t>לשם גירוי, סיפוק או ביזוי מיניים</w:t>
      </w:r>
      <w:r>
        <w:rPr>
          <w:rFonts w:hint="cs"/>
          <w:sz w:val="24"/>
          <w:rtl/>
        </w:rPr>
        <w:t>")</w:t>
      </w:r>
    </w:p>
    <w:p w14:paraId="2DC994BB" w14:textId="77777777" w:rsidR="009235D1" w:rsidRDefault="009235D1">
      <w:pPr>
        <w:rPr>
          <w:rFonts w:hint="cs"/>
          <w:sz w:val="24"/>
          <w:rtl/>
        </w:rPr>
      </w:pPr>
    </w:p>
    <w:p w14:paraId="295B8A73" w14:textId="77777777" w:rsidR="009235D1" w:rsidRDefault="009235D1">
      <w:pPr>
        <w:ind w:left="720" w:hanging="720"/>
        <w:rPr>
          <w:rFonts w:hint="cs"/>
          <w:sz w:val="24"/>
          <w:rtl/>
        </w:rPr>
      </w:pPr>
      <w:r>
        <w:rPr>
          <w:rFonts w:hint="cs"/>
          <w:sz w:val="24"/>
          <w:rtl/>
        </w:rPr>
        <w:t>בענין זה מן הראוי להזכיר את פסק דינו של בית המשפט המחוזי בתל אביב כדלקמן:</w:t>
      </w:r>
    </w:p>
    <w:p w14:paraId="37DB2051" w14:textId="77777777" w:rsidR="009235D1" w:rsidRDefault="009235D1">
      <w:pPr>
        <w:ind w:left="720" w:hanging="720"/>
        <w:rPr>
          <w:rFonts w:hint="cs"/>
          <w:sz w:val="24"/>
          <w:rtl/>
        </w:rPr>
      </w:pPr>
    </w:p>
    <w:p w14:paraId="6C73824A" w14:textId="77777777" w:rsidR="009235D1" w:rsidRDefault="009235D1">
      <w:pPr>
        <w:ind w:left="720" w:hanging="720"/>
        <w:rPr>
          <w:rFonts w:hint="cs"/>
          <w:sz w:val="24"/>
          <w:rtl/>
        </w:rPr>
      </w:pPr>
      <w:r>
        <w:rPr>
          <w:rFonts w:hint="cs"/>
          <w:b/>
          <w:bCs/>
          <w:sz w:val="24"/>
          <w:rtl/>
        </w:rPr>
        <w:tab/>
        <w:t xml:space="preserve">"קביעה עובדתית - הן באשר למעשה והן באשר לכוונה, שהרי כפי שאמרתי לעיל, אופיו של המעשה ונסיבות ביצועו (סגירת הדלת) והצהרות האהבה שנלוו לו אינו מותיר מקום לספקות ביחס לכוונתו של המערער ולכך שמדובר במעשה מיני מובהק" </w:t>
      </w:r>
      <w:r>
        <w:rPr>
          <w:rFonts w:hint="cs"/>
          <w:sz w:val="24"/>
          <w:rtl/>
        </w:rPr>
        <w:t>(</w:t>
      </w:r>
      <w:hyperlink r:id="rId16" w:history="1">
        <w:r w:rsidR="00643D4A" w:rsidRPr="00643D4A">
          <w:rPr>
            <w:rStyle w:val="Hyperlink"/>
            <w:rFonts w:hint="eastAsia"/>
            <w:sz w:val="24"/>
            <w:rtl/>
          </w:rPr>
          <w:t>ע</w:t>
        </w:r>
        <w:r w:rsidR="00643D4A" w:rsidRPr="00643D4A">
          <w:rPr>
            <w:rStyle w:val="Hyperlink"/>
            <w:sz w:val="24"/>
            <w:rtl/>
          </w:rPr>
          <w:t>"פ (תל-אביב-יפו) 4314/98</w:t>
        </w:r>
      </w:hyperlink>
      <w:r>
        <w:rPr>
          <w:rFonts w:hint="cs"/>
          <w:sz w:val="24"/>
          <w:rtl/>
        </w:rPr>
        <w:t xml:space="preserve"> - </w:t>
      </w:r>
      <w:r>
        <w:rPr>
          <w:rFonts w:hint="cs"/>
          <w:b/>
          <w:bCs/>
          <w:sz w:val="24"/>
          <w:rtl/>
        </w:rPr>
        <w:t>יוסף דיין נ' מדינת ישראל</w:t>
      </w:r>
      <w:r>
        <w:rPr>
          <w:rFonts w:hint="cs"/>
          <w:sz w:val="24"/>
          <w:rtl/>
        </w:rPr>
        <w:t xml:space="preserve"> תק-מח 71(3), 2422 ,עמ' 2429).</w:t>
      </w:r>
    </w:p>
    <w:p w14:paraId="265A39EF" w14:textId="77777777" w:rsidR="009235D1" w:rsidRDefault="009235D1">
      <w:pPr>
        <w:rPr>
          <w:rFonts w:hint="cs"/>
          <w:sz w:val="24"/>
          <w:rtl/>
        </w:rPr>
      </w:pPr>
    </w:p>
    <w:p w14:paraId="6E6D52C6" w14:textId="77777777" w:rsidR="009235D1" w:rsidRDefault="009235D1">
      <w:pPr>
        <w:rPr>
          <w:rFonts w:hint="cs"/>
          <w:sz w:val="24"/>
          <w:rtl/>
        </w:rPr>
      </w:pPr>
      <w:r>
        <w:rPr>
          <w:rFonts w:hint="cs"/>
          <w:sz w:val="24"/>
          <w:rtl/>
        </w:rPr>
        <w:t>יתירה מזאת, נפסק כי ניתן ללמוד על אופיו של המעשה הן מנסיבותיו והן מתחושתה של המתלוננת בעקבות המעשה:</w:t>
      </w:r>
    </w:p>
    <w:p w14:paraId="730D64AC" w14:textId="77777777" w:rsidR="009235D1" w:rsidRDefault="009235D1">
      <w:pPr>
        <w:ind w:left="720" w:hanging="720"/>
        <w:rPr>
          <w:rFonts w:hint="cs"/>
          <w:sz w:val="24"/>
          <w:rtl/>
        </w:rPr>
      </w:pPr>
      <w:r>
        <w:rPr>
          <w:rFonts w:hint="cs"/>
          <w:sz w:val="24"/>
          <w:rtl/>
        </w:rPr>
        <w:tab/>
      </w:r>
      <w:r>
        <w:rPr>
          <w:rFonts w:hint="cs"/>
          <w:b/>
          <w:bCs/>
          <w:sz w:val="24"/>
          <w:rtl/>
        </w:rPr>
        <w:t>"ליטוף רגלה מבעד לקרעים במכנסיה נושאים, בנסיבות העניין, אופי אירוטי, ותחושתה הטיבעית של נ.ר. כי המגעים הינם מגעים אירוטיים, מכריעה כאן הכף לחובתו של המערער. כידוע, אדם מוחזק כמתכוון ל"תוצאות" הצומחות מדרך הטבע ממעשהו, ולענייננו משמעותו של הכלל היא: שניתן ללמוד על תכלית עשייתו של מעשה מטיבו ומאופיו, המדברים בעניין ז בעד עצמם. ובהעדר ראיה המשמיטה את המסקנה המתחייבת מטיבו ומאופיו של המעשה – הופכת מסקנה זו לעובדה מוכחת."</w:t>
      </w:r>
      <w:r>
        <w:rPr>
          <w:rFonts w:hint="cs"/>
          <w:sz w:val="24"/>
          <w:rtl/>
        </w:rPr>
        <w:t xml:space="preserve"> (</w:t>
      </w:r>
      <w:hyperlink r:id="rId17" w:history="1">
        <w:r w:rsidR="00643D4A" w:rsidRPr="00643D4A">
          <w:rPr>
            <w:rStyle w:val="Hyperlink"/>
            <w:rFonts w:hint="eastAsia"/>
            <w:sz w:val="24"/>
            <w:rtl/>
          </w:rPr>
          <w:t>ע</w:t>
        </w:r>
        <w:r w:rsidR="00643D4A" w:rsidRPr="00643D4A">
          <w:rPr>
            <w:rStyle w:val="Hyperlink"/>
            <w:sz w:val="24"/>
            <w:rtl/>
          </w:rPr>
          <w:t>"פ 7024/93, אליהו פלח נ. מדינת ישראל, פ"ד מט</w:t>
        </w:r>
      </w:hyperlink>
      <w:r>
        <w:rPr>
          <w:rFonts w:hint="cs"/>
          <w:sz w:val="24"/>
          <w:rtl/>
        </w:rPr>
        <w:t>' (1), עמ' 2).</w:t>
      </w:r>
    </w:p>
    <w:p w14:paraId="63DC064E" w14:textId="77777777" w:rsidR="009235D1" w:rsidRDefault="009235D1">
      <w:pPr>
        <w:rPr>
          <w:rFonts w:hint="cs"/>
          <w:sz w:val="24"/>
          <w:rtl/>
        </w:rPr>
      </w:pPr>
    </w:p>
    <w:p w14:paraId="0AEAC6DD" w14:textId="77777777" w:rsidR="009235D1" w:rsidRDefault="009235D1">
      <w:pPr>
        <w:rPr>
          <w:rFonts w:hint="cs"/>
          <w:sz w:val="24"/>
          <w:rtl/>
        </w:rPr>
      </w:pPr>
      <w:r>
        <w:rPr>
          <w:rFonts w:hint="cs"/>
          <w:sz w:val="24"/>
          <w:rtl/>
        </w:rPr>
        <w:t>במקרה דנן, אין חולק כי הטקסט שנילווה למעשה הפיזי משווה לו את אופיו המיני, המגונה.</w:t>
      </w:r>
    </w:p>
    <w:p w14:paraId="6BDBCEAB" w14:textId="77777777" w:rsidR="009235D1" w:rsidRDefault="009235D1">
      <w:pPr>
        <w:rPr>
          <w:rFonts w:hint="cs"/>
          <w:sz w:val="24"/>
          <w:rtl/>
        </w:rPr>
      </w:pPr>
      <w:r>
        <w:rPr>
          <w:rFonts w:hint="cs"/>
          <w:sz w:val="24"/>
          <w:rtl/>
        </w:rPr>
        <w:t>כפי שנקבע במקרים דומים:</w:t>
      </w:r>
    </w:p>
    <w:p w14:paraId="6A9473C6" w14:textId="77777777" w:rsidR="009235D1" w:rsidRDefault="009235D1">
      <w:pPr>
        <w:ind w:left="720" w:hanging="720"/>
        <w:rPr>
          <w:rFonts w:hint="cs"/>
          <w:sz w:val="24"/>
          <w:rtl/>
        </w:rPr>
      </w:pPr>
      <w:r>
        <w:rPr>
          <w:rFonts w:hint="cs"/>
          <w:sz w:val="24"/>
          <w:rtl/>
        </w:rPr>
        <w:tab/>
      </w:r>
      <w:r>
        <w:rPr>
          <w:rFonts w:hint="cs"/>
          <w:b/>
          <w:bCs/>
          <w:sz w:val="24"/>
          <w:rtl/>
        </w:rPr>
        <w:t>"המערער גם ליווה את מעשיו ב"טקסט", אף הוא בעל אופי מיני וגם בכך יש כדי לשלול את הגבוליות"</w:t>
      </w:r>
      <w:r>
        <w:rPr>
          <w:rFonts w:hint="cs"/>
          <w:sz w:val="24"/>
          <w:rtl/>
        </w:rPr>
        <w:t xml:space="preserve"> (</w:t>
      </w:r>
      <w:hyperlink r:id="rId18" w:history="1">
        <w:r w:rsidR="00643D4A" w:rsidRPr="00643D4A">
          <w:rPr>
            <w:rStyle w:val="Hyperlink"/>
            <w:rFonts w:hint="eastAsia"/>
            <w:sz w:val="24"/>
            <w:rtl/>
          </w:rPr>
          <w:t>ע</w:t>
        </w:r>
        <w:r w:rsidR="00643D4A" w:rsidRPr="00643D4A">
          <w:rPr>
            <w:rStyle w:val="Hyperlink"/>
            <w:sz w:val="24"/>
            <w:rtl/>
          </w:rPr>
          <w:t>"פ (תל-אביב-יפו) 4314/98</w:t>
        </w:r>
      </w:hyperlink>
      <w:r>
        <w:rPr>
          <w:rFonts w:hint="cs"/>
          <w:sz w:val="24"/>
          <w:rtl/>
        </w:rPr>
        <w:t xml:space="preserve"> - </w:t>
      </w:r>
      <w:r>
        <w:rPr>
          <w:rFonts w:hint="cs"/>
          <w:b/>
          <w:bCs/>
          <w:sz w:val="24"/>
          <w:rtl/>
        </w:rPr>
        <w:t>יוסף דיין נ' מדינת ישראל</w:t>
      </w:r>
      <w:r>
        <w:rPr>
          <w:rFonts w:hint="cs"/>
          <w:sz w:val="24"/>
          <w:rtl/>
        </w:rPr>
        <w:t xml:space="preserve"> .תק-מח 71(3), 2422 ,עמ' 2432).</w:t>
      </w:r>
    </w:p>
    <w:p w14:paraId="5C2A644B" w14:textId="77777777" w:rsidR="009235D1" w:rsidRDefault="009235D1">
      <w:pPr>
        <w:ind w:left="720" w:hanging="720"/>
        <w:rPr>
          <w:rFonts w:hint="cs"/>
          <w:sz w:val="24"/>
          <w:rtl/>
        </w:rPr>
      </w:pPr>
    </w:p>
    <w:p w14:paraId="61568AA1" w14:textId="77777777" w:rsidR="009235D1" w:rsidRDefault="009235D1">
      <w:pPr>
        <w:rPr>
          <w:rFonts w:hint="cs"/>
          <w:sz w:val="24"/>
          <w:rtl/>
        </w:rPr>
      </w:pPr>
      <w:r>
        <w:rPr>
          <w:rFonts w:hint="cs"/>
          <w:sz w:val="24"/>
          <w:rtl/>
        </w:rPr>
        <w:t>וכן נפסק:</w:t>
      </w:r>
    </w:p>
    <w:p w14:paraId="50112638" w14:textId="77777777" w:rsidR="009235D1" w:rsidRDefault="009235D1">
      <w:pPr>
        <w:ind w:left="720" w:hanging="720"/>
        <w:rPr>
          <w:rFonts w:hint="cs"/>
          <w:sz w:val="24"/>
          <w:rtl/>
        </w:rPr>
      </w:pPr>
      <w:r>
        <w:rPr>
          <w:rFonts w:hint="cs"/>
          <w:b/>
          <w:bCs/>
          <w:sz w:val="24"/>
          <w:rtl/>
        </w:rPr>
        <w:tab/>
        <w:t>"אין זה חיוני - כדי לשוות למעשה אופי מגונה - כי יתלווה לו רצון לספק חשק מיני, שכן מעשה התקיפה עצמו מבליט לעין את האופי המגונה שבו...</w:t>
      </w:r>
      <w:r>
        <w:rPr>
          <w:rFonts w:hint="cs"/>
          <w:sz w:val="24"/>
          <w:rtl/>
        </w:rPr>
        <w:t xml:space="preserve"> </w:t>
      </w:r>
      <w:r>
        <w:rPr>
          <w:rFonts w:hint="cs"/>
          <w:b/>
          <w:bCs/>
          <w:sz w:val="24"/>
          <w:rtl/>
        </w:rPr>
        <w:t>ואין נפקא מינה, אם עשה כן מתוך מניע מיני דווקא, זולת אם הומרץ העושה "על-ידי מניע הנחשב בעיני האדם הממוצע ככשר או כמצדיק את מעשה התקיפה" (</w:t>
      </w:r>
      <w:hyperlink r:id="rId19" w:history="1">
        <w:r w:rsidR="00643D4A" w:rsidRPr="00643D4A">
          <w:rPr>
            <w:rStyle w:val="Hyperlink"/>
            <w:rFonts w:hint="eastAsia"/>
            <w:sz w:val="24"/>
            <w:rtl/>
          </w:rPr>
          <w:t>ע</w:t>
        </w:r>
        <w:r w:rsidR="00643D4A" w:rsidRPr="00643D4A">
          <w:rPr>
            <w:rStyle w:val="Hyperlink"/>
            <w:sz w:val="24"/>
            <w:rtl/>
          </w:rPr>
          <w:t>"פ 616/83 - דוד פליישמן נ' מדינת ישראל . פ"ד לט</w:t>
        </w:r>
      </w:hyperlink>
      <w:r>
        <w:rPr>
          <w:rFonts w:hint="cs"/>
          <w:sz w:val="24"/>
          <w:rtl/>
        </w:rPr>
        <w:t>(1), 449 ,עמ' 454-455).</w:t>
      </w:r>
    </w:p>
    <w:p w14:paraId="3CF4031E" w14:textId="77777777" w:rsidR="009235D1" w:rsidRDefault="009235D1">
      <w:pPr>
        <w:ind w:left="720" w:hanging="720"/>
        <w:rPr>
          <w:rFonts w:hint="cs"/>
          <w:sz w:val="24"/>
          <w:rtl/>
        </w:rPr>
      </w:pPr>
    </w:p>
    <w:p w14:paraId="78286864" w14:textId="77777777" w:rsidR="009235D1" w:rsidRDefault="009235D1">
      <w:pPr>
        <w:rPr>
          <w:rFonts w:hint="cs"/>
          <w:sz w:val="24"/>
          <w:rtl/>
        </w:rPr>
      </w:pPr>
      <w:r>
        <w:rPr>
          <w:rFonts w:hint="cs"/>
          <w:sz w:val="24"/>
          <w:rtl/>
        </w:rPr>
        <w:t>לא למותר לציין, כי הגם שניתן להסתפק בעדותה של המתלוננת בלבד לצורך הרשעה, ניתן למצוא סיוע לעדותה של המתלוננת במצבה הנפשי הנסער ובבכיה של המתלוננת בסמוך לאחר האירוע כפי שהעיד על כך העד אלון לוי, כאמור לעיל (קדמי, "</w:t>
      </w:r>
      <w:r>
        <w:rPr>
          <w:rFonts w:hint="cs"/>
          <w:b/>
          <w:bCs/>
          <w:sz w:val="24"/>
          <w:rtl/>
        </w:rPr>
        <w:t>על הראיות</w:t>
      </w:r>
      <w:r>
        <w:rPr>
          <w:rFonts w:hint="cs"/>
          <w:sz w:val="24"/>
          <w:rtl/>
        </w:rPr>
        <w:t xml:space="preserve">", חלק ראשון, עמ' 231-232). </w:t>
      </w:r>
    </w:p>
    <w:p w14:paraId="4139C402" w14:textId="77777777" w:rsidR="009235D1" w:rsidRDefault="009235D1">
      <w:pPr>
        <w:ind w:left="720" w:hanging="720"/>
        <w:rPr>
          <w:rFonts w:hint="cs"/>
          <w:b/>
          <w:bCs/>
          <w:sz w:val="24"/>
          <w:rtl/>
        </w:rPr>
      </w:pPr>
    </w:p>
    <w:p w14:paraId="602147FB" w14:textId="77777777" w:rsidR="009235D1" w:rsidRDefault="009235D1">
      <w:pPr>
        <w:rPr>
          <w:rFonts w:hint="cs"/>
          <w:sz w:val="24"/>
          <w:rtl/>
        </w:rPr>
      </w:pPr>
      <w:r>
        <w:rPr>
          <w:rFonts w:hint="cs"/>
          <w:sz w:val="24"/>
          <w:rtl/>
        </w:rPr>
        <w:t>לכל אלה יש להוסיף את תלונתה המיידית של המתלוננת.</w:t>
      </w:r>
    </w:p>
    <w:p w14:paraId="77D35E6B" w14:textId="77777777" w:rsidR="009235D1" w:rsidRDefault="009235D1">
      <w:pPr>
        <w:rPr>
          <w:rFonts w:hint="cs"/>
          <w:sz w:val="24"/>
          <w:rtl/>
        </w:rPr>
      </w:pPr>
    </w:p>
    <w:p w14:paraId="02DA20D7" w14:textId="77777777" w:rsidR="009235D1" w:rsidRDefault="009235D1">
      <w:pPr>
        <w:rPr>
          <w:rFonts w:hint="cs"/>
          <w:sz w:val="24"/>
          <w:rtl/>
        </w:rPr>
      </w:pPr>
      <w:r>
        <w:rPr>
          <w:rFonts w:hint="cs"/>
          <w:sz w:val="24"/>
          <w:rtl/>
        </w:rPr>
        <w:t>העובדות שהוכחו בפני מתגבשות לכלל עבירת מעשה מגונה, הן מבחינת היסוד העובדתי והן מבחינת היסוד הנפשי הדרוש בעבירה מסוג זה.</w:t>
      </w:r>
    </w:p>
    <w:p w14:paraId="052A963A" w14:textId="77777777" w:rsidR="009235D1" w:rsidRDefault="009235D1">
      <w:pPr>
        <w:rPr>
          <w:rFonts w:hint="cs"/>
          <w:sz w:val="24"/>
          <w:rtl/>
        </w:rPr>
      </w:pPr>
    </w:p>
    <w:p w14:paraId="4DD1D270" w14:textId="77777777" w:rsidR="009235D1" w:rsidRDefault="009235D1">
      <w:pPr>
        <w:rPr>
          <w:rFonts w:hint="cs"/>
          <w:rtl/>
        </w:rPr>
      </w:pPr>
      <w:r>
        <w:rPr>
          <w:rFonts w:hint="cs"/>
          <w:sz w:val="24"/>
          <w:rtl/>
        </w:rPr>
        <w:t xml:space="preserve">סיכומו של דבר, אני מוצא את הנאשם אשם ומרשיעו בעבירה המיוחסת לו בכתב האישום, מעשה מגונה בניגוד </w:t>
      </w:r>
      <w:hyperlink r:id="rId20" w:history="1">
        <w:r w:rsidR="00582DED" w:rsidRPr="00582DED">
          <w:rPr>
            <w:color w:val="0000FF"/>
            <w:sz w:val="24"/>
            <w:u w:val="single"/>
            <w:rtl/>
          </w:rPr>
          <w:t>לסעיף 348(ג)</w:t>
        </w:r>
      </w:hyperlink>
      <w:r>
        <w:rPr>
          <w:rFonts w:hint="cs"/>
          <w:sz w:val="24"/>
          <w:rtl/>
        </w:rPr>
        <w:t xml:space="preserve"> ל</w:t>
      </w:r>
      <w:hyperlink r:id="rId21" w:history="1">
        <w:r w:rsidR="00643D4A" w:rsidRPr="00643D4A">
          <w:rPr>
            <w:rStyle w:val="Hyperlink"/>
            <w:rFonts w:hint="eastAsia"/>
            <w:sz w:val="24"/>
            <w:rtl/>
          </w:rPr>
          <w:t>חוק</w:t>
        </w:r>
        <w:r w:rsidR="00643D4A" w:rsidRPr="00643D4A">
          <w:rPr>
            <w:rStyle w:val="Hyperlink"/>
            <w:sz w:val="24"/>
            <w:rtl/>
          </w:rPr>
          <w:t xml:space="preserve"> העונשין</w:t>
        </w:r>
      </w:hyperlink>
      <w:r>
        <w:rPr>
          <w:rFonts w:hint="cs"/>
          <w:sz w:val="24"/>
          <w:rtl/>
        </w:rPr>
        <w:t>, התשל"ז-1977.</w:t>
      </w:r>
    </w:p>
    <w:p w14:paraId="0582F955" w14:textId="77777777" w:rsidR="009235D1" w:rsidRDefault="009235D1">
      <w:pPr>
        <w:rPr>
          <w:rFonts w:hint="cs"/>
          <w:rtl/>
        </w:rPr>
      </w:pPr>
    </w:p>
    <w:p w14:paraId="0CA3F697" w14:textId="77777777" w:rsidR="009235D1" w:rsidRDefault="009235D1">
      <w:pPr>
        <w:rPr>
          <w:rFonts w:hint="cs"/>
          <w:color w:val="000000"/>
          <w:rtl/>
        </w:rPr>
      </w:pPr>
      <w:r>
        <w:rPr>
          <w:rFonts w:hint="cs"/>
          <w:color w:val="000000"/>
          <w:rtl/>
        </w:rPr>
        <w:t>ניתנה היום כ' בכסלו, תשס"ב (5 בדצמבר 2001) במעמד הצדדים</w:t>
      </w:r>
    </w:p>
    <w:p w14:paraId="0937C7FD" w14:textId="77777777" w:rsidR="009235D1" w:rsidRDefault="009235D1">
      <w:pPr>
        <w:rPr>
          <w:rFonts w:hint="cs"/>
          <w:b/>
          <w:bCs/>
          <w:color w:val="000080"/>
          <w:rtl/>
        </w:rPr>
      </w:pPr>
    </w:p>
    <w:tbl>
      <w:tblPr>
        <w:tblW w:w="0" w:type="auto"/>
        <w:tblInd w:w="6153" w:type="dxa"/>
        <w:tblBorders>
          <w:top w:val="single" w:sz="4" w:space="0" w:color="auto"/>
        </w:tblBorders>
        <w:tblLook w:val="0000" w:firstRow="0" w:lastRow="0" w:firstColumn="0" w:lastColumn="0" w:noHBand="0" w:noVBand="0"/>
      </w:tblPr>
      <w:tblGrid>
        <w:gridCol w:w="2376"/>
      </w:tblGrid>
      <w:tr w:rsidR="009235D1" w14:paraId="78403ABB" w14:textId="77777777">
        <w:tc>
          <w:tcPr>
            <w:tcW w:w="2376" w:type="dxa"/>
            <w:tcBorders>
              <w:top w:val="single" w:sz="4" w:space="0" w:color="auto"/>
              <w:left w:val="nil"/>
              <w:bottom w:val="nil"/>
              <w:right w:val="nil"/>
            </w:tcBorders>
          </w:tcPr>
          <w:p w14:paraId="3BFFF32D" w14:textId="77777777" w:rsidR="009235D1" w:rsidRDefault="009235D1">
            <w:pPr>
              <w:jc w:val="center"/>
            </w:pPr>
            <w:r>
              <w:rPr>
                <w:rFonts w:hint="cs"/>
                <w:rtl/>
              </w:rPr>
              <w:t>אמנון כהן</w:t>
            </w:r>
          </w:p>
          <w:p w14:paraId="6520DD03" w14:textId="77777777" w:rsidR="009235D1" w:rsidRDefault="009235D1">
            <w:pPr>
              <w:jc w:val="center"/>
              <w:rPr>
                <w:rFonts w:hint="cs"/>
                <w:rtl/>
              </w:rPr>
            </w:pPr>
            <w:r>
              <w:rPr>
                <w:rFonts w:hint="cs"/>
                <w:rtl/>
              </w:rPr>
              <w:t>שופט בית משפט מחוזי</w:t>
            </w:r>
          </w:p>
          <w:p w14:paraId="38CBA9DC" w14:textId="77777777" w:rsidR="009235D1" w:rsidRDefault="009235D1">
            <w:pPr>
              <w:jc w:val="center"/>
            </w:pPr>
            <w:r>
              <w:rPr>
                <w:rFonts w:hint="cs"/>
                <w:rtl/>
              </w:rPr>
              <w:t>נשיא בית משפט השלום</w:t>
            </w:r>
          </w:p>
        </w:tc>
      </w:tr>
    </w:tbl>
    <w:p w14:paraId="531A01A8" w14:textId="77777777" w:rsidR="009235D1" w:rsidRDefault="009235D1">
      <w:pPr>
        <w:jc w:val="right"/>
        <w:rPr>
          <w:rFonts w:hint="cs"/>
          <w:b/>
          <w:bCs/>
          <w:color w:val="FF0000"/>
          <w:rtl/>
        </w:rPr>
      </w:pPr>
    </w:p>
    <w:p w14:paraId="27BE6F43" w14:textId="77777777" w:rsidR="009235D1" w:rsidRDefault="009235D1">
      <w:pPr>
        <w:rPr>
          <w:rFonts w:hint="cs"/>
          <w:rtl/>
        </w:rPr>
      </w:pPr>
      <w:r>
        <w:rPr>
          <w:rFonts w:hint="cs"/>
          <w:rtl/>
        </w:rPr>
        <w:t xml:space="preserve">קלדנית: זהבה נחום          </w:t>
      </w:r>
    </w:p>
    <w:p w14:paraId="4FBF2007" w14:textId="77777777" w:rsidR="009235D1" w:rsidRDefault="009235D1">
      <w:pPr>
        <w:rPr>
          <w:rtl/>
        </w:rPr>
      </w:pPr>
      <w:r>
        <w:rPr>
          <w:rtl/>
        </w:rPr>
        <w:t>נוסח מסמך זה כפוף לשינויי ניסוח ועריכה</w:t>
      </w:r>
    </w:p>
    <w:sectPr w:rsidR="009235D1">
      <w:headerReference w:type="even" r:id="rId22"/>
      <w:headerReference w:type="default" r:id="rId23"/>
      <w:footerReference w:type="even" r:id="rId24"/>
      <w:footerReference w:type="default" r:id="rId2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D10A6" w14:textId="77777777" w:rsidR="001906BD" w:rsidRDefault="001906BD">
      <w:pPr>
        <w:spacing w:line="240" w:lineRule="auto"/>
      </w:pPr>
      <w:r>
        <w:separator/>
      </w:r>
    </w:p>
  </w:endnote>
  <w:endnote w:type="continuationSeparator" w:id="0">
    <w:p w14:paraId="1E4AE098" w14:textId="77777777" w:rsidR="001906BD" w:rsidRDefault="001906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A10D" w14:textId="77777777" w:rsidR="000F00F2" w:rsidRDefault="000F00F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9</w:t>
    </w:r>
    <w:r>
      <w:rPr>
        <w:rFonts w:hAnsi="FrankRuehl" w:cs="FrankRuehl"/>
        <w:sz w:val="24"/>
        <w:rtl/>
      </w:rPr>
      <w:fldChar w:fldCharType="end"/>
    </w:r>
  </w:p>
  <w:p w14:paraId="01B87014" w14:textId="77777777" w:rsidR="000F00F2" w:rsidRDefault="000F00F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BB06897" w14:textId="77777777" w:rsidR="000F00F2" w:rsidRDefault="000F00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M:\00000000\05-06-12\ps-all\17 = 01-12-05-anat\s00002743-47.doc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EB487" w14:textId="77777777" w:rsidR="000F00F2" w:rsidRDefault="000F00F2">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B12E2">
      <w:rPr>
        <w:rFonts w:hAnsi="FrankRuehl" w:cs="FrankRuehl"/>
        <w:noProof/>
        <w:sz w:val="24"/>
        <w:rtl/>
      </w:rPr>
      <w:t>1</w:t>
    </w:r>
    <w:r>
      <w:rPr>
        <w:rFonts w:hAnsi="FrankRuehl" w:cs="FrankRuehl"/>
        <w:sz w:val="24"/>
        <w:rtl/>
      </w:rPr>
      <w:fldChar w:fldCharType="end"/>
    </w:r>
  </w:p>
  <w:p w14:paraId="7D10816C" w14:textId="77777777" w:rsidR="000F00F2" w:rsidRDefault="000F00F2">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D41F907" w14:textId="77777777" w:rsidR="000F00F2" w:rsidRDefault="000F00F2">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M:\00000000\05-06-12\ps-all\17 = 01-12-05-anat\s00002743-47.doc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C7957" w14:textId="77777777" w:rsidR="001906BD" w:rsidRDefault="001906BD">
      <w:pPr>
        <w:spacing w:line="240" w:lineRule="auto"/>
      </w:pPr>
      <w:r>
        <w:separator/>
      </w:r>
    </w:p>
  </w:footnote>
  <w:footnote w:type="continuationSeparator" w:id="0">
    <w:p w14:paraId="6FD270D7" w14:textId="77777777" w:rsidR="001906BD" w:rsidRDefault="001906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C62C" w14:textId="77777777" w:rsidR="000F00F2" w:rsidRDefault="000F00F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2743/00</w:t>
    </w:r>
    <w:r>
      <w:rPr>
        <w:rFonts w:hAnsi="David"/>
        <w:color w:val="000000"/>
        <w:sz w:val="22"/>
        <w:szCs w:val="22"/>
        <w:rtl/>
      </w:rPr>
      <w:tab/>
      <w:t xml:space="preserve"> מדינת ישראל נ' מימון אביטן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EB342" w14:textId="77777777" w:rsidR="000F00F2" w:rsidRDefault="000F00F2">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2743/00</w:t>
    </w:r>
    <w:r>
      <w:rPr>
        <w:rFonts w:hAnsi="David"/>
        <w:color w:val="000000"/>
        <w:sz w:val="22"/>
        <w:szCs w:val="22"/>
        <w:rtl/>
      </w:rPr>
      <w:tab/>
      <w:t xml:space="preserve"> מדינת ישראל נ' מימון אביטן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B231FF"/>
    <w:rsid w:val="000F00F2"/>
    <w:rsid w:val="001906BD"/>
    <w:rsid w:val="00582DED"/>
    <w:rsid w:val="00643D4A"/>
    <w:rsid w:val="008B12E2"/>
    <w:rsid w:val="009235D1"/>
    <w:rsid w:val="00B1102C"/>
    <w:rsid w:val="00B231FF"/>
    <w:rsid w:val="00BD3D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CE0B74"/>
  <w15:chartTrackingRefBased/>
  <w15:docId w15:val="{28E05027-0B68-42B2-96F8-9C63326B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Indent">
    <w:name w:val="Body Text Indent"/>
    <w:basedOn w:val="Normal"/>
    <w:semiHidden/>
    <w:rPr>
      <w:rFonts w:cs="Times New Roman"/>
      <w:sz w:val="24"/>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paragraph" w:styleId="BalloonText">
    <w:name w:val="Balloon Text"/>
    <w:basedOn w:val="Normal"/>
    <w:semiHidden/>
    <w:rsid w:val="00643D4A"/>
    <w:rPr>
      <w:rFonts w:ascii="Tahoma" w:hAnsi="Tahoma" w:cs="Tahoma"/>
      <w:sz w:val="16"/>
      <w:szCs w:val="16"/>
    </w:rPr>
  </w:style>
  <w:style w:type="character" w:styleId="Hyperlink">
    <w:name w:val="Hyperlink"/>
    <w:rsid w:val="00643D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law/4202/18.b" TargetMode="External"/><Relationship Id="rId18" Type="http://schemas.openxmlformats.org/officeDocument/2006/relationships/hyperlink" Target="http://www.nevo.co.il/case/5724703"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93371"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5724703" TargetMode="External"/><Relationship Id="rId20" Type="http://schemas.openxmlformats.org/officeDocument/2006/relationships/hyperlink" Target="http://www.nevo.co.il/law/70301/348.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724703" TargetMode="External"/><Relationship Id="rId23" Type="http://schemas.openxmlformats.org/officeDocument/2006/relationships/header" Target="header2.xml"/><Relationship Id="rId10" Type="http://schemas.openxmlformats.org/officeDocument/2006/relationships/hyperlink" Target="http://www.nevo.co.il/law/4202/18.b" TargetMode="External"/><Relationship Id="rId19" Type="http://schemas.openxmlformats.org/officeDocument/2006/relationships/hyperlink" Target="http://www.nevo.co.il/case/17941097" TargetMode="External"/><Relationship Id="rId4" Type="http://schemas.openxmlformats.org/officeDocument/2006/relationships/footnotes" Target="footnotes.xml"/><Relationship Id="rId9" Type="http://schemas.openxmlformats.org/officeDocument/2006/relationships/hyperlink" Target="http://www.nevo.co.il/law/4202" TargetMode="External"/><Relationship Id="rId14" Type="http://schemas.openxmlformats.org/officeDocument/2006/relationships/hyperlink" Target="http://www.nevo.co.il/law/4202"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2218</Words>
  <Characters>12649</Characters>
  <Application>Microsoft Office Word</Application>
  <DocSecurity>0</DocSecurity>
  <Lines>105</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14838</CharactersWithSpaces>
  <SharedDoc>false</SharedDoc>
  <HLinks>
    <vt:vector size="96" baseType="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3145847</vt:i4>
      </vt:variant>
      <vt:variant>
        <vt:i4>39</vt:i4>
      </vt:variant>
      <vt:variant>
        <vt:i4>0</vt:i4>
      </vt:variant>
      <vt:variant>
        <vt:i4>5</vt:i4>
      </vt:variant>
      <vt:variant>
        <vt:lpwstr>http://www.nevo.co.il/case/17941097</vt:lpwstr>
      </vt:variant>
      <vt:variant>
        <vt:lpwstr/>
      </vt:variant>
      <vt:variant>
        <vt:i4>3342455</vt:i4>
      </vt:variant>
      <vt:variant>
        <vt:i4>36</vt:i4>
      </vt:variant>
      <vt:variant>
        <vt:i4>0</vt:i4>
      </vt:variant>
      <vt:variant>
        <vt:i4>5</vt:i4>
      </vt:variant>
      <vt:variant>
        <vt:lpwstr>http://www.nevo.co.il/case/5724703</vt:lpwstr>
      </vt:variant>
      <vt:variant>
        <vt:lpwstr/>
      </vt:variant>
      <vt:variant>
        <vt:i4>3997808</vt:i4>
      </vt:variant>
      <vt:variant>
        <vt:i4>33</vt:i4>
      </vt:variant>
      <vt:variant>
        <vt:i4>0</vt:i4>
      </vt:variant>
      <vt:variant>
        <vt:i4>5</vt:i4>
      </vt:variant>
      <vt:variant>
        <vt:lpwstr>http://www.nevo.co.il/case/6093371</vt:lpwstr>
      </vt:variant>
      <vt:variant>
        <vt:lpwstr/>
      </vt:variant>
      <vt:variant>
        <vt:i4>3342455</vt:i4>
      </vt:variant>
      <vt:variant>
        <vt:i4>30</vt:i4>
      </vt:variant>
      <vt:variant>
        <vt:i4>0</vt:i4>
      </vt:variant>
      <vt:variant>
        <vt:i4>5</vt:i4>
      </vt:variant>
      <vt:variant>
        <vt:lpwstr>http://www.nevo.co.il/case/5724703</vt:lpwstr>
      </vt:variant>
      <vt:variant>
        <vt:lpwstr/>
      </vt:variant>
      <vt:variant>
        <vt:i4>3342455</vt:i4>
      </vt:variant>
      <vt:variant>
        <vt:i4>27</vt:i4>
      </vt:variant>
      <vt:variant>
        <vt:i4>0</vt:i4>
      </vt:variant>
      <vt:variant>
        <vt:i4>5</vt:i4>
      </vt:variant>
      <vt:variant>
        <vt:lpwstr>http://www.nevo.co.il/case/5724703</vt:lpwstr>
      </vt:variant>
      <vt:variant>
        <vt:lpwstr/>
      </vt:variant>
      <vt:variant>
        <vt:i4>7995492</vt:i4>
      </vt:variant>
      <vt:variant>
        <vt:i4>24</vt:i4>
      </vt:variant>
      <vt:variant>
        <vt:i4>0</vt:i4>
      </vt:variant>
      <vt:variant>
        <vt:i4>5</vt:i4>
      </vt:variant>
      <vt:variant>
        <vt:lpwstr>http://www.nevo.co.il/law/4202</vt:lpwstr>
      </vt:variant>
      <vt:variant>
        <vt:lpwstr/>
      </vt:variant>
      <vt:variant>
        <vt:i4>6619251</vt:i4>
      </vt:variant>
      <vt:variant>
        <vt:i4>21</vt:i4>
      </vt:variant>
      <vt:variant>
        <vt:i4>0</vt:i4>
      </vt:variant>
      <vt:variant>
        <vt:i4>5</vt:i4>
      </vt:variant>
      <vt:variant>
        <vt:lpwstr>http://www.nevo.co.il/law/4202/18.b</vt:lpwstr>
      </vt:variant>
      <vt:variant>
        <vt:lpwstr/>
      </vt:variant>
      <vt:variant>
        <vt:i4>7995492</vt:i4>
      </vt:variant>
      <vt:variant>
        <vt:i4>18</vt:i4>
      </vt:variant>
      <vt:variant>
        <vt:i4>0</vt:i4>
      </vt:variant>
      <vt:variant>
        <vt:i4>5</vt:i4>
      </vt:variant>
      <vt:variant>
        <vt:lpwstr>http://www.nevo.co.il/law/70301</vt:lpwstr>
      </vt:variant>
      <vt:variant>
        <vt:lpwstr/>
      </vt:variant>
      <vt:variant>
        <vt:i4>131166</vt:i4>
      </vt:variant>
      <vt:variant>
        <vt:i4>15</vt:i4>
      </vt:variant>
      <vt:variant>
        <vt:i4>0</vt:i4>
      </vt:variant>
      <vt:variant>
        <vt:i4>5</vt:i4>
      </vt:variant>
      <vt:variant>
        <vt:lpwstr>http://www.nevo.co.il/law/70301/348c</vt:lpwstr>
      </vt:variant>
      <vt:variant>
        <vt:lpwstr/>
      </vt:variant>
      <vt:variant>
        <vt:i4>6619251</vt:i4>
      </vt:variant>
      <vt:variant>
        <vt:i4>12</vt:i4>
      </vt:variant>
      <vt:variant>
        <vt:i4>0</vt:i4>
      </vt:variant>
      <vt:variant>
        <vt:i4>5</vt:i4>
      </vt:variant>
      <vt:variant>
        <vt:lpwstr>http://www.nevo.co.il/law/4202/18.b</vt:lpwstr>
      </vt:variant>
      <vt:variant>
        <vt:lpwstr/>
      </vt:variant>
      <vt:variant>
        <vt:i4>7995492</vt:i4>
      </vt:variant>
      <vt:variant>
        <vt:i4>9</vt:i4>
      </vt:variant>
      <vt:variant>
        <vt:i4>0</vt:i4>
      </vt:variant>
      <vt:variant>
        <vt:i4>5</vt:i4>
      </vt:variant>
      <vt:variant>
        <vt:lpwstr>http://www.nevo.co.il/law/4202</vt:lpwstr>
      </vt:variant>
      <vt:variant>
        <vt:lpwstr/>
      </vt:variant>
      <vt:variant>
        <vt:i4>131166</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2001-12-05T12:26:00Z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2743</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מימון אביטן</vt:lpwstr>
  </property>
  <property fmtid="{D5CDD505-2E9C-101B-9397-08002B2CF9AE}" pid="9" name="LAWYER">
    <vt:lpwstr>שטרק פאול</vt:lpwstr>
  </property>
  <property fmtid="{D5CDD505-2E9C-101B-9397-08002B2CF9AE}" pid="10" name="JUDGE">
    <vt:lpwstr>אמנון כהן</vt:lpwstr>
  </property>
  <property fmtid="{D5CDD505-2E9C-101B-9397-08002B2CF9AE}" pid="11" name="CITY">
    <vt:lpwstr>י-ם</vt:lpwstr>
  </property>
  <property fmtid="{D5CDD505-2E9C-101B-9397-08002B2CF9AE}" pid="12" name="DATE">
    <vt:lpwstr>20011205</vt:lpwstr>
  </property>
  <property fmtid="{D5CDD505-2E9C-101B-9397-08002B2CF9AE}" pid="13" name="WORDNUMPAGES">
    <vt:lpwstr>9</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5724703:3;6093371;17941097</vt:lpwstr>
  </property>
  <property fmtid="{D5CDD505-2E9C-101B-9397-08002B2CF9AE}" pid="32" name="LAWLISTTMP1">
    <vt:lpwstr>70301/348c;348.c</vt:lpwstr>
  </property>
  <property fmtid="{D5CDD505-2E9C-101B-9397-08002B2CF9AE}" pid="33" name="LAWLISTTMP2">
    <vt:lpwstr>4202/018.b</vt:lpwstr>
  </property>
</Properties>
</file>