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D2E1" w14:textId="77777777" w:rsidR="0013225A" w:rsidRDefault="0013225A">
      <w:pPr>
        <w:pStyle w:val="Header"/>
        <w:rPr>
          <w:rFonts w:hint="cs"/>
          <w:rtl/>
        </w:rPr>
      </w:pPr>
      <w:bookmarkStart w:id="0" w:name="LastJudge"/>
    </w:p>
    <w:p w14:paraId="743EE397" w14:textId="77777777" w:rsidR="0013225A" w:rsidRDefault="0013225A">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680"/>
        <w:gridCol w:w="2235"/>
      </w:tblGrid>
      <w:tr w:rsidR="004E5C5A" w14:paraId="02D78B10" w14:textId="77777777" w:rsidTr="004E5C5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BAE209A" w14:textId="77777777" w:rsidR="004E5C5A" w:rsidRDefault="004E5C5A">
            <w:pPr>
              <w:rPr>
                <w:szCs w:val="22"/>
              </w:rPr>
            </w:pPr>
            <w:r>
              <w:rPr>
                <w:rFonts w:hint="cs"/>
                <w:szCs w:val="22"/>
                <w:rtl/>
              </w:rPr>
              <w:t>בית משפט השלום רמלה</w:t>
            </w:r>
          </w:p>
        </w:tc>
        <w:tc>
          <w:tcPr>
            <w:tcW w:w="2915" w:type="dxa"/>
            <w:gridSpan w:val="2"/>
            <w:tcBorders>
              <w:top w:val="single" w:sz="4" w:space="0" w:color="auto"/>
              <w:left w:val="single" w:sz="4" w:space="0" w:color="auto"/>
              <w:bottom w:val="single" w:sz="4" w:space="0" w:color="auto"/>
              <w:right w:val="single" w:sz="4" w:space="0" w:color="auto"/>
            </w:tcBorders>
          </w:tcPr>
          <w:p w14:paraId="52257A74" w14:textId="77777777" w:rsidR="004E5C5A" w:rsidRDefault="004E5C5A">
            <w:pPr>
              <w:rPr>
                <w:szCs w:val="22"/>
              </w:rPr>
            </w:pPr>
            <w:r>
              <w:rPr>
                <w:rFonts w:hint="cs"/>
                <w:szCs w:val="22"/>
                <w:rtl/>
              </w:rPr>
              <w:t>פ  002784/00</w:t>
            </w:r>
          </w:p>
        </w:tc>
      </w:tr>
      <w:tr w:rsidR="004E5C5A" w14:paraId="148FF89A" w14:textId="77777777" w:rsidTr="004E5C5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1FE8CE7" w14:textId="77777777" w:rsidR="004E5C5A" w:rsidRDefault="004E5C5A">
            <w:pPr>
              <w:bidi w:val="0"/>
              <w:spacing w:line="240" w:lineRule="auto"/>
              <w:jc w:val="lef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3D703437" w14:textId="77777777" w:rsidR="004E5C5A" w:rsidRDefault="004E5C5A">
            <w:pPr>
              <w:rPr>
                <w:szCs w:val="22"/>
              </w:rPr>
            </w:pPr>
          </w:p>
        </w:tc>
      </w:tr>
      <w:tr w:rsidR="004E5C5A" w14:paraId="51B1E539" w14:textId="77777777" w:rsidTr="004E5C5A">
        <w:trPr>
          <w:trHeight w:val="286"/>
        </w:trPr>
        <w:tc>
          <w:tcPr>
            <w:tcW w:w="636" w:type="dxa"/>
            <w:tcBorders>
              <w:top w:val="single" w:sz="4" w:space="0" w:color="auto"/>
              <w:left w:val="single" w:sz="4" w:space="0" w:color="auto"/>
              <w:bottom w:val="single" w:sz="4" w:space="0" w:color="auto"/>
              <w:right w:val="single" w:sz="4" w:space="0" w:color="auto"/>
            </w:tcBorders>
          </w:tcPr>
          <w:p w14:paraId="7240DE85" w14:textId="77777777" w:rsidR="004E5C5A" w:rsidRDefault="004E5C5A">
            <w:pPr>
              <w:rPr>
                <w:szCs w:val="22"/>
              </w:rPr>
            </w:pPr>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3DA58575" w14:textId="77777777" w:rsidR="004E5C5A" w:rsidRDefault="004E5C5A">
            <w:pPr>
              <w:rPr>
                <w:szCs w:val="22"/>
              </w:rPr>
            </w:pPr>
            <w:r>
              <w:rPr>
                <w:rFonts w:hint="cs"/>
                <w:szCs w:val="22"/>
                <w:rtl/>
              </w:rPr>
              <w:t>כב' השופטת טאובר רחל</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1FDBE23" w14:textId="77777777" w:rsidR="004E5C5A" w:rsidRDefault="004E5C5A">
            <w:pPr>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4E73F604" w14:textId="77777777" w:rsidR="004E5C5A" w:rsidRDefault="004E5C5A">
            <w:pPr>
              <w:rPr>
                <w:szCs w:val="22"/>
              </w:rPr>
            </w:pPr>
            <w:r>
              <w:rPr>
                <w:rFonts w:hint="cs"/>
                <w:szCs w:val="22"/>
                <w:rtl/>
              </w:rPr>
              <w:t>13/01/2002</w:t>
            </w:r>
          </w:p>
        </w:tc>
      </w:tr>
    </w:tbl>
    <w:p w14:paraId="30B39985" w14:textId="77777777" w:rsidR="0013225A" w:rsidRDefault="0013225A">
      <w:pPr>
        <w:rPr>
          <w:rFonts w:hint="cs"/>
          <w:szCs w:val="22"/>
          <w:rtl/>
        </w:rPr>
      </w:pPr>
    </w:p>
    <w:p w14:paraId="751546AD" w14:textId="77777777" w:rsidR="0013225A" w:rsidRDefault="0013225A">
      <w:pPr>
        <w:pStyle w:val="Header"/>
        <w:jc w:val="left"/>
        <w:rPr>
          <w:rFonts w:hint="cs"/>
          <w:szCs w:val="20"/>
          <w:rtl/>
        </w:rPr>
      </w:pPr>
    </w:p>
    <w:p w14:paraId="4C454000" w14:textId="77777777" w:rsidR="0013225A" w:rsidRDefault="0013225A">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4E5C5A" w14:paraId="1A7ECB83" w14:textId="77777777" w:rsidTr="004E5C5A">
        <w:tc>
          <w:tcPr>
            <w:tcW w:w="1362" w:type="dxa"/>
          </w:tcPr>
          <w:p w14:paraId="17B5223C" w14:textId="77777777" w:rsidR="004E5C5A" w:rsidRDefault="004E5C5A">
            <w:pPr>
              <w:rPr>
                <w:szCs w:val="26"/>
              </w:rPr>
            </w:pPr>
            <w:bookmarkStart w:id="1" w:name="FirstAppellant"/>
            <w:r>
              <w:rPr>
                <w:rFonts w:hint="cs"/>
                <w:rtl/>
              </w:rPr>
              <w:t>בעניין:</w:t>
            </w:r>
          </w:p>
        </w:tc>
        <w:tc>
          <w:tcPr>
            <w:tcW w:w="4820" w:type="dxa"/>
            <w:gridSpan w:val="2"/>
          </w:tcPr>
          <w:p w14:paraId="1AEF104C" w14:textId="77777777" w:rsidR="004E5C5A" w:rsidRDefault="004E5C5A">
            <w:pPr>
              <w:pStyle w:val="a"/>
            </w:pPr>
            <w:r>
              <w:rPr>
                <w:rFonts w:hint="cs"/>
                <w:rtl/>
              </w:rPr>
              <w:t xml:space="preserve">מדינת ישראל </w:t>
            </w:r>
          </w:p>
        </w:tc>
        <w:tc>
          <w:tcPr>
            <w:tcW w:w="2409" w:type="dxa"/>
          </w:tcPr>
          <w:p w14:paraId="6050E56F" w14:textId="77777777" w:rsidR="004E5C5A" w:rsidRDefault="004E5C5A">
            <w:pPr>
              <w:pStyle w:val="a"/>
            </w:pPr>
          </w:p>
        </w:tc>
      </w:tr>
      <w:bookmarkEnd w:id="1"/>
      <w:tr w:rsidR="004E5C5A" w14:paraId="5220F5FF" w14:textId="77777777" w:rsidTr="004E5C5A">
        <w:tc>
          <w:tcPr>
            <w:tcW w:w="1362" w:type="dxa"/>
          </w:tcPr>
          <w:p w14:paraId="0D52218E" w14:textId="77777777" w:rsidR="004E5C5A" w:rsidRDefault="004E5C5A">
            <w:pPr>
              <w:pStyle w:val="a"/>
              <w:rPr>
                <w:szCs w:val="26"/>
              </w:rPr>
            </w:pPr>
          </w:p>
        </w:tc>
        <w:tc>
          <w:tcPr>
            <w:tcW w:w="1757" w:type="dxa"/>
          </w:tcPr>
          <w:p w14:paraId="22DE0A92" w14:textId="77777777" w:rsidR="004E5C5A" w:rsidRDefault="004E5C5A">
            <w:pPr>
              <w:pStyle w:val="a"/>
              <w:rPr>
                <w:sz w:val="24"/>
              </w:rPr>
            </w:pPr>
            <w:bookmarkStart w:id="2" w:name="בא_כוח_א"/>
            <w:bookmarkEnd w:id="2"/>
            <w:r>
              <w:rPr>
                <w:rFonts w:hint="cs"/>
                <w:sz w:val="24"/>
                <w:rtl/>
              </w:rPr>
              <w:t>ע"י ב"כ עו"ד</w:t>
            </w:r>
          </w:p>
        </w:tc>
        <w:tc>
          <w:tcPr>
            <w:tcW w:w="3063" w:type="dxa"/>
          </w:tcPr>
          <w:p w14:paraId="3B484F8B" w14:textId="77777777" w:rsidR="004E5C5A" w:rsidRDefault="004E5C5A">
            <w:pPr>
              <w:pStyle w:val="a"/>
            </w:pPr>
          </w:p>
        </w:tc>
        <w:tc>
          <w:tcPr>
            <w:tcW w:w="2409" w:type="dxa"/>
          </w:tcPr>
          <w:p w14:paraId="60204C6E" w14:textId="77777777" w:rsidR="004E5C5A" w:rsidRDefault="004E5C5A">
            <w:pPr>
              <w:pStyle w:val="a"/>
            </w:pPr>
            <w:r>
              <w:rPr>
                <w:rFonts w:hint="cs"/>
                <w:rtl/>
              </w:rPr>
              <w:t xml:space="preserve">המאשימה </w:t>
            </w:r>
          </w:p>
        </w:tc>
      </w:tr>
      <w:tr w:rsidR="004E5C5A" w14:paraId="39D24EBA" w14:textId="77777777" w:rsidTr="004E5C5A">
        <w:tc>
          <w:tcPr>
            <w:tcW w:w="1362" w:type="dxa"/>
          </w:tcPr>
          <w:p w14:paraId="558A0FE7" w14:textId="77777777" w:rsidR="004E5C5A" w:rsidRDefault="004E5C5A">
            <w:pPr>
              <w:pStyle w:val="a"/>
            </w:pPr>
          </w:p>
        </w:tc>
        <w:tc>
          <w:tcPr>
            <w:tcW w:w="4820" w:type="dxa"/>
            <w:gridSpan w:val="2"/>
          </w:tcPr>
          <w:p w14:paraId="2C90E9B6" w14:textId="77777777" w:rsidR="004E5C5A" w:rsidRDefault="004E5C5A">
            <w:pPr>
              <w:pStyle w:val="a"/>
              <w:jc w:val="center"/>
            </w:pPr>
            <w:r>
              <w:rPr>
                <w:rFonts w:hint="cs"/>
                <w:rtl/>
              </w:rPr>
              <w:t>נ  ג  ד</w:t>
            </w:r>
          </w:p>
        </w:tc>
        <w:tc>
          <w:tcPr>
            <w:tcW w:w="2409" w:type="dxa"/>
          </w:tcPr>
          <w:p w14:paraId="4E62A7F5" w14:textId="77777777" w:rsidR="004E5C5A" w:rsidRDefault="004E5C5A">
            <w:pPr>
              <w:pStyle w:val="a"/>
            </w:pPr>
          </w:p>
        </w:tc>
      </w:tr>
      <w:tr w:rsidR="004E5C5A" w14:paraId="185F1308" w14:textId="77777777" w:rsidTr="004E5C5A">
        <w:tc>
          <w:tcPr>
            <w:tcW w:w="1362" w:type="dxa"/>
          </w:tcPr>
          <w:p w14:paraId="5422FE8D" w14:textId="77777777" w:rsidR="004E5C5A" w:rsidRDefault="004E5C5A">
            <w:pPr>
              <w:pStyle w:val="a"/>
              <w:rPr>
                <w:szCs w:val="26"/>
              </w:rPr>
            </w:pPr>
            <w:bookmarkStart w:id="3" w:name="שם_ב" w:colFirst="1" w:colLast="1"/>
          </w:p>
        </w:tc>
        <w:tc>
          <w:tcPr>
            <w:tcW w:w="4820" w:type="dxa"/>
            <w:gridSpan w:val="2"/>
          </w:tcPr>
          <w:p w14:paraId="5D8C3DEA" w14:textId="77777777" w:rsidR="004E5C5A" w:rsidRDefault="004E5C5A">
            <w:pPr>
              <w:pStyle w:val="a"/>
            </w:pPr>
            <w:r>
              <w:rPr>
                <w:rFonts w:hint="cs"/>
                <w:rtl/>
              </w:rPr>
              <w:t>יהושע אפריים</w:t>
            </w:r>
          </w:p>
        </w:tc>
        <w:tc>
          <w:tcPr>
            <w:tcW w:w="2409" w:type="dxa"/>
          </w:tcPr>
          <w:p w14:paraId="683019EA" w14:textId="77777777" w:rsidR="004E5C5A" w:rsidRDefault="004E5C5A">
            <w:pPr>
              <w:pStyle w:val="a"/>
            </w:pPr>
            <w:r>
              <w:rPr>
                <w:rFonts w:hint="cs"/>
                <w:rtl/>
              </w:rPr>
              <w:t>נאשם/ת</w:t>
            </w:r>
          </w:p>
        </w:tc>
      </w:tr>
      <w:tr w:rsidR="004E5C5A" w14:paraId="15F3206A" w14:textId="77777777" w:rsidTr="004E5C5A">
        <w:tc>
          <w:tcPr>
            <w:tcW w:w="1362" w:type="dxa"/>
          </w:tcPr>
          <w:p w14:paraId="1269D866" w14:textId="77777777" w:rsidR="004E5C5A" w:rsidRDefault="004E5C5A">
            <w:pPr>
              <w:pStyle w:val="a"/>
              <w:rPr>
                <w:szCs w:val="26"/>
              </w:rPr>
            </w:pPr>
            <w:bookmarkStart w:id="4" w:name="FirstLawyer"/>
            <w:bookmarkEnd w:id="3"/>
          </w:p>
        </w:tc>
        <w:tc>
          <w:tcPr>
            <w:tcW w:w="1757" w:type="dxa"/>
          </w:tcPr>
          <w:p w14:paraId="019F8744" w14:textId="77777777" w:rsidR="004E5C5A" w:rsidRDefault="004E5C5A">
            <w:pPr>
              <w:pStyle w:val="a"/>
            </w:pPr>
            <w:r>
              <w:rPr>
                <w:rFonts w:hint="cs"/>
                <w:rtl/>
              </w:rPr>
              <w:t>ע"י ב"כ עו"ד</w:t>
            </w:r>
          </w:p>
        </w:tc>
        <w:tc>
          <w:tcPr>
            <w:tcW w:w="3063" w:type="dxa"/>
          </w:tcPr>
          <w:p w14:paraId="6014F6BF" w14:textId="77777777" w:rsidR="004E5C5A" w:rsidRDefault="004E5C5A">
            <w:pPr>
              <w:pStyle w:val="a"/>
            </w:pPr>
            <w:r>
              <w:rPr>
                <w:rFonts w:hint="cs"/>
                <w:rtl/>
              </w:rPr>
              <w:t>עו"ד חדד זוהר</w:t>
            </w:r>
            <w:bookmarkStart w:id="5" w:name="בא_כוח_ב"/>
            <w:bookmarkEnd w:id="5"/>
          </w:p>
        </w:tc>
        <w:tc>
          <w:tcPr>
            <w:tcW w:w="2409" w:type="dxa"/>
          </w:tcPr>
          <w:p w14:paraId="1F4ADC53" w14:textId="77777777" w:rsidR="004E5C5A" w:rsidRDefault="004E5C5A">
            <w:pPr>
              <w:pStyle w:val="a"/>
            </w:pPr>
          </w:p>
        </w:tc>
      </w:tr>
      <w:bookmarkEnd w:id="4"/>
    </w:tbl>
    <w:p w14:paraId="2B2F4831" w14:textId="77777777" w:rsidR="0013225A" w:rsidRDefault="0013225A">
      <w:pPr>
        <w:pStyle w:val="a"/>
        <w:rPr>
          <w:rFonts w:hint="cs"/>
          <w:b w:val="0"/>
          <w:bCs w:val="0"/>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4E5C5A" w14:paraId="006A4ACC" w14:textId="77777777" w:rsidTr="004E5C5A">
        <w:tc>
          <w:tcPr>
            <w:tcW w:w="1332" w:type="dxa"/>
          </w:tcPr>
          <w:p w14:paraId="4FF156CB" w14:textId="77777777" w:rsidR="004E5C5A" w:rsidRDefault="004E5C5A">
            <w:pPr>
              <w:pStyle w:val="a"/>
              <w:rPr>
                <w:b w:val="0"/>
                <w:bCs w:val="0"/>
                <w:szCs w:val="26"/>
              </w:rPr>
            </w:pPr>
            <w:r>
              <w:rPr>
                <w:rFonts w:hint="cs"/>
                <w:b w:val="0"/>
                <w:bCs w:val="0"/>
                <w:szCs w:val="26"/>
                <w:rtl/>
              </w:rPr>
              <w:t>נוכחים:</w:t>
            </w:r>
          </w:p>
        </w:tc>
        <w:tc>
          <w:tcPr>
            <w:tcW w:w="7230" w:type="dxa"/>
          </w:tcPr>
          <w:p w14:paraId="789B7F29" w14:textId="77777777" w:rsidR="004E5C5A" w:rsidRDefault="004E5C5A">
            <w:pPr>
              <w:pStyle w:val="a"/>
              <w:rPr>
                <w:b w:val="0"/>
                <w:bCs w:val="0"/>
              </w:rPr>
            </w:pPr>
          </w:p>
        </w:tc>
      </w:tr>
    </w:tbl>
    <w:p w14:paraId="08C4342D" w14:textId="77777777" w:rsidR="00E3783F" w:rsidRDefault="00E3783F">
      <w:pPr>
        <w:rPr>
          <w:rtl/>
        </w:rPr>
      </w:pPr>
      <w:bookmarkStart w:id="6" w:name="צד_ג"/>
      <w:bookmarkStart w:id="7" w:name="LawTable"/>
      <w:bookmarkEnd w:id="7"/>
    </w:p>
    <w:p w14:paraId="6A126170" w14:textId="77777777" w:rsidR="00E3783F" w:rsidRPr="00E3783F" w:rsidRDefault="00E3783F" w:rsidP="00E3783F">
      <w:pPr>
        <w:spacing w:after="120" w:line="240" w:lineRule="exact"/>
        <w:ind w:left="283" w:hanging="283"/>
        <w:rPr>
          <w:rFonts w:ascii="FrankRuehl" w:hAnsi="FrankRuehl" w:cs="FrankRuehl"/>
          <w:szCs w:val="24"/>
          <w:rtl/>
        </w:rPr>
      </w:pPr>
    </w:p>
    <w:p w14:paraId="5E30E8C7" w14:textId="77777777" w:rsidR="00E3783F" w:rsidRPr="00E3783F" w:rsidRDefault="00E3783F" w:rsidP="00E3783F">
      <w:pPr>
        <w:spacing w:after="120" w:line="240" w:lineRule="exact"/>
        <w:ind w:left="283" w:hanging="283"/>
        <w:rPr>
          <w:rFonts w:ascii="FrankRuehl" w:hAnsi="FrankRuehl" w:cs="FrankRuehl"/>
          <w:szCs w:val="24"/>
          <w:rtl/>
        </w:rPr>
      </w:pPr>
      <w:r w:rsidRPr="00E3783F">
        <w:rPr>
          <w:rFonts w:ascii="FrankRuehl" w:hAnsi="FrankRuehl" w:cs="FrankRuehl"/>
          <w:szCs w:val="24"/>
          <w:rtl/>
        </w:rPr>
        <w:t xml:space="preserve">חקיקה שאוזכרה: </w:t>
      </w:r>
    </w:p>
    <w:p w14:paraId="155F0FC9" w14:textId="77777777" w:rsidR="00E3783F" w:rsidRPr="00E3783F" w:rsidRDefault="00E3783F" w:rsidP="00E3783F">
      <w:pPr>
        <w:spacing w:after="120" w:line="240" w:lineRule="exact"/>
        <w:ind w:left="283" w:hanging="283"/>
        <w:rPr>
          <w:rFonts w:ascii="FrankRuehl" w:hAnsi="FrankRuehl" w:cs="FrankRuehl"/>
          <w:szCs w:val="24"/>
          <w:rtl/>
        </w:rPr>
      </w:pPr>
      <w:hyperlink r:id="rId6" w:history="1">
        <w:r w:rsidRPr="00E3783F">
          <w:rPr>
            <w:rFonts w:ascii="FrankRuehl" w:hAnsi="FrankRuehl" w:cs="FrankRuehl"/>
            <w:color w:val="0000FF"/>
            <w:szCs w:val="24"/>
            <w:u w:val="single"/>
            <w:rtl/>
          </w:rPr>
          <w:t>חוק העונשין, תשל"ז-1977</w:t>
        </w:r>
      </w:hyperlink>
      <w:r w:rsidRPr="00E3783F">
        <w:rPr>
          <w:rFonts w:ascii="FrankRuehl" w:hAnsi="FrankRuehl" w:cs="FrankRuehl"/>
          <w:szCs w:val="24"/>
          <w:rtl/>
        </w:rPr>
        <w:t xml:space="preserve">: סע'  </w:t>
      </w:r>
      <w:hyperlink r:id="rId7" w:history="1">
        <w:r w:rsidRPr="00E3783F">
          <w:rPr>
            <w:rFonts w:ascii="FrankRuehl" w:hAnsi="FrankRuehl" w:cs="FrankRuehl"/>
            <w:color w:val="0000FF"/>
            <w:szCs w:val="24"/>
            <w:u w:val="single"/>
            <w:rtl/>
          </w:rPr>
          <w:t>348(ג)</w:t>
        </w:r>
      </w:hyperlink>
    </w:p>
    <w:p w14:paraId="7AED3E4D" w14:textId="77777777" w:rsidR="00E3783F" w:rsidRPr="00E3783F" w:rsidRDefault="00E3783F" w:rsidP="00E3783F">
      <w:pPr>
        <w:spacing w:after="120" w:line="240" w:lineRule="exact"/>
        <w:ind w:left="283" w:hanging="283"/>
        <w:rPr>
          <w:rFonts w:ascii="FrankRuehl" w:hAnsi="FrankRuehl" w:cs="FrankRuehl"/>
          <w:szCs w:val="24"/>
          <w:rtl/>
        </w:rPr>
      </w:pPr>
      <w:hyperlink r:id="rId8" w:history="1">
        <w:r w:rsidRPr="00E3783F">
          <w:rPr>
            <w:rFonts w:ascii="FrankRuehl" w:hAnsi="FrankRuehl" w:cs="FrankRuehl"/>
            <w:color w:val="0000FF"/>
            <w:szCs w:val="24"/>
            <w:u w:val="single"/>
            <w:rtl/>
          </w:rPr>
          <w:t>חוק למניעת הטרדה מינית, תשנ"ח-1998</w:t>
        </w:r>
      </w:hyperlink>
      <w:r w:rsidRPr="00E3783F">
        <w:rPr>
          <w:rFonts w:ascii="FrankRuehl" w:hAnsi="FrankRuehl" w:cs="FrankRuehl"/>
          <w:szCs w:val="24"/>
          <w:rtl/>
        </w:rPr>
        <w:t xml:space="preserve">: סע'  </w:t>
      </w:r>
      <w:hyperlink r:id="rId9" w:history="1">
        <w:r w:rsidRPr="00E3783F">
          <w:rPr>
            <w:rFonts w:ascii="FrankRuehl" w:hAnsi="FrankRuehl" w:cs="FrankRuehl"/>
            <w:color w:val="0000FF"/>
            <w:szCs w:val="24"/>
            <w:u w:val="single"/>
            <w:rtl/>
          </w:rPr>
          <w:t>3(א)(3)</w:t>
        </w:r>
      </w:hyperlink>
      <w:r w:rsidRPr="00E3783F">
        <w:rPr>
          <w:rFonts w:ascii="FrankRuehl" w:hAnsi="FrankRuehl" w:cs="FrankRuehl"/>
          <w:szCs w:val="24"/>
          <w:rtl/>
        </w:rPr>
        <w:t xml:space="preserve">, </w:t>
      </w:r>
      <w:hyperlink r:id="rId10" w:history="1">
        <w:r w:rsidRPr="00E3783F">
          <w:rPr>
            <w:rFonts w:ascii="FrankRuehl" w:hAnsi="FrankRuehl" w:cs="FrankRuehl"/>
            <w:color w:val="0000FF"/>
            <w:szCs w:val="24"/>
            <w:u w:val="single"/>
            <w:rtl/>
          </w:rPr>
          <w:t>(4)</w:t>
        </w:r>
      </w:hyperlink>
      <w:r w:rsidRPr="00E3783F">
        <w:rPr>
          <w:rFonts w:ascii="FrankRuehl" w:hAnsi="FrankRuehl" w:cs="FrankRuehl"/>
          <w:szCs w:val="24"/>
          <w:rtl/>
        </w:rPr>
        <w:t xml:space="preserve">, </w:t>
      </w:r>
      <w:hyperlink r:id="rId11" w:history="1">
        <w:r w:rsidRPr="00E3783F">
          <w:rPr>
            <w:rFonts w:ascii="FrankRuehl" w:hAnsi="FrankRuehl" w:cs="FrankRuehl"/>
            <w:color w:val="0000FF"/>
            <w:szCs w:val="24"/>
            <w:u w:val="single"/>
            <w:rtl/>
          </w:rPr>
          <w:t>(6)(ג)</w:t>
        </w:r>
      </w:hyperlink>
    </w:p>
    <w:p w14:paraId="7A7BF738" w14:textId="77777777" w:rsidR="00E3783F" w:rsidRPr="00E3783F" w:rsidRDefault="00E3783F" w:rsidP="00E3783F">
      <w:pPr>
        <w:spacing w:after="120" w:line="240" w:lineRule="exact"/>
        <w:ind w:left="283" w:hanging="283"/>
        <w:rPr>
          <w:rFonts w:ascii="FrankRuehl" w:hAnsi="FrankRuehl" w:cs="FrankRuehl"/>
          <w:szCs w:val="24"/>
          <w:rtl/>
        </w:rPr>
      </w:pPr>
    </w:p>
    <w:p w14:paraId="00C82B3D" w14:textId="77777777" w:rsidR="00E3783F" w:rsidRPr="00E3783F" w:rsidRDefault="00E3783F">
      <w:pPr>
        <w:rPr>
          <w:rtl/>
        </w:rPr>
      </w:pPr>
      <w:bookmarkStart w:id="8" w:name="LawTable_End"/>
      <w:bookmarkEnd w:id="8"/>
    </w:p>
    <w:p w14:paraId="1A2F7B6F" w14:textId="77777777" w:rsidR="00E3783F" w:rsidRPr="00E3783F" w:rsidRDefault="00E3783F">
      <w:pPr>
        <w:rPr>
          <w:rtl/>
        </w:rPr>
      </w:pPr>
    </w:p>
    <w:p w14:paraId="2A9F149D" w14:textId="77777777" w:rsidR="00E3783F" w:rsidRPr="00E3783F" w:rsidRDefault="00E3783F">
      <w:pPr>
        <w:rPr>
          <w:rtl/>
        </w:rPr>
      </w:pPr>
    </w:p>
    <w:p w14:paraId="33E68E5C" w14:textId="77777777" w:rsidR="0013225A" w:rsidRPr="00E3783F" w:rsidRDefault="0013225A">
      <w:pPr>
        <w:rPr>
          <w:rFonts w:hint="cs"/>
          <w:rtl/>
        </w:rPr>
      </w:pPr>
    </w:p>
    <w:p w14:paraId="2EF02DE9" w14:textId="77777777" w:rsidR="0093546B" w:rsidRPr="0093546B" w:rsidRDefault="0093546B">
      <w:pPr>
        <w:pStyle w:val="Heading1"/>
        <w:rPr>
          <w:b w:val="0"/>
          <w:bCs w:val="0"/>
          <w:u w:val="none"/>
          <w:rtl/>
        </w:rPr>
      </w:pPr>
      <w:bookmarkStart w:id="9" w:name="סוג_מסמך"/>
      <w:bookmarkEnd w:id="6"/>
      <w:bookmarkEnd w:id="9"/>
    </w:p>
    <w:p w14:paraId="4F1E149B" w14:textId="77777777" w:rsidR="0093546B" w:rsidRPr="0093546B" w:rsidRDefault="0093546B">
      <w:pPr>
        <w:pStyle w:val="Heading1"/>
        <w:rPr>
          <w:u w:val="none"/>
          <w:rtl/>
        </w:rPr>
      </w:pPr>
    </w:p>
    <w:p w14:paraId="50094F0B" w14:textId="77777777" w:rsidR="0013225A" w:rsidRPr="0093546B" w:rsidRDefault="0013225A">
      <w:pPr>
        <w:pStyle w:val="Heading1"/>
        <w:rPr>
          <w:u w:val="none"/>
          <w:rtl/>
        </w:rPr>
      </w:pPr>
    </w:p>
    <w:p w14:paraId="102A3B28" w14:textId="77777777" w:rsidR="0013225A" w:rsidRDefault="0013225A">
      <w:pPr>
        <w:pStyle w:val="Heading1"/>
        <w:rPr>
          <w:rtl/>
        </w:rPr>
      </w:pPr>
      <w:bookmarkStart w:id="10" w:name="PsakDin"/>
      <w:bookmarkEnd w:id="0"/>
      <w:r>
        <w:rPr>
          <w:rtl/>
        </w:rPr>
        <w:t>הכרעת דין</w:t>
      </w:r>
    </w:p>
    <w:bookmarkEnd w:id="10"/>
    <w:p w14:paraId="3F2C1F0F" w14:textId="77777777" w:rsidR="0013225A" w:rsidRDefault="0013225A">
      <w:pPr>
        <w:pStyle w:val="Heading1"/>
        <w:rPr>
          <w:rFonts w:hint="cs"/>
          <w:rtl/>
        </w:rPr>
      </w:pPr>
    </w:p>
    <w:p w14:paraId="1AB05EC3" w14:textId="77777777" w:rsidR="0013225A" w:rsidRDefault="0013225A">
      <w:pPr>
        <w:rPr>
          <w:rFonts w:hint="cs"/>
          <w:rtl/>
        </w:rPr>
      </w:pPr>
      <w:r>
        <w:rPr>
          <w:rFonts w:hint="cs"/>
          <w:rtl/>
        </w:rPr>
        <w:t xml:space="preserve">החלטתי לזכות הנאשם מעבירה של מעשים מגונים עבירה לפי </w:t>
      </w:r>
      <w:hyperlink r:id="rId12" w:history="1">
        <w:r w:rsidR="00E3783F" w:rsidRPr="00E3783F">
          <w:rPr>
            <w:color w:val="0000FF"/>
            <w:u w:val="single"/>
            <w:rtl/>
          </w:rPr>
          <w:t>ס' 348(ג)</w:t>
        </w:r>
      </w:hyperlink>
      <w:r>
        <w:rPr>
          <w:rFonts w:hint="cs"/>
          <w:rtl/>
        </w:rPr>
        <w:t xml:space="preserve"> ל</w:t>
      </w:r>
      <w:hyperlink r:id="rId13" w:history="1">
        <w:r w:rsidR="0093546B" w:rsidRPr="0093546B">
          <w:rPr>
            <w:rStyle w:val="Hyperlink"/>
            <w:rFonts w:hint="eastAsia"/>
            <w:rtl/>
          </w:rPr>
          <w:t>חוק</w:t>
        </w:r>
        <w:r w:rsidR="0093546B" w:rsidRPr="0093546B">
          <w:rPr>
            <w:rStyle w:val="Hyperlink"/>
            <w:rtl/>
          </w:rPr>
          <w:t xml:space="preserve"> העונשין</w:t>
        </w:r>
      </w:hyperlink>
      <w:r>
        <w:rPr>
          <w:rFonts w:hint="cs"/>
          <w:rtl/>
        </w:rPr>
        <w:t xml:space="preserve">, תשל"ז – 1977 ולהרשיעו בעבירה של הצעות והתייחסויות בעלות אופי מיני תוך ניצול יחסי מרות עבירה לפי </w:t>
      </w:r>
      <w:hyperlink r:id="rId14" w:history="1">
        <w:r w:rsidR="00E3783F" w:rsidRPr="00E3783F">
          <w:rPr>
            <w:color w:val="0000FF"/>
            <w:u w:val="single"/>
            <w:rtl/>
          </w:rPr>
          <w:t>ס' 3(א)(3)</w:t>
        </w:r>
      </w:hyperlink>
      <w:r>
        <w:rPr>
          <w:rFonts w:hint="cs"/>
          <w:rtl/>
        </w:rPr>
        <w:t xml:space="preserve"> ו-</w:t>
      </w:r>
      <w:hyperlink r:id="rId15" w:history="1">
        <w:r w:rsidR="00E3783F" w:rsidRPr="00E3783F">
          <w:rPr>
            <w:color w:val="0000FF"/>
            <w:u w:val="single"/>
            <w:rtl/>
          </w:rPr>
          <w:t>(4)</w:t>
        </w:r>
      </w:hyperlink>
      <w:r>
        <w:rPr>
          <w:rFonts w:hint="cs"/>
          <w:rtl/>
        </w:rPr>
        <w:t xml:space="preserve"> + </w:t>
      </w:r>
      <w:hyperlink r:id="rId16" w:history="1">
        <w:r w:rsidR="00E3783F" w:rsidRPr="00E3783F">
          <w:rPr>
            <w:rStyle w:val="Hyperlink"/>
            <w:rtl/>
          </w:rPr>
          <w:t>(6)(ג)</w:t>
        </w:r>
      </w:hyperlink>
      <w:r>
        <w:rPr>
          <w:rFonts w:hint="cs"/>
          <w:rtl/>
        </w:rPr>
        <w:t>ל</w:t>
      </w:r>
      <w:hyperlink r:id="rId17" w:history="1">
        <w:r w:rsidR="0093546B" w:rsidRPr="0093546B">
          <w:rPr>
            <w:rStyle w:val="Hyperlink"/>
            <w:rFonts w:hint="eastAsia"/>
            <w:rtl/>
          </w:rPr>
          <w:t>חוק</w:t>
        </w:r>
        <w:r w:rsidR="0093546B" w:rsidRPr="0093546B">
          <w:rPr>
            <w:rStyle w:val="Hyperlink"/>
            <w:rtl/>
          </w:rPr>
          <w:t xml:space="preserve"> למניעת הטרדה מינית</w:t>
        </w:r>
      </w:hyperlink>
      <w:r>
        <w:rPr>
          <w:rFonts w:hint="cs"/>
          <w:rtl/>
        </w:rPr>
        <w:t>, תשנ"ח-1998.</w:t>
      </w:r>
    </w:p>
    <w:p w14:paraId="7B303049" w14:textId="77777777" w:rsidR="0013225A" w:rsidRDefault="0013225A">
      <w:pPr>
        <w:rPr>
          <w:rFonts w:hint="cs"/>
          <w:rtl/>
        </w:rPr>
      </w:pPr>
    </w:p>
    <w:p w14:paraId="02B94B5F" w14:textId="77777777" w:rsidR="0013225A" w:rsidRDefault="0013225A">
      <w:pPr>
        <w:rPr>
          <w:rFonts w:hint="cs"/>
          <w:rtl/>
        </w:rPr>
      </w:pPr>
      <w:r>
        <w:rPr>
          <w:rFonts w:hint="cs"/>
          <w:rtl/>
        </w:rPr>
        <w:t>הנאשם כפר באשמתו המיוחסות לו למעט העובדה שבתקופה הרלבנטית בכתב האישום הוא שימש כמנהל הסניף מטעם הקו-אופ והמתלוננת שימשה קב"טית מטעם חברת השמירה אמ"ן באותו סניף קו-אופ, זיל וזול ברמלה.</w:t>
      </w:r>
    </w:p>
    <w:p w14:paraId="198D2FE4" w14:textId="77777777" w:rsidR="0013225A" w:rsidRDefault="0013225A">
      <w:pPr>
        <w:rPr>
          <w:rFonts w:hint="cs"/>
          <w:rtl/>
        </w:rPr>
      </w:pPr>
    </w:p>
    <w:p w14:paraId="5872F008" w14:textId="77777777" w:rsidR="0013225A" w:rsidRDefault="0013225A">
      <w:pPr>
        <w:rPr>
          <w:rFonts w:hint="cs"/>
          <w:rtl/>
        </w:rPr>
      </w:pPr>
      <w:r>
        <w:rPr>
          <w:rFonts w:hint="cs"/>
          <w:rtl/>
        </w:rPr>
        <w:t>התביעה מבססת ראיותיה על עדות המתלוננת (חקירה ראשית וחקירה נגדית בחלקה) ועל עדות שלום מיראשוילי, עד תביעה מס' 1 שעבד באותה עת חודש יוני  99' בקו-אופ זיל וזול ברמלה היינו במקום עבודתה של המתלוננת והנאשם.</w:t>
      </w:r>
    </w:p>
    <w:p w14:paraId="4C6F4835" w14:textId="77777777" w:rsidR="0013225A" w:rsidRDefault="0013225A">
      <w:pPr>
        <w:rPr>
          <w:rFonts w:hint="cs"/>
          <w:rtl/>
        </w:rPr>
      </w:pPr>
    </w:p>
    <w:p w14:paraId="64320945" w14:textId="77777777" w:rsidR="0013225A" w:rsidRDefault="00E3783F">
      <w:pPr>
        <w:rPr>
          <w:rFonts w:hint="cs"/>
          <w:rtl/>
        </w:rPr>
      </w:pPr>
      <w:hyperlink r:id="rId18" w:history="1">
        <w:r w:rsidRPr="00E3783F">
          <w:rPr>
            <w:rStyle w:val="Hyperlink"/>
            <w:rFonts w:hint="eastAsia"/>
            <w:rtl/>
          </w:rPr>
          <w:t>סעיפים</w:t>
        </w:r>
        <w:r w:rsidRPr="00E3783F">
          <w:rPr>
            <w:rStyle w:val="Hyperlink"/>
            <w:rtl/>
          </w:rPr>
          <w:t xml:space="preserve"> 3(א)(3)</w:t>
        </w:r>
      </w:hyperlink>
      <w:r w:rsidR="0013225A">
        <w:rPr>
          <w:rFonts w:hint="cs"/>
          <w:rtl/>
        </w:rPr>
        <w:t xml:space="preserve"> ו-</w:t>
      </w:r>
      <w:hyperlink r:id="rId19" w:history="1">
        <w:r w:rsidRPr="00E3783F">
          <w:rPr>
            <w:color w:val="0000FF"/>
            <w:u w:val="single"/>
            <w:rtl/>
          </w:rPr>
          <w:t>(4)</w:t>
        </w:r>
      </w:hyperlink>
      <w:r w:rsidR="0013225A">
        <w:rPr>
          <w:rFonts w:hint="cs"/>
          <w:rtl/>
        </w:rPr>
        <w:t xml:space="preserve"> + </w:t>
      </w:r>
      <w:hyperlink r:id="rId20" w:history="1">
        <w:r w:rsidRPr="00E3783F">
          <w:rPr>
            <w:color w:val="0000FF"/>
            <w:u w:val="single"/>
            <w:rtl/>
          </w:rPr>
          <w:t>(6)(ג)</w:t>
        </w:r>
      </w:hyperlink>
      <w:r w:rsidR="0013225A">
        <w:rPr>
          <w:rFonts w:hint="cs"/>
          <w:rtl/>
        </w:rPr>
        <w:t xml:space="preserve"> ל</w:t>
      </w:r>
      <w:hyperlink r:id="rId21" w:history="1">
        <w:r w:rsidR="0093546B" w:rsidRPr="0093546B">
          <w:rPr>
            <w:rStyle w:val="Hyperlink"/>
            <w:rFonts w:hint="eastAsia"/>
            <w:rtl/>
          </w:rPr>
          <w:t>חוק</w:t>
        </w:r>
        <w:r w:rsidR="0093546B" w:rsidRPr="0093546B">
          <w:rPr>
            <w:rStyle w:val="Hyperlink"/>
            <w:rtl/>
          </w:rPr>
          <w:t xml:space="preserve"> למניעת הטרדה מינית</w:t>
        </w:r>
      </w:hyperlink>
      <w:r w:rsidR="0013225A">
        <w:rPr>
          <w:rFonts w:hint="cs"/>
          <w:rtl/>
        </w:rPr>
        <w:t xml:space="preserve">, תשנ"ח-1998 קובעים: </w:t>
      </w:r>
    </w:p>
    <w:p w14:paraId="6E9A8B1C" w14:textId="77777777" w:rsidR="0013225A" w:rsidRDefault="0013225A">
      <w:pPr>
        <w:rPr>
          <w:rFonts w:hint="cs"/>
          <w:b/>
          <w:bCs/>
          <w:rtl/>
        </w:rPr>
      </w:pPr>
      <w:r>
        <w:rPr>
          <w:rFonts w:hint="cs"/>
          <w:b/>
          <w:bCs/>
          <w:rtl/>
        </w:rPr>
        <w:t>"3. הטרדה מינית</w:t>
      </w:r>
    </w:p>
    <w:p w14:paraId="39D7925B" w14:textId="77777777" w:rsidR="0013225A" w:rsidRDefault="0013225A">
      <w:pPr>
        <w:rPr>
          <w:rFonts w:hint="cs"/>
          <w:rtl/>
        </w:rPr>
      </w:pPr>
      <w:r>
        <w:rPr>
          <w:rFonts w:hint="cs"/>
          <w:b/>
          <w:bCs/>
          <w:rtl/>
        </w:rPr>
        <w:t>(א) הטרדה מינית</w:t>
      </w:r>
      <w:r>
        <w:rPr>
          <w:rFonts w:hint="cs"/>
          <w:rtl/>
        </w:rPr>
        <w:t xml:space="preserve"> </w:t>
      </w:r>
      <w:r>
        <w:rPr>
          <w:rFonts w:hint="cs"/>
          <w:b/>
          <w:bCs/>
          <w:rtl/>
        </w:rPr>
        <w:t>היא</w:t>
      </w:r>
      <w:r>
        <w:rPr>
          <w:rFonts w:hint="cs"/>
          <w:rtl/>
        </w:rPr>
        <w:t xml:space="preserve"> </w:t>
      </w:r>
      <w:r>
        <w:rPr>
          <w:rFonts w:hint="cs"/>
          <w:b/>
          <w:bCs/>
          <w:rtl/>
        </w:rPr>
        <w:t>כל אחד ממעשים אלה</w:t>
      </w:r>
      <w:r>
        <w:rPr>
          <w:rFonts w:hint="cs"/>
          <w:rtl/>
        </w:rPr>
        <w:t>:</w:t>
      </w:r>
    </w:p>
    <w:p w14:paraId="1E16772A" w14:textId="77777777" w:rsidR="0013225A" w:rsidRDefault="0013225A">
      <w:pPr>
        <w:pStyle w:val="BodyText"/>
        <w:rPr>
          <w:rFonts w:hint="cs"/>
          <w:rtl/>
        </w:rPr>
      </w:pPr>
      <w:r>
        <w:rPr>
          <w:rFonts w:hint="cs"/>
          <w:rtl/>
        </w:rPr>
        <w:t>...</w:t>
      </w:r>
    </w:p>
    <w:p w14:paraId="5EE65262" w14:textId="77777777" w:rsidR="0013225A" w:rsidRDefault="0013225A">
      <w:pPr>
        <w:pStyle w:val="BodyText"/>
        <w:rPr>
          <w:rFonts w:hint="cs"/>
          <w:rtl/>
        </w:rPr>
      </w:pPr>
      <w:r>
        <w:rPr>
          <w:rFonts w:hint="cs"/>
          <w:rtl/>
        </w:rPr>
        <w:t>(3) הצעות חוזרות בעלות אופי מיני, המופנות לאדם אשר הראה למטריד כי אינו מעוניין בהצעות האמורות;</w:t>
      </w:r>
    </w:p>
    <w:p w14:paraId="44F3686C" w14:textId="77777777" w:rsidR="0013225A" w:rsidRDefault="0013225A">
      <w:pPr>
        <w:rPr>
          <w:rFonts w:hint="cs"/>
          <w:b/>
          <w:bCs/>
          <w:rtl/>
        </w:rPr>
      </w:pPr>
      <w:r>
        <w:rPr>
          <w:rFonts w:hint="cs"/>
          <w:b/>
          <w:bCs/>
          <w:rtl/>
        </w:rPr>
        <w:t>(4) התייחסויות חוזרות המופנות לאדם, המתמקדות במיניות, כאשר אותו אדם הראה למטריד כי אינו מעונין בהתייחסויות האמורות;</w:t>
      </w:r>
    </w:p>
    <w:p w14:paraId="48F9C383" w14:textId="77777777" w:rsidR="0013225A" w:rsidRDefault="0013225A">
      <w:pPr>
        <w:rPr>
          <w:rFonts w:hint="cs"/>
          <w:b/>
          <w:bCs/>
          <w:rtl/>
        </w:rPr>
      </w:pPr>
      <w:r>
        <w:rPr>
          <w:rFonts w:hint="cs"/>
          <w:b/>
          <w:bCs/>
          <w:rtl/>
        </w:rPr>
        <w:t>...</w:t>
      </w:r>
    </w:p>
    <w:p w14:paraId="30CE4EFC" w14:textId="77777777" w:rsidR="0013225A" w:rsidRDefault="0013225A">
      <w:pPr>
        <w:rPr>
          <w:rFonts w:hint="cs"/>
          <w:b/>
          <w:bCs/>
          <w:rtl/>
        </w:rPr>
      </w:pPr>
      <w:r>
        <w:rPr>
          <w:rFonts w:hint="cs"/>
          <w:b/>
          <w:bCs/>
          <w:rtl/>
        </w:rPr>
        <w:lastRenderedPageBreak/>
        <w:t>(6) הצעות או התייחסויות כאמור בפסקאות (3) או (4) למי מהמנויים בפסקאות המשנה (א) עד (ג), בנסיבות המפורטות בפסקאות משנה אלה, גם אם המוטרד לא הראה למטריד כי אינו מעוניין בהצעות או בהתייחסויות האמורות:</w:t>
      </w:r>
    </w:p>
    <w:p w14:paraId="75B8DD94" w14:textId="77777777" w:rsidR="0013225A" w:rsidRDefault="0013225A">
      <w:pPr>
        <w:rPr>
          <w:rFonts w:hint="cs"/>
          <w:b/>
          <w:bCs/>
          <w:rtl/>
        </w:rPr>
      </w:pPr>
      <w:r>
        <w:rPr>
          <w:rFonts w:hint="cs"/>
          <w:b/>
          <w:bCs/>
          <w:rtl/>
        </w:rPr>
        <w:t>...</w:t>
      </w:r>
    </w:p>
    <w:p w14:paraId="50197445" w14:textId="77777777" w:rsidR="0013225A" w:rsidRDefault="0013225A">
      <w:pPr>
        <w:rPr>
          <w:rFonts w:hint="cs"/>
          <w:b/>
          <w:bCs/>
          <w:rtl/>
        </w:rPr>
      </w:pPr>
      <w:r>
        <w:rPr>
          <w:rFonts w:hint="cs"/>
          <w:b/>
          <w:bCs/>
          <w:rtl/>
        </w:rPr>
        <w:t>(ג)  לעובד במסגרת יחסי עבודה... – תוך ניצול מרות ביחסי עבודה..."</w:t>
      </w:r>
      <w:r>
        <w:rPr>
          <w:rFonts w:hint="cs"/>
          <w:rtl/>
        </w:rPr>
        <w:t>.</w:t>
      </w:r>
      <w:r>
        <w:rPr>
          <w:rFonts w:hint="cs"/>
          <w:b/>
          <w:bCs/>
          <w:rtl/>
        </w:rPr>
        <w:t xml:space="preserve"> </w:t>
      </w:r>
    </w:p>
    <w:p w14:paraId="7B8E5E7E" w14:textId="77777777" w:rsidR="0013225A" w:rsidRDefault="0013225A">
      <w:pPr>
        <w:rPr>
          <w:rFonts w:hint="cs"/>
          <w:b/>
          <w:bCs/>
          <w:rtl/>
        </w:rPr>
      </w:pPr>
    </w:p>
    <w:p w14:paraId="1FCC0967" w14:textId="77777777" w:rsidR="0013225A" w:rsidRDefault="0013225A">
      <w:pPr>
        <w:rPr>
          <w:rFonts w:hint="cs"/>
          <w:b/>
          <w:u w:val="single"/>
          <w:rtl/>
        </w:rPr>
      </w:pPr>
      <w:bookmarkStart w:id="11" w:name="ABSTRACT_START"/>
      <w:bookmarkEnd w:id="11"/>
      <w:r>
        <w:rPr>
          <w:rFonts w:hint="cs"/>
          <w:b/>
          <w:u w:val="single"/>
          <w:rtl/>
        </w:rPr>
        <w:t xml:space="preserve">לעניין ההטרדה המינית כתב האישום מייחס לנאשם מעשים </w:t>
      </w:r>
      <w:bookmarkStart w:id="12" w:name="ABSTRACT_END"/>
      <w:bookmarkEnd w:id="12"/>
      <w:r>
        <w:rPr>
          <w:rFonts w:hint="cs"/>
          <w:b/>
          <w:u w:val="single"/>
          <w:rtl/>
        </w:rPr>
        <w:t>אלה</w:t>
      </w:r>
      <w:r>
        <w:rPr>
          <w:rFonts w:hint="cs"/>
          <w:b/>
          <w:rtl/>
        </w:rPr>
        <w:t>:</w:t>
      </w:r>
    </w:p>
    <w:p w14:paraId="7191712F" w14:textId="77777777" w:rsidR="0013225A" w:rsidRDefault="0013225A">
      <w:pPr>
        <w:rPr>
          <w:rFonts w:hint="cs"/>
          <w:b/>
          <w:rtl/>
        </w:rPr>
      </w:pPr>
    </w:p>
    <w:p w14:paraId="73AFFDD3" w14:textId="77777777" w:rsidR="0013225A" w:rsidRDefault="0013225A">
      <w:pPr>
        <w:rPr>
          <w:rFonts w:hint="cs"/>
          <w:rtl/>
        </w:rPr>
      </w:pPr>
      <w:r>
        <w:rPr>
          <w:rFonts w:hint="cs"/>
          <w:b/>
          <w:rtl/>
        </w:rPr>
        <w:t xml:space="preserve">(1) בסמוך לתאריך 20/06/99 </w:t>
      </w:r>
      <w:r>
        <w:rPr>
          <w:rFonts w:hint="cs"/>
          <w:rtl/>
        </w:rPr>
        <w:t>החל הנאשם לומר למתלוננת שיש לה גוף יפה ושקשה לו לעמוד בפיתוי כמו כן הראה הנאשם למתלוננת את פתחי החירום בסניף ואמר לה: "פה אני מבצע את האונס שלי".</w:t>
      </w:r>
    </w:p>
    <w:p w14:paraId="41A97B44" w14:textId="77777777" w:rsidR="0013225A" w:rsidRDefault="0013225A">
      <w:pPr>
        <w:rPr>
          <w:rFonts w:hint="cs"/>
          <w:rtl/>
        </w:rPr>
      </w:pPr>
    </w:p>
    <w:p w14:paraId="1DEAC409" w14:textId="77777777" w:rsidR="0013225A" w:rsidRDefault="0013225A">
      <w:pPr>
        <w:rPr>
          <w:rFonts w:hint="cs"/>
          <w:rtl/>
        </w:rPr>
      </w:pPr>
      <w:r>
        <w:rPr>
          <w:rFonts w:hint="cs"/>
          <w:rtl/>
        </w:rPr>
        <w:t>(2) בתאריך 22/06/99 אמר הנאשם למתלוננת שהוא בן 34 הוא רוצה קשר עימה ויש לו כאבי ביצים.</w:t>
      </w:r>
    </w:p>
    <w:p w14:paraId="526F4910" w14:textId="77777777" w:rsidR="0013225A" w:rsidRDefault="0013225A">
      <w:pPr>
        <w:rPr>
          <w:rFonts w:hint="cs"/>
          <w:rtl/>
        </w:rPr>
      </w:pPr>
    </w:p>
    <w:p w14:paraId="1252C2B5" w14:textId="77777777" w:rsidR="0013225A" w:rsidRDefault="0013225A">
      <w:pPr>
        <w:rPr>
          <w:rFonts w:hint="cs"/>
          <w:rtl/>
        </w:rPr>
      </w:pPr>
      <w:r>
        <w:rPr>
          <w:rFonts w:hint="cs"/>
          <w:rtl/>
        </w:rPr>
        <w:t>(3) בהמשך לאותן נסיבות בעת שערך שיחה עם המתלוננת אמר לה שיש לה גוף יפה וכי היא מושכת ואפשר לעשות הרבה דברים בלי שאף אחד ידע.</w:t>
      </w:r>
    </w:p>
    <w:p w14:paraId="0C044FB5" w14:textId="77777777" w:rsidR="0013225A" w:rsidRDefault="0013225A">
      <w:pPr>
        <w:rPr>
          <w:rFonts w:hint="cs"/>
          <w:rtl/>
        </w:rPr>
      </w:pPr>
    </w:p>
    <w:p w14:paraId="1C727DD7" w14:textId="77777777" w:rsidR="0013225A" w:rsidRDefault="0013225A">
      <w:pPr>
        <w:rPr>
          <w:rFonts w:hint="cs"/>
          <w:rtl/>
        </w:rPr>
      </w:pPr>
      <w:r>
        <w:rPr>
          <w:rFonts w:hint="cs"/>
          <w:rtl/>
        </w:rPr>
        <w:t>(4) בהמשך לאותן נסיבות בעת שהמתלוננת הבהירה לנאשם כי איננה מעונינת בקשר עימו הנאשם בתגובה הציע למתלוננת: "330 דולר עבור זיון"</w:t>
      </w:r>
      <w:r>
        <w:rPr>
          <w:rFonts w:hint="cs"/>
          <w:b/>
          <w:bCs/>
          <w:rtl/>
        </w:rPr>
        <w:t xml:space="preserve">. </w:t>
      </w:r>
      <w:r>
        <w:rPr>
          <w:rFonts w:hint="cs"/>
          <w:rtl/>
        </w:rPr>
        <w:t xml:space="preserve">על ההצעה חזר כ – 4 פעמים.   </w:t>
      </w:r>
    </w:p>
    <w:p w14:paraId="6F526596" w14:textId="77777777" w:rsidR="0013225A" w:rsidRDefault="0013225A">
      <w:pPr>
        <w:rPr>
          <w:rFonts w:hint="cs"/>
          <w:rtl/>
        </w:rPr>
      </w:pPr>
    </w:p>
    <w:p w14:paraId="47102C72" w14:textId="77777777" w:rsidR="0013225A" w:rsidRDefault="0013225A">
      <w:pPr>
        <w:rPr>
          <w:rFonts w:hint="cs"/>
          <w:rtl/>
        </w:rPr>
      </w:pPr>
      <w:r>
        <w:rPr>
          <w:rFonts w:hint="cs"/>
          <w:rtl/>
        </w:rPr>
        <w:t>(5) בסוף אותו יום משעמדה המתלוננת בסמוך לשער הסניף עשה הנאשם למתלוננת תנועה, עם 3 אצבעות, רמז להצעתו לעיל וכן הציע למתלוננת לבוא עימו לקנות נעלים ואח"כ להחזיר אותה הביתה.</w:t>
      </w:r>
    </w:p>
    <w:p w14:paraId="5285DC1E" w14:textId="77777777" w:rsidR="0013225A" w:rsidRDefault="0013225A">
      <w:pPr>
        <w:rPr>
          <w:rFonts w:hint="cs"/>
          <w:rtl/>
        </w:rPr>
      </w:pPr>
    </w:p>
    <w:p w14:paraId="745A4868" w14:textId="77777777" w:rsidR="0013225A" w:rsidRDefault="0013225A">
      <w:pPr>
        <w:rPr>
          <w:rFonts w:hint="cs"/>
          <w:rtl/>
        </w:rPr>
      </w:pPr>
      <w:r>
        <w:rPr>
          <w:rFonts w:hint="cs"/>
          <w:rtl/>
        </w:rPr>
        <w:t xml:space="preserve">(6) הנאשם מואשם כי הציע למתלוננת הצעות בעלות אופי מיני וכן התייחס אליה התייחסויות חוזרות ונשנות המתמקדות במיניותה וזה תוך ניצול יחסי מרות וגם כאשר המתלוננת הבהירה לנאשם כי איננה מעונינת.  </w:t>
      </w:r>
    </w:p>
    <w:p w14:paraId="4698B1FF" w14:textId="77777777" w:rsidR="0013225A" w:rsidRDefault="0013225A">
      <w:pPr>
        <w:rPr>
          <w:rFonts w:hint="cs"/>
          <w:rtl/>
        </w:rPr>
      </w:pPr>
    </w:p>
    <w:p w14:paraId="6AF152FC" w14:textId="77777777" w:rsidR="0013225A" w:rsidRDefault="0013225A">
      <w:pPr>
        <w:rPr>
          <w:rFonts w:hint="cs"/>
          <w:rtl/>
        </w:rPr>
      </w:pPr>
      <w:r>
        <w:rPr>
          <w:rFonts w:hint="cs"/>
          <w:rtl/>
        </w:rPr>
        <w:lastRenderedPageBreak/>
        <w:t>התביעה הביאה לעדות את המתלוננת וכן עד נוסף, עד ראיה.</w:t>
      </w:r>
    </w:p>
    <w:p w14:paraId="47097519" w14:textId="77777777" w:rsidR="0013225A" w:rsidRDefault="0013225A">
      <w:pPr>
        <w:rPr>
          <w:rFonts w:hint="cs"/>
          <w:rtl/>
        </w:rPr>
      </w:pPr>
    </w:p>
    <w:p w14:paraId="50DE1B1F" w14:textId="77777777" w:rsidR="0013225A" w:rsidRDefault="0013225A">
      <w:pPr>
        <w:rPr>
          <w:rFonts w:hint="cs"/>
          <w:rtl/>
        </w:rPr>
      </w:pPr>
      <w:r>
        <w:rPr>
          <w:rFonts w:hint="cs"/>
          <w:rtl/>
        </w:rPr>
        <w:t>המתלוננת לא נחקרה חקירה נגדית שכן בתחילת החקירה הנגדית איבדה עשתונותיה, צעקה, בכתה, התמוטטה ובעלה שהיה עימה נאלץ להוציא אותה מאולם ביהמ"ש.</w:t>
      </w:r>
    </w:p>
    <w:p w14:paraId="73C34256" w14:textId="77777777" w:rsidR="0013225A" w:rsidRDefault="0013225A">
      <w:pPr>
        <w:rPr>
          <w:rFonts w:hint="cs"/>
          <w:rtl/>
        </w:rPr>
      </w:pPr>
    </w:p>
    <w:p w14:paraId="24D4C16C" w14:textId="77777777" w:rsidR="0013225A" w:rsidRDefault="0013225A">
      <w:pPr>
        <w:rPr>
          <w:rFonts w:hint="cs"/>
          <w:rtl/>
        </w:rPr>
      </w:pPr>
      <w:r>
        <w:rPr>
          <w:rFonts w:hint="cs"/>
          <w:rtl/>
        </w:rPr>
        <w:t>התנהגותה תאמה למעשה את האמור באישור הרפואי (</w:t>
      </w:r>
      <w:r>
        <w:rPr>
          <w:rFonts w:hint="cs"/>
          <w:b/>
          <w:bCs/>
          <w:rtl/>
        </w:rPr>
        <w:t>ת/2</w:t>
      </w:r>
      <w:r>
        <w:rPr>
          <w:rFonts w:hint="cs"/>
          <w:rtl/>
        </w:rPr>
        <w:t>) שהוצג לביהמ"ש לפיו המתלוננת נמצאת בטיפול רפואי כחצי שנה עקב  דיכאון לאחר לידה. האישור נכתב ע"י ד"ר איתן חבר מחודש 09/01 שם קבע הרופא להערכתו כי מצבה הנפשי של המתלוננת עדיין אינו יציב ועדות נוספת עלולה לסכן את בריאותה הנפשית. הרופא המליץ כי תימנע מעדות זו אולם התביעה החליטה להמשיך בהליכים ועדותה הסתיימה בתחילת החקירה הנגדית.</w:t>
      </w:r>
    </w:p>
    <w:p w14:paraId="110D2088" w14:textId="77777777" w:rsidR="0013225A" w:rsidRDefault="0013225A">
      <w:pPr>
        <w:rPr>
          <w:rFonts w:hint="cs"/>
          <w:rtl/>
        </w:rPr>
      </w:pPr>
    </w:p>
    <w:p w14:paraId="3FA5C225" w14:textId="77777777" w:rsidR="0013225A" w:rsidRDefault="0013225A">
      <w:pPr>
        <w:rPr>
          <w:rFonts w:hint="cs"/>
          <w:rtl/>
        </w:rPr>
      </w:pPr>
      <w:r>
        <w:rPr>
          <w:rFonts w:hint="cs"/>
          <w:rtl/>
        </w:rPr>
        <w:t xml:space="preserve">עלי לציין כי במהלך עדותה בחקירה הראשית לא התרשמתי כי המתלוננת סובלת ממצוקה כלשהי והיא העידה בצורה ברורה ומעוררת אמון. העדה לא התביישה לספר בעמ' 15 לפרוטוקול, שורה 24: </w:t>
      </w:r>
      <w:r>
        <w:rPr>
          <w:rFonts w:hint="cs"/>
          <w:b/>
          <w:bCs/>
          <w:rtl/>
        </w:rPr>
        <w:t>"היום אסור לי להעיד משום שאני סובלת מדיכאון קשה לאחר לידה. מעולם לא היו בעיות נפשיות"</w:t>
      </w:r>
      <w:r>
        <w:rPr>
          <w:rFonts w:hint="cs"/>
          <w:rtl/>
        </w:rPr>
        <w:t xml:space="preserve">. דברים אלה לא נסתרו. </w:t>
      </w:r>
    </w:p>
    <w:p w14:paraId="5515DCE2" w14:textId="77777777" w:rsidR="0013225A" w:rsidRDefault="0013225A">
      <w:pPr>
        <w:rPr>
          <w:rFonts w:hint="cs"/>
          <w:rtl/>
        </w:rPr>
      </w:pPr>
    </w:p>
    <w:p w14:paraId="42C7A2F7" w14:textId="77777777" w:rsidR="0013225A" w:rsidRDefault="0013225A">
      <w:pPr>
        <w:rPr>
          <w:rFonts w:hint="cs"/>
          <w:rtl/>
        </w:rPr>
      </w:pPr>
      <w:r>
        <w:rPr>
          <w:rFonts w:hint="cs"/>
          <w:rtl/>
        </w:rPr>
        <w:t>גם לא התרשמתי כי היה לה קשה להעיד בחקירה ראשית.</w:t>
      </w:r>
    </w:p>
    <w:p w14:paraId="7FC3C7E6" w14:textId="77777777" w:rsidR="0013225A" w:rsidRDefault="0013225A">
      <w:pPr>
        <w:rPr>
          <w:rFonts w:hint="cs"/>
          <w:rtl/>
        </w:rPr>
      </w:pPr>
    </w:p>
    <w:p w14:paraId="14D8D185" w14:textId="77777777" w:rsidR="0013225A" w:rsidRDefault="0013225A">
      <w:pPr>
        <w:rPr>
          <w:rFonts w:hint="cs"/>
          <w:rtl/>
        </w:rPr>
      </w:pPr>
      <w:r>
        <w:rPr>
          <w:rFonts w:hint="cs"/>
          <w:rtl/>
        </w:rPr>
        <w:t>באשר לרמיזות המיניות סיפרה המתלוננת כי בתאריך 20/06/99 עבדה כקצינת בטחון בסניף זיל וזול בתחנה המרכזית ברמלה. היה לה מנהל ששמו ציון מנתין שהוא אחראי על הקב"טים והיא הגיעה לשיחה עם הנאשם ב – 20/06/99. בשיחה שאל אותה הנאשם שאלות שגרתיות: בת כמה היא? מה עשתה בצבא?</w:t>
      </w:r>
    </w:p>
    <w:p w14:paraId="5CEAA4AB" w14:textId="77777777" w:rsidR="0013225A" w:rsidRDefault="0013225A">
      <w:pPr>
        <w:rPr>
          <w:rFonts w:hint="cs"/>
          <w:rtl/>
        </w:rPr>
      </w:pPr>
    </w:p>
    <w:p w14:paraId="30BC2DA8" w14:textId="77777777" w:rsidR="0013225A" w:rsidRDefault="0013225A">
      <w:pPr>
        <w:rPr>
          <w:rFonts w:hint="cs"/>
          <w:rtl/>
        </w:rPr>
      </w:pPr>
      <w:r>
        <w:rPr>
          <w:rFonts w:hint="cs"/>
          <w:rtl/>
        </w:rPr>
        <w:t>הנאשם היה מנהל הסניף והקב"טית המתלוננת צריכה לעבוד בשיתוף עמו ולשביעות רצונו.</w:t>
      </w:r>
    </w:p>
    <w:p w14:paraId="3E305156" w14:textId="77777777" w:rsidR="0013225A" w:rsidRDefault="0013225A">
      <w:pPr>
        <w:rPr>
          <w:rFonts w:hint="cs"/>
          <w:rtl/>
        </w:rPr>
      </w:pPr>
    </w:p>
    <w:p w14:paraId="5EAD18C5" w14:textId="77777777" w:rsidR="0013225A" w:rsidRDefault="0013225A">
      <w:pPr>
        <w:rPr>
          <w:rFonts w:hint="cs"/>
          <w:rtl/>
        </w:rPr>
      </w:pPr>
      <w:r>
        <w:rPr>
          <w:rFonts w:hint="cs"/>
          <w:rtl/>
        </w:rPr>
        <w:t xml:space="preserve">באותה שיחה אמר לה הנאשם כי יש לה גוף יפה ושאל לגילה אבל היא לא ראתה בזאת הטרדה היא אמרה לו תודה וזה החמיא לה. כך העידה המתלוננת היינו זו היתה התייחסותה הראשונית למלים "יש לך גוף יפה". </w:t>
      </w:r>
    </w:p>
    <w:p w14:paraId="319C372D" w14:textId="77777777" w:rsidR="0013225A" w:rsidRDefault="0013225A">
      <w:pPr>
        <w:rPr>
          <w:rFonts w:hint="cs"/>
          <w:rtl/>
        </w:rPr>
      </w:pPr>
    </w:p>
    <w:p w14:paraId="50FD8B9E" w14:textId="77777777" w:rsidR="0013225A" w:rsidRDefault="0013225A">
      <w:pPr>
        <w:rPr>
          <w:rFonts w:hint="cs"/>
          <w:rtl/>
        </w:rPr>
      </w:pPr>
      <w:r>
        <w:rPr>
          <w:rFonts w:hint="cs"/>
          <w:rtl/>
        </w:rPr>
        <w:t xml:space="preserve">בשלב מאוחר יותר העידה המתלוננת שהנאשם אמר לה שהוא מעוניין להיות בקשר חברי איתה: </w:t>
      </w:r>
      <w:r>
        <w:rPr>
          <w:rFonts w:hint="cs"/>
          <w:b/>
          <w:bCs/>
          <w:rtl/>
        </w:rPr>
        <w:t>"שנפגש ונצא"</w:t>
      </w:r>
      <w:r>
        <w:rPr>
          <w:rFonts w:hint="cs"/>
          <w:rtl/>
        </w:rPr>
        <w:t>. המתלוננת שללה זאת על הסף מאחר והנאשם היה בתחום העבודה שלה לטענתה והיא גם אמרה לו שהוא מבוגר לגילה.</w:t>
      </w:r>
    </w:p>
    <w:p w14:paraId="29E2172C" w14:textId="77777777" w:rsidR="0013225A" w:rsidRDefault="0013225A">
      <w:pPr>
        <w:rPr>
          <w:rFonts w:hint="cs"/>
          <w:rtl/>
        </w:rPr>
      </w:pPr>
    </w:p>
    <w:p w14:paraId="619FC69A" w14:textId="77777777" w:rsidR="0013225A" w:rsidRDefault="0013225A">
      <w:pPr>
        <w:rPr>
          <w:rFonts w:hint="cs"/>
          <w:rtl/>
        </w:rPr>
      </w:pPr>
      <w:r>
        <w:rPr>
          <w:rFonts w:hint="cs"/>
          <w:rtl/>
        </w:rPr>
        <w:t xml:space="preserve">עפ"י עדות המתלוננת יום אחרי ההצעה הנאשם פגש אותה במחסן התחיל להיות בוטה ואמר לה: </w:t>
      </w:r>
      <w:r>
        <w:rPr>
          <w:rFonts w:hint="cs"/>
          <w:b/>
          <w:bCs/>
          <w:rtl/>
        </w:rPr>
        <w:t>"איזה ריח טוב יש לך קשה לי לעמוד בפיתוי יש לי כאבי בצים"</w:t>
      </w:r>
      <w:r>
        <w:rPr>
          <w:rFonts w:hint="cs"/>
          <w:rtl/>
        </w:rPr>
        <w:t xml:space="preserve"> (ציטוט מעמ' 13, שורה 15).</w:t>
      </w:r>
    </w:p>
    <w:p w14:paraId="4992F70F" w14:textId="77777777" w:rsidR="0013225A" w:rsidRDefault="0013225A">
      <w:pPr>
        <w:rPr>
          <w:rFonts w:hint="cs"/>
          <w:rtl/>
        </w:rPr>
      </w:pPr>
    </w:p>
    <w:p w14:paraId="261CD09E" w14:textId="77777777" w:rsidR="0013225A" w:rsidRDefault="0013225A">
      <w:pPr>
        <w:rPr>
          <w:rFonts w:hint="cs"/>
          <w:rtl/>
        </w:rPr>
      </w:pPr>
      <w:r>
        <w:rPr>
          <w:rFonts w:hint="cs"/>
          <w:rtl/>
        </w:rPr>
        <w:t xml:space="preserve">המתלוננת העידה שכשנכנסה לחדר מקררים כדי להכיר את הסניף אמר לה הנאשם: </w:t>
      </w:r>
      <w:r>
        <w:rPr>
          <w:rFonts w:hint="cs"/>
          <w:b/>
          <w:bCs/>
          <w:rtl/>
        </w:rPr>
        <w:t>"פה אני מבצע את האונס שלי. זה היה אחרי שהוא הציע לי כסף"</w:t>
      </w:r>
      <w:r>
        <w:rPr>
          <w:rFonts w:hint="cs"/>
          <w:rtl/>
        </w:rPr>
        <w:t>.</w:t>
      </w:r>
    </w:p>
    <w:p w14:paraId="3A7C12E4" w14:textId="77777777" w:rsidR="0013225A" w:rsidRDefault="0013225A">
      <w:pPr>
        <w:rPr>
          <w:rFonts w:hint="cs"/>
          <w:rtl/>
        </w:rPr>
      </w:pPr>
    </w:p>
    <w:p w14:paraId="44ED9855" w14:textId="77777777" w:rsidR="0013225A" w:rsidRDefault="0013225A">
      <w:pPr>
        <w:rPr>
          <w:rFonts w:hint="cs"/>
          <w:rtl/>
        </w:rPr>
      </w:pPr>
      <w:r>
        <w:rPr>
          <w:rFonts w:hint="cs"/>
          <w:rtl/>
        </w:rPr>
        <w:t xml:space="preserve">הנאשם אמר למתלוננת עפ"י עדותה: </w:t>
      </w:r>
      <w:r>
        <w:rPr>
          <w:rFonts w:hint="cs"/>
          <w:b/>
          <w:bCs/>
          <w:rtl/>
        </w:rPr>
        <w:t>"בעד הזיון איתך הייתי נותן 300 דולר"</w:t>
      </w:r>
      <w:r>
        <w:rPr>
          <w:rFonts w:hint="cs"/>
          <w:rtl/>
        </w:rPr>
        <w:t xml:space="preserve"> (ראה עמ' 13, שורה 23).</w:t>
      </w:r>
    </w:p>
    <w:p w14:paraId="69F9D71C" w14:textId="77777777" w:rsidR="0013225A" w:rsidRDefault="0013225A">
      <w:pPr>
        <w:rPr>
          <w:rFonts w:hint="cs"/>
          <w:rtl/>
        </w:rPr>
      </w:pPr>
    </w:p>
    <w:p w14:paraId="30BE2C08" w14:textId="77777777" w:rsidR="0013225A" w:rsidRDefault="0013225A">
      <w:pPr>
        <w:rPr>
          <w:rFonts w:hint="cs"/>
          <w:rtl/>
        </w:rPr>
      </w:pPr>
      <w:r>
        <w:rPr>
          <w:rFonts w:hint="cs"/>
          <w:rtl/>
        </w:rPr>
        <w:t>אחרי כמה שעות הוא עשה לה תנועה עם היד, 3 אצבעות ביד אחת וביד השניה תנועה של שאלה. העדה הדגימה זאת. העדה תיארה כי זה גרם לה להילחץ, העדה גם העידה כי הרגישה רגשות אשם וסברה שאולי לא התלבשה בסדר ולכן הנאשם מציע לה הצעות מיניות ולכן פנתה לאחראי שלה ציון אשר המליץ בפניה להתלונן במשטרה.</w:t>
      </w:r>
    </w:p>
    <w:p w14:paraId="0AAC071A" w14:textId="77777777" w:rsidR="0013225A" w:rsidRDefault="0013225A">
      <w:pPr>
        <w:rPr>
          <w:rFonts w:hint="cs"/>
          <w:rtl/>
        </w:rPr>
      </w:pPr>
    </w:p>
    <w:p w14:paraId="04991BE8" w14:textId="77777777" w:rsidR="0013225A" w:rsidRDefault="0013225A">
      <w:pPr>
        <w:rPr>
          <w:rFonts w:hint="cs"/>
          <w:rtl/>
        </w:rPr>
      </w:pPr>
      <w:r>
        <w:rPr>
          <w:rFonts w:hint="cs"/>
          <w:rtl/>
        </w:rPr>
        <w:t xml:space="preserve">העדה חזרה על כך שהנאשם אמר לה שיש לו כאבי ביצים ועל כך שבחדר הקירור הוא הציע לה 300 דולר והצביע על המקום שבו הוא מבצע את האונס. </w:t>
      </w:r>
    </w:p>
    <w:p w14:paraId="00D05440" w14:textId="77777777" w:rsidR="0013225A" w:rsidRDefault="0013225A">
      <w:pPr>
        <w:rPr>
          <w:rFonts w:hint="cs"/>
          <w:rtl/>
        </w:rPr>
      </w:pPr>
    </w:p>
    <w:p w14:paraId="533CBADE" w14:textId="77777777" w:rsidR="0013225A" w:rsidRDefault="0013225A">
      <w:pPr>
        <w:rPr>
          <w:rFonts w:hint="cs"/>
          <w:rtl/>
        </w:rPr>
      </w:pPr>
      <w:r>
        <w:rPr>
          <w:rFonts w:hint="cs"/>
          <w:rtl/>
        </w:rPr>
        <w:t xml:space="preserve">בעמ' 15 לפרוטוקול, שורה 5 אומרת העדה: </w:t>
      </w:r>
      <w:r>
        <w:rPr>
          <w:rFonts w:hint="cs"/>
          <w:b/>
          <w:bCs/>
          <w:rtl/>
        </w:rPr>
        <w:t>"בערך 4 פעמים הוא עשה לי עם האצבעות, ביום שלישי וביום רביעי בבוקר"</w:t>
      </w:r>
      <w:r>
        <w:rPr>
          <w:rFonts w:hint="cs"/>
          <w:rtl/>
        </w:rPr>
        <w:t xml:space="preserve">. בחקירה הנגדית העידה התלוננת כי הנאשם חיזר אחריה ורמז לה רמזים מיניים בשלבים ואני מצטטת מעדותה בעמ' 17 לפרוטוקול, שורה 20: </w:t>
      </w:r>
      <w:r>
        <w:rPr>
          <w:rFonts w:hint="cs"/>
          <w:b/>
          <w:bCs/>
          <w:rtl/>
        </w:rPr>
        <w:t>"הנאשם חכם יותר, הוא בא איתי בשלבים הוא לא אמר לי בואי אני אתן לך 300 דולר ואני אזיין אותך הוא קודם נתן לי מחמאות שעשו לי הרגשה טובה. אמרתי לו תודה וחייכתי אליו אח"כ הוא אמר שהוא רוצה לצאת איתי מנהל סניף רוצה לצאת איתי זה מחמיא לי. ראיתי שהוא מנסה להתחכך בי ורוצה רומן בלי שאף אחד ידע זה פגע בי. הקש ששבר את גב הגמל זה שהוא הציע לי כסף"</w:t>
      </w:r>
      <w:r>
        <w:rPr>
          <w:rFonts w:hint="cs"/>
          <w:rtl/>
        </w:rPr>
        <w:t>.</w:t>
      </w:r>
      <w:r>
        <w:rPr>
          <w:rFonts w:hint="cs"/>
          <w:b/>
          <w:bCs/>
          <w:rtl/>
        </w:rPr>
        <w:t xml:space="preserve">  </w:t>
      </w:r>
      <w:r>
        <w:rPr>
          <w:rFonts w:hint="cs"/>
          <w:rtl/>
        </w:rPr>
        <w:t xml:space="preserve"> </w:t>
      </w:r>
    </w:p>
    <w:p w14:paraId="5BD9C983" w14:textId="77777777" w:rsidR="0013225A" w:rsidRDefault="0013225A">
      <w:pPr>
        <w:rPr>
          <w:rFonts w:hint="cs"/>
          <w:rtl/>
        </w:rPr>
      </w:pPr>
    </w:p>
    <w:p w14:paraId="4D149D5A" w14:textId="77777777" w:rsidR="0013225A" w:rsidRDefault="0013225A">
      <w:pPr>
        <w:rPr>
          <w:rFonts w:hint="cs"/>
          <w:rtl/>
        </w:rPr>
      </w:pPr>
      <w:r>
        <w:rPr>
          <w:rFonts w:hint="cs"/>
          <w:rtl/>
        </w:rPr>
        <w:t>המתלוננת חזרה מס' פעמים על כך שאמרה לנאשם שלא מתאים לה לצאת איתו וגם לעבוד איתו. רק כשהסניגור המשיך לחקור אותה בנקודה זו התמוטטה והתרשמתי כי לא יכלה לעמוד בשאלות המצביעות על כך שכביכול שיתפה פעולה עם הנאשם.</w:t>
      </w:r>
    </w:p>
    <w:p w14:paraId="2AE55BB7" w14:textId="77777777" w:rsidR="0013225A" w:rsidRDefault="0013225A">
      <w:pPr>
        <w:rPr>
          <w:rFonts w:hint="cs"/>
          <w:rtl/>
        </w:rPr>
      </w:pPr>
    </w:p>
    <w:p w14:paraId="3BFC430A" w14:textId="77777777" w:rsidR="0013225A" w:rsidRDefault="0013225A">
      <w:pPr>
        <w:rPr>
          <w:rFonts w:hint="cs"/>
          <w:rtl/>
        </w:rPr>
      </w:pPr>
      <w:r>
        <w:rPr>
          <w:rFonts w:hint="cs"/>
          <w:rtl/>
        </w:rPr>
        <w:t>ביום 23/06/99  כ – 3 ימים לאחר מכן היא התלוננה במשטרה. העדה עבדה בסניף 3 ימים.</w:t>
      </w:r>
    </w:p>
    <w:p w14:paraId="57A49C04" w14:textId="77777777" w:rsidR="0013225A" w:rsidRDefault="0013225A">
      <w:pPr>
        <w:rPr>
          <w:rFonts w:hint="cs"/>
          <w:rtl/>
        </w:rPr>
      </w:pPr>
    </w:p>
    <w:p w14:paraId="610226EF" w14:textId="77777777" w:rsidR="0013225A" w:rsidRDefault="0013225A">
      <w:pPr>
        <w:rPr>
          <w:rFonts w:hint="cs"/>
          <w:rtl/>
        </w:rPr>
      </w:pPr>
      <w:r>
        <w:rPr>
          <w:rFonts w:hint="cs"/>
          <w:rtl/>
        </w:rPr>
        <w:t xml:space="preserve">לעדותה של המתלוננת יש חיזוק החיזוק נמצא בעדותו של עד תביעה מס' 1 שלום מיראשוילי אשר ראה באופן חד-משמעי כיצד הנאשם עושה למתלוננת תנועה עם 3 אצבעות וכן ראה שהנאשם מסתכל על המתלוננת במבטים שגבר מסתכל על בחורה שמוצאת חן בעיניו, </w:t>
      </w:r>
      <w:r>
        <w:rPr>
          <w:rFonts w:hint="cs"/>
          <w:u w:val="single"/>
          <w:rtl/>
        </w:rPr>
        <w:t>מבטים שרואים כמו שגבר נדלק על מישהי</w:t>
      </w:r>
      <w:r>
        <w:rPr>
          <w:rFonts w:hint="cs"/>
          <w:rtl/>
        </w:rPr>
        <w:t xml:space="preserve"> (ראה עמ' 6 לפרוטוקול, שורות 15-14).</w:t>
      </w:r>
    </w:p>
    <w:p w14:paraId="2A9C84BA" w14:textId="77777777" w:rsidR="0013225A" w:rsidRDefault="0013225A">
      <w:pPr>
        <w:rPr>
          <w:rFonts w:hint="cs"/>
          <w:rtl/>
        </w:rPr>
      </w:pPr>
    </w:p>
    <w:p w14:paraId="519CAE9C" w14:textId="77777777" w:rsidR="0013225A" w:rsidRDefault="0013225A">
      <w:pPr>
        <w:rPr>
          <w:rFonts w:hint="cs"/>
          <w:rtl/>
        </w:rPr>
      </w:pPr>
      <w:r>
        <w:rPr>
          <w:rFonts w:hint="cs"/>
          <w:rtl/>
        </w:rPr>
        <w:t xml:space="preserve">העד שלום מיראשוילי לא רצה להעיד נגד הנאשם העד אמר שלא נעים לו בגלל שהוא מכיר את הנאשם הוא לא רוצה לפגוע בו הוא חייל בשירות חובה וזימנו אותו בכוח. רק לאחר שביהמ"ש הסביר לו כי עליו להעיד על מה שראה אמר העד בעמ' 6 לפרוטוקול, שורה 5: </w:t>
      </w:r>
      <w:r>
        <w:rPr>
          <w:rFonts w:hint="cs"/>
          <w:b/>
          <w:bCs/>
          <w:rtl/>
        </w:rPr>
        <w:t>"אז מה שראיתי זה הוא היה מסמן לה 3 עם האצבעות (מדגים) הייתי רואה את זה שהנאשם היה מסמן לה את זה ואני לא יודע מה המשמעות של זה"</w:t>
      </w:r>
      <w:r>
        <w:rPr>
          <w:rFonts w:hint="cs"/>
          <w:rtl/>
        </w:rPr>
        <w:t>.</w:t>
      </w:r>
    </w:p>
    <w:p w14:paraId="02E364C0" w14:textId="77777777" w:rsidR="0013225A" w:rsidRDefault="0013225A">
      <w:pPr>
        <w:rPr>
          <w:rFonts w:hint="cs"/>
          <w:rtl/>
        </w:rPr>
      </w:pPr>
    </w:p>
    <w:p w14:paraId="689CD790" w14:textId="77777777" w:rsidR="0013225A" w:rsidRDefault="0013225A">
      <w:pPr>
        <w:rPr>
          <w:rFonts w:hint="cs"/>
          <w:rtl/>
        </w:rPr>
      </w:pPr>
      <w:r>
        <w:rPr>
          <w:rFonts w:hint="cs"/>
          <w:rtl/>
        </w:rPr>
        <w:t xml:space="preserve">אכן התרשמתי כי העד ניסה לגמד את ששמע ואת הרמיזות המיניות שנשלחו למתלוננת. העד הרבה לומר שזה באופן טבעי שכולם מספרים בצחוק על החוויות המיניות שלהם ושזה טבעי שמנהל סניף מספר על חוויותיו המיניות בנוכחות הקב"טים והמתלוננת אולם אינני סבורה ולא התרשמתי שהמתלוננת היתה שותפה לכך. </w:t>
      </w:r>
    </w:p>
    <w:p w14:paraId="6406A9E5" w14:textId="77777777" w:rsidR="0013225A" w:rsidRDefault="0013225A">
      <w:pPr>
        <w:rPr>
          <w:rFonts w:hint="cs"/>
          <w:rtl/>
        </w:rPr>
      </w:pPr>
    </w:p>
    <w:p w14:paraId="6EB0AD53" w14:textId="77777777" w:rsidR="0013225A" w:rsidRDefault="0013225A">
      <w:pPr>
        <w:rPr>
          <w:rFonts w:hint="cs"/>
          <w:rtl/>
        </w:rPr>
      </w:pPr>
      <w:r>
        <w:rPr>
          <w:rFonts w:hint="cs"/>
          <w:rtl/>
        </w:rPr>
        <w:t xml:space="preserve">העד אומר בעמ' 7 לפרוטוקול, שורה 4: </w:t>
      </w:r>
      <w:r>
        <w:rPr>
          <w:rFonts w:hint="cs"/>
          <w:b/>
          <w:bCs/>
          <w:rtl/>
        </w:rPr>
        <w:t>"לא זכור לי אם מיטל היתה מספרת חוויות כאלה לא היו הרבה בנות"</w:t>
      </w:r>
      <w:r>
        <w:rPr>
          <w:rFonts w:hint="cs"/>
          <w:rtl/>
        </w:rPr>
        <w:t>. דבר זה מחזק את העובדה שהמתלוננת לא היתה שותפה לאווירה המינית שמנהל הסניף נתן לה גיבוי.</w:t>
      </w:r>
    </w:p>
    <w:p w14:paraId="0AF64204" w14:textId="77777777" w:rsidR="0013225A" w:rsidRDefault="0013225A">
      <w:pPr>
        <w:rPr>
          <w:rFonts w:hint="cs"/>
          <w:rtl/>
        </w:rPr>
      </w:pPr>
    </w:p>
    <w:p w14:paraId="244F467B" w14:textId="77777777" w:rsidR="0013225A" w:rsidRDefault="0013225A">
      <w:pPr>
        <w:rPr>
          <w:rFonts w:hint="cs"/>
          <w:rtl/>
        </w:rPr>
      </w:pPr>
      <w:r>
        <w:rPr>
          <w:rFonts w:hint="cs"/>
          <w:rtl/>
        </w:rPr>
        <w:t xml:space="preserve">הנאשם הסביר כי עשה סימון עם 3 אצבעות סימון שהיה מיועד לקופאיות ולא למתלוננת אולם עד תביעה מס' 1 שלל גירסה זו שכן אמר בעמ' 7 לפרוטוקול, שורה 13: </w:t>
      </w:r>
      <w:r>
        <w:rPr>
          <w:rFonts w:hint="cs"/>
          <w:b/>
          <w:bCs/>
          <w:rtl/>
        </w:rPr>
        <w:t>"ראיתי שהוא עשה לה 3 אצבעות. לא זוכר בדיוק איפה זה היה אבל זה היה בכניסה לסניף זה בטוח"</w:t>
      </w:r>
      <w:r>
        <w:rPr>
          <w:rFonts w:hint="cs"/>
          <w:rtl/>
        </w:rPr>
        <w:t>. בכניסה לסניף אין הכוונה שהוא מסמן לקופאית ואני שוללת הסברו של הנאשם אשר נשמע לראשונה בביהמ"ש.</w:t>
      </w:r>
    </w:p>
    <w:p w14:paraId="104FAAE9" w14:textId="77777777" w:rsidR="0013225A" w:rsidRDefault="0013225A">
      <w:pPr>
        <w:rPr>
          <w:rFonts w:hint="cs"/>
          <w:rtl/>
        </w:rPr>
      </w:pPr>
    </w:p>
    <w:p w14:paraId="5B5C7865" w14:textId="77777777" w:rsidR="0013225A" w:rsidRDefault="0013225A">
      <w:pPr>
        <w:rPr>
          <w:rFonts w:hint="cs"/>
          <w:rtl/>
        </w:rPr>
      </w:pPr>
      <w:r>
        <w:rPr>
          <w:rFonts w:hint="cs"/>
          <w:rtl/>
        </w:rPr>
        <w:t>כאמור התרשמתי כי עד התביעה ניסה לגמד את האירוע ולא רצה להעיד כנגד הנאשם אולם מצאתי בעדותו חיזוק לעדותה של המתלוננת בעיקר לגבי ההצעה של 300 דולר עבור זיון ובעיקר חיזוק לעובדה שהנאשם ניסה להתחיל עם המתלוננת וסיפר חוויות מיניות, לפעמים גם באופן אקראי וגם כלשון העד "נדלק עליה".</w:t>
      </w:r>
    </w:p>
    <w:p w14:paraId="0583AD09" w14:textId="77777777" w:rsidR="0013225A" w:rsidRDefault="0013225A">
      <w:pPr>
        <w:rPr>
          <w:rFonts w:hint="cs"/>
          <w:rtl/>
        </w:rPr>
      </w:pPr>
    </w:p>
    <w:p w14:paraId="2791ECCA" w14:textId="77777777" w:rsidR="0013225A" w:rsidRDefault="0013225A">
      <w:pPr>
        <w:rPr>
          <w:rFonts w:hint="cs"/>
          <w:rtl/>
        </w:rPr>
      </w:pPr>
      <w:r>
        <w:rPr>
          <w:rFonts w:hint="cs"/>
          <w:rtl/>
        </w:rPr>
        <w:t>כפי שציינתי לעיל המתלוננת עשתה עלי רושם מהימן הודעתה של המתלוננת במשטרה לא הוגשה כך שכפי הנראה לא היו סתירות מהותיות בין חקירתה הראשית לבין דבריה במשטרה.</w:t>
      </w:r>
    </w:p>
    <w:p w14:paraId="2435D5E7" w14:textId="77777777" w:rsidR="0013225A" w:rsidRDefault="0013225A">
      <w:pPr>
        <w:rPr>
          <w:rFonts w:hint="cs"/>
          <w:rtl/>
        </w:rPr>
      </w:pPr>
    </w:p>
    <w:p w14:paraId="405BD490" w14:textId="77777777" w:rsidR="0013225A" w:rsidRDefault="0013225A">
      <w:pPr>
        <w:rPr>
          <w:rFonts w:hint="cs"/>
          <w:rtl/>
        </w:rPr>
      </w:pPr>
      <w:r>
        <w:rPr>
          <w:rFonts w:hint="cs"/>
          <w:rtl/>
        </w:rPr>
        <w:t xml:space="preserve">אני ערה לכך שהמתלוננת לא נחקרה נגדית באופן מלא אלא שבשלב מסוים בחקירה הנגדית נבצר ממנה להמשיך להעיד מאחר ואיבדה שליטה על רגשותיה. </w:t>
      </w:r>
    </w:p>
    <w:p w14:paraId="1DF66365" w14:textId="77777777" w:rsidR="0013225A" w:rsidRDefault="0013225A">
      <w:pPr>
        <w:rPr>
          <w:rFonts w:hint="cs"/>
          <w:rtl/>
        </w:rPr>
      </w:pPr>
    </w:p>
    <w:p w14:paraId="104FCD52" w14:textId="77777777" w:rsidR="0013225A" w:rsidRDefault="0013225A">
      <w:pPr>
        <w:rPr>
          <w:rFonts w:hint="cs"/>
          <w:rtl/>
        </w:rPr>
      </w:pPr>
      <w:r>
        <w:rPr>
          <w:rFonts w:hint="cs"/>
          <w:rtl/>
        </w:rPr>
        <w:t xml:space="preserve">כב' השופט קדמי ספרו </w:t>
      </w:r>
      <w:r>
        <w:rPr>
          <w:rFonts w:hint="cs"/>
          <w:b/>
          <w:bCs/>
          <w:rtl/>
        </w:rPr>
        <w:t>"על הראיות"</w:t>
      </w:r>
      <w:r>
        <w:rPr>
          <w:rFonts w:hint="cs"/>
          <w:rtl/>
        </w:rPr>
        <w:t xml:space="preserve"> קובע בעמ' 1445-1444 פסקה 3 כי: </w:t>
      </w:r>
      <w:r>
        <w:rPr>
          <w:rFonts w:hint="cs"/>
          <w:b/>
          <w:bCs/>
          <w:rtl/>
        </w:rPr>
        <w:t>"כאשר נבצר מן היריב לקיים חקירה שכנגד מסיבה אובייקטיבית, שאינה תלויה בהתנהגות העד,... - העדות שנמסרה בחקירה ראשית לא "תימחק", ומשקלה הראייתי ייקבע ע"י ביהמ"ש בהתאם לנסיבות המיוחדות של כל מקרה. אומנם הכלל הבסיסי הוא כי במקום שבו נותרה עדות ללא חקירה שכנגד כתוצאה מ"אשמו" – קרי: כתוצאה מהתנהגות פסולה – של הצד שהעיד אותו או של העד עצמו - העדות שנמסרה בחקירה ראשית "תימחק" אולם בכל מקרה אחר נתון הדבר לשיקול דעתו של ביהמ"ש"</w:t>
      </w:r>
      <w:r>
        <w:rPr>
          <w:rFonts w:hint="cs"/>
          <w:rtl/>
        </w:rPr>
        <w:t>.</w:t>
      </w:r>
    </w:p>
    <w:p w14:paraId="60847C08" w14:textId="77777777" w:rsidR="0013225A" w:rsidRDefault="0013225A">
      <w:pPr>
        <w:rPr>
          <w:rFonts w:hint="cs"/>
          <w:rtl/>
        </w:rPr>
      </w:pPr>
    </w:p>
    <w:p w14:paraId="5597366A" w14:textId="77777777" w:rsidR="0013225A" w:rsidRDefault="0013225A">
      <w:pPr>
        <w:rPr>
          <w:rFonts w:hint="cs"/>
          <w:rtl/>
        </w:rPr>
      </w:pPr>
      <w:r>
        <w:rPr>
          <w:rFonts w:hint="cs"/>
          <w:rtl/>
        </w:rPr>
        <w:t>במקרה שלפני החקירה שכנגד לא נמנעה בשל מעשה מכוון מצד העדה. החקירה שכנגד נמנעה משום שהעדה החלה לבכות ולא יכלה לעמוד יותר נפשית במעמד בו היא נחקרת נגדית. לפיכך אני סבורה כי העדות של המתלוננת בפני שרירה וקיימת ומשקלה הראייתי נתון לשיקול דעתו של ביהמ"ש.</w:t>
      </w:r>
    </w:p>
    <w:p w14:paraId="250F75D9" w14:textId="77777777" w:rsidR="0013225A" w:rsidRDefault="0013225A">
      <w:pPr>
        <w:rPr>
          <w:rFonts w:hint="cs"/>
          <w:rtl/>
        </w:rPr>
      </w:pPr>
    </w:p>
    <w:p w14:paraId="5D28CA8A" w14:textId="77777777" w:rsidR="0013225A" w:rsidRDefault="0013225A">
      <w:pPr>
        <w:rPr>
          <w:rFonts w:hint="cs"/>
          <w:rtl/>
        </w:rPr>
      </w:pPr>
      <w:r>
        <w:rPr>
          <w:rFonts w:hint="cs"/>
          <w:rtl/>
        </w:rPr>
        <w:t>החלטתי לקבל עדותה ולתת לה מלוא המשקל כי האמנתי לה.</w:t>
      </w:r>
    </w:p>
    <w:p w14:paraId="00EEFFA1" w14:textId="77777777" w:rsidR="0013225A" w:rsidRDefault="0013225A">
      <w:pPr>
        <w:rPr>
          <w:rFonts w:hint="cs"/>
          <w:rtl/>
        </w:rPr>
      </w:pPr>
    </w:p>
    <w:p w14:paraId="6BD181C0" w14:textId="77777777" w:rsidR="0013225A" w:rsidRDefault="0013225A">
      <w:pPr>
        <w:rPr>
          <w:rFonts w:hint="cs"/>
          <w:rtl/>
        </w:rPr>
      </w:pPr>
      <w:r>
        <w:rPr>
          <w:rFonts w:hint="cs"/>
          <w:rtl/>
        </w:rPr>
        <w:t>אני סבורה כי אילו עדות המתלוננת היתה עדות יחידה ולא הייתי מוצאת חיזוק לדבריה גם בעדות עד התביעה מיראשוילי שלום וגם בתמיהות שעורר הנאשם בעדותו הרי שהיתה השפעה לכך שהעדה לא נחקרה בחקירה נגדית.</w:t>
      </w:r>
    </w:p>
    <w:p w14:paraId="5F6BA0C7" w14:textId="77777777" w:rsidR="0013225A" w:rsidRDefault="0013225A">
      <w:pPr>
        <w:rPr>
          <w:rFonts w:hint="cs"/>
          <w:rtl/>
        </w:rPr>
      </w:pPr>
    </w:p>
    <w:p w14:paraId="3F03EB9A" w14:textId="77777777" w:rsidR="0013225A" w:rsidRDefault="0013225A">
      <w:pPr>
        <w:rPr>
          <w:rFonts w:hint="cs"/>
          <w:rtl/>
        </w:rPr>
      </w:pPr>
      <w:r>
        <w:rPr>
          <w:rFonts w:hint="cs"/>
          <w:rtl/>
        </w:rPr>
        <w:t>אולם מאחר ומצאתי חיזוק לדבריה בעדות עד התביעה ובדברי הנאשם עצמו החלטתי לקבל עדותה ואני מאמינה לגירסתה.</w:t>
      </w:r>
    </w:p>
    <w:p w14:paraId="14724FB6" w14:textId="77777777" w:rsidR="0013225A" w:rsidRDefault="0013225A">
      <w:pPr>
        <w:rPr>
          <w:rFonts w:hint="cs"/>
          <w:rtl/>
        </w:rPr>
      </w:pPr>
    </w:p>
    <w:p w14:paraId="0068A7A7" w14:textId="77777777" w:rsidR="0013225A" w:rsidRDefault="0013225A">
      <w:pPr>
        <w:rPr>
          <w:rFonts w:hint="cs"/>
          <w:rtl/>
        </w:rPr>
      </w:pPr>
      <w:r>
        <w:rPr>
          <w:rFonts w:hint="cs"/>
          <w:rtl/>
        </w:rPr>
        <w:t xml:space="preserve">הנאשם בעדותו לא מכחיש את העובדה שסימן עם היד 3 אצבעות אבל לטענתו הוא סימן לקופאית. </w:t>
      </w:r>
    </w:p>
    <w:p w14:paraId="49F45D6D" w14:textId="77777777" w:rsidR="0013225A" w:rsidRDefault="0013225A">
      <w:pPr>
        <w:rPr>
          <w:rFonts w:hint="cs"/>
          <w:rtl/>
        </w:rPr>
      </w:pPr>
    </w:p>
    <w:p w14:paraId="3EB0FB70" w14:textId="77777777" w:rsidR="0013225A" w:rsidRDefault="0013225A">
      <w:pPr>
        <w:rPr>
          <w:rFonts w:hint="cs"/>
          <w:rtl/>
        </w:rPr>
      </w:pPr>
      <w:r>
        <w:rPr>
          <w:rFonts w:hint="cs"/>
          <w:rtl/>
        </w:rPr>
        <w:t xml:space="preserve">הנאשם בהודעתו במשטרה הכחיש את כל שמיוחס לו בכתב האישום. בביהמ"ש בחקירתו העיד כי המתלוננת סיפרה לו על החבר הקודם שלה ואני מצטטת מעמ' 4 לפרוטוקול, שורה 21: </w:t>
      </w:r>
      <w:r>
        <w:rPr>
          <w:rFonts w:hint="cs"/>
          <w:b/>
          <w:bCs/>
          <w:rtl/>
        </w:rPr>
        <w:t>"אח"כ נכנסה לנושא עובדים שעבדו איתי בסניף היפר-לוד על מערכות היחסים שלהם על גילויה למיטב ידיעתה על סקס ודברים מיניים"</w:t>
      </w:r>
      <w:r>
        <w:rPr>
          <w:rFonts w:hint="cs"/>
          <w:rtl/>
        </w:rPr>
        <w:t>.</w:t>
      </w:r>
    </w:p>
    <w:p w14:paraId="26AABB93" w14:textId="77777777" w:rsidR="0013225A" w:rsidRDefault="0013225A">
      <w:pPr>
        <w:rPr>
          <w:rFonts w:hint="cs"/>
          <w:rtl/>
        </w:rPr>
      </w:pPr>
    </w:p>
    <w:p w14:paraId="7EEABF9B" w14:textId="77777777" w:rsidR="0013225A" w:rsidRDefault="0013225A">
      <w:pPr>
        <w:rPr>
          <w:rFonts w:hint="cs"/>
          <w:rtl/>
        </w:rPr>
      </w:pPr>
      <w:r>
        <w:rPr>
          <w:rFonts w:hint="cs"/>
          <w:rtl/>
        </w:rPr>
        <w:t xml:space="preserve">התרשמתי שהנאשם לא שלל סיפורים כאלה והאזין להם מבלי להגדיר מערכת יחסים בינו לבין המתלוננת מבלי ליצור "דיסטנס" גבול, בינו לבין המתלוננת. </w:t>
      </w:r>
    </w:p>
    <w:p w14:paraId="0EC588E9" w14:textId="77777777" w:rsidR="0013225A" w:rsidRDefault="0013225A">
      <w:pPr>
        <w:rPr>
          <w:rFonts w:hint="cs"/>
          <w:rtl/>
        </w:rPr>
      </w:pPr>
    </w:p>
    <w:p w14:paraId="4B21FFD3" w14:textId="77777777" w:rsidR="0013225A" w:rsidRDefault="0013225A">
      <w:pPr>
        <w:rPr>
          <w:rFonts w:hint="cs"/>
          <w:rtl/>
        </w:rPr>
      </w:pPr>
      <w:r>
        <w:rPr>
          <w:rFonts w:hint="cs"/>
          <w:rtl/>
        </w:rPr>
        <w:t xml:space="preserve">הנאשם ניסה להציג את המתלוננת כאילו היא זו שמנסה להציע לו מערכת יחסים ואני מצטטת מעמ' 27 לפרוטוקול, שורה 1: </w:t>
      </w:r>
      <w:r>
        <w:rPr>
          <w:rFonts w:hint="cs"/>
          <w:b/>
          <w:bCs/>
          <w:rtl/>
        </w:rPr>
        <w:t>"שהתחילה לשאול שאלות הבנתי שהיא מנסה להתחיל איתי ולתת לי רמיזות אלי לחפוץ בי ולדלות ממני מידע"</w:t>
      </w:r>
      <w:r>
        <w:rPr>
          <w:rFonts w:hint="cs"/>
          <w:rtl/>
        </w:rPr>
        <w:t>.</w:t>
      </w:r>
    </w:p>
    <w:p w14:paraId="72602FCB" w14:textId="77777777" w:rsidR="0013225A" w:rsidRDefault="0013225A">
      <w:pPr>
        <w:rPr>
          <w:rFonts w:hint="cs"/>
          <w:rtl/>
        </w:rPr>
      </w:pPr>
    </w:p>
    <w:p w14:paraId="6F167F65" w14:textId="77777777" w:rsidR="0013225A" w:rsidRDefault="0013225A">
      <w:pPr>
        <w:rPr>
          <w:rFonts w:hint="cs"/>
          <w:rtl/>
        </w:rPr>
      </w:pPr>
      <w:r>
        <w:rPr>
          <w:rFonts w:hint="cs"/>
          <w:rtl/>
        </w:rPr>
        <w:t>בעוד שבמשטרה אמר כי לא היו דברים מעולם ולא היתה ביניהם מערכת יחסים ממנה ניתן להשתמע שיש ביניהם דיבורים אינטימיים הרי שבביהמ"ש שינה גירסתו לחלוטין והראיה שכשנשאל במשטרה האם ידוע לו אם יש לה חבר והיא נפרדה מהחבר שלה ענה הנאשם אין לי מושג על מה את מדברת. בחקירתו בימ"ש סיפר כי תיארה בפניו המתלוננת חוויות מיניות במערכת יחסים עם החבר שלה.</w:t>
      </w:r>
    </w:p>
    <w:p w14:paraId="4D22413F" w14:textId="77777777" w:rsidR="0013225A" w:rsidRDefault="0013225A">
      <w:pPr>
        <w:rPr>
          <w:rFonts w:hint="cs"/>
          <w:rtl/>
        </w:rPr>
      </w:pPr>
    </w:p>
    <w:p w14:paraId="362DFBF5" w14:textId="77777777" w:rsidR="0013225A" w:rsidRDefault="0013225A">
      <w:pPr>
        <w:rPr>
          <w:rFonts w:hint="cs"/>
          <w:rtl/>
        </w:rPr>
      </w:pPr>
      <w:r>
        <w:rPr>
          <w:rFonts w:hint="cs"/>
          <w:rtl/>
        </w:rPr>
        <w:t>אם אכן נכונה גירסתו מדוע לא סיפר זאת מיד בחקירתו במשטרה.</w:t>
      </w:r>
    </w:p>
    <w:p w14:paraId="1D27B954" w14:textId="77777777" w:rsidR="0013225A" w:rsidRDefault="0013225A">
      <w:pPr>
        <w:rPr>
          <w:rFonts w:hint="cs"/>
          <w:rtl/>
        </w:rPr>
      </w:pPr>
    </w:p>
    <w:p w14:paraId="17FD7E65" w14:textId="77777777" w:rsidR="0013225A" w:rsidRDefault="0013225A">
      <w:pPr>
        <w:rPr>
          <w:rFonts w:hint="cs"/>
          <w:rtl/>
        </w:rPr>
      </w:pPr>
      <w:r>
        <w:rPr>
          <w:rFonts w:hint="cs"/>
          <w:rtl/>
        </w:rPr>
        <w:t>הנאשם לא עשה עלי רושם מהימן הוא גם סיפר בביהמ"ש שהמתלוננת נתנה לו את הטלפון שלה והדברים לא באו כלל לידי ביטוי בהודעה במשטרה.</w:t>
      </w:r>
    </w:p>
    <w:p w14:paraId="72E6A8FA" w14:textId="77777777" w:rsidR="0013225A" w:rsidRDefault="0013225A">
      <w:pPr>
        <w:rPr>
          <w:rFonts w:hint="cs"/>
          <w:rtl/>
        </w:rPr>
      </w:pPr>
    </w:p>
    <w:p w14:paraId="15ED792E" w14:textId="77777777" w:rsidR="0013225A" w:rsidRDefault="0013225A">
      <w:pPr>
        <w:rPr>
          <w:rFonts w:hint="cs"/>
          <w:rtl/>
        </w:rPr>
      </w:pPr>
      <w:r>
        <w:rPr>
          <w:rFonts w:hint="cs"/>
          <w:rtl/>
        </w:rPr>
        <w:t xml:space="preserve">הנאשם מודה כי החליט שעדיף להיות מוגן ולא לספר במשטרה פרטים רבים שכן ואני מצטטת בעמ' 28 לפרוטוקול, שורה 15: </w:t>
      </w:r>
      <w:r>
        <w:rPr>
          <w:rFonts w:hint="cs"/>
          <w:b/>
          <w:bCs/>
          <w:rtl/>
        </w:rPr>
        <w:t>"אמרתי לעצמי שלא כדאי לי להגיד כלום עד שאני לא אתייעץ עם עו"ד"</w:t>
      </w:r>
      <w:r>
        <w:rPr>
          <w:rFonts w:hint="cs"/>
          <w:rtl/>
        </w:rPr>
        <w:t>. הסבר זה מעורר תמיהה.</w:t>
      </w:r>
    </w:p>
    <w:p w14:paraId="524EA503" w14:textId="77777777" w:rsidR="0013225A" w:rsidRDefault="0013225A">
      <w:pPr>
        <w:rPr>
          <w:rFonts w:hint="cs"/>
          <w:rtl/>
        </w:rPr>
      </w:pPr>
    </w:p>
    <w:p w14:paraId="2E1D52FC" w14:textId="77777777" w:rsidR="0013225A" w:rsidRDefault="0013225A">
      <w:pPr>
        <w:rPr>
          <w:rFonts w:hint="cs"/>
          <w:rtl/>
        </w:rPr>
      </w:pPr>
      <w:r>
        <w:rPr>
          <w:rFonts w:hint="cs"/>
          <w:rtl/>
        </w:rPr>
        <w:t xml:space="preserve">לא מצאתי עקביות בעדותו של הנאשם גם לא מצאתי סיבה מדוע לא אמר במשטרה את כל שהתרחש בינו לבין המתלוננת ונזכר בדברים רק במהלך עדותו בבימ"ש כשחלף זמן רב מאז ביצוע העבירה. הנאשם מודה שחשש לדבר במשטרה ונזהר (ראה עמ' 31 לפרוטוקול, שורות 15-24) עובדה זו לא מוסיפה לאמינותו. </w:t>
      </w:r>
    </w:p>
    <w:p w14:paraId="360560CB" w14:textId="77777777" w:rsidR="0013225A" w:rsidRDefault="0013225A">
      <w:pPr>
        <w:rPr>
          <w:rFonts w:hint="cs"/>
          <w:rtl/>
        </w:rPr>
      </w:pPr>
    </w:p>
    <w:p w14:paraId="075F1E05" w14:textId="77777777" w:rsidR="0013225A" w:rsidRDefault="0013225A">
      <w:pPr>
        <w:rPr>
          <w:rFonts w:hint="cs"/>
          <w:rtl/>
        </w:rPr>
      </w:pPr>
      <w:r>
        <w:rPr>
          <w:rFonts w:hint="cs"/>
          <w:rtl/>
        </w:rPr>
        <w:t>סתירות הנאשם גרמו לי שלא לקבל את עדותו. הנאשם הכחיש כי סימן עם 3 אצבעות למתלוננת ואמר כי סימן לקופאיות. לא ברור לי מדוע הוא צריך לסמן לקופאיות עם האצבעות האם אין לו רמקול במקום עמידתו לפיכך גם לא קיבלתי את הסברו שהובא רק במהלך חקירתו בביהמ"ש. אם הדבר היה כל כך ברור שכך הוא מסמן לקופאיות מדוע גם העד שלום מיראשוילי לא ראה זאת.</w:t>
      </w:r>
    </w:p>
    <w:p w14:paraId="670F6A39" w14:textId="77777777" w:rsidR="0013225A" w:rsidRDefault="0013225A">
      <w:pPr>
        <w:rPr>
          <w:rFonts w:hint="cs"/>
          <w:rtl/>
        </w:rPr>
      </w:pPr>
    </w:p>
    <w:p w14:paraId="556B06B0" w14:textId="77777777" w:rsidR="0013225A" w:rsidRDefault="0013225A">
      <w:pPr>
        <w:rPr>
          <w:rFonts w:hint="cs"/>
          <w:rtl/>
        </w:rPr>
      </w:pPr>
      <w:r>
        <w:rPr>
          <w:rFonts w:hint="cs"/>
          <w:rtl/>
        </w:rPr>
        <w:t>הנאשם גם מכחיש את עדות עד התביעה מיראשוילי שלום שהעיד כי הנאשם הסתכל על המתלוננת וכי נדלק עליה. ולפיכך החלטתי שלא לקבל גירסתו.</w:t>
      </w:r>
    </w:p>
    <w:p w14:paraId="05EC830E" w14:textId="77777777" w:rsidR="0013225A" w:rsidRDefault="0013225A">
      <w:pPr>
        <w:rPr>
          <w:rFonts w:hint="cs"/>
          <w:rtl/>
        </w:rPr>
      </w:pPr>
    </w:p>
    <w:p w14:paraId="5D6C5FE4" w14:textId="77777777" w:rsidR="0013225A" w:rsidRDefault="0013225A">
      <w:pPr>
        <w:rPr>
          <w:rFonts w:hint="cs"/>
          <w:rtl/>
        </w:rPr>
      </w:pPr>
      <w:r>
        <w:rPr>
          <w:rFonts w:hint="cs"/>
          <w:rtl/>
        </w:rPr>
        <w:t xml:space="preserve">החלטתי לזכות הנאשם מעבירה של מעשים מגונים לפי </w:t>
      </w:r>
      <w:hyperlink r:id="rId22" w:history="1">
        <w:r w:rsidR="00E3783F" w:rsidRPr="00E3783F">
          <w:rPr>
            <w:color w:val="0000FF"/>
            <w:u w:val="single"/>
            <w:rtl/>
          </w:rPr>
          <w:t>ס' 348(ג)</w:t>
        </w:r>
      </w:hyperlink>
      <w:r>
        <w:rPr>
          <w:rFonts w:hint="cs"/>
          <w:rtl/>
        </w:rPr>
        <w:t xml:space="preserve"> ל</w:t>
      </w:r>
      <w:hyperlink r:id="rId23" w:history="1">
        <w:r w:rsidR="0093546B" w:rsidRPr="0093546B">
          <w:rPr>
            <w:rStyle w:val="Hyperlink"/>
            <w:rFonts w:hint="eastAsia"/>
            <w:rtl/>
          </w:rPr>
          <w:t>חוק</w:t>
        </w:r>
        <w:r w:rsidR="0093546B" w:rsidRPr="0093546B">
          <w:rPr>
            <w:rStyle w:val="Hyperlink"/>
            <w:rtl/>
          </w:rPr>
          <w:t xml:space="preserve"> העונשין</w:t>
        </w:r>
      </w:hyperlink>
      <w:r>
        <w:rPr>
          <w:rFonts w:hint="cs"/>
          <w:rtl/>
        </w:rPr>
        <w:t xml:space="preserve">, תשל"ז – 1977 וזאת מחמת הספק שנתעורר בי לאחר שמיעת הראיות בתיק. </w:t>
      </w:r>
    </w:p>
    <w:p w14:paraId="21A78353" w14:textId="77777777" w:rsidR="0013225A" w:rsidRDefault="0013225A">
      <w:pPr>
        <w:rPr>
          <w:rFonts w:hint="cs"/>
          <w:rtl/>
        </w:rPr>
      </w:pPr>
    </w:p>
    <w:p w14:paraId="3265C44C" w14:textId="77777777" w:rsidR="0013225A" w:rsidRDefault="0013225A">
      <w:pPr>
        <w:rPr>
          <w:rFonts w:hint="cs"/>
          <w:rtl/>
        </w:rPr>
      </w:pPr>
      <w:r>
        <w:rPr>
          <w:rFonts w:hint="cs"/>
          <w:rtl/>
        </w:rPr>
        <w:t xml:space="preserve">בס' 3 לכתב האישום מואשם הנאשם כי חיבק את המתלוננת בניגוד להסכמתה. </w:t>
      </w:r>
    </w:p>
    <w:p w14:paraId="0528537B" w14:textId="77777777" w:rsidR="0013225A" w:rsidRDefault="0013225A">
      <w:pPr>
        <w:rPr>
          <w:rFonts w:hint="cs"/>
          <w:rtl/>
        </w:rPr>
      </w:pPr>
    </w:p>
    <w:p w14:paraId="77174E2D" w14:textId="77777777" w:rsidR="0013225A" w:rsidRDefault="0013225A">
      <w:pPr>
        <w:rPr>
          <w:rFonts w:hint="cs"/>
          <w:rtl/>
        </w:rPr>
      </w:pPr>
      <w:r>
        <w:rPr>
          <w:rFonts w:hint="cs"/>
          <w:rtl/>
        </w:rPr>
        <w:t>המתלוננת לא העידה על כך גם לא עד תביעה מס' 1.</w:t>
      </w:r>
    </w:p>
    <w:p w14:paraId="541F12E7" w14:textId="77777777" w:rsidR="0013225A" w:rsidRDefault="0013225A">
      <w:pPr>
        <w:rPr>
          <w:rFonts w:hint="cs"/>
          <w:rtl/>
        </w:rPr>
      </w:pPr>
    </w:p>
    <w:p w14:paraId="4724F9D1" w14:textId="77777777" w:rsidR="0013225A" w:rsidRDefault="0013225A">
      <w:pPr>
        <w:rPr>
          <w:rFonts w:hint="cs"/>
          <w:rtl/>
        </w:rPr>
      </w:pPr>
      <w:r>
        <w:rPr>
          <w:rFonts w:hint="cs"/>
          <w:rtl/>
        </w:rPr>
        <w:t>בס' 6 לכתב האישום הואשם הנאשם כי בחדר המצלמות של הסניף התחכך במתלוננת ללא הסכמתה משחש הנאשם שהמתלוננת נבהלה חדל.</w:t>
      </w:r>
    </w:p>
    <w:p w14:paraId="70908EDB" w14:textId="77777777" w:rsidR="0013225A" w:rsidRDefault="0013225A">
      <w:pPr>
        <w:rPr>
          <w:rFonts w:hint="cs"/>
          <w:rtl/>
        </w:rPr>
      </w:pPr>
    </w:p>
    <w:p w14:paraId="74C54FC8" w14:textId="77777777" w:rsidR="0013225A" w:rsidRDefault="0013225A">
      <w:pPr>
        <w:rPr>
          <w:rFonts w:hint="cs"/>
          <w:rtl/>
        </w:rPr>
      </w:pPr>
      <w:r>
        <w:rPr>
          <w:rFonts w:hint="cs"/>
          <w:rtl/>
        </w:rPr>
        <w:t xml:space="preserve">המתלוננת העידה כי היתה סיטואציה בחדר המצלמות בסניף כשהנאשם נכנס לחדר  כדי לראות איך המצלמות פועלות ובאותו מעמד התחכך עם המתלוננת ואני מצטטת מדבריה בעמ' 14 , שורה 9: </w:t>
      </w:r>
      <w:r>
        <w:rPr>
          <w:rFonts w:hint="cs"/>
          <w:b/>
          <w:bCs/>
          <w:rtl/>
        </w:rPr>
        <w:t>"עשה לי עם הכתף לראות את התגובה שלי ( מדגימה תנועת חיכוך)"</w:t>
      </w:r>
      <w:r>
        <w:rPr>
          <w:rFonts w:hint="cs"/>
          <w:rtl/>
        </w:rPr>
        <w:t xml:space="preserve">. </w:t>
      </w:r>
    </w:p>
    <w:p w14:paraId="50929EF8" w14:textId="77777777" w:rsidR="0013225A" w:rsidRDefault="0013225A">
      <w:pPr>
        <w:rPr>
          <w:rFonts w:hint="cs"/>
          <w:rtl/>
        </w:rPr>
      </w:pPr>
    </w:p>
    <w:p w14:paraId="23E97EEA" w14:textId="77777777" w:rsidR="0013225A" w:rsidRDefault="0013225A">
      <w:pPr>
        <w:rPr>
          <w:rFonts w:hint="cs"/>
          <w:b/>
          <w:bCs/>
          <w:rtl/>
        </w:rPr>
      </w:pPr>
      <w:r>
        <w:rPr>
          <w:rFonts w:hint="cs"/>
          <w:rtl/>
        </w:rPr>
        <w:t xml:space="preserve">הנאשם אישר במהלך חקירתו הנגדית כי היה ביחד עם המתלוננת בחדר המצלמות והתחכך בה ואני מצטטת מדבריו בעמ' 30 לפרוטוקול, שורות 17-16: </w:t>
      </w:r>
      <w:r>
        <w:rPr>
          <w:rFonts w:hint="cs"/>
          <w:b/>
          <w:bCs/>
          <w:rtl/>
        </w:rPr>
        <w:t xml:space="preserve">"אולי נגעתי בה בכתף בחדר המצלמות, מה זה נקרא להתחכך יכול ביד בגוף בישבן, זה היה בכתף גב אל גב" </w:t>
      </w:r>
      <w:r>
        <w:rPr>
          <w:rFonts w:hint="cs"/>
          <w:rtl/>
        </w:rPr>
        <w:t xml:space="preserve">וכן אמר הנאשם בעמ' 31, שורות 23-22: </w:t>
      </w:r>
      <w:r>
        <w:rPr>
          <w:rFonts w:hint="cs"/>
          <w:b/>
          <w:bCs/>
          <w:rtl/>
        </w:rPr>
        <w:t>"התחככתי בה מתוך טעות, זה חדר קטן וכדי להזיז דבר אתה חייב להתחכך"</w:t>
      </w:r>
      <w:r>
        <w:rPr>
          <w:rFonts w:hint="cs"/>
          <w:rtl/>
        </w:rPr>
        <w:t>.</w:t>
      </w:r>
      <w:r>
        <w:rPr>
          <w:rFonts w:hint="cs"/>
          <w:b/>
          <w:bCs/>
          <w:rtl/>
        </w:rPr>
        <w:t xml:space="preserve"> </w:t>
      </w:r>
    </w:p>
    <w:p w14:paraId="4FB6A349" w14:textId="77777777" w:rsidR="0013225A" w:rsidRDefault="0013225A">
      <w:pPr>
        <w:rPr>
          <w:rFonts w:hint="cs"/>
          <w:b/>
          <w:bCs/>
          <w:rtl/>
        </w:rPr>
      </w:pPr>
    </w:p>
    <w:p w14:paraId="2CA2FDEA" w14:textId="77777777" w:rsidR="0013225A" w:rsidRDefault="0013225A">
      <w:pPr>
        <w:rPr>
          <w:rFonts w:hint="cs"/>
          <w:rtl/>
        </w:rPr>
      </w:pPr>
      <w:r>
        <w:rPr>
          <w:rFonts w:hint="cs"/>
          <w:rtl/>
        </w:rPr>
        <w:t>אני נותנת לנאשם להינות מהספק שיתכן והיה זה מתוך טעות.</w:t>
      </w:r>
    </w:p>
    <w:p w14:paraId="03F3BE0C" w14:textId="77777777" w:rsidR="0013225A" w:rsidRDefault="0013225A">
      <w:pPr>
        <w:rPr>
          <w:rFonts w:hint="cs"/>
          <w:rtl/>
        </w:rPr>
      </w:pPr>
    </w:p>
    <w:p w14:paraId="38CE8323" w14:textId="77777777" w:rsidR="0013225A" w:rsidRDefault="0013225A">
      <w:pPr>
        <w:rPr>
          <w:rFonts w:hint="cs"/>
          <w:rtl/>
        </w:rPr>
      </w:pPr>
      <w:r>
        <w:rPr>
          <w:rFonts w:hint="cs"/>
          <w:rtl/>
        </w:rPr>
        <w:t xml:space="preserve">אין מחלוקת כי חדר המצלמות בסניף זהו חדר קטן וצר עובדה המלמדת על כך שבמהלך הימצאותם של שני אנשים בחדר כגון זה בתנאי צפיפות יתכן כי ייגרם החיכוך ביניהם על אף שלאור הרמזים היה בחיכוך המשך הרמזים החלטתי מחמת הספק ומאחר ומדובר בנגיעה גב אל גב לזכות הנאשם.  </w:t>
      </w:r>
    </w:p>
    <w:p w14:paraId="6589B911" w14:textId="77777777" w:rsidR="0013225A" w:rsidRDefault="0013225A">
      <w:pPr>
        <w:rPr>
          <w:rFonts w:hint="cs"/>
          <w:rtl/>
        </w:rPr>
      </w:pPr>
    </w:p>
    <w:p w14:paraId="6F8DBBD5" w14:textId="77777777" w:rsidR="0013225A" w:rsidRDefault="0013225A">
      <w:pPr>
        <w:rPr>
          <w:rFonts w:hint="cs"/>
          <w:rtl/>
        </w:rPr>
      </w:pPr>
      <w:r>
        <w:rPr>
          <w:rFonts w:hint="cs"/>
          <w:rtl/>
        </w:rPr>
        <w:t>הנני מקבלת את טענת הסניגור המלומד כי ייתכן שהחיכוך בכתף של המתלוננת בחדר המצלמות היה שלא בכוונה ונבע מהעובדה שהמקום היה צר וקטן ולפיכך נגרם החיכוך.</w:t>
      </w:r>
    </w:p>
    <w:p w14:paraId="2B6BC17B" w14:textId="77777777" w:rsidR="0013225A" w:rsidRDefault="0013225A">
      <w:pPr>
        <w:rPr>
          <w:rFonts w:hint="cs"/>
          <w:rtl/>
        </w:rPr>
      </w:pPr>
    </w:p>
    <w:p w14:paraId="5FEA6320" w14:textId="77777777" w:rsidR="0013225A" w:rsidRDefault="0013225A">
      <w:pPr>
        <w:rPr>
          <w:rFonts w:hint="cs"/>
          <w:color w:val="FFFFFF"/>
          <w:sz w:val="2"/>
          <w:szCs w:val="2"/>
          <w:rtl/>
        </w:rPr>
      </w:pPr>
    </w:p>
    <w:p w14:paraId="3DE99B7E" w14:textId="77777777" w:rsidR="0013225A" w:rsidRDefault="0013225A">
      <w:pPr>
        <w:rPr>
          <w:color w:val="FFFFFF"/>
          <w:sz w:val="2"/>
          <w:szCs w:val="2"/>
          <w:rtl/>
        </w:rPr>
      </w:pPr>
      <w:r>
        <w:rPr>
          <w:color w:val="FFFFFF"/>
          <w:sz w:val="2"/>
          <w:szCs w:val="2"/>
          <w:rtl/>
        </w:rPr>
        <w:t>5129371</w:t>
      </w:r>
    </w:p>
    <w:p w14:paraId="45FEF495" w14:textId="77777777" w:rsidR="0013225A" w:rsidRDefault="0013225A">
      <w:pPr>
        <w:rPr>
          <w:rFonts w:hint="cs"/>
          <w:rtl/>
        </w:rPr>
      </w:pPr>
      <w:r>
        <w:rPr>
          <w:color w:val="FFFFFF"/>
          <w:sz w:val="2"/>
          <w:szCs w:val="2"/>
          <w:rtl/>
        </w:rPr>
        <w:t>54678313</w:t>
      </w:r>
      <w:r>
        <w:rPr>
          <w:rFonts w:hint="cs"/>
          <w:rtl/>
        </w:rPr>
        <w:t>מדובר בנגיעה בחלק הגוף אשר לא ניתן להסיק ממנו חד-משמעית כי מסתתרת מאחוריו כוונה מינית כלשהי או כוונה לבצע מעשה מגונה במתלוננת.</w:t>
      </w:r>
    </w:p>
    <w:p w14:paraId="60F9E0BA" w14:textId="77777777" w:rsidR="0013225A" w:rsidRDefault="0013225A">
      <w:pPr>
        <w:rPr>
          <w:rFonts w:hint="cs"/>
          <w:rtl/>
        </w:rPr>
      </w:pPr>
    </w:p>
    <w:p w14:paraId="6D2F2F49" w14:textId="77777777" w:rsidR="0013225A" w:rsidRDefault="0013225A">
      <w:pPr>
        <w:rPr>
          <w:rFonts w:hint="cs"/>
          <w:rtl/>
        </w:rPr>
      </w:pPr>
      <w:r>
        <w:rPr>
          <w:rFonts w:hint="cs"/>
          <w:rtl/>
        </w:rPr>
        <w:t xml:space="preserve">נתעורר בי ספק לאחר ששמעתי ראיות בתיק באם הנגיעה במתלוננת היתה בעלת אופי מגונה מאחר ואינני יכולה לשלול חד-משמעית אפשרות לכך שמדובר בנגיעה אקראית אשר נגרמה בשל תנאי הצפיפות בחדר בו נמצאו הנאשם והמתלוננת והנני סבורה כי מאחר ובמשפט פלילי עסקינן </w:t>
      </w:r>
      <w:r>
        <w:rPr>
          <w:rFonts w:hint="cs"/>
          <w:b/>
          <w:bCs/>
          <w:rtl/>
        </w:rPr>
        <w:t xml:space="preserve">כל ספק פועל לטובת הנאשם </w:t>
      </w:r>
      <w:r>
        <w:rPr>
          <w:rFonts w:hint="cs"/>
          <w:rtl/>
        </w:rPr>
        <w:t xml:space="preserve">והנני מזכה הנאשם מן העבירה של מעשים מגונים לפי </w:t>
      </w:r>
      <w:hyperlink r:id="rId24" w:history="1">
        <w:r w:rsidR="00E3783F" w:rsidRPr="00E3783F">
          <w:rPr>
            <w:color w:val="0000FF"/>
            <w:u w:val="single"/>
            <w:rtl/>
          </w:rPr>
          <w:t>ס' 348(ג)</w:t>
        </w:r>
      </w:hyperlink>
      <w:r>
        <w:rPr>
          <w:rFonts w:hint="cs"/>
          <w:rtl/>
        </w:rPr>
        <w:t xml:space="preserve"> ל</w:t>
      </w:r>
      <w:hyperlink r:id="rId25" w:history="1">
        <w:r w:rsidR="0093546B" w:rsidRPr="0093546B">
          <w:rPr>
            <w:rStyle w:val="Hyperlink"/>
            <w:rFonts w:hint="eastAsia"/>
            <w:rtl/>
          </w:rPr>
          <w:t>חוק</w:t>
        </w:r>
        <w:r w:rsidR="0093546B" w:rsidRPr="0093546B">
          <w:rPr>
            <w:rStyle w:val="Hyperlink"/>
            <w:rtl/>
          </w:rPr>
          <w:t xml:space="preserve"> העונשין</w:t>
        </w:r>
      </w:hyperlink>
      <w:r>
        <w:rPr>
          <w:rFonts w:hint="cs"/>
          <w:rtl/>
        </w:rPr>
        <w:t xml:space="preserve">, תשל"ז-1977 ומרשיעה את הנאשם בעבירה של הצעות והתייחסויות בעלות אופי מיני תוך ניצול מרות ביחסי עבודה עבירות לפי </w:t>
      </w:r>
      <w:hyperlink r:id="rId26" w:history="1">
        <w:r w:rsidR="00E3783F" w:rsidRPr="00E3783F">
          <w:rPr>
            <w:color w:val="0000FF"/>
            <w:u w:val="single"/>
            <w:rtl/>
          </w:rPr>
          <w:t>ס' 3(א)(3)</w:t>
        </w:r>
      </w:hyperlink>
      <w:r>
        <w:rPr>
          <w:rFonts w:hint="cs"/>
          <w:rtl/>
        </w:rPr>
        <w:t xml:space="preserve"> ו-</w:t>
      </w:r>
      <w:hyperlink r:id="rId27" w:history="1">
        <w:r w:rsidR="00E3783F" w:rsidRPr="00E3783F">
          <w:rPr>
            <w:color w:val="0000FF"/>
            <w:u w:val="single"/>
            <w:rtl/>
          </w:rPr>
          <w:t>(4)</w:t>
        </w:r>
      </w:hyperlink>
      <w:r>
        <w:rPr>
          <w:rFonts w:hint="cs"/>
          <w:rtl/>
        </w:rPr>
        <w:t xml:space="preserve"> + </w:t>
      </w:r>
      <w:hyperlink r:id="rId28" w:history="1">
        <w:r w:rsidR="00E3783F" w:rsidRPr="00E3783F">
          <w:rPr>
            <w:color w:val="0000FF"/>
            <w:u w:val="single"/>
            <w:rtl/>
          </w:rPr>
          <w:t>6(ג)</w:t>
        </w:r>
      </w:hyperlink>
      <w:r>
        <w:rPr>
          <w:rFonts w:hint="cs"/>
          <w:rtl/>
        </w:rPr>
        <w:t xml:space="preserve"> ל</w:t>
      </w:r>
      <w:hyperlink r:id="rId29" w:history="1">
        <w:r w:rsidR="0093546B" w:rsidRPr="0093546B">
          <w:rPr>
            <w:rStyle w:val="Hyperlink"/>
            <w:rFonts w:hint="eastAsia"/>
            <w:rtl/>
          </w:rPr>
          <w:t>חוק</w:t>
        </w:r>
        <w:r w:rsidR="0093546B" w:rsidRPr="0093546B">
          <w:rPr>
            <w:rStyle w:val="Hyperlink"/>
            <w:rtl/>
          </w:rPr>
          <w:t xml:space="preserve"> למניעת הטרדה מינית</w:t>
        </w:r>
      </w:hyperlink>
      <w:r>
        <w:rPr>
          <w:rFonts w:hint="cs"/>
          <w:rtl/>
        </w:rPr>
        <w:t xml:space="preserve">, תשנ"ח-1998.  </w:t>
      </w:r>
    </w:p>
    <w:p w14:paraId="4635FD0E" w14:textId="77777777" w:rsidR="0013225A" w:rsidRDefault="0013225A">
      <w:pPr>
        <w:suppressLineNumbers/>
        <w:rPr>
          <w:rFonts w:hint="cs"/>
          <w:color w:val="FFFFFF"/>
          <w:sz w:val="2"/>
          <w:szCs w:val="2"/>
          <w:rtl/>
        </w:rPr>
      </w:pPr>
      <w:bookmarkStart w:id="13" w:name="Decision1"/>
    </w:p>
    <w:p w14:paraId="2039CD8A" w14:textId="77777777" w:rsidR="0013225A" w:rsidRDefault="0013225A">
      <w:pPr>
        <w:suppressLineNumbers/>
        <w:rPr>
          <w:color w:val="FFFFFF"/>
          <w:sz w:val="2"/>
          <w:szCs w:val="2"/>
          <w:rtl/>
        </w:rPr>
      </w:pPr>
      <w:r>
        <w:rPr>
          <w:color w:val="FFFFFF"/>
          <w:sz w:val="2"/>
          <w:szCs w:val="2"/>
          <w:rtl/>
        </w:rPr>
        <w:t>5129371</w:t>
      </w:r>
    </w:p>
    <w:p w14:paraId="648EFD99" w14:textId="77777777" w:rsidR="0013225A" w:rsidRDefault="0013225A">
      <w:pPr>
        <w:suppressLineNumbers/>
        <w:rPr>
          <w:rFonts w:hint="cs"/>
          <w:sz w:val="28"/>
          <w:rtl/>
        </w:rPr>
      </w:pPr>
      <w:r>
        <w:rPr>
          <w:color w:val="FFFFFF"/>
          <w:sz w:val="2"/>
          <w:szCs w:val="2"/>
          <w:rtl/>
        </w:rPr>
        <w:t>54678313</w:t>
      </w:r>
    </w:p>
    <w:p w14:paraId="5CA3C7F2" w14:textId="77777777" w:rsidR="0013225A" w:rsidRDefault="0013225A">
      <w:pPr>
        <w:suppressLineNumbers/>
        <w:rPr>
          <w:rFonts w:hint="cs"/>
          <w:b/>
          <w:bCs/>
          <w:sz w:val="28"/>
          <w:rtl/>
        </w:rPr>
      </w:pPr>
      <w:r>
        <w:rPr>
          <w:rFonts w:hint="cs"/>
          <w:b/>
          <w:bCs/>
          <w:sz w:val="28"/>
          <w:rtl/>
        </w:rPr>
        <w:t xml:space="preserve">ניתנה היום ב - 13 </w:t>
      </w:r>
      <w:r>
        <w:rPr>
          <w:b/>
          <w:bCs/>
          <w:sz w:val="28"/>
          <w:rtl/>
        </w:rPr>
        <w:t xml:space="preserve"> לינואר </w:t>
      </w:r>
      <w:r>
        <w:rPr>
          <w:rFonts w:hint="cs"/>
          <w:b/>
          <w:bCs/>
          <w:sz w:val="28"/>
          <w:rtl/>
        </w:rPr>
        <w:t>2002, במעמד הצדדים.</w:t>
      </w:r>
    </w:p>
    <w:p w14:paraId="123A884D" w14:textId="77777777" w:rsidR="0013225A" w:rsidRDefault="0013225A">
      <w:pPr>
        <w:keepNext/>
        <w:jc w:val="left"/>
        <w:rPr>
          <w:rFonts w:hAnsi="David" w:hint="cs"/>
          <w:color w:val="000000"/>
          <w:sz w:val="22"/>
          <w:szCs w:val="22"/>
          <w:rtl/>
        </w:rPr>
      </w:pPr>
    </w:p>
    <w:p w14:paraId="6A8BAF56" w14:textId="77777777" w:rsidR="0013225A" w:rsidRDefault="0013225A">
      <w:pPr>
        <w:keepNext/>
        <w:jc w:val="left"/>
        <w:rPr>
          <w:rFonts w:hAnsi="David" w:hint="cs"/>
          <w:color w:val="000000"/>
          <w:sz w:val="22"/>
          <w:szCs w:val="22"/>
          <w:rtl/>
        </w:rPr>
      </w:pPr>
    </w:p>
    <w:p w14:paraId="0BD26D62" w14:textId="77777777" w:rsidR="0013225A" w:rsidRDefault="0013225A">
      <w:pPr>
        <w:keepNext/>
        <w:jc w:val="left"/>
        <w:rPr>
          <w:rFonts w:hAnsi="David"/>
          <w:color w:val="000000"/>
          <w:sz w:val="22"/>
          <w:szCs w:val="22"/>
          <w:rtl/>
        </w:rPr>
      </w:pPr>
      <w:r>
        <w:rPr>
          <w:rFonts w:hAnsi="David"/>
          <w:color w:val="000000"/>
          <w:sz w:val="22"/>
          <w:szCs w:val="22"/>
          <w:rtl/>
        </w:rPr>
        <w:t>טאובר רחל 54678313-2784/00</w:t>
      </w:r>
    </w:p>
    <w:p w14:paraId="22BAF4BD" w14:textId="77777777" w:rsidR="0013225A" w:rsidRDefault="0013225A">
      <w:pPr>
        <w:suppressLineNumbers/>
        <w:rPr>
          <w:rFonts w:hint="cs"/>
          <w:sz w:val="28"/>
          <w:rtl/>
        </w:rPr>
      </w:pPr>
    </w:p>
    <w:tbl>
      <w:tblPr>
        <w:tblW w:w="0" w:type="auto"/>
        <w:tblInd w:w="6011"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18"/>
      </w:tblGrid>
      <w:tr w:rsidR="0013225A" w14:paraId="66B6B34A" w14:textId="77777777">
        <w:tc>
          <w:tcPr>
            <w:tcW w:w="2518" w:type="dxa"/>
            <w:tcBorders>
              <w:top w:val="single" w:sz="4" w:space="0" w:color="auto"/>
              <w:left w:val="nil"/>
              <w:bottom w:val="nil"/>
              <w:right w:val="nil"/>
            </w:tcBorders>
          </w:tcPr>
          <w:p w14:paraId="794BA99C" w14:textId="77777777" w:rsidR="0013225A" w:rsidRDefault="0013225A">
            <w:pPr>
              <w:jc w:val="center"/>
              <w:rPr>
                <w:sz w:val="28"/>
              </w:rPr>
            </w:pPr>
            <w:r>
              <w:rPr>
                <w:rFonts w:hint="cs"/>
                <w:sz w:val="28"/>
                <w:rtl/>
              </w:rPr>
              <w:t>רחל טאובר , שופטת</w:t>
            </w:r>
          </w:p>
        </w:tc>
      </w:tr>
    </w:tbl>
    <w:bookmarkEnd w:id="13"/>
    <w:p w14:paraId="0A091433" w14:textId="77777777" w:rsidR="0013225A" w:rsidRDefault="0013225A">
      <w:pPr>
        <w:pStyle w:val="1"/>
        <w:rPr>
          <w:color w:val="000000"/>
          <w:rtl/>
        </w:rPr>
      </w:pPr>
      <w:r>
        <w:rPr>
          <w:color w:val="000000"/>
          <w:rtl/>
        </w:rPr>
        <w:t>נוסח מסמך זה כפוף לשינויי ניסוח ועריכה</w:t>
      </w:r>
    </w:p>
    <w:sectPr w:rsidR="0013225A">
      <w:headerReference w:type="even" r:id="rId30"/>
      <w:headerReference w:type="default" r:id="rId31"/>
      <w:footerReference w:type="even" r:id="rId32"/>
      <w:footerReference w:type="default" r:id="rId33"/>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77BA" w14:textId="77777777" w:rsidR="00196B05" w:rsidRDefault="00196B05">
      <w:pPr>
        <w:spacing w:line="240" w:lineRule="auto"/>
      </w:pPr>
      <w:r>
        <w:separator/>
      </w:r>
    </w:p>
  </w:endnote>
  <w:endnote w:type="continuationSeparator" w:id="0">
    <w:p w14:paraId="59E9051A" w14:textId="77777777" w:rsidR="00196B05" w:rsidRDefault="00196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9E9D" w14:textId="77777777" w:rsidR="00E01695" w:rsidRDefault="00E0169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1A71DC88" w14:textId="77777777" w:rsidR="00E01695" w:rsidRDefault="00E0169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260BAD" w14:textId="77777777" w:rsidR="00E01695" w:rsidRDefault="00E0169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E:\nevo\01=2002-Jan-Final-orly\s00002784-201.doc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A893" w14:textId="77777777" w:rsidR="00E01695" w:rsidRDefault="00E0169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9F7B54">
      <w:rPr>
        <w:rFonts w:hAnsi="FrankRuehl" w:cs="FrankRuehl"/>
        <w:noProof/>
        <w:sz w:val="24"/>
        <w:rtl/>
      </w:rPr>
      <w:t>1</w:t>
    </w:r>
    <w:r>
      <w:rPr>
        <w:rFonts w:hAnsi="FrankRuehl" w:cs="FrankRuehl"/>
        <w:sz w:val="24"/>
        <w:rtl/>
      </w:rPr>
      <w:fldChar w:fldCharType="end"/>
    </w:r>
  </w:p>
  <w:p w14:paraId="45CEED36" w14:textId="77777777" w:rsidR="00E01695" w:rsidRDefault="00E0169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6F1A58" w14:textId="77777777" w:rsidR="00E01695" w:rsidRDefault="00E0169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E:\nevo\01=2002-Jan-Final-orly\s00002784-201.doc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894BD" w14:textId="77777777" w:rsidR="00196B05" w:rsidRDefault="00196B05">
      <w:pPr>
        <w:spacing w:line="240" w:lineRule="auto"/>
      </w:pPr>
      <w:r>
        <w:separator/>
      </w:r>
    </w:p>
  </w:footnote>
  <w:footnote w:type="continuationSeparator" w:id="0">
    <w:p w14:paraId="48A4A744" w14:textId="77777777" w:rsidR="00196B05" w:rsidRDefault="00196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4712" w14:textId="77777777" w:rsidR="00E01695" w:rsidRDefault="00E0169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2784/00</w:t>
    </w:r>
    <w:r>
      <w:rPr>
        <w:rFonts w:hAnsi="David"/>
        <w:color w:val="000000"/>
        <w:sz w:val="22"/>
        <w:szCs w:val="22"/>
        <w:rtl/>
      </w:rPr>
      <w:tab/>
      <w:t xml:space="preserve"> מדינת ישראל נ' יהושע אפריים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0676" w14:textId="77777777" w:rsidR="00E01695" w:rsidRDefault="00E0169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(רמ') 2784/00</w:t>
    </w:r>
    <w:r>
      <w:rPr>
        <w:rFonts w:hAnsi="David"/>
        <w:color w:val="000000"/>
        <w:sz w:val="22"/>
        <w:szCs w:val="22"/>
        <w:rtl/>
      </w:rPr>
      <w:tab/>
      <w:t xml:space="preserve"> מדינת ישראל נ' יהושע אפריים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E5C5A"/>
    <w:rsid w:val="0013225A"/>
    <w:rsid w:val="00196B05"/>
    <w:rsid w:val="004E5C5A"/>
    <w:rsid w:val="005719CE"/>
    <w:rsid w:val="006573FF"/>
    <w:rsid w:val="0093546B"/>
    <w:rsid w:val="009F7B54"/>
    <w:rsid w:val="00E01695"/>
    <w:rsid w:val="00E378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862551"/>
  <w15:chartTrackingRefBased/>
  <w15:docId w15:val="{E4D39937-296F-4650-9F7B-FD055760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4"/>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BodyText">
    <w:name w:val="Body Text"/>
    <w:basedOn w:val="Normal"/>
    <w:semiHidden/>
    <w:rPr>
      <w:b/>
      <w:bCs/>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935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2507/3.a.3" TargetMode="External"/><Relationship Id="rId26" Type="http://schemas.openxmlformats.org/officeDocument/2006/relationships/hyperlink" Target="http://www.nevo.co.il/law/72507/3.a.3" TargetMode="External"/><Relationship Id="rId3" Type="http://schemas.openxmlformats.org/officeDocument/2006/relationships/webSettings" Target="webSettings.xml"/><Relationship Id="rId21" Type="http://schemas.openxmlformats.org/officeDocument/2006/relationships/hyperlink" Target="http://www.nevo.co.il/law/72507" TargetMode="External"/><Relationship Id="rId34" Type="http://schemas.openxmlformats.org/officeDocument/2006/relationships/fontTable" Target="fontTable.xml"/><Relationship Id="rId7" Type="http://schemas.openxmlformats.org/officeDocument/2006/relationships/hyperlink" Target="http://www.nevo.co.il/law/70301/348.c"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72507"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2507/3.a.6.c" TargetMode="External"/><Relationship Id="rId20" Type="http://schemas.openxmlformats.org/officeDocument/2006/relationships/hyperlink" Target="http://www.nevo.co.il/law/72507/3.a.6.c" TargetMode="External"/><Relationship Id="rId29" Type="http://schemas.openxmlformats.org/officeDocument/2006/relationships/hyperlink" Target="http://www.nevo.co.il/law/7250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3.a.6.c" TargetMode="External"/><Relationship Id="rId24" Type="http://schemas.openxmlformats.org/officeDocument/2006/relationships/hyperlink" Target="http://www.nevo.co.il/law/70301/348.c"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2507/3.a.4"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2507/3.a.6.c" TargetMode="External"/><Relationship Id="rId10" Type="http://schemas.openxmlformats.org/officeDocument/2006/relationships/hyperlink" Target="http://www.nevo.co.il/law/72507/3.a.4" TargetMode="External"/><Relationship Id="rId19" Type="http://schemas.openxmlformats.org/officeDocument/2006/relationships/hyperlink" Target="http://www.nevo.co.il/law/72507/3.a.4"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2507/3.a.3" TargetMode="External"/><Relationship Id="rId14" Type="http://schemas.openxmlformats.org/officeDocument/2006/relationships/hyperlink" Target="http://www.nevo.co.il/law/72507/3.a.3"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2507/3.a.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2167</Words>
  <Characters>12356</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14495</CharactersWithSpaces>
  <SharedDoc>false</SharedDoc>
  <HLinks>
    <vt:vector size="144" baseType="variant">
      <vt:variant>
        <vt:i4>7864418</vt:i4>
      </vt:variant>
      <vt:variant>
        <vt:i4>69</vt:i4>
      </vt:variant>
      <vt:variant>
        <vt:i4>0</vt:i4>
      </vt:variant>
      <vt:variant>
        <vt:i4>5</vt:i4>
      </vt:variant>
      <vt:variant>
        <vt:lpwstr>http://www.nevo.co.il/law/72507</vt:lpwstr>
      </vt:variant>
      <vt:variant>
        <vt:lpwstr/>
      </vt:variant>
      <vt:variant>
        <vt:i4>7929905</vt:i4>
      </vt:variant>
      <vt:variant>
        <vt:i4>66</vt:i4>
      </vt:variant>
      <vt:variant>
        <vt:i4>0</vt:i4>
      </vt:variant>
      <vt:variant>
        <vt:i4>5</vt:i4>
      </vt:variant>
      <vt:variant>
        <vt:lpwstr>http://www.nevo.co.il/law/72507/3.a.6.c</vt:lpwstr>
      </vt:variant>
      <vt:variant>
        <vt:lpwstr/>
      </vt:variant>
      <vt:variant>
        <vt:i4>5701639</vt:i4>
      </vt:variant>
      <vt:variant>
        <vt:i4>63</vt:i4>
      </vt:variant>
      <vt:variant>
        <vt:i4>0</vt:i4>
      </vt:variant>
      <vt:variant>
        <vt:i4>5</vt:i4>
      </vt:variant>
      <vt:variant>
        <vt:lpwstr>http://www.nevo.co.il/law/72507/3.a.4</vt:lpwstr>
      </vt:variant>
      <vt:variant>
        <vt:lpwstr/>
      </vt:variant>
      <vt:variant>
        <vt:i4>5701639</vt:i4>
      </vt:variant>
      <vt:variant>
        <vt:i4>60</vt:i4>
      </vt:variant>
      <vt:variant>
        <vt:i4>0</vt:i4>
      </vt:variant>
      <vt:variant>
        <vt:i4>5</vt:i4>
      </vt:variant>
      <vt:variant>
        <vt:lpwstr>http://www.nevo.co.il/law/72507/3.a.3</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7864418</vt:i4>
      </vt:variant>
      <vt:variant>
        <vt:i4>45</vt:i4>
      </vt:variant>
      <vt:variant>
        <vt:i4>0</vt:i4>
      </vt:variant>
      <vt:variant>
        <vt:i4>5</vt:i4>
      </vt:variant>
      <vt:variant>
        <vt:lpwstr>http://www.nevo.co.il/law/72507</vt:lpwstr>
      </vt:variant>
      <vt:variant>
        <vt:lpwstr/>
      </vt:variant>
      <vt:variant>
        <vt:i4>7929905</vt:i4>
      </vt:variant>
      <vt:variant>
        <vt:i4>42</vt:i4>
      </vt:variant>
      <vt:variant>
        <vt:i4>0</vt:i4>
      </vt:variant>
      <vt:variant>
        <vt:i4>5</vt:i4>
      </vt:variant>
      <vt:variant>
        <vt:lpwstr>http://www.nevo.co.il/law/72507/3.a.6.c</vt:lpwstr>
      </vt:variant>
      <vt:variant>
        <vt:lpwstr/>
      </vt:variant>
      <vt:variant>
        <vt:i4>5701639</vt:i4>
      </vt:variant>
      <vt:variant>
        <vt:i4>39</vt:i4>
      </vt:variant>
      <vt:variant>
        <vt:i4>0</vt:i4>
      </vt:variant>
      <vt:variant>
        <vt:i4>5</vt:i4>
      </vt:variant>
      <vt:variant>
        <vt:lpwstr>http://www.nevo.co.il/law/72507/3.a.4</vt:lpwstr>
      </vt:variant>
      <vt:variant>
        <vt:lpwstr/>
      </vt:variant>
      <vt:variant>
        <vt:i4>5701639</vt:i4>
      </vt:variant>
      <vt:variant>
        <vt:i4>36</vt:i4>
      </vt:variant>
      <vt:variant>
        <vt:i4>0</vt:i4>
      </vt:variant>
      <vt:variant>
        <vt:i4>5</vt:i4>
      </vt:variant>
      <vt:variant>
        <vt:lpwstr>http://www.nevo.co.il/law/72507/3.a.3</vt:lpwstr>
      </vt:variant>
      <vt:variant>
        <vt:lpwstr/>
      </vt:variant>
      <vt:variant>
        <vt:i4>7864418</vt:i4>
      </vt:variant>
      <vt:variant>
        <vt:i4>33</vt:i4>
      </vt:variant>
      <vt:variant>
        <vt:i4>0</vt:i4>
      </vt:variant>
      <vt:variant>
        <vt:i4>5</vt:i4>
      </vt:variant>
      <vt:variant>
        <vt:lpwstr>http://www.nevo.co.il/law/72507</vt:lpwstr>
      </vt:variant>
      <vt:variant>
        <vt:lpwstr/>
      </vt:variant>
      <vt:variant>
        <vt:i4>7929905</vt:i4>
      </vt:variant>
      <vt:variant>
        <vt:i4>30</vt:i4>
      </vt:variant>
      <vt:variant>
        <vt:i4>0</vt:i4>
      </vt:variant>
      <vt:variant>
        <vt:i4>5</vt:i4>
      </vt:variant>
      <vt:variant>
        <vt:lpwstr>http://www.nevo.co.il/law/72507/3.a.6.c</vt:lpwstr>
      </vt:variant>
      <vt:variant>
        <vt:lpwstr/>
      </vt:variant>
      <vt:variant>
        <vt:i4>5701639</vt:i4>
      </vt:variant>
      <vt:variant>
        <vt:i4>27</vt:i4>
      </vt:variant>
      <vt:variant>
        <vt:i4>0</vt:i4>
      </vt:variant>
      <vt:variant>
        <vt:i4>5</vt:i4>
      </vt:variant>
      <vt:variant>
        <vt:lpwstr>http://www.nevo.co.il/law/72507/3.a.4</vt:lpwstr>
      </vt:variant>
      <vt:variant>
        <vt:lpwstr/>
      </vt:variant>
      <vt:variant>
        <vt:i4>5701639</vt:i4>
      </vt:variant>
      <vt:variant>
        <vt:i4>24</vt:i4>
      </vt:variant>
      <vt:variant>
        <vt:i4>0</vt:i4>
      </vt:variant>
      <vt:variant>
        <vt:i4>5</vt:i4>
      </vt:variant>
      <vt:variant>
        <vt:lpwstr>http://www.nevo.co.il/law/72507/3.a.3</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7929905</vt:i4>
      </vt:variant>
      <vt:variant>
        <vt:i4>15</vt:i4>
      </vt:variant>
      <vt:variant>
        <vt:i4>0</vt:i4>
      </vt:variant>
      <vt:variant>
        <vt:i4>5</vt:i4>
      </vt:variant>
      <vt:variant>
        <vt:lpwstr>http://www.nevo.co.il/law/72507/3.a.6.c</vt:lpwstr>
      </vt:variant>
      <vt:variant>
        <vt:lpwstr/>
      </vt:variant>
      <vt:variant>
        <vt:i4>5701639</vt:i4>
      </vt:variant>
      <vt:variant>
        <vt:i4>12</vt:i4>
      </vt:variant>
      <vt:variant>
        <vt:i4>0</vt:i4>
      </vt:variant>
      <vt:variant>
        <vt:i4>5</vt:i4>
      </vt:variant>
      <vt:variant>
        <vt:lpwstr>http://www.nevo.co.il/law/72507/3.a.4</vt:lpwstr>
      </vt:variant>
      <vt:variant>
        <vt:lpwstr/>
      </vt:variant>
      <vt:variant>
        <vt:i4>5701639</vt:i4>
      </vt:variant>
      <vt:variant>
        <vt:i4>9</vt:i4>
      </vt:variant>
      <vt:variant>
        <vt:i4>0</vt:i4>
      </vt:variant>
      <vt:variant>
        <vt:i4>5</vt:i4>
      </vt:variant>
      <vt:variant>
        <vt:lpwstr>http://www.nevo.co.il/law/72507/3.a.3</vt:lpwstr>
      </vt:variant>
      <vt:variant>
        <vt:lpwstr/>
      </vt:variant>
      <vt:variant>
        <vt:i4>7864418</vt:i4>
      </vt:variant>
      <vt:variant>
        <vt:i4>6</vt:i4>
      </vt:variant>
      <vt:variant>
        <vt:i4>0</vt:i4>
      </vt:variant>
      <vt:variant>
        <vt:i4>5</vt:i4>
      </vt:variant>
      <vt:variant>
        <vt:lpwstr>http://www.nevo.co.il/law/72507</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2784</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יהושע אפריים</vt:lpwstr>
  </property>
  <property fmtid="{D5CDD505-2E9C-101B-9397-08002B2CF9AE}" pid="9" name="LAWYER">
    <vt:lpwstr>חדד זוהר</vt:lpwstr>
  </property>
  <property fmtid="{D5CDD505-2E9C-101B-9397-08002B2CF9AE}" pid="10" name="JUDGE">
    <vt:lpwstr>טאובר רחל</vt:lpwstr>
  </property>
  <property fmtid="{D5CDD505-2E9C-101B-9397-08002B2CF9AE}" pid="11" name="CITY">
    <vt:lpwstr>רמ'</vt:lpwstr>
  </property>
  <property fmtid="{D5CDD505-2E9C-101B-9397-08002B2CF9AE}" pid="12" name="DATE">
    <vt:lpwstr>20020113</vt:lpwstr>
  </property>
  <property fmtid="{D5CDD505-2E9C-101B-9397-08002B2CF9AE}" pid="13" name="WORDNUMPAGES">
    <vt:lpwstr>11</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ProcID=179&amp;PartA=09&amp;PartC=01</vt:lpwstr>
  </property>
  <property fmtid="{D5CDD505-2E9C-101B-9397-08002B2CF9AE}" pid="32" name="CASENOTES2">
    <vt:lpwstr>ProcID=213&amp;PartA=15&amp;PartC=14</vt:lpwstr>
  </property>
  <property fmtid="{D5CDD505-2E9C-101B-9397-08002B2CF9AE}" pid="33" name="CASENOTES3">
    <vt:lpwstr>ProcID=213&amp;PartA=15&amp;PartC=24</vt:lpwstr>
  </property>
  <property fmtid="{D5CDD505-2E9C-101B-9397-08002B2CF9AE}" pid="34" name="CASENOTES4">
    <vt:lpwstr>ProcID=213&amp;PartA=17&amp;PartC=16</vt:lpwstr>
  </property>
  <property fmtid="{D5CDD505-2E9C-101B-9397-08002B2CF9AE}" pid="35" name="CASENOTES5">
    <vt:lpwstr>ProcID=213&amp;PartA=23&amp;PartC=22</vt:lpwstr>
  </property>
  <property fmtid="{D5CDD505-2E9C-101B-9397-08002B2CF9AE}" pid="36" name="LAWLISTTMP1">
    <vt:lpwstr>70301/348.c:3</vt:lpwstr>
  </property>
  <property fmtid="{D5CDD505-2E9C-101B-9397-08002B2CF9AE}" pid="37" name="LAWLISTTMP2">
    <vt:lpwstr>72507/003.a.3:3;003.a.4:3;003.a.6.c:3</vt:lpwstr>
  </property>
</Properties>
</file>