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2A2E" w14:textId="77777777" w:rsidR="00BE362C" w:rsidRDefault="00BE362C">
      <w:pPr>
        <w:jc w:val="center"/>
        <w:rPr>
          <w:rFonts w:hint="cs"/>
          <w:rtl/>
        </w:rPr>
      </w:pPr>
      <w:bookmarkStart w:id="0" w:name="LastJudge"/>
    </w:p>
    <w:p w14:paraId="3C00238B" w14:textId="77777777" w:rsidR="00BE362C" w:rsidRDefault="00BE362C">
      <w:pPr>
        <w:jc w:val="center"/>
        <w:rPr>
          <w:rFonts w:hint="cs"/>
          <w:rtl/>
        </w:rPr>
      </w:pPr>
      <w:r>
        <w:t xml:space="preserve">    </w:t>
      </w:r>
    </w:p>
    <w:p w14:paraId="6C6056A6" w14:textId="77777777" w:rsidR="00BE362C" w:rsidRDefault="00BE362C">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2A5B2B" w14:paraId="4AB4BE47" w14:textId="77777777" w:rsidTr="002A5B2B">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46E8FF43" w14:textId="77777777" w:rsidR="002A5B2B" w:rsidRDefault="002A5B2B">
            <w:pPr>
              <w:rPr>
                <w:b/>
                <w:bCs/>
                <w:sz w:val="24"/>
              </w:rPr>
            </w:pPr>
            <w:r>
              <w:rPr>
                <w:rFonts w:hint="cs"/>
                <w:b/>
                <w:bCs/>
                <w:sz w:val="24"/>
                <w:rtl/>
              </w:rPr>
              <w:t>בית משפט השלום אשקלון</w:t>
            </w:r>
          </w:p>
        </w:tc>
        <w:tc>
          <w:tcPr>
            <w:tcW w:w="3085" w:type="dxa"/>
            <w:gridSpan w:val="2"/>
            <w:tcBorders>
              <w:top w:val="single" w:sz="4" w:space="0" w:color="auto"/>
              <w:left w:val="single" w:sz="4" w:space="0" w:color="auto"/>
              <w:bottom w:val="single" w:sz="4" w:space="0" w:color="auto"/>
              <w:right w:val="single" w:sz="4" w:space="0" w:color="auto"/>
            </w:tcBorders>
          </w:tcPr>
          <w:p w14:paraId="739588F9" w14:textId="77777777" w:rsidR="002A5B2B" w:rsidRDefault="002A5B2B">
            <w:pPr>
              <w:rPr>
                <w:b/>
                <w:bCs/>
                <w:sz w:val="24"/>
              </w:rPr>
            </w:pPr>
            <w:r>
              <w:rPr>
                <w:rFonts w:hint="cs"/>
                <w:b/>
                <w:bCs/>
                <w:sz w:val="24"/>
                <w:rtl/>
              </w:rPr>
              <w:t>פ  002821/00</w:t>
            </w:r>
          </w:p>
        </w:tc>
      </w:tr>
      <w:tr w:rsidR="002A5B2B" w14:paraId="6F2C31E3" w14:textId="77777777" w:rsidTr="002A5B2B">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2F49385" w14:textId="77777777" w:rsidR="002A5B2B" w:rsidRDefault="002A5B2B">
            <w:pPr>
              <w:bidi w:val="0"/>
              <w:spacing w:line="240" w:lineRule="auto"/>
              <w:jc w:val="left"/>
              <w:rPr>
                <w:b/>
                <w:bCs/>
                <w:sz w:val="24"/>
              </w:rPr>
            </w:pPr>
          </w:p>
        </w:tc>
        <w:tc>
          <w:tcPr>
            <w:tcW w:w="3085" w:type="dxa"/>
            <w:gridSpan w:val="2"/>
            <w:tcBorders>
              <w:top w:val="single" w:sz="4" w:space="0" w:color="auto"/>
              <w:left w:val="single" w:sz="4" w:space="0" w:color="auto"/>
              <w:bottom w:val="single" w:sz="4" w:space="0" w:color="auto"/>
              <w:right w:val="single" w:sz="4" w:space="0" w:color="auto"/>
            </w:tcBorders>
          </w:tcPr>
          <w:p w14:paraId="4BCC141B" w14:textId="77777777" w:rsidR="002A5B2B" w:rsidRDefault="002A5B2B">
            <w:pPr>
              <w:rPr>
                <w:b/>
                <w:bCs/>
                <w:sz w:val="24"/>
              </w:rPr>
            </w:pPr>
          </w:p>
        </w:tc>
      </w:tr>
      <w:tr w:rsidR="002A5B2B" w14:paraId="13AF5E3B" w14:textId="77777777" w:rsidTr="002A5B2B">
        <w:trPr>
          <w:trHeight w:val="286"/>
        </w:trPr>
        <w:tc>
          <w:tcPr>
            <w:tcW w:w="766" w:type="dxa"/>
            <w:tcBorders>
              <w:top w:val="single" w:sz="4" w:space="0" w:color="auto"/>
              <w:left w:val="single" w:sz="4" w:space="0" w:color="auto"/>
              <w:bottom w:val="single" w:sz="4" w:space="0" w:color="auto"/>
              <w:right w:val="single" w:sz="4" w:space="0" w:color="auto"/>
            </w:tcBorders>
          </w:tcPr>
          <w:p w14:paraId="0D82C8C1" w14:textId="77777777" w:rsidR="002A5B2B" w:rsidRDefault="002A5B2B">
            <w:pPr>
              <w:rPr>
                <w:b/>
                <w:bCs/>
                <w:sz w:val="24"/>
              </w:rPr>
            </w:pPr>
            <w:r>
              <w:rPr>
                <w:rFonts w:hint="cs"/>
                <w:b/>
                <w:bCs/>
                <w:sz w:val="24"/>
                <w:rtl/>
              </w:rPr>
              <w:t>בפני:</w:t>
            </w:r>
          </w:p>
        </w:tc>
        <w:tc>
          <w:tcPr>
            <w:tcW w:w="4678" w:type="dxa"/>
            <w:tcBorders>
              <w:top w:val="single" w:sz="4" w:space="0" w:color="auto"/>
              <w:left w:val="single" w:sz="4" w:space="0" w:color="auto"/>
              <w:bottom w:val="single" w:sz="4" w:space="0" w:color="auto"/>
              <w:right w:val="single" w:sz="4" w:space="0" w:color="auto"/>
            </w:tcBorders>
          </w:tcPr>
          <w:p w14:paraId="6D5C4E2E" w14:textId="77777777" w:rsidR="002A5B2B" w:rsidRDefault="002A5B2B">
            <w:pPr>
              <w:rPr>
                <w:b/>
                <w:bCs/>
                <w:sz w:val="24"/>
              </w:rPr>
            </w:pPr>
            <w:r>
              <w:rPr>
                <w:rFonts w:hint="cs"/>
                <w:b/>
                <w:bCs/>
                <w:sz w:val="24"/>
                <w:rtl/>
              </w:rPr>
              <w:t>כב' השופט ר.בן-יוסף</w:t>
            </w:r>
          </w:p>
          <w:p w14:paraId="09303226" w14:textId="77777777" w:rsidR="002A5B2B" w:rsidRDefault="002A5B2B">
            <w:pPr>
              <w:rPr>
                <w:b/>
                <w:bCs/>
                <w:sz w:val="24"/>
              </w:rPr>
            </w:pP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900A3F7" w14:textId="77777777" w:rsidR="002A5B2B" w:rsidRDefault="002A5B2B">
            <w:pPr>
              <w:rPr>
                <w:b/>
                <w:bCs/>
                <w:sz w:val="24"/>
              </w:rPr>
            </w:pPr>
            <w:r>
              <w:rPr>
                <w:rFonts w:hint="cs"/>
                <w:b/>
                <w:bCs/>
                <w:sz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489EEB22" w14:textId="77777777" w:rsidR="002A5B2B" w:rsidRDefault="002A5B2B">
            <w:pPr>
              <w:rPr>
                <w:b/>
                <w:bCs/>
                <w:sz w:val="24"/>
              </w:rPr>
            </w:pPr>
            <w:r>
              <w:rPr>
                <w:rFonts w:hint="cs"/>
                <w:b/>
                <w:bCs/>
                <w:sz w:val="24"/>
                <w:rtl/>
              </w:rPr>
              <w:t>13/02/01</w:t>
            </w:r>
          </w:p>
        </w:tc>
      </w:tr>
    </w:tbl>
    <w:p w14:paraId="49BEBFF8" w14:textId="77777777" w:rsidR="00BE362C" w:rsidRDefault="00BE362C">
      <w:pPr>
        <w:rPr>
          <w:rFonts w:hint="cs"/>
          <w:szCs w:val="22"/>
          <w:rtl/>
        </w:rPr>
      </w:pPr>
    </w:p>
    <w:p w14:paraId="35D77253" w14:textId="77777777" w:rsidR="00BE362C" w:rsidRDefault="00BE362C">
      <w:pPr>
        <w:pStyle w:val="Header"/>
        <w:jc w:val="left"/>
        <w:rPr>
          <w:rFonts w:hint="cs"/>
          <w:szCs w:val="20"/>
          <w:rtl/>
        </w:rPr>
      </w:pPr>
    </w:p>
    <w:p w14:paraId="25499CD7" w14:textId="77777777" w:rsidR="00BE362C" w:rsidRDefault="00BE362C">
      <w:pPr>
        <w:rPr>
          <w:rFonts w:hint="cs"/>
          <w:b/>
          <w:bCs/>
          <w:rtl/>
        </w:rPr>
      </w:pPr>
      <w:r>
        <w:rPr>
          <w:rFonts w:hint="cs"/>
          <w:b/>
          <w:bCs/>
          <w:rtl/>
        </w:rPr>
        <w:t>נוכחים:</w:t>
      </w: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2A5B2B" w14:paraId="07877E0D" w14:textId="77777777" w:rsidTr="002A5B2B">
        <w:tc>
          <w:tcPr>
            <w:tcW w:w="1418" w:type="dxa"/>
          </w:tcPr>
          <w:p w14:paraId="1412B0E9" w14:textId="77777777" w:rsidR="002A5B2B" w:rsidRDefault="002A5B2B">
            <w:pPr>
              <w:rPr>
                <w:b/>
                <w:bCs/>
                <w:szCs w:val="26"/>
              </w:rPr>
            </w:pPr>
            <w:bookmarkStart w:id="1" w:name="FirstAppellant"/>
            <w:r>
              <w:rPr>
                <w:rFonts w:hint="cs"/>
                <w:b/>
                <w:bCs/>
                <w:rtl/>
              </w:rPr>
              <w:t>בעניין:</w:t>
            </w:r>
          </w:p>
        </w:tc>
        <w:tc>
          <w:tcPr>
            <w:tcW w:w="4820" w:type="dxa"/>
            <w:gridSpan w:val="2"/>
          </w:tcPr>
          <w:p w14:paraId="2C199517" w14:textId="77777777" w:rsidR="002A5B2B" w:rsidRDefault="002A5B2B">
            <w:pPr>
              <w:rPr>
                <w:b/>
                <w:bCs/>
              </w:rPr>
            </w:pPr>
            <w:r>
              <w:rPr>
                <w:rFonts w:hint="cs"/>
                <w:b/>
                <w:bCs/>
                <w:rtl/>
              </w:rPr>
              <w:t>מדינת ישראל</w:t>
            </w:r>
          </w:p>
        </w:tc>
        <w:tc>
          <w:tcPr>
            <w:tcW w:w="2409" w:type="dxa"/>
          </w:tcPr>
          <w:p w14:paraId="6C7960E7" w14:textId="77777777" w:rsidR="002A5B2B" w:rsidRDefault="002A5B2B">
            <w:pPr>
              <w:rPr>
                <w:b/>
                <w:bCs/>
              </w:rPr>
            </w:pPr>
            <w:r>
              <w:rPr>
                <w:rFonts w:hint="cs"/>
                <w:b/>
                <w:bCs/>
                <w:rtl/>
              </w:rPr>
              <w:t>המאשימה</w:t>
            </w:r>
          </w:p>
        </w:tc>
      </w:tr>
      <w:tr w:rsidR="002A5B2B" w14:paraId="0FE4BB52" w14:textId="77777777" w:rsidTr="002A5B2B">
        <w:tc>
          <w:tcPr>
            <w:tcW w:w="1418" w:type="dxa"/>
          </w:tcPr>
          <w:p w14:paraId="73FB5D36" w14:textId="77777777" w:rsidR="002A5B2B" w:rsidRDefault="002A5B2B">
            <w:pPr>
              <w:rPr>
                <w:b/>
                <w:bCs/>
                <w:szCs w:val="26"/>
              </w:rPr>
            </w:pPr>
            <w:bookmarkStart w:id="2" w:name="בא_כוח_א" w:colFirst="2" w:colLast="2"/>
            <w:bookmarkStart w:id="3" w:name="FirstLawyer"/>
            <w:bookmarkEnd w:id="1"/>
          </w:p>
        </w:tc>
        <w:tc>
          <w:tcPr>
            <w:tcW w:w="1757" w:type="dxa"/>
          </w:tcPr>
          <w:p w14:paraId="0D33CC11" w14:textId="77777777" w:rsidR="002A5B2B" w:rsidRDefault="002A5B2B">
            <w:pPr>
              <w:rPr>
                <w:b/>
                <w:bCs/>
              </w:rPr>
            </w:pPr>
            <w:r>
              <w:rPr>
                <w:rFonts w:hint="cs"/>
                <w:b/>
                <w:bCs/>
                <w:rtl/>
              </w:rPr>
              <w:t>ע"י ב"כ עוה"ד</w:t>
            </w:r>
          </w:p>
        </w:tc>
        <w:tc>
          <w:tcPr>
            <w:tcW w:w="3063" w:type="dxa"/>
          </w:tcPr>
          <w:p w14:paraId="17286DF0" w14:textId="77777777" w:rsidR="002A5B2B" w:rsidRDefault="002A5B2B">
            <w:pPr>
              <w:rPr>
                <w:b/>
                <w:bCs/>
              </w:rPr>
            </w:pPr>
            <w:r>
              <w:rPr>
                <w:rFonts w:hint="cs"/>
                <w:b/>
                <w:bCs/>
                <w:rtl/>
              </w:rPr>
              <w:t>טנא</w:t>
            </w:r>
          </w:p>
        </w:tc>
        <w:tc>
          <w:tcPr>
            <w:tcW w:w="2409" w:type="dxa"/>
          </w:tcPr>
          <w:p w14:paraId="050E47CA" w14:textId="77777777" w:rsidR="002A5B2B" w:rsidRDefault="002A5B2B">
            <w:pPr>
              <w:rPr>
                <w:b/>
                <w:bCs/>
              </w:rPr>
            </w:pPr>
          </w:p>
        </w:tc>
      </w:tr>
      <w:bookmarkEnd w:id="2"/>
      <w:bookmarkEnd w:id="3"/>
      <w:tr w:rsidR="002A5B2B" w14:paraId="3AC5D13E" w14:textId="77777777" w:rsidTr="002A5B2B">
        <w:tc>
          <w:tcPr>
            <w:tcW w:w="1418" w:type="dxa"/>
          </w:tcPr>
          <w:p w14:paraId="54F2EF56" w14:textId="77777777" w:rsidR="002A5B2B" w:rsidRDefault="002A5B2B">
            <w:pPr>
              <w:rPr>
                <w:b/>
                <w:bCs/>
              </w:rPr>
            </w:pPr>
          </w:p>
        </w:tc>
        <w:tc>
          <w:tcPr>
            <w:tcW w:w="4820" w:type="dxa"/>
            <w:gridSpan w:val="2"/>
          </w:tcPr>
          <w:p w14:paraId="06D49914" w14:textId="77777777" w:rsidR="002A5B2B" w:rsidRDefault="002A5B2B">
            <w:pPr>
              <w:jc w:val="center"/>
              <w:rPr>
                <w:b/>
                <w:bCs/>
              </w:rPr>
            </w:pPr>
            <w:r>
              <w:rPr>
                <w:rFonts w:hint="cs"/>
                <w:rtl/>
              </w:rPr>
              <w:t>נגד</w:t>
            </w:r>
          </w:p>
        </w:tc>
        <w:tc>
          <w:tcPr>
            <w:tcW w:w="2409" w:type="dxa"/>
          </w:tcPr>
          <w:p w14:paraId="250137C9" w14:textId="77777777" w:rsidR="002A5B2B" w:rsidRDefault="002A5B2B">
            <w:pPr>
              <w:rPr>
                <w:b/>
                <w:bCs/>
              </w:rPr>
            </w:pPr>
          </w:p>
        </w:tc>
      </w:tr>
      <w:tr w:rsidR="002A5B2B" w14:paraId="54493CD5" w14:textId="77777777" w:rsidTr="002A5B2B">
        <w:tc>
          <w:tcPr>
            <w:tcW w:w="1418" w:type="dxa"/>
          </w:tcPr>
          <w:p w14:paraId="51F90C57" w14:textId="77777777" w:rsidR="002A5B2B" w:rsidRDefault="002A5B2B">
            <w:pPr>
              <w:rPr>
                <w:b/>
                <w:bCs/>
                <w:szCs w:val="26"/>
              </w:rPr>
            </w:pPr>
            <w:bookmarkStart w:id="4" w:name="שם_ב" w:colFirst="1" w:colLast="1"/>
          </w:p>
        </w:tc>
        <w:tc>
          <w:tcPr>
            <w:tcW w:w="4820" w:type="dxa"/>
            <w:gridSpan w:val="2"/>
          </w:tcPr>
          <w:p w14:paraId="5A5B571F" w14:textId="77777777" w:rsidR="002A5B2B" w:rsidRDefault="002A5B2B">
            <w:pPr>
              <w:rPr>
                <w:b/>
                <w:bCs/>
              </w:rPr>
            </w:pPr>
            <w:r>
              <w:rPr>
                <w:rFonts w:hint="cs"/>
                <w:b/>
                <w:bCs/>
                <w:rtl/>
              </w:rPr>
              <w:t>נזרי אורי - בעצמו</w:t>
            </w:r>
          </w:p>
        </w:tc>
        <w:tc>
          <w:tcPr>
            <w:tcW w:w="2409" w:type="dxa"/>
          </w:tcPr>
          <w:p w14:paraId="7D2A2137" w14:textId="77777777" w:rsidR="002A5B2B" w:rsidRDefault="002A5B2B">
            <w:pPr>
              <w:rPr>
                <w:b/>
                <w:bCs/>
              </w:rPr>
            </w:pPr>
            <w:r>
              <w:rPr>
                <w:rFonts w:hint="cs"/>
                <w:b/>
                <w:bCs/>
                <w:rtl/>
              </w:rPr>
              <w:t>הנאשם</w:t>
            </w:r>
          </w:p>
        </w:tc>
      </w:tr>
      <w:tr w:rsidR="002A5B2B" w14:paraId="14FADAD4" w14:textId="77777777" w:rsidTr="002A5B2B">
        <w:tc>
          <w:tcPr>
            <w:tcW w:w="1418" w:type="dxa"/>
          </w:tcPr>
          <w:p w14:paraId="18AF88FB" w14:textId="77777777" w:rsidR="002A5B2B" w:rsidRDefault="002A5B2B">
            <w:pPr>
              <w:rPr>
                <w:b/>
                <w:bCs/>
                <w:szCs w:val="26"/>
              </w:rPr>
            </w:pPr>
            <w:bookmarkStart w:id="5" w:name="בא_כוח_ב" w:colFirst="2" w:colLast="2"/>
            <w:bookmarkEnd w:id="4"/>
          </w:p>
        </w:tc>
        <w:tc>
          <w:tcPr>
            <w:tcW w:w="1757" w:type="dxa"/>
          </w:tcPr>
          <w:p w14:paraId="2126B13E" w14:textId="77777777" w:rsidR="002A5B2B" w:rsidRDefault="002A5B2B">
            <w:pPr>
              <w:rPr>
                <w:b/>
                <w:bCs/>
              </w:rPr>
            </w:pPr>
            <w:r>
              <w:rPr>
                <w:rFonts w:hint="cs"/>
                <w:b/>
                <w:bCs/>
                <w:rtl/>
              </w:rPr>
              <w:t>ע"י ב"כ עוה"ד</w:t>
            </w:r>
          </w:p>
        </w:tc>
        <w:tc>
          <w:tcPr>
            <w:tcW w:w="3063" w:type="dxa"/>
          </w:tcPr>
          <w:p w14:paraId="646A69DE" w14:textId="77777777" w:rsidR="002A5B2B" w:rsidRDefault="002A5B2B">
            <w:pPr>
              <w:rPr>
                <w:b/>
                <w:bCs/>
              </w:rPr>
            </w:pPr>
            <w:r>
              <w:rPr>
                <w:rFonts w:hint="cs"/>
                <w:b/>
                <w:bCs/>
                <w:rtl/>
              </w:rPr>
              <w:t>עו"ד גסר יעקב</w:t>
            </w:r>
          </w:p>
        </w:tc>
        <w:tc>
          <w:tcPr>
            <w:tcW w:w="2409" w:type="dxa"/>
          </w:tcPr>
          <w:p w14:paraId="616C5B63" w14:textId="77777777" w:rsidR="002A5B2B" w:rsidRDefault="002A5B2B">
            <w:pPr>
              <w:rPr>
                <w:b/>
                <w:bCs/>
              </w:rPr>
            </w:pPr>
          </w:p>
        </w:tc>
      </w:tr>
      <w:bookmarkEnd w:id="5"/>
    </w:tbl>
    <w:p w14:paraId="76A9C623" w14:textId="77777777" w:rsidR="00BE362C" w:rsidRDefault="00BE362C">
      <w:pPr>
        <w:rPr>
          <w:rFonts w:hint="cs"/>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2A5B2B" w14:paraId="638C7AC0" w14:textId="77777777" w:rsidTr="002A5B2B">
        <w:tc>
          <w:tcPr>
            <w:tcW w:w="1332" w:type="dxa"/>
          </w:tcPr>
          <w:p w14:paraId="6A2325B9" w14:textId="77777777" w:rsidR="002A5B2B" w:rsidRDefault="002A5B2B">
            <w:pPr>
              <w:rPr>
                <w:szCs w:val="26"/>
              </w:rPr>
            </w:pPr>
          </w:p>
        </w:tc>
        <w:tc>
          <w:tcPr>
            <w:tcW w:w="7230" w:type="dxa"/>
          </w:tcPr>
          <w:p w14:paraId="616B1188" w14:textId="77777777" w:rsidR="002A5B2B" w:rsidRDefault="002A5B2B"/>
        </w:tc>
      </w:tr>
    </w:tbl>
    <w:p w14:paraId="1F4E0A9E" w14:textId="77777777" w:rsidR="00281FFC" w:rsidRDefault="00281FFC">
      <w:pPr>
        <w:pStyle w:val="Caption"/>
        <w:rPr>
          <w:u w:val="none"/>
          <w:rtl/>
        </w:rPr>
      </w:pPr>
      <w:bookmarkStart w:id="6" w:name="LawTable"/>
      <w:bookmarkEnd w:id="6"/>
    </w:p>
    <w:p w14:paraId="0FFA1456" w14:textId="77777777" w:rsidR="00281FFC" w:rsidRPr="00281FFC" w:rsidRDefault="00281FFC" w:rsidP="00281FFC">
      <w:pPr>
        <w:pStyle w:val="Caption"/>
        <w:spacing w:after="120" w:line="240" w:lineRule="exact"/>
        <w:ind w:left="283" w:hanging="283"/>
        <w:jc w:val="both"/>
        <w:rPr>
          <w:rFonts w:ascii="FrankRuehl" w:hAnsi="FrankRuehl" w:cs="FrankRuehl"/>
          <w:sz w:val="24"/>
          <w:szCs w:val="24"/>
          <w:u w:val="none"/>
          <w:rtl/>
        </w:rPr>
      </w:pPr>
    </w:p>
    <w:p w14:paraId="07EADEEB" w14:textId="77777777" w:rsidR="00281FFC" w:rsidRPr="00281FFC" w:rsidRDefault="00281FFC" w:rsidP="00281FFC">
      <w:pPr>
        <w:pStyle w:val="Caption"/>
        <w:spacing w:after="120" w:line="240" w:lineRule="exact"/>
        <w:ind w:left="283" w:hanging="283"/>
        <w:jc w:val="both"/>
        <w:rPr>
          <w:rFonts w:ascii="FrankRuehl" w:hAnsi="FrankRuehl" w:cs="FrankRuehl"/>
          <w:sz w:val="24"/>
          <w:szCs w:val="24"/>
          <w:u w:val="none"/>
          <w:rtl/>
        </w:rPr>
      </w:pPr>
      <w:r w:rsidRPr="00281FFC">
        <w:rPr>
          <w:rFonts w:ascii="FrankRuehl" w:hAnsi="FrankRuehl" w:cs="FrankRuehl"/>
          <w:sz w:val="24"/>
          <w:szCs w:val="24"/>
          <w:u w:val="none"/>
          <w:rtl/>
        </w:rPr>
        <w:t xml:space="preserve">חקיקה שאוזכרה: </w:t>
      </w:r>
    </w:p>
    <w:p w14:paraId="58768F46" w14:textId="77777777" w:rsidR="00281FFC" w:rsidRPr="00281FFC" w:rsidRDefault="00281FFC" w:rsidP="00281FFC">
      <w:pPr>
        <w:pStyle w:val="Caption"/>
        <w:spacing w:after="120" w:line="240" w:lineRule="exact"/>
        <w:ind w:left="283" w:hanging="283"/>
        <w:jc w:val="both"/>
        <w:rPr>
          <w:rFonts w:ascii="FrankRuehl" w:hAnsi="FrankRuehl" w:cs="FrankRuehl"/>
          <w:sz w:val="24"/>
          <w:szCs w:val="24"/>
          <w:u w:val="none"/>
          <w:rtl/>
        </w:rPr>
      </w:pPr>
      <w:hyperlink r:id="rId7" w:history="1">
        <w:r w:rsidRPr="00281FFC">
          <w:rPr>
            <w:rFonts w:ascii="FrankRuehl" w:hAnsi="FrankRuehl" w:cs="FrankRuehl"/>
            <w:color w:val="0000FF"/>
            <w:sz w:val="24"/>
            <w:szCs w:val="24"/>
            <w:rtl/>
          </w:rPr>
          <w:t>חוק סדר הדין הפלילי [נוסח משולב], תשמ"ב-1982</w:t>
        </w:r>
      </w:hyperlink>
      <w:r w:rsidRPr="00281FFC">
        <w:rPr>
          <w:rFonts w:ascii="FrankRuehl" w:hAnsi="FrankRuehl" w:cs="FrankRuehl"/>
          <w:sz w:val="24"/>
          <w:szCs w:val="24"/>
          <w:u w:val="none"/>
          <w:rtl/>
        </w:rPr>
        <w:t xml:space="preserve">: סע'  </w:t>
      </w:r>
      <w:hyperlink r:id="rId8" w:history="1">
        <w:r w:rsidRPr="00281FFC">
          <w:rPr>
            <w:rFonts w:ascii="FrankRuehl" w:hAnsi="FrankRuehl" w:cs="FrankRuehl"/>
            <w:color w:val="0000FF"/>
            <w:sz w:val="24"/>
            <w:szCs w:val="24"/>
            <w:rtl/>
          </w:rPr>
          <w:t>182</w:t>
        </w:r>
      </w:hyperlink>
    </w:p>
    <w:p w14:paraId="57634938" w14:textId="77777777" w:rsidR="00281FFC" w:rsidRPr="00281FFC" w:rsidRDefault="00281FFC" w:rsidP="00281FFC">
      <w:pPr>
        <w:pStyle w:val="Caption"/>
        <w:spacing w:after="120" w:line="240" w:lineRule="exact"/>
        <w:ind w:left="283" w:hanging="283"/>
        <w:jc w:val="both"/>
        <w:rPr>
          <w:rFonts w:ascii="FrankRuehl" w:hAnsi="FrankRuehl" w:cs="FrankRuehl"/>
          <w:sz w:val="24"/>
          <w:szCs w:val="24"/>
          <w:u w:val="none"/>
          <w:rtl/>
        </w:rPr>
      </w:pPr>
      <w:hyperlink r:id="rId9" w:history="1">
        <w:r w:rsidRPr="00281FFC">
          <w:rPr>
            <w:rFonts w:ascii="FrankRuehl" w:hAnsi="FrankRuehl" w:cs="FrankRuehl"/>
            <w:color w:val="0000FF"/>
            <w:sz w:val="24"/>
            <w:szCs w:val="24"/>
            <w:rtl/>
          </w:rPr>
          <w:t>חוק העונשין, תשל"ז-1977</w:t>
        </w:r>
      </w:hyperlink>
      <w:r w:rsidRPr="00281FFC">
        <w:rPr>
          <w:rFonts w:ascii="FrankRuehl" w:hAnsi="FrankRuehl" w:cs="FrankRuehl"/>
          <w:sz w:val="24"/>
          <w:szCs w:val="24"/>
          <w:u w:val="none"/>
          <w:rtl/>
        </w:rPr>
        <w:t xml:space="preserve">: סע'  </w:t>
      </w:r>
      <w:hyperlink r:id="rId10" w:history="1">
        <w:r w:rsidRPr="00281FFC">
          <w:rPr>
            <w:rFonts w:ascii="FrankRuehl" w:hAnsi="FrankRuehl" w:cs="FrankRuehl"/>
            <w:color w:val="0000FF"/>
            <w:sz w:val="24"/>
            <w:szCs w:val="24"/>
            <w:rtl/>
          </w:rPr>
          <w:t>25</w:t>
        </w:r>
      </w:hyperlink>
      <w:r w:rsidRPr="00281FFC">
        <w:rPr>
          <w:rFonts w:ascii="FrankRuehl" w:hAnsi="FrankRuehl" w:cs="FrankRuehl"/>
          <w:sz w:val="24"/>
          <w:szCs w:val="24"/>
          <w:u w:val="none"/>
          <w:rtl/>
        </w:rPr>
        <w:t xml:space="preserve">, </w:t>
      </w:r>
      <w:hyperlink r:id="rId11" w:history="1">
        <w:r w:rsidRPr="00281FFC">
          <w:rPr>
            <w:rFonts w:ascii="FrankRuehl" w:hAnsi="FrankRuehl" w:cs="FrankRuehl"/>
            <w:color w:val="0000FF"/>
            <w:sz w:val="24"/>
            <w:szCs w:val="24"/>
            <w:rtl/>
          </w:rPr>
          <w:t>348 (א)</w:t>
        </w:r>
      </w:hyperlink>
      <w:r w:rsidRPr="00281FFC">
        <w:rPr>
          <w:rFonts w:ascii="FrankRuehl" w:hAnsi="FrankRuehl" w:cs="FrankRuehl"/>
          <w:sz w:val="24"/>
          <w:szCs w:val="24"/>
          <w:u w:val="none"/>
          <w:rtl/>
        </w:rPr>
        <w:t xml:space="preserve">, </w:t>
      </w:r>
      <w:hyperlink r:id="rId12" w:history="1">
        <w:r w:rsidRPr="00281FFC">
          <w:rPr>
            <w:rFonts w:ascii="FrankRuehl" w:hAnsi="FrankRuehl" w:cs="FrankRuehl"/>
            <w:color w:val="0000FF"/>
            <w:sz w:val="24"/>
            <w:szCs w:val="24"/>
            <w:rtl/>
          </w:rPr>
          <w:t>34 כב' (א)</w:t>
        </w:r>
      </w:hyperlink>
      <w:r w:rsidRPr="00281FFC">
        <w:rPr>
          <w:rFonts w:ascii="FrankRuehl" w:hAnsi="FrankRuehl" w:cs="FrankRuehl"/>
          <w:sz w:val="24"/>
          <w:szCs w:val="24"/>
          <w:u w:val="none"/>
          <w:rtl/>
        </w:rPr>
        <w:t xml:space="preserve">, </w:t>
      </w:r>
      <w:hyperlink r:id="rId13" w:history="1">
        <w:r w:rsidRPr="00281FFC">
          <w:rPr>
            <w:rFonts w:ascii="FrankRuehl" w:hAnsi="FrankRuehl" w:cs="FrankRuehl"/>
            <w:color w:val="0000FF"/>
            <w:sz w:val="24"/>
            <w:szCs w:val="24"/>
            <w:rtl/>
          </w:rPr>
          <w:t>377</w:t>
        </w:r>
      </w:hyperlink>
      <w:r w:rsidRPr="00281FFC">
        <w:rPr>
          <w:rFonts w:ascii="FrankRuehl" w:hAnsi="FrankRuehl" w:cs="FrankRuehl"/>
          <w:sz w:val="24"/>
          <w:szCs w:val="24"/>
          <w:u w:val="none"/>
          <w:rtl/>
        </w:rPr>
        <w:t xml:space="preserve">, </w:t>
      </w:r>
      <w:hyperlink r:id="rId14" w:history="1">
        <w:r w:rsidRPr="00281FFC">
          <w:rPr>
            <w:rFonts w:ascii="FrankRuehl" w:hAnsi="FrankRuehl" w:cs="FrankRuehl"/>
            <w:color w:val="0000FF"/>
            <w:sz w:val="24"/>
            <w:szCs w:val="24"/>
            <w:rtl/>
          </w:rPr>
          <w:t>380</w:t>
        </w:r>
      </w:hyperlink>
      <w:r w:rsidRPr="00281FFC">
        <w:rPr>
          <w:rFonts w:ascii="FrankRuehl" w:hAnsi="FrankRuehl" w:cs="FrankRuehl"/>
          <w:sz w:val="24"/>
          <w:szCs w:val="24"/>
          <w:u w:val="none"/>
          <w:rtl/>
        </w:rPr>
        <w:t xml:space="preserve">, </w:t>
      </w:r>
      <w:hyperlink r:id="rId15" w:history="1">
        <w:r w:rsidRPr="00281FFC">
          <w:rPr>
            <w:rFonts w:ascii="FrankRuehl" w:hAnsi="FrankRuehl" w:cs="FrankRuehl"/>
            <w:color w:val="0000FF"/>
            <w:sz w:val="24"/>
            <w:szCs w:val="24"/>
            <w:rtl/>
          </w:rPr>
          <w:t>428</w:t>
        </w:r>
      </w:hyperlink>
    </w:p>
    <w:p w14:paraId="16FCCC8D" w14:textId="77777777" w:rsidR="00281FFC" w:rsidRPr="00281FFC" w:rsidRDefault="00281FFC" w:rsidP="00281FFC">
      <w:pPr>
        <w:pStyle w:val="Caption"/>
        <w:spacing w:after="120" w:line="240" w:lineRule="exact"/>
        <w:ind w:left="283" w:hanging="283"/>
        <w:jc w:val="both"/>
        <w:rPr>
          <w:rFonts w:ascii="FrankRuehl" w:hAnsi="FrankRuehl" w:cs="FrankRuehl"/>
          <w:sz w:val="24"/>
          <w:szCs w:val="24"/>
          <w:u w:val="none"/>
          <w:rtl/>
        </w:rPr>
      </w:pPr>
    </w:p>
    <w:p w14:paraId="7B400394" w14:textId="77777777" w:rsidR="00281FFC" w:rsidRPr="00281FFC" w:rsidRDefault="00281FFC">
      <w:pPr>
        <w:pStyle w:val="Caption"/>
        <w:rPr>
          <w:u w:val="none"/>
          <w:rtl/>
        </w:rPr>
      </w:pPr>
      <w:bookmarkStart w:id="7" w:name="LawTable_End"/>
      <w:bookmarkEnd w:id="7"/>
    </w:p>
    <w:p w14:paraId="61D6341B" w14:textId="77777777" w:rsidR="00281FFC" w:rsidRPr="00281FFC" w:rsidRDefault="00281FFC">
      <w:pPr>
        <w:pStyle w:val="Caption"/>
        <w:rPr>
          <w:u w:val="none"/>
          <w:rtl/>
        </w:rPr>
      </w:pPr>
    </w:p>
    <w:p w14:paraId="7199ED03" w14:textId="77777777" w:rsidR="00281FFC" w:rsidRPr="00281FFC" w:rsidRDefault="00281FFC">
      <w:pPr>
        <w:pStyle w:val="Caption"/>
        <w:rPr>
          <w:u w:val="none"/>
          <w:rtl/>
        </w:rPr>
      </w:pPr>
    </w:p>
    <w:p w14:paraId="392679EF" w14:textId="77777777" w:rsidR="00281FFC" w:rsidRPr="00281FFC" w:rsidRDefault="00281FFC">
      <w:pPr>
        <w:pStyle w:val="Caption"/>
        <w:rPr>
          <w:u w:val="none"/>
          <w:rtl/>
        </w:rPr>
      </w:pPr>
    </w:p>
    <w:p w14:paraId="1420AAC1" w14:textId="77777777" w:rsidR="009D31FF" w:rsidRPr="009D31FF" w:rsidRDefault="009D31FF">
      <w:pPr>
        <w:pStyle w:val="Caption"/>
        <w:rPr>
          <w:u w:val="none"/>
          <w:rtl/>
        </w:rPr>
      </w:pPr>
    </w:p>
    <w:p w14:paraId="44437B4A" w14:textId="77777777" w:rsidR="009D31FF" w:rsidRPr="009D31FF" w:rsidRDefault="009D31FF">
      <w:pPr>
        <w:pStyle w:val="Caption"/>
        <w:rPr>
          <w:u w:val="none"/>
          <w:rtl/>
        </w:rPr>
      </w:pPr>
    </w:p>
    <w:p w14:paraId="6BDDA32B" w14:textId="77777777" w:rsidR="00BE362C" w:rsidRPr="009D31FF" w:rsidRDefault="00BE362C">
      <w:pPr>
        <w:pStyle w:val="Caption"/>
        <w:rPr>
          <w:u w:val="none"/>
          <w:rtl/>
        </w:rPr>
      </w:pPr>
    </w:p>
    <w:p w14:paraId="30C987EE" w14:textId="77777777" w:rsidR="00BE362C" w:rsidRDefault="00BE362C">
      <w:pPr>
        <w:jc w:val="center"/>
        <w:rPr>
          <w:bCs/>
          <w:sz w:val="32"/>
          <w:szCs w:val="32"/>
          <w:u w:val="single"/>
          <w:rtl/>
        </w:rPr>
      </w:pPr>
      <w:bookmarkStart w:id="8" w:name="PsakDin"/>
      <w:bookmarkEnd w:id="0"/>
      <w:r>
        <w:rPr>
          <w:bCs/>
          <w:sz w:val="32"/>
          <w:szCs w:val="32"/>
          <w:u w:val="single"/>
          <w:rtl/>
        </w:rPr>
        <w:lastRenderedPageBreak/>
        <w:t>הכרעת דין</w:t>
      </w:r>
    </w:p>
    <w:bookmarkEnd w:id="8"/>
    <w:p w14:paraId="3E709119" w14:textId="77777777" w:rsidR="00BE362C" w:rsidRDefault="00BE362C">
      <w:pPr>
        <w:rPr>
          <w:rFonts w:hint="cs"/>
          <w:rtl/>
        </w:rPr>
      </w:pPr>
    </w:p>
    <w:p w14:paraId="7F7B4B8A" w14:textId="77777777" w:rsidR="00BE362C" w:rsidRDefault="00BE362C">
      <w:pPr>
        <w:ind w:left="233" w:hanging="233"/>
        <w:rPr>
          <w:rFonts w:hint="cs"/>
          <w:rtl/>
        </w:rPr>
      </w:pPr>
      <w:r>
        <w:rPr>
          <w:rFonts w:hint="cs"/>
          <w:rtl/>
        </w:rPr>
        <w:t>1.</w:t>
      </w:r>
      <w:r>
        <w:rPr>
          <w:rFonts w:hint="cs"/>
          <w:rtl/>
        </w:rPr>
        <w:tab/>
      </w:r>
      <w:bookmarkStart w:id="9" w:name="ABSTRACT_START"/>
      <w:bookmarkEnd w:id="9"/>
      <w:r>
        <w:rPr>
          <w:rFonts w:hint="cs"/>
          <w:rtl/>
        </w:rPr>
        <w:t xml:space="preserve">אודיע בהתאם להוראות </w:t>
      </w:r>
      <w:hyperlink r:id="rId16" w:history="1">
        <w:r w:rsidR="00281FFC" w:rsidRPr="00281FFC">
          <w:rPr>
            <w:color w:val="0000FF"/>
            <w:u w:val="single"/>
            <w:rtl/>
          </w:rPr>
          <w:t>סעיף 182</w:t>
        </w:r>
      </w:hyperlink>
      <w:r>
        <w:rPr>
          <w:rFonts w:hint="cs"/>
          <w:rtl/>
        </w:rPr>
        <w:t xml:space="preserve"> ל</w:t>
      </w:r>
      <w:hyperlink r:id="rId17" w:history="1">
        <w:r w:rsidR="009D31FF" w:rsidRPr="009D31FF">
          <w:rPr>
            <w:rStyle w:val="Hyperlink"/>
            <w:rFonts w:hint="eastAsia"/>
            <w:rtl/>
          </w:rPr>
          <w:t>חסד</w:t>
        </w:r>
        <w:r w:rsidR="009D31FF" w:rsidRPr="009D31FF">
          <w:rPr>
            <w:rStyle w:val="Hyperlink"/>
            <w:rtl/>
          </w:rPr>
          <w:t>"פ</w:t>
        </w:r>
      </w:hyperlink>
      <w:r>
        <w:rPr>
          <w:rFonts w:hint="cs"/>
          <w:rtl/>
        </w:rPr>
        <w:t xml:space="preserve"> (נמ) תשמ"ב-1982 כי זיכיתי את הנאשם בדין – הזיכוי הוא מחמת הספק הסביר כמצוות </w:t>
      </w:r>
      <w:hyperlink r:id="rId18" w:history="1">
        <w:r w:rsidR="00281FFC" w:rsidRPr="00281FFC">
          <w:rPr>
            <w:color w:val="0000FF"/>
            <w:u w:val="single"/>
            <w:rtl/>
          </w:rPr>
          <w:t>סעיף 34 כב' (א)</w:t>
        </w:r>
      </w:hyperlink>
      <w:r>
        <w:rPr>
          <w:rFonts w:hint="cs"/>
          <w:rtl/>
        </w:rPr>
        <w:t xml:space="preserve"> ל</w:t>
      </w:r>
      <w:hyperlink r:id="rId19" w:history="1">
        <w:r w:rsidR="009D31FF" w:rsidRPr="009D31FF">
          <w:rPr>
            <w:rStyle w:val="Hyperlink"/>
            <w:rFonts w:hint="eastAsia"/>
            <w:rtl/>
          </w:rPr>
          <w:t>חוק</w:t>
        </w:r>
        <w:r w:rsidR="009D31FF" w:rsidRPr="009D31FF">
          <w:rPr>
            <w:rStyle w:val="Hyperlink"/>
            <w:rtl/>
          </w:rPr>
          <w:t xml:space="preserve"> העונשין</w:t>
        </w:r>
      </w:hyperlink>
      <w:r>
        <w:rPr>
          <w:rFonts w:hint="cs"/>
          <w:rtl/>
        </w:rPr>
        <w:t xml:space="preserve"> תשל"ז-1977</w:t>
      </w:r>
      <w:bookmarkStart w:id="10" w:name="ABSTRACT_END"/>
      <w:bookmarkEnd w:id="10"/>
      <w:r>
        <w:rPr>
          <w:rFonts w:hint="cs"/>
          <w:rtl/>
        </w:rPr>
        <w:t xml:space="preserve">. </w:t>
      </w:r>
    </w:p>
    <w:p w14:paraId="380DD6B5" w14:textId="77777777" w:rsidR="00BE362C" w:rsidRDefault="00BE362C">
      <w:pPr>
        <w:ind w:left="233" w:hanging="233"/>
        <w:rPr>
          <w:rFonts w:hint="cs"/>
          <w:rtl/>
        </w:rPr>
      </w:pPr>
      <w:r>
        <w:rPr>
          <w:rFonts w:hint="cs"/>
          <w:rtl/>
        </w:rPr>
        <w:tab/>
        <w:t xml:space="preserve">הנאשם הואשם בכך שביום 20/7/99 בסמוך לשעה 22.00 ליד חוף הים בזיקים ברכבו רנו מ"ר 1097206 ניסה לבצע מעשה מגונה במתלוננת ליזה ליפשיץ וזאת תוך סחיטתה באיומים, תקיפתה  תקיפה חבלנית ונסיון לכלוא אותה כליאת שוא, כל אלה בניגוד לסעיפים </w:t>
      </w:r>
      <w:hyperlink r:id="rId20" w:history="1">
        <w:r w:rsidR="00281FFC" w:rsidRPr="00281FFC">
          <w:rPr>
            <w:rStyle w:val="Hyperlink"/>
            <w:rtl/>
          </w:rPr>
          <w:t>348 (א)</w:t>
        </w:r>
      </w:hyperlink>
      <w:r>
        <w:rPr>
          <w:rFonts w:hint="cs"/>
          <w:rtl/>
        </w:rPr>
        <w:t xml:space="preserve"> + </w:t>
      </w:r>
      <w:hyperlink r:id="rId21" w:history="1">
        <w:r w:rsidR="00281FFC" w:rsidRPr="00281FFC">
          <w:rPr>
            <w:rStyle w:val="Hyperlink"/>
            <w:rtl/>
          </w:rPr>
          <w:t>25</w:t>
        </w:r>
      </w:hyperlink>
      <w:r>
        <w:rPr>
          <w:rFonts w:hint="cs"/>
          <w:rtl/>
        </w:rPr>
        <w:t xml:space="preserve"> ל</w:t>
      </w:r>
      <w:hyperlink r:id="rId22" w:history="1">
        <w:r w:rsidR="009D31FF" w:rsidRPr="009D31FF">
          <w:rPr>
            <w:rStyle w:val="Hyperlink"/>
            <w:rFonts w:hint="eastAsia"/>
            <w:rtl/>
          </w:rPr>
          <w:t>חוק</w:t>
        </w:r>
        <w:r w:rsidR="009D31FF" w:rsidRPr="009D31FF">
          <w:rPr>
            <w:rStyle w:val="Hyperlink"/>
            <w:rtl/>
          </w:rPr>
          <w:t xml:space="preserve"> העונשין</w:t>
        </w:r>
      </w:hyperlink>
      <w:r>
        <w:rPr>
          <w:rFonts w:hint="cs"/>
          <w:rtl/>
        </w:rPr>
        <w:t xml:space="preserve"> תשל"ז-1977 (להלן: "חוק העונשין") </w:t>
      </w:r>
      <w:hyperlink r:id="rId23" w:history="1">
        <w:r w:rsidR="00281FFC" w:rsidRPr="00281FFC">
          <w:rPr>
            <w:color w:val="0000FF"/>
            <w:u w:val="single"/>
            <w:rtl/>
          </w:rPr>
          <w:t>428</w:t>
        </w:r>
      </w:hyperlink>
      <w:r>
        <w:rPr>
          <w:rFonts w:hint="cs"/>
          <w:rtl/>
        </w:rPr>
        <w:t xml:space="preserve">, </w:t>
      </w:r>
      <w:hyperlink r:id="rId24" w:history="1">
        <w:r w:rsidR="00281FFC" w:rsidRPr="00281FFC">
          <w:rPr>
            <w:color w:val="0000FF"/>
            <w:u w:val="single"/>
            <w:rtl/>
          </w:rPr>
          <w:t>380</w:t>
        </w:r>
      </w:hyperlink>
      <w:r>
        <w:rPr>
          <w:rFonts w:hint="cs"/>
          <w:rtl/>
        </w:rPr>
        <w:t xml:space="preserve"> ו- </w:t>
      </w:r>
      <w:hyperlink r:id="rId25" w:history="1">
        <w:r w:rsidR="00281FFC" w:rsidRPr="00281FFC">
          <w:rPr>
            <w:color w:val="0000FF"/>
            <w:u w:val="single"/>
            <w:rtl/>
          </w:rPr>
          <w:t>377</w:t>
        </w:r>
      </w:hyperlink>
      <w:r>
        <w:rPr>
          <w:rFonts w:hint="cs"/>
          <w:rtl/>
        </w:rPr>
        <w:t xml:space="preserve"> + </w:t>
      </w:r>
      <w:hyperlink r:id="rId26" w:history="1">
        <w:r w:rsidR="00281FFC" w:rsidRPr="00281FFC">
          <w:rPr>
            <w:rStyle w:val="Hyperlink"/>
            <w:rtl/>
          </w:rPr>
          <w:t>25</w:t>
        </w:r>
      </w:hyperlink>
      <w:r>
        <w:rPr>
          <w:rFonts w:hint="cs"/>
          <w:rtl/>
        </w:rPr>
        <w:t xml:space="preserve"> לחוק. </w:t>
      </w:r>
    </w:p>
    <w:p w14:paraId="05F2B50D" w14:textId="77777777" w:rsidR="00BE362C" w:rsidRDefault="00BE362C">
      <w:pPr>
        <w:ind w:left="233" w:hanging="233"/>
        <w:rPr>
          <w:rFonts w:hint="cs"/>
          <w:rtl/>
        </w:rPr>
      </w:pPr>
      <w:r>
        <w:rPr>
          <w:rFonts w:hint="cs"/>
          <w:rtl/>
        </w:rPr>
        <w:tab/>
        <w:t xml:space="preserve">על פי העובדות הנטענות בכתב האישום עלתה המתלוננת כטרמפיסטית לרכבו, נסעה עמו לחוף זיקים שם אמר לה כי הוא סופר עד עשר ועד אז עליה להסיר את חולצתה ולא הוא יכול לעשות לה משהו ולהשאירה שם – ומשסרבה דרש זאת ממנה שוב ואיים להשתמש נגדה בכוח. </w:t>
      </w:r>
    </w:p>
    <w:p w14:paraId="4B18584A" w14:textId="77777777" w:rsidR="00BE362C" w:rsidRDefault="00BE362C">
      <w:pPr>
        <w:ind w:left="233" w:hanging="233"/>
        <w:rPr>
          <w:rFonts w:hint="cs"/>
          <w:color w:val="FFFFFF"/>
          <w:sz w:val="4"/>
          <w:szCs w:val="4"/>
          <w:rtl/>
        </w:rPr>
      </w:pPr>
    </w:p>
    <w:p w14:paraId="7FFFDAEE" w14:textId="77777777" w:rsidR="00BE362C" w:rsidRDefault="00BE362C">
      <w:pPr>
        <w:ind w:left="233" w:hanging="233"/>
        <w:rPr>
          <w:rFonts w:hint="cs"/>
          <w:color w:val="FFFFFF"/>
          <w:sz w:val="4"/>
          <w:szCs w:val="4"/>
          <w:rtl/>
        </w:rPr>
      </w:pPr>
      <w:r>
        <w:rPr>
          <w:color w:val="FFFFFF"/>
          <w:sz w:val="4"/>
          <w:szCs w:val="4"/>
          <w:rtl/>
        </w:rPr>
        <w:t>5129371</w:t>
      </w:r>
    </w:p>
    <w:p w14:paraId="157EEAAE" w14:textId="77777777" w:rsidR="00BE362C" w:rsidRDefault="00BE362C">
      <w:pPr>
        <w:ind w:left="233" w:hanging="233"/>
        <w:rPr>
          <w:rFonts w:hint="cs"/>
          <w:rtl/>
        </w:rPr>
      </w:pPr>
      <w:r>
        <w:rPr>
          <w:color w:val="FFFFFF"/>
          <w:sz w:val="4"/>
          <w:szCs w:val="4"/>
          <w:rtl/>
        </w:rPr>
        <w:t>5129371</w:t>
      </w:r>
      <w:r>
        <w:rPr>
          <w:rFonts w:hint="cs"/>
          <w:rtl/>
        </w:rPr>
        <w:tab/>
        <w:t xml:space="preserve">אז הבחינה המתלוננת ברכב שעבר במקום, החלה לצעוק לעזרה פתחה דלת הרכב ונסתה להמלט. </w:t>
      </w:r>
    </w:p>
    <w:p w14:paraId="40FDBF65" w14:textId="77777777" w:rsidR="00BE362C" w:rsidRDefault="00BE362C">
      <w:pPr>
        <w:ind w:left="233" w:hanging="233"/>
        <w:rPr>
          <w:rFonts w:hint="cs"/>
          <w:rtl/>
        </w:rPr>
      </w:pPr>
      <w:r>
        <w:rPr>
          <w:rFonts w:hint="cs"/>
          <w:rtl/>
        </w:rPr>
        <w:tab/>
        <w:t xml:space="preserve">הנאשם חסם בידו את פיה, אחז בידיה ומשכה לרכב ותוך כך נחבלה המתלוננת ונפצעה במרפקה הימני. </w:t>
      </w:r>
    </w:p>
    <w:p w14:paraId="61A469A5" w14:textId="77777777" w:rsidR="00BE362C" w:rsidRDefault="00BE362C">
      <w:pPr>
        <w:ind w:left="233"/>
        <w:rPr>
          <w:rFonts w:hint="cs"/>
          <w:rtl/>
        </w:rPr>
      </w:pPr>
      <w:r>
        <w:rPr>
          <w:rFonts w:hint="cs"/>
          <w:rtl/>
        </w:rPr>
        <w:t xml:space="preserve">הנאשם בתשובתו לאישום באמרתו ת/1, בדו"ח עימות שנערך בינו לבין המתלוננת ת/2 ובעדותו בביהמ"ש לא כפר בכך שהסיע את המתלוננת במכוניתו והגיע עמה לחוף זיקים, אך כפר בכל המעשים המיוחסים לו ושיש בהם מעשה עבירה. </w:t>
      </w:r>
    </w:p>
    <w:p w14:paraId="7B75C49E" w14:textId="77777777" w:rsidR="00BE362C" w:rsidRDefault="00BE362C">
      <w:pPr>
        <w:rPr>
          <w:rFonts w:hint="cs"/>
          <w:rtl/>
        </w:rPr>
      </w:pPr>
    </w:p>
    <w:p w14:paraId="7004CDE4" w14:textId="77777777" w:rsidR="00BE362C" w:rsidRDefault="00BE362C">
      <w:pPr>
        <w:numPr>
          <w:ilvl w:val="0"/>
          <w:numId w:val="2"/>
        </w:numPr>
        <w:ind w:left="360" w:right="0"/>
        <w:rPr>
          <w:rFonts w:hint="cs"/>
          <w:rtl/>
        </w:rPr>
      </w:pPr>
      <w:r>
        <w:rPr>
          <w:rFonts w:hint="cs"/>
          <w:rtl/>
        </w:rPr>
        <w:t xml:space="preserve">התביעה העידה את השוטרת אינגה אגרנט גובת אמרת הנאשם ועורכת העמות בינו לבין המתלוננת (ת/1, ת/2) והסניגור הגיש דו"ח שערכה על נסיבות גביית אמרתה של ליזה נ/1. העידה את השוטר רס"ר דהורני ירמיהו ממשטרת ארז איש המשטרה הראשון שפגש במתלוננת, ובעדי התביעה האחרים אשר הביאו את המתלוננת והנאשם למשטרה. </w:t>
      </w:r>
    </w:p>
    <w:p w14:paraId="035BA4A2" w14:textId="77777777" w:rsidR="00BE362C" w:rsidRDefault="00BE362C">
      <w:pPr>
        <w:ind w:left="309"/>
        <w:rPr>
          <w:rFonts w:hint="cs"/>
          <w:rtl/>
        </w:rPr>
      </w:pPr>
      <w:r>
        <w:rPr>
          <w:rFonts w:hint="cs"/>
          <w:rtl/>
        </w:rPr>
        <w:t xml:space="preserve">שוטר זה העביר הטיפול בפרשה למשטרת אשקלון ולא יכול היה להוסיף תוספת מהותית לראיות. </w:t>
      </w:r>
    </w:p>
    <w:p w14:paraId="6DC7979E" w14:textId="77777777" w:rsidR="00BE362C" w:rsidRDefault="00BE362C">
      <w:pPr>
        <w:ind w:left="309"/>
        <w:rPr>
          <w:rFonts w:hint="cs"/>
          <w:rtl/>
        </w:rPr>
      </w:pPr>
      <w:r>
        <w:rPr>
          <w:rFonts w:hint="cs"/>
          <w:rtl/>
        </w:rPr>
        <w:t xml:space="preserve">עדי התביעה הנוספים רס"ן אריק כהן וסגן בם ברון דורית שהיו בחוף זיקים לצורך ריצה עם ג'יפ צבאי שאת אורותיו ראתה המתלוננת בעת בריחתה מרכבו של הנאשם. </w:t>
      </w:r>
    </w:p>
    <w:p w14:paraId="1D106E27" w14:textId="77777777" w:rsidR="00BE362C" w:rsidRDefault="00BE362C">
      <w:pPr>
        <w:ind w:left="309"/>
        <w:rPr>
          <w:rFonts w:hint="cs"/>
          <w:rtl/>
        </w:rPr>
      </w:pPr>
      <w:r>
        <w:rPr>
          <w:rFonts w:hint="cs"/>
          <w:rtl/>
        </w:rPr>
        <w:t xml:space="preserve">רס"ן אריק כהן אסף את המתלוננת לרכב הצבאי, עיכב את הנאשם לאחר ששמע מהמתלוננת שהנאשם ניסה לאנסה והביאו למשטרה. </w:t>
      </w:r>
    </w:p>
    <w:p w14:paraId="1A5E9B6C" w14:textId="77777777" w:rsidR="00BE362C" w:rsidRDefault="00BE362C">
      <w:pPr>
        <w:ind w:left="309"/>
        <w:rPr>
          <w:rFonts w:hint="cs"/>
          <w:rtl/>
        </w:rPr>
      </w:pPr>
      <w:r>
        <w:rPr>
          <w:rFonts w:hint="cs"/>
          <w:rtl/>
        </w:rPr>
        <w:t xml:space="preserve">השניים העידו על סופו של האירוע, דהיינו, נסיבות בריחתה של המתלוננת מרכב הנאשם, על התנהגותה ומצבה הנפשי אז ועל התנהגות הנאשם עובר לסיום האירוע. </w:t>
      </w:r>
    </w:p>
    <w:p w14:paraId="3A7D3C20" w14:textId="77777777" w:rsidR="00BE362C" w:rsidRDefault="00BE362C">
      <w:pPr>
        <w:ind w:left="309"/>
        <w:rPr>
          <w:rFonts w:hint="cs"/>
          <w:rtl/>
        </w:rPr>
      </w:pPr>
      <w:r>
        <w:rPr>
          <w:rFonts w:hint="cs"/>
          <w:rtl/>
        </w:rPr>
        <w:t xml:space="preserve">עם כל אלה לעיקר ההתרחשויות והנסיבות העידו המתלוננת והנאשם כעד הגנה יחיד. </w:t>
      </w:r>
    </w:p>
    <w:p w14:paraId="717872CF" w14:textId="77777777" w:rsidR="00BE362C" w:rsidRDefault="00BE362C">
      <w:pPr>
        <w:ind w:left="309"/>
        <w:rPr>
          <w:rFonts w:hint="cs"/>
          <w:rtl/>
        </w:rPr>
      </w:pPr>
    </w:p>
    <w:p w14:paraId="34D97193" w14:textId="77777777" w:rsidR="00BE362C" w:rsidRDefault="00BE362C">
      <w:pPr>
        <w:pStyle w:val="BodyTextIndent"/>
        <w:numPr>
          <w:ilvl w:val="0"/>
          <w:numId w:val="2"/>
        </w:numPr>
        <w:ind w:left="360" w:right="0"/>
        <w:rPr>
          <w:rFonts w:hint="cs"/>
          <w:rtl/>
        </w:rPr>
      </w:pPr>
      <w:r>
        <w:rPr>
          <w:rFonts w:hint="cs"/>
          <w:rtl/>
        </w:rPr>
        <w:t xml:space="preserve">בחקירתה הראשית ביום 26/11/00 עמ' 2, 3 לפרוטוקול ספרה המתלוננת על קורות ונסיבות האירוע, בחקירתה הנגדית הוסיפה פרטים לגביהם נשאלה. </w:t>
      </w:r>
    </w:p>
    <w:p w14:paraId="14E6F058" w14:textId="77777777" w:rsidR="00BE362C" w:rsidRDefault="00BE362C">
      <w:pPr>
        <w:ind w:left="309"/>
        <w:rPr>
          <w:rFonts w:hint="cs"/>
          <w:rtl/>
        </w:rPr>
      </w:pPr>
      <w:r>
        <w:rPr>
          <w:rFonts w:hint="cs"/>
          <w:rtl/>
        </w:rPr>
        <w:lastRenderedPageBreak/>
        <w:t xml:space="preserve">המתלוננת כבת 23 שנים גילה בערב האירוע, עלתה מיוזמתה כטרמפיסטית לרכבו של הנאשם אותו לא הכירה קודם, כשראתה אותו עומד ביציאה מבאר שבע וביקשה כי יסיעה לצומת גילת. במהלך הנסיעה הסכימה להצעתו להמשיך עמו לחוף הים בלילה תוך שהיא מספרת לו פרטים אישיים ואינטימיים על משפחתה, על נסיבות ואופן מגוריה ועוד. </w:t>
      </w:r>
    </w:p>
    <w:p w14:paraId="7A9F0E92" w14:textId="77777777" w:rsidR="00BE362C" w:rsidRDefault="00BE362C">
      <w:pPr>
        <w:ind w:left="309"/>
        <w:rPr>
          <w:rFonts w:hint="cs"/>
          <w:rtl/>
        </w:rPr>
      </w:pPr>
      <w:r>
        <w:rPr>
          <w:rFonts w:hint="cs"/>
          <w:rtl/>
        </w:rPr>
        <w:t xml:space="preserve">התנהגותה זאת של המתלוננת יש בה  מוזרות ושונות וכך היתה גם התנהגותה על דוכן העדים, אופן השמעת עדותה, דרכה בתשובותיה לשאלות שנשאלה אם ע"י ביהמ"ש אם ע"י התובעת ואם ע"י הסניגור. </w:t>
      </w:r>
    </w:p>
    <w:p w14:paraId="42FEF67E" w14:textId="77777777" w:rsidR="00BE362C" w:rsidRDefault="00BE362C">
      <w:pPr>
        <w:ind w:left="309"/>
        <w:rPr>
          <w:rFonts w:hint="cs"/>
          <w:rtl/>
        </w:rPr>
      </w:pPr>
      <w:r>
        <w:rPr>
          <w:rFonts w:hint="cs"/>
          <w:rtl/>
        </w:rPr>
        <w:t xml:space="preserve">תשובותיה כי לא חשדה או חששה שנסיבות נסיעתה ברכבו של הנאשם כפי שתוארו לחוף שומם וחשוך, מצביעים על תמימות מפליגה או לחלופין על התממות קיצונית וכן יש בה בהתנהגותה כדי להתיישב גם עם תגובה לא רציונלית לנסיון "התחלה" של הנאשם כלפיה ללא שיהיה בו יסוד עברייני. </w:t>
      </w:r>
    </w:p>
    <w:p w14:paraId="4A431890" w14:textId="77777777" w:rsidR="00BE362C" w:rsidRDefault="00BE362C">
      <w:pPr>
        <w:ind w:left="309"/>
        <w:rPr>
          <w:rFonts w:hint="cs"/>
          <w:rtl/>
        </w:rPr>
      </w:pPr>
      <w:r>
        <w:rPr>
          <w:rFonts w:hint="cs"/>
          <w:rtl/>
        </w:rPr>
        <w:t xml:space="preserve">גם התרשמותה של גובת אמרת המתלוננת היתה דומה ולכן תעדה אותה בדו"ח נ/1. אמנם החוקרת אמרה שאין התעוד שעשתה על נסיבות גביית האמרה יוצא דופן ואקווה שאכן כך, אך תוכן התעוד מצביע אכן על אותה "מוזרות" ו"שונות" אשר אובחנה ע"י ביהמ"ש בעדותה של המתלוננת. </w:t>
      </w:r>
    </w:p>
    <w:p w14:paraId="0B122F85" w14:textId="77777777" w:rsidR="00BE362C" w:rsidRDefault="00BE362C">
      <w:pPr>
        <w:ind w:left="309"/>
        <w:rPr>
          <w:rFonts w:hint="cs"/>
          <w:rtl/>
        </w:rPr>
      </w:pPr>
      <w:r>
        <w:rPr>
          <w:rFonts w:hint="cs"/>
          <w:rtl/>
        </w:rPr>
        <w:t xml:space="preserve">אותן מוזריות ושונות אינם בהכרח מצביעות על פגם במהימנות עדותה של המתלוננת ואינם מהווים כשלעצמם סימן או אות לאי אמירת אמת. עם זאת, יש בהם להעמיד את ביהמ"ש על המשמר שמא עדותה היחידה אינה מספיקה להרשעה. </w:t>
      </w:r>
    </w:p>
    <w:p w14:paraId="53B5C7AC" w14:textId="77777777" w:rsidR="00BE362C" w:rsidRDefault="00BE362C">
      <w:pPr>
        <w:ind w:left="309"/>
        <w:rPr>
          <w:rFonts w:hint="cs"/>
          <w:rtl/>
        </w:rPr>
      </w:pPr>
      <w:r>
        <w:rPr>
          <w:rFonts w:hint="cs"/>
          <w:rtl/>
        </w:rPr>
        <w:t xml:space="preserve">ביהמ"ש ללא צורך פורמלי לכך מבחינת דיני הראיות יבקש לבחון את עדותה של המתלוננת תוך השוואתה לגרסת הנאשם, לאמרותיה במקומות אחרים, בחינת תוכן עדותה ומסירתה בביהמ"ש לכלל הראיות שבאו בפני ביהמ"ש ותוך נסיון למצוא לעדותה תמוכין, חזוקים או תוספות ראייתיות אחרות, כל אלה בכפוף לנטל הבאת הראיות ונטל השכנוע להוכיח מעבר לכל ספק סביר את אשמת הנאשם המונח לפתחה של התביעה. </w:t>
      </w:r>
    </w:p>
    <w:p w14:paraId="7FBA00D3" w14:textId="77777777" w:rsidR="00BE362C" w:rsidRDefault="00BE362C">
      <w:pPr>
        <w:ind w:left="309"/>
        <w:rPr>
          <w:rFonts w:hint="cs"/>
          <w:rtl/>
        </w:rPr>
      </w:pPr>
    </w:p>
    <w:p w14:paraId="1DBE9BB6" w14:textId="77777777" w:rsidR="00BE362C" w:rsidRDefault="00BE362C">
      <w:pPr>
        <w:numPr>
          <w:ilvl w:val="0"/>
          <w:numId w:val="2"/>
        </w:numPr>
        <w:ind w:left="360" w:right="0"/>
        <w:rPr>
          <w:rFonts w:hint="cs"/>
          <w:rtl/>
        </w:rPr>
      </w:pPr>
      <w:r>
        <w:rPr>
          <w:rFonts w:hint="cs"/>
          <w:rtl/>
        </w:rPr>
        <w:t xml:space="preserve">באופן דומה על ביהמ"ש גם לבחון את גרסת הנאשם. </w:t>
      </w:r>
    </w:p>
    <w:p w14:paraId="34684EBD" w14:textId="77777777" w:rsidR="00BE362C" w:rsidRDefault="00BE362C">
      <w:pPr>
        <w:ind w:left="309"/>
        <w:rPr>
          <w:rFonts w:hint="cs"/>
          <w:rtl/>
        </w:rPr>
      </w:pPr>
      <w:r>
        <w:rPr>
          <w:rFonts w:hint="cs"/>
          <w:rtl/>
        </w:rPr>
        <w:t xml:space="preserve">יאמר תחילה כי גרסתו של הנאשם בכל הכלים שבהם הובאה לביהמ"ש כפי שפורטו לעיל, היתה אחידה וכמעט ללא כל סתירות או פריכות בעניינים מהותיים להבדיל מעניינים שוליים. </w:t>
      </w:r>
    </w:p>
    <w:p w14:paraId="20A1764A" w14:textId="77777777" w:rsidR="00BE362C" w:rsidRDefault="00BE362C">
      <w:pPr>
        <w:ind w:left="309"/>
        <w:rPr>
          <w:rFonts w:hint="cs"/>
          <w:rtl/>
        </w:rPr>
      </w:pPr>
      <w:r>
        <w:rPr>
          <w:rFonts w:hint="cs"/>
          <w:rtl/>
        </w:rPr>
        <w:t xml:space="preserve">לגרסתו אכן כפי שספרה המתלוננת אסף אותה ביציאה מב"ש כטרמפיסטית לצומת גילת,  נתגלגלה שיחה ביניהם, לאחר שהיא הזכירה את חוף הים הציע הוא לקחתה לחוף זיקים, בתחילה סרבה ואח"כ בהסכמתה נסעו לשם. </w:t>
      </w:r>
    </w:p>
    <w:p w14:paraId="6D43AF40" w14:textId="77777777" w:rsidR="00BE362C" w:rsidRDefault="00BE362C">
      <w:pPr>
        <w:ind w:left="309"/>
        <w:rPr>
          <w:rFonts w:hint="cs"/>
          <w:rtl/>
        </w:rPr>
      </w:pPr>
      <w:r>
        <w:rPr>
          <w:rFonts w:hint="cs"/>
          <w:rtl/>
        </w:rPr>
        <w:t xml:space="preserve">הנאשם אשר דברי המתלוננת כי הציג עצמו בשם, מען ובגיל שאינם נכונים, ספר כי נסעו בתחילה אל חוף הים ממש ומשסרבה שם לרדת לטייל הסיעה חזרה עד שעצר לצורך שיחה טלפונית ליד שיחים ושם המקום בו ברחה מן הרכב בפתאומיות. </w:t>
      </w:r>
    </w:p>
    <w:p w14:paraId="58A71732" w14:textId="77777777" w:rsidR="00BE362C" w:rsidRDefault="00BE362C">
      <w:pPr>
        <w:ind w:left="309"/>
        <w:rPr>
          <w:rFonts w:hint="cs"/>
          <w:rtl/>
        </w:rPr>
      </w:pPr>
      <w:r>
        <w:rPr>
          <w:rFonts w:hint="cs"/>
          <w:rtl/>
        </w:rPr>
        <w:t xml:space="preserve">גם הנאשם שיווה לנסיעה לים מחשבה תמימה, נסיעה לצורך התרגעות ושיחת נפש ללא כל כוונה או מחשבה מינית מצידו. </w:t>
      </w:r>
    </w:p>
    <w:p w14:paraId="1D31B734" w14:textId="77777777" w:rsidR="00BE362C" w:rsidRDefault="00BE362C">
      <w:pPr>
        <w:ind w:left="309"/>
        <w:rPr>
          <w:rFonts w:hint="cs"/>
          <w:rtl/>
        </w:rPr>
      </w:pPr>
      <w:r>
        <w:rPr>
          <w:rFonts w:hint="cs"/>
          <w:rtl/>
        </w:rPr>
        <w:lastRenderedPageBreak/>
        <w:t xml:space="preserve">גרסתו זאת של הנאשם של כוונה "טהורה" בנסיעה לחוף תמוהה גם היא, אם כי לא ברמת המוזרות של גרסת המתלוננת והנני סבור שלא כפי שגרס, שסבור היה שנקרתה בפניו קורבן קל ליחסים אינטימיים וזאת היתה כוונתו. </w:t>
      </w:r>
    </w:p>
    <w:p w14:paraId="174DF7CC" w14:textId="77777777" w:rsidR="00BE362C" w:rsidRDefault="00BE362C">
      <w:pPr>
        <w:pStyle w:val="BodyTextIndent2"/>
        <w:numPr>
          <w:ilvl w:val="0"/>
          <w:numId w:val="2"/>
        </w:numPr>
        <w:ind w:left="360" w:right="0"/>
        <w:rPr>
          <w:rFonts w:hint="cs"/>
          <w:rtl/>
        </w:rPr>
      </w:pPr>
      <w:r>
        <w:rPr>
          <w:rFonts w:hint="cs"/>
          <w:rtl/>
        </w:rPr>
        <w:t xml:space="preserve">עולה, איפוא, ששתי הגרסאות של הנאשם ושל המתלוננת די זהות הן עד השלב של העצירה ליד השיחים ששם ארעו על פי גרסת המתלוננת כל מעשיו של הנאשם שיש בהם עבירה. </w:t>
      </w:r>
    </w:p>
    <w:p w14:paraId="2527FF8A" w14:textId="77777777" w:rsidR="00BE362C" w:rsidRDefault="00BE362C">
      <w:pPr>
        <w:ind w:left="309"/>
        <w:rPr>
          <w:rFonts w:hint="cs"/>
          <w:rtl/>
        </w:rPr>
      </w:pPr>
      <w:r>
        <w:rPr>
          <w:rFonts w:hint="cs"/>
          <w:rtl/>
        </w:rPr>
        <w:t xml:space="preserve">עולה מגרסת המתלוננת כי עד לאותה עצירה הנאשם לבש דמות אחת, דמות האביר המתחשב ולפתע הפך הכושי עורו והנאשם החל לנהוג כנמר חברבורות. </w:t>
      </w:r>
    </w:p>
    <w:p w14:paraId="0A830DFA" w14:textId="77777777" w:rsidR="00BE362C" w:rsidRDefault="00BE362C">
      <w:pPr>
        <w:ind w:left="309"/>
        <w:rPr>
          <w:rFonts w:hint="cs"/>
          <w:rtl/>
        </w:rPr>
      </w:pPr>
      <w:r>
        <w:rPr>
          <w:rFonts w:hint="cs"/>
          <w:rtl/>
        </w:rPr>
        <w:t xml:space="preserve">גם מגרסת הנאשם עולה כי המתלוננת באותו מעמד שינתה באופן קיצוני התנהגותה ולפתע ללא שהוא יוכל להסביר מדוע מיד לאחר ששוחח בפלאפון עם ידידה שינתה המתלוננת טעמה, פרצה החוצה מהרכב בבת אחת בלי שהוא יעשה מאומה שיצדיק זאת. </w:t>
      </w:r>
    </w:p>
    <w:p w14:paraId="60BBF62D" w14:textId="77777777" w:rsidR="00BE362C" w:rsidRDefault="00BE362C">
      <w:pPr>
        <w:ind w:left="309"/>
        <w:rPr>
          <w:rFonts w:hint="cs"/>
          <w:rtl/>
        </w:rPr>
      </w:pPr>
    </w:p>
    <w:p w14:paraId="25E00BB1" w14:textId="77777777" w:rsidR="00BE362C" w:rsidRDefault="00BE362C">
      <w:pPr>
        <w:pStyle w:val="BodyTextIndent3"/>
        <w:numPr>
          <w:ilvl w:val="0"/>
          <w:numId w:val="2"/>
        </w:numPr>
        <w:ind w:left="360" w:right="0"/>
        <w:rPr>
          <w:rFonts w:hint="cs"/>
          <w:rtl/>
        </w:rPr>
      </w:pPr>
      <w:r>
        <w:rPr>
          <w:rFonts w:hint="cs"/>
          <w:rtl/>
        </w:rPr>
        <w:t>בחינתן של עדויות המתלוננת והנאשם וההחלטה על העדפת זו על זו תבחן גם לאור הנקודות הבאות:</w:t>
      </w:r>
    </w:p>
    <w:p w14:paraId="1F2D5BFF" w14:textId="77777777" w:rsidR="00BE362C" w:rsidRDefault="00BE362C">
      <w:pPr>
        <w:numPr>
          <w:ilvl w:val="1"/>
          <w:numId w:val="2"/>
        </w:numPr>
        <w:ind w:right="0"/>
        <w:rPr>
          <w:rtl/>
        </w:rPr>
      </w:pPr>
      <w:r>
        <w:rPr>
          <w:rFonts w:hint="cs"/>
          <w:rtl/>
        </w:rPr>
        <w:t xml:space="preserve">כפי שהנאשם לא יכול היה להסביר את פשר התנהגותה הפתאומית של המתלוננת כן גם סניגורו לא יכל ולא ביהמ"ש. </w:t>
      </w:r>
    </w:p>
    <w:p w14:paraId="2A2EFF2F" w14:textId="77777777" w:rsidR="00BE362C" w:rsidRDefault="00BE362C">
      <w:pPr>
        <w:ind w:left="1029"/>
        <w:rPr>
          <w:rtl/>
        </w:rPr>
      </w:pPr>
      <w:r>
        <w:rPr>
          <w:rFonts w:hint="cs"/>
          <w:rtl/>
        </w:rPr>
        <w:t>זאת למעט האפשרות שהתנהגותה היתה תוצאה של שינוי פתאומי בהתנהגות הנאשם אליה ופעילותו כמפורט בכתב האישום, או שמא בשל מוזרותו של אופי המתלוננת כפי שתוארה לעיל שיכולה אולי להביא להתנהגות בלתי צפויה ותוך שינוי חזית פתאומי.</w:t>
      </w:r>
      <w:r>
        <w:rPr>
          <w:color w:val="FFFFFF"/>
          <w:sz w:val="4"/>
          <w:szCs w:val="4"/>
          <w:rtl/>
        </w:rPr>
        <w:t>נ</w:t>
      </w:r>
    </w:p>
    <w:p w14:paraId="680074BB" w14:textId="77777777" w:rsidR="00BE362C" w:rsidRDefault="00BE362C">
      <w:pPr>
        <w:numPr>
          <w:ilvl w:val="1"/>
          <w:numId w:val="2"/>
        </w:numPr>
        <w:ind w:right="0"/>
        <w:rPr>
          <w:rFonts w:hint="cs"/>
          <w:rtl/>
        </w:rPr>
      </w:pPr>
      <w:r>
        <w:rPr>
          <w:rFonts w:hint="cs"/>
          <w:rtl/>
        </w:rPr>
        <w:t xml:space="preserve">כתב האישום מאשים את הנאשם גם בתקיפה חבלנית של המתלוננת בניגוד </w:t>
      </w:r>
      <w:hyperlink r:id="rId27" w:history="1">
        <w:r w:rsidR="00281FFC" w:rsidRPr="00281FFC">
          <w:rPr>
            <w:color w:val="0000FF"/>
            <w:u w:val="single"/>
            <w:rtl/>
          </w:rPr>
          <w:t>לסעיף 380</w:t>
        </w:r>
      </w:hyperlink>
      <w:r>
        <w:rPr>
          <w:rFonts w:hint="cs"/>
          <w:rtl/>
        </w:rPr>
        <w:t xml:space="preserve"> ל</w:t>
      </w:r>
      <w:hyperlink r:id="rId28" w:history="1">
        <w:r w:rsidR="009D31FF" w:rsidRPr="009D31FF">
          <w:rPr>
            <w:rStyle w:val="Hyperlink"/>
            <w:rFonts w:hint="eastAsia"/>
            <w:rtl/>
          </w:rPr>
          <w:t>חוק</w:t>
        </w:r>
        <w:r w:rsidR="009D31FF" w:rsidRPr="009D31FF">
          <w:rPr>
            <w:rStyle w:val="Hyperlink"/>
            <w:rtl/>
          </w:rPr>
          <w:t xml:space="preserve"> העונשין</w:t>
        </w:r>
      </w:hyperlink>
      <w:r>
        <w:rPr>
          <w:rFonts w:hint="cs"/>
          <w:rtl/>
        </w:rPr>
        <w:t xml:space="preserve">. גרימת פצע במרפק ידה השמאלית. </w:t>
      </w:r>
    </w:p>
    <w:p w14:paraId="748B0EC9" w14:textId="77777777" w:rsidR="00BE362C" w:rsidRDefault="00BE362C">
      <w:pPr>
        <w:ind w:left="1029"/>
        <w:rPr>
          <w:rFonts w:hint="cs"/>
          <w:rtl/>
        </w:rPr>
      </w:pPr>
      <w:r>
        <w:rPr>
          <w:rFonts w:hint="cs"/>
          <w:rtl/>
        </w:rPr>
        <w:t xml:space="preserve">בראיות שהוצגו בביהמ"ש לא נמצא זכר לעניין זה לא בעדות המתלוננת בביהמ"ש, לא בעדות שני קציני הצבא, לא בעדות החוקרת אגרנט וכמובן לא הוצגה כל תעודת רופא לעניין זה. </w:t>
      </w:r>
    </w:p>
    <w:p w14:paraId="15C32198" w14:textId="77777777" w:rsidR="00BE362C" w:rsidRDefault="00BE362C">
      <w:pPr>
        <w:ind w:left="1029"/>
        <w:rPr>
          <w:rFonts w:hint="cs"/>
          <w:rtl/>
        </w:rPr>
      </w:pPr>
      <w:r>
        <w:rPr>
          <w:rFonts w:hint="cs"/>
          <w:rtl/>
        </w:rPr>
        <w:t xml:space="preserve">כנראה שהחבלה נטענה ע"י המתלוננת באמרתה בחקירה, אך כאמור לביהמ"ש לא הוצג הדבר, עובדה המכרסמת בראיות התביעה. </w:t>
      </w:r>
    </w:p>
    <w:p w14:paraId="79EC7F55" w14:textId="77777777" w:rsidR="00BE362C" w:rsidRDefault="00BE362C">
      <w:pPr>
        <w:numPr>
          <w:ilvl w:val="1"/>
          <w:numId w:val="2"/>
        </w:numPr>
        <w:ind w:right="0"/>
        <w:rPr>
          <w:rFonts w:hint="cs"/>
          <w:rtl/>
        </w:rPr>
      </w:pPr>
      <w:r>
        <w:rPr>
          <w:rFonts w:hint="cs"/>
          <w:rtl/>
        </w:rPr>
        <w:t xml:space="preserve">העד רס"ן אריק כהן מספר בעדותו כי בטרם שמע את צעקות המתלוננת ואח"כ ראה את התגלגלותה החוצה מן הרכב הבחין באמצעות פנסי הג'יפ "דמות אחת על השניה והנחתי שהם עושים אהבה, הדמות שהיתה ליד ההגה קפצה על השניה שישבה לידו, הם היו די פעילים, היתה שם תזוזה ממש חזקה ברכב, בזמן זה לא שמעתי צעקות ..." אין סיבה לתהות על מהימנותו של עד תביעה זה ואינני מקבל עמדת הסניגור כי פעל מתוך התגוננות להסביר שליפתו את אקדחו. </w:t>
      </w:r>
    </w:p>
    <w:p w14:paraId="00DDEC26" w14:textId="77777777" w:rsidR="00BE362C" w:rsidRDefault="00BE362C">
      <w:pPr>
        <w:ind w:left="1029"/>
        <w:rPr>
          <w:rtl/>
        </w:rPr>
      </w:pPr>
      <w:r>
        <w:rPr>
          <w:rFonts w:hint="cs"/>
          <w:rtl/>
        </w:rPr>
        <w:t xml:space="preserve">סיפור זה מתיישב יותר עם גרסת המתלוננת על כך שהנאשם "ניסה לסגור את הפה שלי עם היד שלו ואמר לי תשתקי אל תצעקי. הוא סתם לי את הפה עם היד שלו, הוא לא נתן לי לצאת מהאוטו הוא החזיק אותי, הוא החזיק ביד שלי ..." (עמ' 3 שורה 10 לפרוטוקול) פעילות היכולה להראות באורות הג'יפ דרך החלון כפעילות של זוג מתבודד. אך עדיין עולה התמיהה מדוע בשלב זה לא שמע העד צעקות. </w:t>
      </w:r>
    </w:p>
    <w:p w14:paraId="5CB9227A" w14:textId="77777777" w:rsidR="00BE362C" w:rsidRDefault="00BE362C">
      <w:pPr>
        <w:numPr>
          <w:ilvl w:val="1"/>
          <w:numId w:val="2"/>
        </w:numPr>
        <w:ind w:right="0"/>
        <w:rPr>
          <w:rFonts w:hint="cs"/>
          <w:rtl/>
        </w:rPr>
      </w:pPr>
      <w:r>
        <w:rPr>
          <w:rFonts w:hint="cs"/>
          <w:rtl/>
        </w:rPr>
        <w:t xml:space="preserve">מעדותו של רס"ן אריק כהן על כך שהמתלוננת צווחה וצעקה "הצילו" בשלב הבא גם היא מתיישבת יותר עם גרסת המתלוננת מאשר עם גרסת הנאשם אשר מסתפק באומרו  שהמתלוננת צעקה "או". </w:t>
      </w:r>
    </w:p>
    <w:p w14:paraId="456C96C3" w14:textId="77777777" w:rsidR="00BE362C" w:rsidRDefault="00BE362C">
      <w:pPr>
        <w:ind w:left="1029"/>
        <w:rPr>
          <w:rtl/>
        </w:rPr>
      </w:pPr>
      <w:r>
        <w:rPr>
          <w:rFonts w:hint="cs"/>
          <w:rtl/>
        </w:rPr>
        <w:t xml:space="preserve">עדותו של קצין הצבא על היותה של המתלוננת "נסערת" "נושמת בקושי" "נשמעו מכיוונה מילים די מבולבלות", וכן עדות הקצינה על היותה "שקטה", "קפואה או מנותקת" ואפילו אי רצונה לעלות לרכב הצבאי כל אלה מתיישבים היטב עם התנהגותה של מתלוננת  שעברה אירוע מבחינת תאורה "טראומטי".  עם זאת, תתכן אפשרות על רקע אישיותה של המתלוננת כי בהלה סובייקטיבית שלה ללא קשר להתנהגות הנאשם תביא לאותה תגובה מצידה. </w:t>
      </w:r>
    </w:p>
    <w:p w14:paraId="71E0801E" w14:textId="77777777" w:rsidR="00BE362C" w:rsidRDefault="00BE362C">
      <w:pPr>
        <w:numPr>
          <w:ilvl w:val="1"/>
          <w:numId w:val="2"/>
        </w:numPr>
        <w:ind w:right="0"/>
        <w:rPr>
          <w:rFonts w:hint="cs"/>
          <w:rtl/>
        </w:rPr>
      </w:pPr>
      <w:r>
        <w:rPr>
          <w:rFonts w:hint="cs"/>
          <w:rtl/>
        </w:rPr>
        <w:t xml:space="preserve">יחד עם האמור לעיל , אומר כי ההתנהגות הנסערת של המתלוננת הכוללת את קפיצתה מן הרכב, צעקותיה והתנהגותה בנסיעתה בטרמפ ובעליתה אליו, לאור התרשמות ביהמ"ש מאופן מסירתה את עדותה על דוכן העדים, מהתנהגותה עם הנאשם מרגע עלייתה לטרמפ ועד הרגע שבו לגרסתה הנאשם החל לנהוג באלימות כלפיה – יכולה להתיישב גם עם גרסת הנאשם על המהפך הפתאומי בהתנהגותה גם ללא קשר לפעילות עבריינית מצידו בארוע או לחילופין לנסיונו "להתחיל" עמה באופן לגיטימי שאין בו חריגה מהתנהגות נורמטיבית. </w:t>
      </w:r>
    </w:p>
    <w:p w14:paraId="4C9FF177" w14:textId="77777777" w:rsidR="00BE362C" w:rsidRDefault="00BE362C">
      <w:pPr>
        <w:ind w:left="1029"/>
        <w:rPr>
          <w:rFonts w:hint="cs"/>
          <w:rtl/>
        </w:rPr>
      </w:pPr>
    </w:p>
    <w:p w14:paraId="2EFF31BB" w14:textId="77777777" w:rsidR="00BE362C" w:rsidRDefault="00BE362C">
      <w:pPr>
        <w:numPr>
          <w:ilvl w:val="0"/>
          <w:numId w:val="2"/>
        </w:numPr>
        <w:ind w:left="360" w:right="0"/>
        <w:rPr>
          <w:rFonts w:hint="cs"/>
          <w:rtl/>
        </w:rPr>
      </w:pPr>
      <w:r>
        <w:rPr>
          <w:rFonts w:hint="cs"/>
          <w:rtl/>
        </w:rPr>
        <w:t xml:space="preserve">בסכמי את כלל העובדות המפורטות לעיל, בחינתן של הראיות שהובאו לביהמ"ש שקלולן של עדויות המתלוננת והנאשם, מהימנותן וההשוואה בינהן על רקע נטל השכנוע הקבוע בדין אומר שמאזן הראיות נוטה לטובת גרסת המתלוננת אך לא במידה הדרושה במשפט פלילי. </w:t>
      </w:r>
    </w:p>
    <w:p w14:paraId="0F23A210" w14:textId="77777777" w:rsidR="00BE362C" w:rsidRDefault="00BE362C">
      <w:pPr>
        <w:ind w:left="309"/>
        <w:rPr>
          <w:rFonts w:hint="cs"/>
          <w:rtl/>
        </w:rPr>
      </w:pPr>
      <w:r>
        <w:rPr>
          <w:rFonts w:hint="cs"/>
          <w:rtl/>
        </w:rPr>
        <w:t xml:space="preserve">לא אוכל לאור כלל העובדות שפורטו לעיל להיות משוכנע מעבר לכל ספק סביר שבאו בפני די ראיות להרשיע הנאשם ולהעדיף גרסת המתלוננת על גרסתו לכן מחמת אותו ספק סביר אזכהו בדין. </w:t>
      </w:r>
    </w:p>
    <w:p w14:paraId="650CEC18" w14:textId="77777777" w:rsidR="00BE362C" w:rsidRDefault="00BE362C">
      <w:pPr>
        <w:suppressLineNumbers/>
        <w:ind w:firstLine="309"/>
        <w:rPr>
          <w:rFonts w:hint="cs"/>
          <w:b/>
          <w:bCs/>
          <w:rtl/>
        </w:rPr>
      </w:pPr>
      <w:r>
        <w:rPr>
          <w:rFonts w:hint="cs"/>
          <w:b/>
          <w:bCs/>
          <w:rtl/>
        </w:rPr>
        <w:t>ניתנה היום 28 בינואר, 2001 (ד' בשבט תשס"א) במעמד הצדדים הנ"ל.</w:t>
      </w:r>
      <w:r>
        <w:rPr>
          <w:b/>
          <w:bCs/>
          <w:color w:val="FFFFFF"/>
          <w:sz w:val="4"/>
          <w:szCs w:val="4"/>
          <w:rtl/>
        </w:rPr>
        <w:t>ב</w:t>
      </w:r>
    </w:p>
    <w:tbl>
      <w:tblPr>
        <w:tblW w:w="0" w:type="auto"/>
        <w:tblInd w:w="6153" w:type="dxa"/>
        <w:tblBorders>
          <w:top w:val="single" w:sz="4" w:space="0" w:color="auto"/>
        </w:tblBorders>
        <w:tblLook w:val="0000" w:firstRow="0" w:lastRow="0" w:firstColumn="0" w:lastColumn="0" w:noHBand="0" w:noVBand="0"/>
      </w:tblPr>
      <w:tblGrid>
        <w:gridCol w:w="2376"/>
      </w:tblGrid>
      <w:tr w:rsidR="00BE362C" w14:paraId="586B7E78" w14:textId="77777777">
        <w:tc>
          <w:tcPr>
            <w:tcW w:w="2376" w:type="dxa"/>
            <w:tcBorders>
              <w:top w:val="single" w:sz="4" w:space="0" w:color="auto"/>
              <w:left w:val="nil"/>
              <w:bottom w:val="nil"/>
              <w:right w:val="nil"/>
            </w:tcBorders>
          </w:tcPr>
          <w:p w14:paraId="3BCA3BF8" w14:textId="77777777" w:rsidR="00BE362C" w:rsidRDefault="00BE362C">
            <w:pPr>
              <w:jc w:val="center"/>
              <w:rPr>
                <w:sz w:val="24"/>
              </w:rPr>
            </w:pPr>
            <w:r>
              <w:rPr>
                <w:rFonts w:hint="cs"/>
                <w:sz w:val="24"/>
                <w:rtl/>
              </w:rPr>
              <w:t>ר. בן יוסף, שופט</w:t>
            </w:r>
          </w:p>
        </w:tc>
      </w:tr>
    </w:tbl>
    <w:p w14:paraId="2EDFB895" w14:textId="77777777" w:rsidR="00BE362C" w:rsidRDefault="00BE362C">
      <w:pPr>
        <w:rPr>
          <w:rFonts w:hint="cs"/>
          <w:sz w:val="24"/>
          <w:rtl/>
        </w:rPr>
      </w:pPr>
    </w:p>
    <w:p w14:paraId="57B8F0B0" w14:textId="77777777" w:rsidR="00BE362C" w:rsidRDefault="00BE362C">
      <w:pPr>
        <w:rPr>
          <w:rFonts w:hint="cs"/>
          <w:b/>
          <w:bCs/>
          <w:rtl/>
        </w:rPr>
      </w:pPr>
      <w:r>
        <w:rPr>
          <w:rFonts w:hint="cs"/>
          <w:b/>
          <w:bCs/>
          <w:rtl/>
        </w:rPr>
        <w:t xml:space="preserve">קלדנית: לימור וקנין. </w:t>
      </w:r>
    </w:p>
    <w:p w14:paraId="6CF6717E" w14:textId="77777777" w:rsidR="00BE362C" w:rsidRDefault="00BE362C">
      <w:pPr>
        <w:rPr>
          <w:rFonts w:hint="cs"/>
          <w:rtl/>
        </w:rPr>
      </w:pPr>
      <w:r>
        <w:rPr>
          <w:rtl/>
        </w:rPr>
        <w:t>נוסח מסמך זה כפוף לשינויי ניסוח ועריכה</w:t>
      </w:r>
    </w:p>
    <w:sectPr w:rsidR="00BE362C">
      <w:headerReference w:type="even" r:id="rId29"/>
      <w:headerReference w:type="default" r:id="rId30"/>
      <w:footerReference w:type="even" r:id="rId31"/>
      <w:footerReference w:type="default" r:id="rId32"/>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D41CD" w14:textId="77777777" w:rsidR="00044007" w:rsidRDefault="00044007">
      <w:pPr>
        <w:spacing w:line="240" w:lineRule="auto"/>
      </w:pPr>
      <w:r>
        <w:separator/>
      </w:r>
    </w:p>
  </w:endnote>
  <w:endnote w:type="continuationSeparator" w:id="0">
    <w:p w14:paraId="130019B8" w14:textId="77777777" w:rsidR="00044007" w:rsidRDefault="00044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047" w14:textId="77777777" w:rsidR="00A76E54" w:rsidRDefault="00A76E5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8D88D13" w14:textId="77777777" w:rsidR="00A76E54" w:rsidRDefault="00A76E5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6A8DE1B" w14:textId="77777777" w:rsidR="00A76E54" w:rsidRDefault="00A76E5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M:\00000000\05-06-30\ps-all\11 = 01-02-13 - noa\OutDoc\s00002821-24.doc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3A2F4" w14:textId="77777777" w:rsidR="00A76E54" w:rsidRDefault="00A76E5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55688">
      <w:rPr>
        <w:rFonts w:hAnsi="FrankRuehl" w:cs="FrankRuehl"/>
        <w:noProof/>
        <w:sz w:val="24"/>
        <w:rtl/>
      </w:rPr>
      <w:t>1</w:t>
    </w:r>
    <w:r>
      <w:rPr>
        <w:rFonts w:hAnsi="FrankRuehl" w:cs="FrankRuehl"/>
        <w:sz w:val="24"/>
        <w:rtl/>
      </w:rPr>
      <w:fldChar w:fldCharType="end"/>
    </w:r>
  </w:p>
  <w:p w14:paraId="3CFF4168" w14:textId="77777777" w:rsidR="00A76E54" w:rsidRDefault="00A76E5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77D19A9" w14:textId="77777777" w:rsidR="00A76E54" w:rsidRDefault="00A76E5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M:\00000000\05-06-30\ps-all\11 = 01-02-13 - noa\OutDoc\s00002821-24.doc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DBA5" w14:textId="77777777" w:rsidR="00044007" w:rsidRDefault="00044007">
      <w:pPr>
        <w:spacing w:line="240" w:lineRule="auto"/>
      </w:pPr>
      <w:r>
        <w:separator/>
      </w:r>
    </w:p>
  </w:footnote>
  <w:footnote w:type="continuationSeparator" w:id="0">
    <w:p w14:paraId="505CE93E" w14:textId="77777777" w:rsidR="00044007" w:rsidRDefault="00044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A14BD" w14:textId="77777777" w:rsidR="00A76E54" w:rsidRDefault="00A76E5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(אש') 2821/00</w:t>
    </w:r>
    <w:r>
      <w:rPr>
        <w:rFonts w:hAnsi="David"/>
        <w:color w:val="000000"/>
        <w:sz w:val="22"/>
        <w:szCs w:val="22"/>
        <w:rtl/>
      </w:rPr>
      <w:tab/>
      <w:t xml:space="preserve"> מדינת ישראל נ' נזרי אורי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4B643" w14:textId="77777777" w:rsidR="00A76E54" w:rsidRDefault="00A76E5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(אש') 2821/00</w:t>
    </w:r>
    <w:r>
      <w:rPr>
        <w:rFonts w:hAnsi="David"/>
        <w:color w:val="000000"/>
        <w:sz w:val="22"/>
        <w:szCs w:val="22"/>
        <w:rtl/>
      </w:rPr>
      <w:tab/>
      <w:t xml:space="preserve"> מדינת ישראל נ' נזרי אורי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E2E27"/>
    <w:multiLevelType w:val="hybridMultilevel"/>
    <w:tmpl w:val="002E5322"/>
    <w:lvl w:ilvl="0" w:tplc="CB483226">
      <w:start w:val="2"/>
      <w:numFmt w:val="decimal"/>
      <w:lvlText w:val="%1."/>
      <w:lvlJc w:val="left"/>
      <w:pPr>
        <w:tabs>
          <w:tab w:val="num" w:pos="309"/>
        </w:tabs>
        <w:ind w:left="309" w:right="309" w:hanging="360"/>
      </w:pPr>
    </w:lvl>
    <w:lvl w:ilvl="1" w:tplc="BB7CFA5E">
      <w:start w:val="1"/>
      <w:numFmt w:val="hebrew1"/>
      <w:lvlText w:val="%2."/>
      <w:lvlJc w:val="left"/>
      <w:pPr>
        <w:tabs>
          <w:tab w:val="num" w:pos="1029"/>
        </w:tabs>
        <w:ind w:left="1029" w:right="1029" w:hanging="360"/>
      </w:pPr>
    </w:lvl>
    <w:lvl w:ilvl="2" w:tplc="CB483226">
      <w:start w:val="2"/>
      <w:numFmt w:val="decimal"/>
      <w:lvlText w:val="%3."/>
      <w:lvlJc w:val="left"/>
      <w:pPr>
        <w:tabs>
          <w:tab w:val="num" w:pos="1929"/>
        </w:tabs>
        <w:ind w:left="1929" w:right="1929"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341972404">
    <w:abstractNumId w:val="0"/>
  </w:num>
  <w:num w:numId="2" w16cid:durableId="1298950440">
    <w:abstractNumId w:val="0"/>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2A5B2B"/>
    <w:rsid w:val="00044007"/>
    <w:rsid w:val="00281FFC"/>
    <w:rsid w:val="002A5B2B"/>
    <w:rsid w:val="004458B5"/>
    <w:rsid w:val="00755688"/>
    <w:rsid w:val="009D31FF"/>
    <w:rsid w:val="00A76E54"/>
    <w:rsid w:val="00BE362C"/>
    <w:rsid w:val="00D975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31F7B5"/>
  <w15:chartTrackingRefBased/>
  <w15:docId w15:val="{8FEBFB06-4F96-472E-AAC5-6F8C01F4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Caption">
    <w:name w:val="caption"/>
    <w:basedOn w:val="Normal"/>
    <w:next w:val="Normal"/>
    <w:qFormat/>
    <w:pPr>
      <w:jc w:val="center"/>
    </w:pPr>
    <w:rPr>
      <w:sz w:val="32"/>
      <w:szCs w:val="32"/>
      <w:u w:val="single"/>
    </w:rPr>
  </w:style>
  <w:style w:type="paragraph" w:styleId="BodyTextIndent">
    <w:name w:val="Body Text Indent"/>
    <w:basedOn w:val="Normal"/>
    <w:semiHidden/>
    <w:pPr>
      <w:ind w:left="233" w:hanging="233"/>
    </w:pPr>
  </w:style>
  <w:style w:type="paragraph" w:styleId="BodyTextIndent2">
    <w:name w:val="Body Text Indent 2"/>
    <w:basedOn w:val="Normal"/>
    <w:semiHidden/>
    <w:pPr>
      <w:ind w:left="233" w:hanging="233"/>
    </w:pPr>
  </w:style>
  <w:style w:type="paragraph" w:styleId="BodyTextIndent3">
    <w:name w:val="Body Text Indent 3"/>
    <w:basedOn w:val="Normal"/>
    <w:semiHidden/>
    <w:pPr>
      <w:ind w:left="233" w:hanging="233"/>
    </w:p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9D31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7" TargetMode="External"/><Relationship Id="rId18" Type="http://schemas.openxmlformats.org/officeDocument/2006/relationships/hyperlink" Target="http://www.nevo.co.il/law/70301/34kb.a" TargetMode="External"/><Relationship Id="rId26" Type="http://schemas.openxmlformats.org/officeDocument/2006/relationships/hyperlink" Target="http://www.nevo.co.il/law/70301/25" TargetMode="External"/><Relationship Id="rId3" Type="http://schemas.openxmlformats.org/officeDocument/2006/relationships/settings" Target="settings.xml"/><Relationship Id="rId21" Type="http://schemas.openxmlformats.org/officeDocument/2006/relationships/hyperlink" Target="http://www.nevo.co.il/law/70301/25" TargetMode="External"/><Relationship Id="rId34" Type="http://schemas.openxmlformats.org/officeDocument/2006/relationships/theme" Target="theme/theme1.xml"/><Relationship Id="rId7" Type="http://schemas.openxmlformats.org/officeDocument/2006/relationships/hyperlink" Target="http://www.nevo.co.il/law/74903" TargetMode="External"/><Relationship Id="rId12" Type="http://schemas.openxmlformats.org/officeDocument/2006/relationships/hyperlink" Target="http://www.nevo.co.il/law/70301/34kb.a" TargetMode="External"/><Relationship Id="rId17" Type="http://schemas.openxmlformats.org/officeDocument/2006/relationships/hyperlink" Target="http://www.nevo.co.il/law/74903" TargetMode="External"/><Relationship Id="rId25" Type="http://schemas.openxmlformats.org/officeDocument/2006/relationships/hyperlink" Target="http://www.nevo.co.il/law/70301/37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4903/182" TargetMode="External"/><Relationship Id="rId20" Type="http://schemas.openxmlformats.org/officeDocument/2006/relationships/hyperlink" Target="http://www.nevo.co.il/law/70301/348.a"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a" TargetMode="External"/><Relationship Id="rId24" Type="http://schemas.openxmlformats.org/officeDocument/2006/relationships/hyperlink" Target="http://www.nevo.co.il/law/70301/380"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28" TargetMode="External"/><Relationship Id="rId23" Type="http://schemas.openxmlformats.org/officeDocument/2006/relationships/hyperlink" Target="http://www.nevo.co.il/law/70301/428" TargetMode="External"/><Relationship Id="rId28" Type="http://schemas.openxmlformats.org/officeDocument/2006/relationships/hyperlink" Target="http://www.nevo.co.il/law/70301" TargetMode="External"/><Relationship Id="rId10" Type="http://schemas.openxmlformats.org/officeDocument/2006/relationships/hyperlink" Target="http://www.nevo.co.il/law/70301/25" TargetMode="External"/><Relationship Id="rId19" Type="http://schemas.openxmlformats.org/officeDocument/2006/relationships/hyperlink" Target="http://www.nevo.co.il/law/70301"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380"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80" TargetMode="External"/><Relationship Id="rId30" Type="http://schemas.openxmlformats.org/officeDocument/2006/relationships/header" Target="header2.xml"/><Relationship Id="rId8" Type="http://schemas.openxmlformats.org/officeDocument/2006/relationships/hyperlink" Target="http://www.nevo.co.il/law/74903/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1435</Words>
  <Characters>8184</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9600</CharactersWithSpaces>
  <SharedDoc>false</SharedDoc>
  <HLinks>
    <vt:vector size="132" baseType="variant">
      <vt:variant>
        <vt:i4>7995492</vt:i4>
      </vt:variant>
      <vt:variant>
        <vt:i4>63</vt:i4>
      </vt:variant>
      <vt:variant>
        <vt:i4>0</vt:i4>
      </vt:variant>
      <vt:variant>
        <vt:i4>5</vt:i4>
      </vt:variant>
      <vt:variant>
        <vt:lpwstr>http://www.nevo.co.il/law/70301</vt:lpwstr>
      </vt:variant>
      <vt:variant>
        <vt:lpwstr/>
      </vt:variant>
      <vt:variant>
        <vt:i4>7143526</vt:i4>
      </vt:variant>
      <vt:variant>
        <vt:i4>60</vt:i4>
      </vt:variant>
      <vt:variant>
        <vt:i4>0</vt:i4>
      </vt:variant>
      <vt:variant>
        <vt:i4>5</vt:i4>
      </vt:variant>
      <vt:variant>
        <vt:lpwstr>http://www.nevo.co.il/law/70301/380</vt:lpwstr>
      </vt:variant>
      <vt:variant>
        <vt:lpwstr/>
      </vt:variant>
      <vt:variant>
        <vt:i4>6291559</vt:i4>
      </vt:variant>
      <vt:variant>
        <vt:i4>57</vt:i4>
      </vt:variant>
      <vt:variant>
        <vt:i4>0</vt:i4>
      </vt:variant>
      <vt:variant>
        <vt:i4>5</vt:i4>
      </vt:variant>
      <vt:variant>
        <vt:lpwstr>http://www.nevo.co.il/law/70301/25</vt:lpwstr>
      </vt:variant>
      <vt:variant>
        <vt:lpwstr/>
      </vt:variant>
      <vt:variant>
        <vt:i4>6422630</vt:i4>
      </vt:variant>
      <vt:variant>
        <vt:i4>54</vt:i4>
      </vt:variant>
      <vt:variant>
        <vt:i4>0</vt:i4>
      </vt:variant>
      <vt:variant>
        <vt:i4>5</vt:i4>
      </vt:variant>
      <vt:variant>
        <vt:lpwstr>http://www.nevo.co.il/law/70301/377</vt:lpwstr>
      </vt:variant>
      <vt:variant>
        <vt:lpwstr/>
      </vt:variant>
      <vt:variant>
        <vt:i4>7143526</vt:i4>
      </vt:variant>
      <vt:variant>
        <vt:i4>51</vt:i4>
      </vt:variant>
      <vt:variant>
        <vt:i4>0</vt:i4>
      </vt:variant>
      <vt:variant>
        <vt:i4>5</vt:i4>
      </vt:variant>
      <vt:variant>
        <vt:lpwstr>http://www.nevo.co.il/law/70301/380</vt:lpwstr>
      </vt:variant>
      <vt:variant>
        <vt:lpwstr/>
      </vt:variant>
      <vt:variant>
        <vt:i4>6750305</vt:i4>
      </vt:variant>
      <vt:variant>
        <vt:i4>48</vt:i4>
      </vt:variant>
      <vt:variant>
        <vt:i4>0</vt:i4>
      </vt:variant>
      <vt:variant>
        <vt:i4>5</vt:i4>
      </vt:variant>
      <vt:variant>
        <vt:lpwstr>http://www.nevo.co.il/law/70301/428</vt:lpwstr>
      </vt:variant>
      <vt:variant>
        <vt:lpwstr/>
      </vt:variant>
      <vt:variant>
        <vt:i4>7995492</vt:i4>
      </vt:variant>
      <vt:variant>
        <vt:i4>45</vt:i4>
      </vt:variant>
      <vt:variant>
        <vt:i4>0</vt:i4>
      </vt:variant>
      <vt:variant>
        <vt:i4>5</vt:i4>
      </vt:variant>
      <vt:variant>
        <vt:lpwstr>http://www.nevo.co.il/law/70301</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5177438</vt:i4>
      </vt:variant>
      <vt:variant>
        <vt:i4>39</vt:i4>
      </vt:variant>
      <vt:variant>
        <vt:i4>0</vt:i4>
      </vt:variant>
      <vt:variant>
        <vt:i4>5</vt:i4>
      </vt:variant>
      <vt:variant>
        <vt:lpwstr>http://www.nevo.co.il/law/70301/348.a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6422563</vt:i4>
      </vt:variant>
      <vt:variant>
        <vt:i4>33</vt:i4>
      </vt:variant>
      <vt:variant>
        <vt:i4>0</vt:i4>
      </vt:variant>
      <vt:variant>
        <vt:i4>5</vt:i4>
      </vt:variant>
      <vt:variant>
        <vt:lpwstr>http://www.nevo.co.il/law/70301/34kb.a</vt:lpwstr>
      </vt:variant>
      <vt:variant>
        <vt:lpwstr/>
      </vt:variant>
      <vt:variant>
        <vt:i4>8257646</vt:i4>
      </vt:variant>
      <vt:variant>
        <vt:i4>30</vt:i4>
      </vt:variant>
      <vt:variant>
        <vt:i4>0</vt:i4>
      </vt:variant>
      <vt:variant>
        <vt:i4>5</vt:i4>
      </vt:variant>
      <vt:variant>
        <vt:lpwstr>http://www.nevo.co.il/law/74903</vt:lpwstr>
      </vt:variant>
      <vt:variant>
        <vt:lpwstr/>
      </vt:variant>
      <vt:variant>
        <vt:i4>6881388</vt:i4>
      </vt:variant>
      <vt:variant>
        <vt:i4>27</vt:i4>
      </vt:variant>
      <vt:variant>
        <vt:i4>0</vt:i4>
      </vt:variant>
      <vt:variant>
        <vt:i4>5</vt:i4>
      </vt:variant>
      <vt:variant>
        <vt:lpwstr>http://www.nevo.co.il/law/74903/182</vt:lpwstr>
      </vt:variant>
      <vt:variant>
        <vt:lpwstr/>
      </vt:variant>
      <vt:variant>
        <vt:i4>6750305</vt:i4>
      </vt:variant>
      <vt:variant>
        <vt:i4>24</vt:i4>
      </vt:variant>
      <vt:variant>
        <vt:i4>0</vt:i4>
      </vt:variant>
      <vt:variant>
        <vt:i4>5</vt:i4>
      </vt:variant>
      <vt:variant>
        <vt:lpwstr>http://www.nevo.co.il/law/70301/428</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6422630</vt:i4>
      </vt:variant>
      <vt:variant>
        <vt:i4>18</vt:i4>
      </vt:variant>
      <vt:variant>
        <vt:i4>0</vt:i4>
      </vt:variant>
      <vt:variant>
        <vt:i4>5</vt:i4>
      </vt:variant>
      <vt:variant>
        <vt:lpwstr>http://www.nevo.co.il/law/70301/377</vt:lpwstr>
      </vt:variant>
      <vt:variant>
        <vt:lpwstr/>
      </vt:variant>
      <vt:variant>
        <vt:i4>6422563</vt:i4>
      </vt:variant>
      <vt:variant>
        <vt:i4>15</vt:i4>
      </vt:variant>
      <vt:variant>
        <vt:i4>0</vt:i4>
      </vt:variant>
      <vt:variant>
        <vt:i4>5</vt:i4>
      </vt:variant>
      <vt:variant>
        <vt:lpwstr>http://www.nevo.co.il/law/70301/34kb.a</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2001-01-25T08:23:00Z</cp:lastPrinted>
  <dcterms:created xsi:type="dcterms:W3CDTF">2022-05-24T10:08:00Z</dcterms:created>
  <dcterms:modified xsi:type="dcterms:W3CDTF">2022-05-24T10:08:00Z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2821</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נזרי אורי</vt:lpwstr>
  </property>
  <property fmtid="{D5CDD505-2E9C-101B-9397-08002B2CF9AE}" pid="9" name="LAWYER">
    <vt:lpwstr>טנא;גסר יעקב</vt:lpwstr>
  </property>
  <property fmtid="{D5CDD505-2E9C-101B-9397-08002B2CF9AE}" pid="10" name="JUDGE">
    <vt:lpwstr>ר.בן-יוסף</vt:lpwstr>
  </property>
  <property fmtid="{D5CDD505-2E9C-101B-9397-08002B2CF9AE}" pid="11" name="CITY">
    <vt:lpwstr>אש'</vt:lpwstr>
  </property>
  <property fmtid="{D5CDD505-2E9C-101B-9397-08002B2CF9AE}" pid="12" name="DATE">
    <vt:lpwstr>20010213</vt:lpwstr>
  </property>
  <property fmtid="{D5CDD505-2E9C-101B-9397-08002B2CF9AE}" pid="13" name="WORDNUMPAGES">
    <vt:lpwstr>5</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74903/182</vt:lpwstr>
  </property>
  <property fmtid="{D5CDD505-2E9C-101B-9397-08002B2CF9AE}" pid="32" name="LAWLISTTMP2">
    <vt:lpwstr>70301/34kb.a;348.a;025:2;428;380:2;377</vt:lpwstr>
  </property>
</Properties>
</file>