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DEDA" w14:textId="77777777" w:rsidR="00D53F06" w:rsidRDefault="00D53F06">
      <w:pPr>
        <w:pStyle w:val="Header"/>
        <w:rPr>
          <w:rtl/>
        </w:rPr>
      </w:pPr>
      <w:bookmarkStart w:id="0" w:name="צד_ג"/>
      <w:bookmarkEnd w:id="0"/>
    </w:p>
    <w:p w14:paraId="0BC121F9" w14:textId="77777777" w:rsidR="00D53F06" w:rsidRDefault="00D53F06">
      <w:pPr>
        <w:spacing w:line="240" w:lineRule="auto"/>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3"/>
        <w:gridCol w:w="850"/>
        <w:gridCol w:w="2233"/>
      </w:tblGrid>
      <w:tr w:rsidR="00D53F06" w14:paraId="4FEB323E" w14:textId="77777777" w:rsidTr="00D53F06">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0B40F998" w14:textId="77777777" w:rsidR="00D53F06" w:rsidRDefault="00D53F06">
            <w:pPr>
              <w:spacing w:line="240" w:lineRule="auto"/>
              <w:rPr>
                <w:b/>
                <w:bCs/>
                <w:sz w:val="24"/>
              </w:rPr>
            </w:pPr>
            <w:r>
              <w:rPr>
                <w:rFonts w:hint="cs"/>
                <w:b/>
                <w:bCs/>
                <w:sz w:val="24"/>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
          <w:p w14:paraId="56B3EF2B" w14:textId="77777777" w:rsidR="00D53F06" w:rsidRDefault="00D53F06">
            <w:pPr>
              <w:spacing w:line="240" w:lineRule="auto"/>
              <w:rPr>
                <w:b/>
                <w:bCs/>
                <w:sz w:val="24"/>
              </w:rPr>
            </w:pPr>
            <w:r>
              <w:rPr>
                <w:rFonts w:hint="cs"/>
                <w:b/>
                <w:bCs/>
                <w:sz w:val="24"/>
                <w:rtl/>
              </w:rPr>
              <w:t>פ  004117/00</w:t>
            </w:r>
          </w:p>
        </w:tc>
      </w:tr>
      <w:tr w:rsidR="00D53F06" w14:paraId="1F85B970" w14:textId="77777777" w:rsidTr="00D53F06">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CF34467" w14:textId="77777777" w:rsidR="00D53F06" w:rsidRDefault="00D53F06">
            <w:pPr>
              <w:bidi w:val="0"/>
              <w:spacing w:line="240" w:lineRule="auto"/>
              <w:jc w:val="left"/>
              <w:rPr>
                <w:b/>
                <w:bCs/>
                <w:sz w:val="24"/>
              </w:rPr>
            </w:pPr>
          </w:p>
        </w:tc>
        <w:tc>
          <w:tcPr>
            <w:tcW w:w="3085" w:type="dxa"/>
            <w:gridSpan w:val="2"/>
            <w:tcBorders>
              <w:top w:val="single" w:sz="4" w:space="0" w:color="auto"/>
              <w:left w:val="single" w:sz="4" w:space="0" w:color="auto"/>
              <w:bottom w:val="single" w:sz="4" w:space="0" w:color="auto"/>
              <w:right w:val="single" w:sz="4" w:space="0" w:color="auto"/>
            </w:tcBorders>
          </w:tcPr>
          <w:p w14:paraId="6B93C8A8" w14:textId="77777777" w:rsidR="00D53F06" w:rsidRDefault="00D53F06">
            <w:pPr>
              <w:spacing w:line="240" w:lineRule="auto"/>
              <w:rPr>
                <w:b/>
                <w:bCs/>
                <w:sz w:val="24"/>
              </w:rPr>
            </w:pPr>
          </w:p>
        </w:tc>
      </w:tr>
      <w:tr w:rsidR="00D53F06" w14:paraId="363F21E1" w14:textId="77777777" w:rsidTr="00D53F06">
        <w:trPr>
          <w:trHeight w:val="286"/>
        </w:trPr>
        <w:tc>
          <w:tcPr>
            <w:tcW w:w="766" w:type="dxa"/>
            <w:tcBorders>
              <w:top w:val="single" w:sz="4" w:space="0" w:color="auto"/>
              <w:left w:val="single" w:sz="4" w:space="0" w:color="auto"/>
              <w:bottom w:val="single" w:sz="4" w:space="0" w:color="auto"/>
              <w:right w:val="single" w:sz="4" w:space="0" w:color="auto"/>
            </w:tcBorders>
          </w:tcPr>
          <w:p w14:paraId="6827C072" w14:textId="77777777" w:rsidR="00D53F06" w:rsidRDefault="00D53F06">
            <w:pPr>
              <w:spacing w:line="240" w:lineRule="auto"/>
              <w:rPr>
                <w:b/>
                <w:bCs/>
                <w:sz w:val="24"/>
              </w:rPr>
            </w:pPr>
            <w:bookmarkStart w:id="1" w:name="LastJudge"/>
            <w:r>
              <w:rPr>
                <w:rFonts w:hint="cs"/>
                <w:b/>
                <w:bCs/>
                <w:sz w:val="24"/>
                <w:rtl/>
              </w:rPr>
              <w:t>לפני:</w:t>
            </w:r>
          </w:p>
        </w:tc>
        <w:tc>
          <w:tcPr>
            <w:tcW w:w="4678" w:type="dxa"/>
            <w:tcBorders>
              <w:top w:val="single" w:sz="4" w:space="0" w:color="auto"/>
              <w:left w:val="single" w:sz="4" w:space="0" w:color="auto"/>
              <w:bottom w:val="single" w:sz="4" w:space="0" w:color="auto"/>
              <w:right w:val="single" w:sz="4" w:space="0" w:color="auto"/>
            </w:tcBorders>
          </w:tcPr>
          <w:p w14:paraId="580ECF8C" w14:textId="77777777" w:rsidR="00D53F06" w:rsidRDefault="00D53F06">
            <w:pPr>
              <w:spacing w:line="240" w:lineRule="auto"/>
              <w:rPr>
                <w:b/>
                <w:bCs/>
                <w:sz w:val="24"/>
              </w:rPr>
            </w:pPr>
            <w:r>
              <w:rPr>
                <w:rFonts w:hint="cs"/>
                <w:b/>
                <w:bCs/>
                <w:sz w:val="24"/>
                <w:rtl/>
              </w:rPr>
              <w:t>כבוד הנשיא אמנון כהן, שופט מחוזי</w:t>
            </w:r>
          </w:p>
          <w:p w14:paraId="4B3D0A8C" w14:textId="77777777" w:rsidR="00D53F06" w:rsidRDefault="00D53F06">
            <w:pPr>
              <w:spacing w:line="240" w:lineRule="auto"/>
              <w:rPr>
                <w:b/>
                <w:bCs/>
                <w:sz w:val="24"/>
              </w:rPr>
            </w:pP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FCA6AC8" w14:textId="77777777" w:rsidR="00D53F06" w:rsidRDefault="00D53F06">
            <w:pPr>
              <w:spacing w:line="240" w:lineRule="auto"/>
              <w:rPr>
                <w:b/>
                <w:bCs/>
                <w:sz w:val="24"/>
              </w:rPr>
            </w:pPr>
            <w:r>
              <w:rPr>
                <w:rFonts w:hint="cs"/>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136F7744" w14:textId="77777777" w:rsidR="00D53F06" w:rsidRDefault="00D53F06">
            <w:pPr>
              <w:spacing w:line="240" w:lineRule="auto"/>
              <w:rPr>
                <w:b/>
                <w:bCs/>
                <w:sz w:val="24"/>
              </w:rPr>
            </w:pPr>
            <w:r>
              <w:rPr>
                <w:rFonts w:hint="cs"/>
                <w:b/>
                <w:bCs/>
                <w:sz w:val="24"/>
                <w:rtl/>
              </w:rPr>
              <w:t>13/11/01</w:t>
            </w:r>
          </w:p>
        </w:tc>
      </w:tr>
      <w:bookmarkEnd w:id="1"/>
    </w:tbl>
    <w:p w14:paraId="2F0374BA" w14:textId="77777777" w:rsidR="00D53F06" w:rsidRDefault="00D53F06">
      <w:pPr>
        <w:pStyle w:val="Header"/>
        <w:spacing w:line="240" w:lineRule="auto"/>
        <w:jc w:val="left"/>
        <w:rPr>
          <w:rFonts w:hint="cs"/>
          <w:szCs w:val="20"/>
          <w:rtl/>
        </w:rPr>
      </w:pPr>
    </w:p>
    <w:p w14:paraId="32A1E20E" w14:textId="77777777" w:rsidR="00D53F06" w:rsidRDefault="00D53F06">
      <w:pPr>
        <w:rPr>
          <w:rFonts w:hint="cs"/>
          <w:rtl/>
        </w:rPr>
      </w:pPr>
    </w:p>
    <w:tbl>
      <w:tblPr>
        <w:bidiVisual/>
        <w:tblW w:w="8591" w:type="dxa"/>
        <w:tblInd w:w="-29" w:type="dxa"/>
        <w:tblCellMar>
          <w:left w:w="107" w:type="dxa"/>
          <w:right w:w="107" w:type="dxa"/>
        </w:tblCellMar>
        <w:tblLook w:val="0000" w:firstRow="0" w:lastRow="0" w:firstColumn="0" w:lastColumn="0" w:noHBand="0" w:noVBand="0"/>
      </w:tblPr>
      <w:tblGrid>
        <w:gridCol w:w="1362"/>
        <w:gridCol w:w="1757"/>
        <w:gridCol w:w="3063"/>
        <w:gridCol w:w="2409"/>
      </w:tblGrid>
      <w:tr w:rsidR="00D53F06" w14:paraId="6B23794C" w14:textId="77777777" w:rsidTr="00D53F06">
        <w:tc>
          <w:tcPr>
            <w:tcW w:w="1362" w:type="dxa"/>
          </w:tcPr>
          <w:p w14:paraId="076A0ECD" w14:textId="77777777" w:rsidR="00D53F06" w:rsidRDefault="00D53F06">
            <w:pPr>
              <w:spacing w:line="240" w:lineRule="auto"/>
              <w:rPr>
                <w:b/>
                <w:bCs/>
                <w:szCs w:val="26"/>
              </w:rPr>
            </w:pPr>
            <w:bookmarkStart w:id="2" w:name="שם_א" w:colFirst="1" w:colLast="1"/>
            <w:bookmarkStart w:id="3" w:name="FirstAppellant"/>
            <w:r>
              <w:rPr>
                <w:rFonts w:hint="cs"/>
                <w:b/>
                <w:bCs/>
                <w:rtl/>
              </w:rPr>
              <w:t>בענין:</w:t>
            </w:r>
          </w:p>
        </w:tc>
        <w:tc>
          <w:tcPr>
            <w:tcW w:w="4820" w:type="dxa"/>
            <w:gridSpan w:val="2"/>
          </w:tcPr>
          <w:p w14:paraId="0AC68E8A" w14:textId="77777777" w:rsidR="00D53F06" w:rsidRDefault="00D53F06">
            <w:pPr>
              <w:spacing w:line="240" w:lineRule="auto"/>
              <w:rPr>
                <w:b/>
                <w:bCs/>
              </w:rPr>
            </w:pPr>
            <w:r>
              <w:rPr>
                <w:rFonts w:hint="cs"/>
                <w:b/>
                <w:bCs/>
                <w:rtl/>
              </w:rPr>
              <w:t>לשכת תביעות ירושלים</w:t>
            </w:r>
          </w:p>
        </w:tc>
        <w:tc>
          <w:tcPr>
            <w:tcW w:w="2409" w:type="dxa"/>
          </w:tcPr>
          <w:p w14:paraId="7E570338" w14:textId="77777777" w:rsidR="00D53F06" w:rsidRDefault="00D53F06">
            <w:pPr>
              <w:spacing w:line="240" w:lineRule="auto"/>
              <w:rPr>
                <w:b/>
                <w:bCs/>
              </w:rPr>
            </w:pPr>
            <w:r>
              <w:rPr>
                <w:rFonts w:hint="cs"/>
                <w:b/>
                <w:bCs/>
                <w:rtl/>
              </w:rPr>
              <w:t>המאשימה</w:t>
            </w:r>
          </w:p>
        </w:tc>
      </w:tr>
      <w:bookmarkEnd w:id="2"/>
      <w:bookmarkEnd w:id="3"/>
      <w:tr w:rsidR="00D53F06" w14:paraId="613AFD04" w14:textId="77777777" w:rsidTr="00D53F06">
        <w:tc>
          <w:tcPr>
            <w:tcW w:w="1362" w:type="dxa"/>
          </w:tcPr>
          <w:p w14:paraId="4AF13F7C" w14:textId="77777777" w:rsidR="00D53F06" w:rsidRDefault="00D53F06">
            <w:pPr>
              <w:spacing w:line="240" w:lineRule="auto"/>
              <w:rPr>
                <w:b/>
                <w:bCs/>
              </w:rPr>
            </w:pPr>
          </w:p>
        </w:tc>
        <w:tc>
          <w:tcPr>
            <w:tcW w:w="4820" w:type="dxa"/>
            <w:gridSpan w:val="2"/>
          </w:tcPr>
          <w:p w14:paraId="241D6106" w14:textId="77777777" w:rsidR="00D53F06" w:rsidRDefault="00D53F06">
            <w:pPr>
              <w:spacing w:line="240" w:lineRule="auto"/>
              <w:jc w:val="center"/>
              <w:rPr>
                <w:b/>
                <w:bCs/>
              </w:rPr>
            </w:pPr>
            <w:r>
              <w:rPr>
                <w:rFonts w:hint="cs"/>
                <w:b/>
                <w:bCs/>
                <w:rtl/>
              </w:rPr>
              <w:t>נ  ג  ד</w:t>
            </w:r>
          </w:p>
        </w:tc>
        <w:tc>
          <w:tcPr>
            <w:tcW w:w="2409" w:type="dxa"/>
          </w:tcPr>
          <w:p w14:paraId="161FE904" w14:textId="77777777" w:rsidR="00D53F06" w:rsidRDefault="00D53F06">
            <w:pPr>
              <w:spacing w:line="240" w:lineRule="auto"/>
              <w:rPr>
                <w:b/>
                <w:bCs/>
              </w:rPr>
            </w:pPr>
          </w:p>
        </w:tc>
      </w:tr>
      <w:tr w:rsidR="00D53F06" w14:paraId="1287169E" w14:textId="77777777" w:rsidTr="00D53F06">
        <w:tc>
          <w:tcPr>
            <w:tcW w:w="1362" w:type="dxa"/>
          </w:tcPr>
          <w:p w14:paraId="2F0975FE" w14:textId="77777777" w:rsidR="00D53F06" w:rsidRDefault="00D53F06">
            <w:pPr>
              <w:spacing w:line="240" w:lineRule="auto"/>
              <w:rPr>
                <w:b/>
                <w:bCs/>
                <w:szCs w:val="26"/>
              </w:rPr>
            </w:pPr>
            <w:bookmarkStart w:id="4" w:name="שם_ב" w:colFirst="1" w:colLast="1"/>
          </w:p>
        </w:tc>
        <w:tc>
          <w:tcPr>
            <w:tcW w:w="4820" w:type="dxa"/>
            <w:gridSpan w:val="2"/>
          </w:tcPr>
          <w:p w14:paraId="19006E90" w14:textId="77777777" w:rsidR="00D53F06" w:rsidRDefault="00D53F06">
            <w:pPr>
              <w:spacing w:line="240" w:lineRule="auto"/>
              <w:rPr>
                <w:b/>
                <w:bCs/>
              </w:rPr>
            </w:pPr>
            <w:r>
              <w:rPr>
                <w:rFonts w:hint="cs"/>
                <w:b/>
                <w:bCs/>
                <w:rtl/>
              </w:rPr>
              <w:t>טחאן מחמוד</w:t>
            </w:r>
          </w:p>
        </w:tc>
        <w:tc>
          <w:tcPr>
            <w:tcW w:w="2409" w:type="dxa"/>
          </w:tcPr>
          <w:p w14:paraId="409E4342" w14:textId="77777777" w:rsidR="00D53F06" w:rsidRDefault="00D53F06">
            <w:pPr>
              <w:spacing w:line="240" w:lineRule="auto"/>
              <w:rPr>
                <w:b/>
                <w:bCs/>
              </w:rPr>
            </w:pPr>
          </w:p>
        </w:tc>
      </w:tr>
      <w:bookmarkEnd w:id="4"/>
      <w:tr w:rsidR="00D53F06" w14:paraId="3857FC53" w14:textId="77777777" w:rsidTr="00D53F06">
        <w:tc>
          <w:tcPr>
            <w:tcW w:w="1362" w:type="dxa"/>
          </w:tcPr>
          <w:p w14:paraId="637B647E" w14:textId="77777777" w:rsidR="00D53F06" w:rsidRDefault="00D53F06">
            <w:pPr>
              <w:spacing w:line="240" w:lineRule="auto"/>
              <w:rPr>
                <w:b/>
                <w:bCs/>
                <w:szCs w:val="26"/>
              </w:rPr>
            </w:pPr>
          </w:p>
        </w:tc>
        <w:tc>
          <w:tcPr>
            <w:tcW w:w="1757" w:type="dxa"/>
          </w:tcPr>
          <w:p w14:paraId="0FCB1F5A" w14:textId="77777777" w:rsidR="00D53F06" w:rsidRDefault="00D53F06">
            <w:pPr>
              <w:spacing w:line="240" w:lineRule="auto"/>
              <w:rPr>
                <w:b/>
                <w:bCs/>
              </w:rPr>
            </w:pPr>
          </w:p>
        </w:tc>
        <w:tc>
          <w:tcPr>
            <w:tcW w:w="3063" w:type="dxa"/>
          </w:tcPr>
          <w:p w14:paraId="7E7E708C" w14:textId="77777777" w:rsidR="00D53F06" w:rsidRDefault="00D53F06">
            <w:pPr>
              <w:spacing w:line="240" w:lineRule="auto"/>
              <w:rPr>
                <w:b/>
                <w:bCs/>
              </w:rPr>
            </w:pPr>
            <w:r>
              <w:rPr>
                <w:rFonts w:hint="cs"/>
                <w:b/>
                <w:bCs/>
                <w:rtl/>
              </w:rPr>
              <w:t>עו"ד אבו עטה איברהים</w:t>
            </w:r>
            <w:bookmarkStart w:id="5" w:name="בא_כוח_ב"/>
            <w:bookmarkEnd w:id="5"/>
          </w:p>
        </w:tc>
        <w:tc>
          <w:tcPr>
            <w:tcW w:w="2409" w:type="dxa"/>
          </w:tcPr>
          <w:p w14:paraId="53B0952F" w14:textId="77777777" w:rsidR="00D53F06" w:rsidRDefault="00D53F06">
            <w:pPr>
              <w:spacing w:line="240" w:lineRule="auto"/>
              <w:rPr>
                <w:b/>
                <w:bCs/>
              </w:rPr>
            </w:pPr>
            <w:r>
              <w:rPr>
                <w:rFonts w:hint="cs"/>
                <w:b/>
                <w:bCs/>
                <w:rtl/>
              </w:rPr>
              <w:t>ה</w:t>
            </w:r>
            <w:bookmarkStart w:id="6" w:name="כינוי_ב"/>
            <w:bookmarkEnd w:id="6"/>
            <w:r>
              <w:rPr>
                <w:rFonts w:hint="cs"/>
                <w:b/>
                <w:bCs/>
                <w:rtl/>
              </w:rPr>
              <w:t>נאשם</w:t>
            </w:r>
          </w:p>
        </w:tc>
      </w:tr>
    </w:tbl>
    <w:p w14:paraId="2277C43C" w14:textId="77777777" w:rsidR="00742DF4" w:rsidRDefault="00742DF4">
      <w:pPr>
        <w:rPr>
          <w:rtl/>
        </w:rPr>
      </w:pPr>
      <w:bookmarkStart w:id="7" w:name="LawTable"/>
      <w:bookmarkEnd w:id="7"/>
    </w:p>
    <w:p w14:paraId="67B00198" w14:textId="77777777" w:rsidR="00742DF4" w:rsidRPr="00742DF4" w:rsidRDefault="00742DF4" w:rsidP="00742DF4">
      <w:pPr>
        <w:spacing w:after="120" w:line="240" w:lineRule="exact"/>
        <w:ind w:left="283" w:hanging="283"/>
        <w:rPr>
          <w:rFonts w:ascii="FrankRuehl" w:hAnsi="FrankRuehl" w:cs="FrankRuehl"/>
          <w:sz w:val="24"/>
          <w:rtl/>
        </w:rPr>
      </w:pPr>
    </w:p>
    <w:p w14:paraId="663A0F37" w14:textId="77777777" w:rsidR="00742DF4" w:rsidRPr="00742DF4" w:rsidRDefault="00742DF4" w:rsidP="00742DF4">
      <w:pPr>
        <w:spacing w:after="120" w:line="240" w:lineRule="exact"/>
        <w:ind w:left="283" w:hanging="283"/>
        <w:rPr>
          <w:rFonts w:ascii="FrankRuehl" w:hAnsi="FrankRuehl" w:cs="FrankRuehl"/>
          <w:sz w:val="24"/>
          <w:rtl/>
        </w:rPr>
      </w:pPr>
      <w:r w:rsidRPr="00742DF4">
        <w:rPr>
          <w:rFonts w:ascii="FrankRuehl" w:hAnsi="FrankRuehl" w:cs="FrankRuehl"/>
          <w:sz w:val="24"/>
          <w:rtl/>
        </w:rPr>
        <w:t xml:space="preserve">חקיקה שאוזכרה: </w:t>
      </w:r>
    </w:p>
    <w:p w14:paraId="5C669981" w14:textId="77777777" w:rsidR="00742DF4" w:rsidRPr="00742DF4" w:rsidRDefault="00742DF4" w:rsidP="00742DF4">
      <w:pPr>
        <w:spacing w:after="120" w:line="240" w:lineRule="exact"/>
        <w:ind w:left="283" w:hanging="283"/>
        <w:rPr>
          <w:rFonts w:ascii="FrankRuehl" w:hAnsi="FrankRuehl" w:cs="FrankRuehl"/>
          <w:sz w:val="24"/>
          <w:rtl/>
        </w:rPr>
      </w:pPr>
      <w:hyperlink r:id="rId7" w:history="1">
        <w:r w:rsidRPr="00742DF4">
          <w:rPr>
            <w:rFonts w:ascii="FrankRuehl" w:hAnsi="FrankRuehl" w:cs="FrankRuehl"/>
            <w:color w:val="0000FF"/>
            <w:sz w:val="24"/>
            <w:u w:val="single"/>
            <w:rtl/>
          </w:rPr>
          <w:t>חוק העונשין, תשל"ז-1977</w:t>
        </w:r>
      </w:hyperlink>
      <w:r w:rsidRPr="00742DF4">
        <w:rPr>
          <w:rFonts w:ascii="FrankRuehl" w:hAnsi="FrankRuehl" w:cs="FrankRuehl"/>
          <w:sz w:val="24"/>
          <w:rtl/>
        </w:rPr>
        <w:t xml:space="preserve">: סע'  </w:t>
      </w:r>
      <w:hyperlink r:id="rId8" w:history="1">
        <w:r w:rsidRPr="00742DF4">
          <w:rPr>
            <w:rFonts w:ascii="FrankRuehl" w:hAnsi="FrankRuehl" w:cs="FrankRuehl"/>
            <w:color w:val="0000FF"/>
            <w:sz w:val="24"/>
            <w:u w:val="single"/>
            <w:rtl/>
          </w:rPr>
          <w:t>349(א)</w:t>
        </w:r>
      </w:hyperlink>
    </w:p>
    <w:p w14:paraId="671BD29C" w14:textId="77777777" w:rsidR="00742DF4" w:rsidRPr="00742DF4" w:rsidRDefault="00742DF4" w:rsidP="00742DF4">
      <w:pPr>
        <w:spacing w:after="120" w:line="240" w:lineRule="exact"/>
        <w:ind w:left="283" w:hanging="283"/>
        <w:rPr>
          <w:rFonts w:ascii="FrankRuehl" w:hAnsi="FrankRuehl" w:cs="FrankRuehl"/>
          <w:sz w:val="24"/>
          <w:rtl/>
        </w:rPr>
      </w:pPr>
    </w:p>
    <w:p w14:paraId="316BA854" w14:textId="77777777" w:rsidR="00742DF4" w:rsidRPr="00742DF4" w:rsidRDefault="00742DF4">
      <w:pPr>
        <w:rPr>
          <w:rtl/>
        </w:rPr>
      </w:pPr>
      <w:bookmarkStart w:id="8" w:name="LawTable_End"/>
      <w:bookmarkEnd w:id="8"/>
    </w:p>
    <w:p w14:paraId="0A256973" w14:textId="77777777" w:rsidR="00742DF4" w:rsidRPr="00742DF4" w:rsidRDefault="00742DF4">
      <w:pPr>
        <w:rPr>
          <w:rtl/>
        </w:rPr>
      </w:pPr>
    </w:p>
    <w:p w14:paraId="584B0677" w14:textId="77777777" w:rsidR="00742DF4" w:rsidRPr="00742DF4" w:rsidRDefault="00742DF4">
      <w:pPr>
        <w:rPr>
          <w:rtl/>
        </w:rPr>
      </w:pPr>
    </w:p>
    <w:p w14:paraId="5143EB15" w14:textId="77777777" w:rsidR="00D53F06" w:rsidRPr="00742DF4" w:rsidRDefault="00D53F06">
      <w:pPr>
        <w:rPr>
          <w:rFonts w:hint="cs"/>
          <w:rtl/>
        </w:rPr>
      </w:pPr>
    </w:p>
    <w:p w14:paraId="359E5507" w14:textId="77777777" w:rsidR="0053524E" w:rsidRPr="0053524E" w:rsidRDefault="0053524E">
      <w:pPr>
        <w:jc w:val="center"/>
        <w:rPr>
          <w:sz w:val="32"/>
          <w:szCs w:val="32"/>
          <w:rtl/>
        </w:rPr>
      </w:pPr>
      <w:bookmarkStart w:id="9" w:name="סוג_מסמך"/>
      <w:bookmarkEnd w:id="9"/>
    </w:p>
    <w:p w14:paraId="1630C390" w14:textId="77777777" w:rsidR="0053524E" w:rsidRPr="0053524E" w:rsidRDefault="0053524E">
      <w:pPr>
        <w:jc w:val="center"/>
        <w:rPr>
          <w:b/>
          <w:bCs/>
          <w:sz w:val="32"/>
          <w:szCs w:val="32"/>
          <w:rtl/>
        </w:rPr>
      </w:pPr>
    </w:p>
    <w:p w14:paraId="67CB32DE" w14:textId="77777777" w:rsidR="00D53F06" w:rsidRPr="0053524E" w:rsidRDefault="00D53F06">
      <w:pPr>
        <w:jc w:val="center"/>
        <w:rPr>
          <w:b/>
          <w:bCs/>
          <w:sz w:val="32"/>
          <w:szCs w:val="32"/>
          <w:rtl/>
        </w:rPr>
      </w:pPr>
    </w:p>
    <w:p w14:paraId="796B5A64" w14:textId="77777777" w:rsidR="00D53F06" w:rsidRDefault="00D53F06">
      <w:pPr>
        <w:spacing w:line="480" w:lineRule="auto"/>
        <w:jc w:val="center"/>
        <w:rPr>
          <w:b/>
          <w:bCs/>
          <w:sz w:val="32"/>
          <w:szCs w:val="32"/>
          <w:u w:val="single"/>
          <w:rtl/>
        </w:rPr>
      </w:pPr>
      <w:bookmarkStart w:id="10" w:name="PsakDin"/>
      <w:r>
        <w:rPr>
          <w:b/>
          <w:bCs/>
          <w:sz w:val="32"/>
          <w:szCs w:val="32"/>
          <w:u w:val="single"/>
          <w:rtl/>
        </w:rPr>
        <w:t>הכרעת דין</w:t>
      </w:r>
    </w:p>
    <w:bookmarkEnd w:id="10"/>
    <w:p w14:paraId="2677B62D" w14:textId="77777777" w:rsidR="00D53F06" w:rsidRDefault="00D53F06">
      <w:pPr>
        <w:spacing w:line="480" w:lineRule="auto"/>
        <w:rPr>
          <w:rFonts w:ascii="David" w:hAnsi="David" w:hint="cs"/>
          <w:rtl/>
          <w:lang w:eastAsia="en-US"/>
        </w:rPr>
      </w:pPr>
    </w:p>
    <w:p w14:paraId="59949BF6" w14:textId="77777777" w:rsidR="00D53F06" w:rsidRDefault="00D53F06">
      <w:pPr>
        <w:pStyle w:val="BodyText"/>
        <w:numPr>
          <w:ilvl w:val="0"/>
          <w:numId w:val="2"/>
        </w:numPr>
        <w:bidi/>
        <w:ind w:right="0"/>
        <w:jc w:val="both"/>
        <w:rPr>
          <w:rFonts w:cs="David" w:hint="cs"/>
          <w:rtl/>
        </w:rPr>
      </w:pPr>
      <w:bookmarkStart w:id="11" w:name="ABSTRACT_START"/>
      <w:bookmarkEnd w:id="11"/>
      <w:r>
        <w:rPr>
          <w:rFonts w:cs="David" w:hint="cs"/>
          <w:rtl/>
        </w:rPr>
        <w:t xml:space="preserve">נגד הנאשם הוגש כתב אישום ובו הוא מואשם, כי ביום 7.6.99, סמוך לשעה 19:00, ברחוב דרך בית לחם בירושלים, עשה מעשה מגונה בפומבי </w:t>
      </w:r>
      <w:bookmarkStart w:id="12" w:name="ABSTRACT_END"/>
      <w:bookmarkEnd w:id="12"/>
      <w:r>
        <w:rPr>
          <w:rFonts w:cs="David" w:hint="cs"/>
          <w:rtl/>
        </w:rPr>
        <w:t>בפני וליה קירשה (להלן: "</w:t>
      </w:r>
      <w:r>
        <w:rPr>
          <w:rFonts w:cs="David" w:hint="cs"/>
          <w:b/>
          <w:bCs/>
          <w:rtl/>
        </w:rPr>
        <w:t>המתלוננת</w:t>
      </w:r>
      <w:r>
        <w:rPr>
          <w:rFonts w:cs="David" w:hint="cs"/>
          <w:rtl/>
        </w:rPr>
        <w:t xml:space="preserve">"), ללא הסכמתה. המתלוננת, כך לפי כתב האישום, טיילה עם בנה הקטן, וכאשר הגיעה אל מול תחנת הדלק "אפרת" הבחינה בנאשם, שנהג ברכב פיג'ו מספר 89-909-30. הנאשם פנה פניית פרסה ועלה עם הרכב על המדרכה, נעצר לידה ושאל אותה היכן רחוב הרכבת. משהתקרבה המתלוננת לנאשם, היא הבחינה, כי איבר מינו היה מחוץ למכנסיו ובזיקפה. </w:t>
      </w:r>
    </w:p>
    <w:p w14:paraId="35300E60" w14:textId="77777777" w:rsidR="00D53F06" w:rsidRDefault="00D53F06">
      <w:pPr>
        <w:pStyle w:val="BodyText"/>
        <w:tabs>
          <w:tab w:val="left" w:pos="386"/>
        </w:tabs>
        <w:bidi/>
        <w:ind w:left="26"/>
        <w:jc w:val="both"/>
        <w:rPr>
          <w:rFonts w:cs="David"/>
          <w:rtl/>
        </w:rPr>
      </w:pPr>
    </w:p>
    <w:p w14:paraId="0FA442D5" w14:textId="77777777" w:rsidR="00D53F06" w:rsidRDefault="00D53F06">
      <w:pPr>
        <w:pStyle w:val="BodyText"/>
        <w:numPr>
          <w:ilvl w:val="0"/>
          <w:numId w:val="2"/>
        </w:numPr>
        <w:bidi/>
        <w:ind w:right="0"/>
        <w:jc w:val="both"/>
        <w:rPr>
          <w:rFonts w:cs="David" w:hint="cs"/>
          <w:rtl/>
        </w:rPr>
      </w:pPr>
      <w:r>
        <w:rPr>
          <w:rFonts w:cs="David" w:hint="cs"/>
          <w:rtl/>
        </w:rPr>
        <w:t>המתלוננת תיארה בעדותה בבית המשפט את אשר ארע באותו יום:</w:t>
      </w:r>
    </w:p>
    <w:p w14:paraId="2BA4A392" w14:textId="77777777" w:rsidR="00D53F06" w:rsidRDefault="00D53F06">
      <w:pPr>
        <w:pStyle w:val="BodyText"/>
        <w:tabs>
          <w:tab w:val="left" w:pos="1106"/>
        </w:tabs>
        <w:bidi/>
        <w:ind w:left="1106" w:right="1260"/>
        <w:jc w:val="both"/>
        <w:rPr>
          <w:rFonts w:cs="David"/>
          <w:rtl/>
        </w:rPr>
      </w:pPr>
      <w:r>
        <w:rPr>
          <w:rFonts w:cs="David" w:hint="cs"/>
          <w:rtl/>
        </w:rPr>
        <w:lastRenderedPageBreak/>
        <w:t>"</w:t>
      </w:r>
      <w:r>
        <w:rPr>
          <w:rFonts w:cs="David" w:hint="cs"/>
          <w:b/>
          <w:bCs/>
          <w:rtl/>
        </w:rPr>
        <w:t>טיילתי עם הבן הקטן שלי שהיה בן 6 חודשים בעגלה. באתי מהבית לכוון מושבה גרמנית דרך בית לחם. קצת לפני תחנת הדלק שמתי לב שאוטו עשה פרסה ומכיוון שעשה פרסה מאוד גדולה פחדתי שיעלה קצת על המדרכה כי אני עם עגלה, אז שמתי לב לזה ועצרתי. הבן אדם שהיה בתוך האוטו התכופף ככה והתחיל לדבר איתי מתוך האוטו ולא שמעתי את מה שאמר והתקרבתי, תארתי לעצמי שרוצה לשאול משהו הוא באמת עשה כך, שאל, לא הבנתי אותו אז התקרבתי עוד יותר ואז שמתי לב שאבר מינו חשוף. כשראיתי את זה, הלכתי קצת אחורה, עמדתי, ואמרתי שאני לא יודעת מה הרחוב, התחלתי ללכת, הוא נסע ועצרתי שוב ופתחתי את הארנק שלי יש בפנים ניירות ועט וכתבתי את המספר של האוטו. למחרת התלוננתי במשטרה</w:t>
      </w:r>
      <w:r>
        <w:rPr>
          <w:rFonts w:cs="David" w:hint="cs"/>
          <w:rtl/>
        </w:rPr>
        <w:t>" (עמ' 12 לפרוטוקול).</w:t>
      </w:r>
    </w:p>
    <w:p w14:paraId="6623E8BC" w14:textId="77777777" w:rsidR="00D53F06" w:rsidRDefault="00D53F06">
      <w:pPr>
        <w:pStyle w:val="BodyText"/>
        <w:tabs>
          <w:tab w:val="left" w:pos="1106"/>
        </w:tabs>
        <w:bidi/>
        <w:ind w:left="1106" w:right="1260"/>
        <w:jc w:val="both"/>
        <w:rPr>
          <w:rFonts w:cs="David" w:hint="cs"/>
          <w:rtl/>
        </w:rPr>
      </w:pPr>
    </w:p>
    <w:p w14:paraId="0AA46631" w14:textId="77777777" w:rsidR="00D53F06" w:rsidRDefault="00D53F06">
      <w:pPr>
        <w:pStyle w:val="BodyText"/>
        <w:tabs>
          <w:tab w:val="left" w:pos="386"/>
        </w:tabs>
        <w:bidi/>
        <w:ind w:left="386"/>
        <w:jc w:val="both"/>
        <w:rPr>
          <w:rFonts w:cs="David" w:hint="cs"/>
          <w:rtl/>
        </w:rPr>
      </w:pPr>
      <w:r>
        <w:rPr>
          <w:rFonts w:cs="David" w:hint="cs"/>
          <w:rtl/>
        </w:rPr>
        <w:t xml:space="preserve">מס' הרכב, כפי שנרשם על ידי המתלוננת, הוא 89-909-30, ולבקשת הסניגור, הציגה העדה את הפתק עליו כתבה את המספר, שעדיין שמור בארנקה. </w:t>
      </w:r>
    </w:p>
    <w:p w14:paraId="5FF11CDF" w14:textId="77777777" w:rsidR="00D53F06" w:rsidRDefault="00D53F06">
      <w:pPr>
        <w:pStyle w:val="BodyText"/>
        <w:tabs>
          <w:tab w:val="left" w:pos="386"/>
        </w:tabs>
        <w:bidi/>
        <w:ind w:left="386"/>
        <w:jc w:val="both"/>
        <w:rPr>
          <w:rFonts w:cs="David" w:hint="cs"/>
          <w:rtl/>
        </w:rPr>
      </w:pPr>
    </w:p>
    <w:p w14:paraId="3FED8442" w14:textId="77777777" w:rsidR="00D53F06" w:rsidRDefault="00D53F06">
      <w:pPr>
        <w:pStyle w:val="BodyText"/>
        <w:tabs>
          <w:tab w:val="left" w:pos="386"/>
        </w:tabs>
        <w:bidi/>
        <w:ind w:left="386"/>
        <w:jc w:val="both"/>
        <w:rPr>
          <w:rFonts w:cs="David" w:hint="cs"/>
          <w:rtl/>
        </w:rPr>
      </w:pPr>
      <w:r>
        <w:rPr>
          <w:rFonts w:cs="David" w:hint="cs"/>
          <w:rtl/>
        </w:rPr>
        <w:t>בתלונתה תיארה המתלוננת את החשוד כאדם בסביבות גיל ה- 40, עם שפם, משקפיים "שלא הייתי בטוחה אם הם של ראיה או של שמש", מקריח ובעל מראה מכובד. בבית המשפט, בחקירתה הנגדית, הסבירה המתלוננת, כי המשקפיים שלה הם גם משקפי ראיה וגם משקפי שמש, כך שכאשר היא רואה משהו שקוף זה לא חייב להיות דווקא שקוף. כן הסבירה, שכאשר אמרה שהאדם היה בעל מראה מכובד, התכוונה לכך שמראהו החיצוני ולבושו היו מסודרים (עמ' 18-19 לפרוטוקול) וטון הדיבור, כאשר פנה אליה, לא היה "בטון דיבור שלא במקום, אלא היה נראה כבן אדם משכיל, שזה לא באופן צ'חצ'חי" (עמ' 15 לפרוטוקול). בעדותה הוסיפה ואמרה, כי היה עם "עור לא לבן", וכאשר נשאלה בחקירתה הנגדית מדוע לא ציינה זאת בתלונה, אמרה שלא רצתה להזכיר צבע אך זכור לה שאמרה שהאדם הוא בעל חזות מזרחית.</w:t>
      </w:r>
    </w:p>
    <w:p w14:paraId="15F7AB60" w14:textId="77777777" w:rsidR="00D53F06" w:rsidRDefault="00D53F06">
      <w:pPr>
        <w:pStyle w:val="BodyText"/>
        <w:tabs>
          <w:tab w:val="left" w:pos="386"/>
        </w:tabs>
        <w:bidi/>
        <w:ind w:left="386"/>
        <w:jc w:val="both"/>
        <w:rPr>
          <w:rFonts w:cs="David" w:hint="cs"/>
          <w:rtl/>
        </w:rPr>
      </w:pPr>
    </w:p>
    <w:p w14:paraId="59763BB8" w14:textId="77777777" w:rsidR="00D53F06" w:rsidRDefault="00D53F06">
      <w:pPr>
        <w:pStyle w:val="BodyText"/>
        <w:tabs>
          <w:tab w:val="left" w:pos="386"/>
        </w:tabs>
        <w:bidi/>
        <w:ind w:left="386"/>
        <w:jc w:val="both"/>
        <w:rPr>
          <w:rFonts w:cs="David" w:hint="cs"/>
          <w:rtl/>
        </w:rPr>
      </w:pPr>
      <w:r>
        <w:rPr>
          <w:rFonts w:cs="David" w:hint="cs"/>
          <w:rtl/>
        </w:rPr>
        <w:t>המתלוננת הותירה רושם חיובי על דוכן העדים, וכבר עתה יצויין, כי מאפיינים אלה, שתוארו על ידה, תואמים את מראהו של הנאשם שלפנינו.</w:t>
      </w:r>
    </w:p>
    <w:p w14:paraId="27DDE460" w14:textId="77777777" w:rsidR="00D53F06" w:rsidRDefault="00D53F06">
      <w:pPr>
        <w:pStyle w:val="BodyText"/>
        <w:tabs>
          <w:tab w:val="left" w:pos="386"/>
        </w:tabs>
        <w:bidi/>
        <w:ind w:left="386"/>
        <w:jc w:val="both"/>
        <w:rPr>
          <w:rFonts w:cs="David" w:hint="cs"/>
          <w:rtl/>
        </w:rPr>
      </w:pPr>
    </w:p>
    <w:p w14:paraId="068F0B40" w14:textId="77777777" w:rsidR="00D53F06" w:rsidRDefault="00D53F06">
      <w:pPr>
        <w:pStyle w:val="BodyText"/>
        <w:tabs>
          <w:tab w:val="left" w:pos="386"/>
        </w:tabs>
        <w:bidi/>
        <w:ind w:left="386"/>
        <w:jc w:val="both"/>
        <w:rPr>
          <w:rFonts w:cs="David" w:hint="cs"/>
          <w:rtl/>
        </w:rPr>
      </w:pPr>
      <w:r>
        <w:rPr>
          <w:rFonts w:cs="David" w:hint="cs"/>
          <w:rtl/>
        </w:rPr>
        <w:t>כשנה לאחר האירוע, המשיכה המתלוננת והעידה, התקשרו אליה וביקשו ממנה להגיע לתחנת מוריה למסדר זיהוי. כאשר הגיעה, נתנו לה שתי חבילות של תמונות וביניהן היא זיהתה את תמונת החשוד (ת/2), הוא הנאשם שלפנינו.</w:t>
      </w:r>
    </w:p>
    <w:p w14:paraId="38AF3798" w14:textId="77777777" w:rsidR="00D53F06" w:rsidRDefault="00D53F06">
      <w:pPr>
        <w:pStyle w:val="BodyText"/>
        <w:tabs>
          <w:tab w:val="left" w:pos="386"/>
        </w:tabs>
        <w:bidi/>
        <w:ind w:left="386" w:hanging="360"/>
        <w:jc w:val="both"/>
        <w:rPr>
          <w:rFonts w:cs="David" w:hint="cs"/>
          <w:rtl/>
        </w:rPr>
      </w:pPr>
      <w:r>
        <w:rPr>
          <w:rFonts w:cs="David" w:hint="cs"/>
          <w:rtl/>
        </w:rPr>
        <w:t xml:space="preserve"> </w:t>
      </w:r>
    </w:p>
    <w:p w14:paraId="34F4958A" w14:textId="77777777" w:rsidR="00D53F06" w:rsidRDefault="00D53F06">
      <w:pPr>
        <w:pStyle w:val="BodyText"/>
        <w:numPr>
          <w:ilvl w:val="0"/>
          <w:numId w:val="2"/>
        </w:numPr>
        <w:bidi/>
        <w:ind w:right="0"/>
        <w:jc w:val="both"/>
        <w:rPr>
          <w:rFonts w:cs="David" w:hint="cs"/>
          <w:rtl/>
        </w:rPr>
      </w:pPr>
      <w:r>
        <w:rPr>
          <w:rFonts w:cs="David" w:hint="cs"/>
          <w:rtl/>
        </w:rPr>
        <w:t>הנאשם הכחיש כל קשר לאירוע. בהודעה שנגבתה ממנו ביום 21.1.00 (ת/3) אמר, כי אינו זוכר אם בתאריך 7.6.99 סמוך לשעה 19:00 נהג ברכבו ברח' דרך בית לחם. בהמשך נשאל: "</w:t>
      </w:r>
      <w:r>
        <w:rPr>
          <w:rFonts w:cs="David" w:hint="cs"/>
          <w:b/>
          <w:bCs/>
          <w:rtl/>
        </w:rPr>
        <w:t>האם זכור לך מקרה שישבת ברכב, קראת למישהי וחשפת את איבר מינך</w:t>
      </w:r>
      <w:r>
        <w:rPr>
          <w:rFonts w:cs="David" w:hint="cs"/>
          <w:rtl/>
        </w:rPr>
        <w:t>?" ענה: "</w:t>
      </w:r>
      <w:r>
        <w:rPr>
          <w:rFonts w:cs="David" w:hint="cs"/>
          <w:b/>
          <w:bCs/>
          <w:rtl/>
        </w:rPr>
        <w:t>לא זוכר אדוני</w:t>
      </w:r>
      <w:r>
        <w:rPr>
          <w:rFonts w:cs="David" w:hint="cs"/>
          <w:rtl/>
        </w:rPr>
        <w:t>". כאשר נשאל הנאשם בחקירתו הנגדית מדוע ענה שאינו זוכר, השיב, כי לא התכוון שאינו זוכר אם עשה את המעשה או לא, אלא התכוון שאינו זוכר אם נסע שם (עמ' 35 לפרוטוקול). יש לומר, כי הסבריו של הנאשם בנקודה זו לא היו משכנעים, בלשון המעטה.</w:t>
      </w:r>
    </w:p>
    <w:p w14:paraId="2619A860" w14:textId="77777777" w:rsidR="00D53F06" w:rsidRDefault="00D53F06">
      <w:pPr>
        <w:pStyle w:val="BodyText"/>
        <w:bidi/>
        <w:ind w:left="26"/>
        <w:jc w:val="both"/>
        <w:rPr>
          <w:rFonts w:cs="David"/>
          <w:rtl/>
        </w:rPr>
      </w:pPr>
    </w:p>
    <w:p w14:paraId="415D2B2A" w14:textId="77777777" w:rsidR="00D53F06" w:rsidRDefault="00D53F06">
      <w:pPr>
        <w:tabs>
          <w:tab w:val="left" w:pos="386"/>
        </w:tabs>
        <w:spacing w:line="480" w:lineRule="auto"/>
        <w:ind w:left="386"/>
        <w:rPr>
          <w:rFonts w:hint="cs"/>
          <w:rtl/>
        </w:rPr>
      </w:pPr>
      <w:r>
        <w:rPr>
          <w:rFonts w:hint="cs"/>
          <w:rtl/>
        </w:rPr>
        <w:t>הנאשם אישר, שברשותו רכב הנושא את מספר הזיהוי האמור, וכי הוא הנהג היחיד ברכב, דברים עליהם חזר גם בעדותו בבית המשפט. כמו כן, אישר הנאשם, בהודעה שנגבתה ממנו במשטרה (ת/3), כי הוא נוסע באיזור לפעמים.</w:t>
      </w:r>
    </w:p>
    <w:p w14:paraId="2E4DBE41" w14:textId="77777777" w:rsidR="00D53F06" w:rsidRDefault="00D53F06">
      <w:pPr>
        <w:pStyle w:val="BodyText"/>
        <w:tabs>
          <w:tab w:val="left" w:pos="386"/>
        </w:tabs>
        <w:bidi/>
        <w:ind w:left="386"/>
        <w:jc w:val="both"/>
        <w:rPr>
          <w:rFonts w:cs="David" w:hint="cs"/>
          <w:rtl/>
        </w:rPr>
      </w:pPr>
    </w:p>
    <w:p w14:paraId="77888ED7" w14:textId="77777777" w:rsidR="00D53F06" w:rsidRDefault="00D53F06">
      <w:pPr>
        <w:pStyle w:val="BodyText"/>
        <w:tabs>
          <w:tab w:val="left" w:pos="386"/>
        </w:tabs>
        <w:bidi/>
        <w:ind w:left="386"/>
        <w:jc w:val="both"/>
        <w:rPr>
          <w:rFonts w:cs="David" w:hint="cs"/>
          <w:rtl/>
        </w:rPr>
      </w:pPr>
      <w:r>
        <w:rPr>
          <w:rFonts w:cs="David" w:hint="cs"/>
          <w:rtl/>
        </w:rPr>
        <w:t>במזכר שנערך באותו יום בו נגבתה הודעתו, נרשם, כי "יש לזמנו לצילום ולערוך מסדר זיהוי תמונות עם המתלוננת" (נ/1). ביום 3.7.00 הגיע הנאשם לתחנת מוריה כיוון, שלדבריו, זומן על ידי חוקרת בשם עינת. במזכר שרשם החוקר ויסאם אשקר (ת/4) נכתב, כי הוא אמר לו שעינת לא הזמינה אותו, וכן שיש לבצע מסדר זיהוי תמונות ושהוא או מישהו מטעמו יהיה נוכח: "</w:t>
      </w:r>
      <w:r>
        <w:rPr>
          <w:rFonts w:cs="David" w:hint="cs"/>
          <w:b/>
          <w:bCs/>
          <w:rtl/>
        </w:rPr>
        <w:t>הוא מסר לי שהוא לא רוצה להיות נוכח ולא אף אחד מטעמו ואם נעשה את זה הוא לא רוצה להיות נוכח כי לדעתו הוא לא עשה שום דבר ולא צריך מסדר</w:t>
      </w:r>
      <w:r>
        <w:rPr>
          <w:rFonts w:cs="David" w:hint="cs"/>
          <w:rtl/>
        </w:rPr>
        <w:t>".</w:t>
      </w:r>
    </w:p>
    <w:p w14:paraId="4CDCB608" w14:textId="77777777" w:rsidR="00D53F06" w:rsidRDefault="00D53F06">
      <w:pPr>
        <w:pStyle w:val="BodyText"/>
        <w:tabs>
          <w:tab w:val="left" w:pos="386"/>
        </w:tabs>
        <w:bidi/>
        <w:ind w:left="386"/>
        <w:jc w:val="both"/>
        <w:rPr>
          <w:rFonts w:cs="David" w:hint="cs"/>
          <w:rtl/>
        </w:rPr>
      </w:pPr>
    </w:p>
    <w:p w14:paraId="4A402859" w14:textId="77777777" w:rsidR="00D53F06" w:rsidRDefault="00D53F06">
      <w:pPr>
        <w:pStyle w:val="BodyText"/>
        <w:tabs>
          <w:tab w:val="left" w:pos="386"/>
        </w:tabs>
        <w:bidi/>
        <w:ind w:left="386"/>
        <w:jc w:val="both"/>
        <w:rPr>
          <w:rFonts w:cs="David" w:hint="cs"/>
          <w:rtl/>
        </w:rPr>
      </w:pPr>
      <w:r>
        <w:rPr>
          <w:rFonts w:cs="David" w:hint="cs"/>
          <w:rtl/>
        </w:rPr>
        <w:t>ואכן, ביום 6.7.00 נערך מסדר זיהוי. בפני המתלוננת הוצגו שתי חבילות של תמונות, וביניהן זיהתה המתלוננת את תמונתו של הנאשם שלפנינו (ת/2) כמי שביצע את המעשה נשוא תיק זה. בדו"ח מסדר הזיהוי, תחת דברי המזהה, נרשם: "</w:t>
      </w:r>
      <w:r>
        <w:rPr>
          <w:rFonts w:cs="David" w:hint="cs"/>
          <w:b/>
          <w:bCs/>
          <w:rtl/>
        </w:rPr>
        <w:t>אני בטוחה ב 80% שזהו האיש המבנה של הפנים וצורתו הכללית דומה לו מאוד</w:t>
      </w:r>
      <w:r>
        <w:rPr>
          <w:rFonts w:cs="David" w:hint="cs"/>
          <w:rtl/>
        </w:rPr>
        <w:t xml:space="preserve">" (ת/1). מאוחר יותר באותו יום נגבתה הודעה </w:t>
      </w:r>
      <w:r>
        <w:rPr>
          <w:rFonts w:cs="David" w:hint="cs"/>
          <w:rtl/>
        </w:rPr>
        <w:lastRenderedPageBreak/>
        <w:t>נוספת מהנאשם על ידי רס"ר עינת ספירטוס. הנאשם אישר כי התמונה (ת/2) היא תמונתו, אך שב והכחיש כל קשר למקרה וטען כי אין הוא יודע במה מדובר (ת/5).</w:t>
      </w:r>
    </w:p>
    <w:p w14:paraId="1A58B733" w14:textId="77777777" w:rsidR="00D53F06" w:rsidRDefault="00D53F06">
      <w:pPr>
        <w:tabs>
          <w:tab w:val="left" w:pos="386"/>
        </w:tabs>
        <w:spacing w:line="480" w:lineRule="auto"/>
        <w:ind w:left="746" w:hanging="360"/>
        <w:rPr>
          <w:rtl/>
        </w:rPr>
      </w:pPr>
    </w:p>
    <w:p w14:paraId="5878E356" w14:textId="77777777" w:rsidR="00D53F06" w:rsidRDefault="00D53F06">
      <w:pPr>
        <w:numPr>
          <w:ilvl w:val="0"/>
          <w:numId w:val="2"/>
        </w:numPr>
        <w:spacing w:line="480" w:lineRule="auto"/>
        <w:ind w:right="0"/>
        <w:rPr>
          <w:rFonts w:hint="cs"/>
          <w:rtl/>
        </w:rPr>
      </w:pPr>
      <w:r>
        <w:rPr>
          <w:rFonts w:hint="cs"/>
          <w:rtl/>
        </w:rPr>
        <w:t xml:space="preserve">טענותיו של ב"כ הנאשם התמקדו במסדר הזיהוי שנערך לנאשם. לטענתו, מסדר הזיהוי לא היה תקין, שכן לא ברור כמה ואיזה תמונות הוצגו למתלוננת, ולא נערך צילום במעמד המסדר, המתעד את הדרך בה הוא נעשה. לדבריו, ההליך לא נעשה על ידי הצגת 8 או 12 תמונות, ביניהן תמונת החשוד, כפי שמופיע בטופס דו"ח מסדר זיהוי תצלומים, ולכן ביקש לקבוע כי משקלו של הזיהוי שואף לאפס. </w:t>
      </w:r>
    </w:p>
    <w:p w14:paraId="30B642D8" w14:textId="77777777" w:rsidR="00D53F06" w:rsidRDefault="00D53F06">
      <w:pPr>
        <w:tabs>
          <w:tab w:val="left" w:pos="386"/>
        </w:tabs>
        <w:spacing w:line="480" w:lineRule="auto"/>
        <w:ind w:left="385"/>
        <w:rPr>
          <w:rtl/>
        </w:rPr>
      </w:pPr>
    </w:p>
    <w:p w14:paraId="5B2F21D2" w14:textId="77777777" w:rsidR="00D53F06" w:rsidRDefault="00D53F06">
      <w:pPr>
        <w:tabs>
          <w:tab w:val="left" w:pos="386"/>
        </w:tabs>
        <w:spacing w:line="480" w:lineRule="auto"/>
        <w:ind w:left="385"/>
        <w:rPr>
          <w:rFonts w:hint="cs"/>
          <w:rtl/>
        </w:rPr>
      </w:pPr>
      <w:r>
        <w:rPr>
          <w:rFonts w:hint="cs"/>
          <w:rtl/>
        </w:rPr>
        <w:t xml:space="preserve">עד תביעה מס' 1, השוטר רונן לוי, המשרת כחוקר בזיהוי פלילי בתחנת מוריה, הסביר, והדבר בא לידי ביטוי גם בטופס האמור, כי ניתן לערוך מסדר זיהוי של 8 או 12 תמונות, או מסדר זיהוי על ידי הצגת חבילת תמונות למזהה. לדבריו, כאשר יש חשוד, נערך מסדר הזיהוי בדרך הראשונה, וכאשר אין חשוד נערך הזיהוי בדרך השניה. במקרה זה, העיד השוטר, כי תיק החקירה לא היה בפניו והוא לא ידע שקיים חשוד, ולכן הוצגה בפני המתלוננת חבילת תמונות ולא נערך מסדר בדרך אחרת. </w:t>
      </w:r>
    </w:p>
    <w:p w14:paraId="3A316ED3" w14:textId="77777777" w:rsidR="00D53F06" w:rsidRDefault="00D53F06">
      <w:pPr>
        <w:tabs>
          <w:tab w:val="left" w:pos="386"/>
        </w:tabs>
        <w:spacing w:line="480" w:lineRule="auto"/>
        <w:ind w:left="385"/>
        <w:rPr>
          <w:rFonts w:hint="cs"/>
          <w:rtl/>
        </w:rPr>
      </w:pPr>
    </w:p>
    <w:p w14:paraId="15755FF5" w14:textId="77777777" w:rsidR="00D53F06" w:rsidRDefault="00D53F06">
      <w:pPr>
        <w:tabs>
          <w:tab w:val="left" w:pos="386"/>
        </w:tabs>
        <w:spacing w:line="480" w:lineRule="auto"/>
        <w:ind w:left="385"/>
        <w:rPr>
          <w:rFonts w:hint="cs"/>
          <w:rtl/>
        </w:rPr>
      </w:pPr>
      <w:r>
        <w:rPr>
          <w:rFonts w:hint="cs"/>
          <w:rtl/>
        </w:rPr>
        <w:t xml:space="preserve">לא ברור מדוע הדברים התנהלו בדרך זו, והמשטרה, שהיה ברשותה חשוד במעשה, לא דאגה לעריכת מסדר זיהוי חי או לפחות מסדר זיהוי תמונות בהתאם לכללים שנקבעו בעניין. שהרי הכלל הוא, שכאשר החשוד נמצא, יש צורך לקבוע את זהותו במסדר זיהוי חי, ופנייה ישירה למסדר זיהוי בתמונות, עשויה ליטול מן המשקל הראייתי של הזיהוי (ראו י' קדמי "על הראיות – חלק שני" (תשנ"ט), 884). במקרה הנדון, לא נערך אף מסדר זיהוי בתמונות, אלא, הוצגו בפני המתלוננת חבילות מתוך אלבום התמונות המשטרתי. </w:t>
      </w:r>
    </w:p>
    <w:p w14:paraId="52EF0289" w14:textId="77777777" w:rsidR="00D53F06" w:rsidRDefault="00D53F06">
      <w:pPr>
        <w:tabs>
          <w:tab w:val="left" w:pos="386"/>
        </w:tabs>
        <w:spacing w:line="480" w:lineRule="auto"/>
        <w:ind w:left="385"/>
        <w:rPr>
          <w:rFonts w:hint="cs"/>
          <w:rtl/>
        </w:rPr>
      </w:pPr>
      <w:r>
        <w:rPr>
          <w:rFonts w:hint="cs"/>
          <w:rtl/>
        </w:rPr>
        <w:t xml:space="preserve">יחד עם זאת, יש לציין, כי "מבחינת האופי העקרוני של ההליך, העיון באלבום התמונות הוא שווה משמעות משפטית למסדר זיהוי בתמונות", אם כי, יכולה להיות לכך השלכה לצורך קביעת המשקל (ראו </w:t>
      </w:r>
      <w:hyperlink r:id="rId9" w:history="1">
        <w:r w:rsidR="0053524E" w:rsidRPr="0053524E">
          <w:rPr>
            <w:rStyle w:val="Hyperlink"/>
            <w:rFonts w:hint="eastAsia"/>
            <w:rtl/>
          </w:rPr>
          <w:t>ע</w:t>
        </w:r>
        <w:r w:rsidR="0053524E" w:rsidRPr="0053524E">
          <w:rPr>
            <w:rStyle w:val="Hyperlink"/>
            <w:rtl/>
          </w:rPr>
          <w:t>"פ 347/88, דמיאניוק נ' מ"י, פ"ד מז</w:t>
        </w:r>
      </w:hyperlink>
      <w:r>
        <w:rPr>
          <w:rFonts w:hint="cs"/>
          <w:rtl/>
        </w:rPr>
        <w:t>(4) 221, 398 עד 399). יצויין, כי בעת המסדר לא היה נוכח איש מטעמו של החשוד, וזאת מן הטעם שהחשוד ויתר על זכותו לכך. הנאשם הסביר זאת בכך שהוא לא רצה שמשפחתו תדע כי זה "פאדיחה", וזאת למרות שבמהלך עדותו סיפר כי אחיו היה מעורב בשלבי החקירה הראשונים. מכל מקום, בשל העובדה שלא היתה נוכחות של הנאשם או מי מטעמו בעת הזיהוי, קיים כיום קושי להתרשם מהדרך שבה הוא התנהל.</w:t>
      </w:r>
    </w:p>
    <w:p w14:paraId="36411504" w14:textId="77777777" w:rsidR="00D53F06" w:rsidRDefault="00D53F06">
      <w:pPr>
        <w:tabs>
          <w:tab w:val="left" w:pos="386"/>
        </w:tabs>
        <w:spacing w:line="480" w:lineRule="auto"/>
        <w:ind w:left="385"/>
        <w:rPr>
          <w:rFonts w:hint="cs"/>
          <w:rtl/>
        </w:rPr>
      </w:pPr>
    </w:p>
    <w:p w14:paraId="79D00CB9" w14:textId="77777777" w:rsidR="00D53F06" w:rsidRDefault="00D53F06">
      <w:pPr>
        <w:tabs>
          <w:tab w:val="left" w:pos="386"/>
        </w:tabs>
        <w:spacing w:line="480" w:lineRule="auto"/>
        <w:ind w:left="385"/>
        <w:rPr>
          <w:rFonts w:hint="cs"/>
          <w:rtl/>
        </w:rPr>
      </w:pPr>
      <w:r>
        <w:rPr>
          <w:rFonts w:hint="cs"/>
          <w:rtl/>
        </w:rPr>
        <w:t>בהקשר זה העידה המתלוננת כי הוצגו בפניה שתי חבילות תצלומים "בגובה 4 ס"מ כל אחת". לשאלות ב"כ הנאשם ענתה, כי כל התמונות היו באותו גודל. ובהמשך:</w:t>
      </w:r>
    </w:p>
    <w:p w14:paraId="3D84FFFB" w14:textId="77777777" w:rsidR="00D53F06" w:rsidRDefault="00D53F06">
      <w:pPr>
        <w:tabs>
          <w:tab w:val="left" w:pos="1106"/>
        </w:tabs>
        <w:spacing w:line="480" w:lineRule="auto"/>
        <w:ind w:left="1106" w:right="900"/>
        <w:rPr>
          <w:rFonts w:hint="cs"/>
          <w:b/>
          <w:bCs/>
          <w:rtl/>
        </w:rPr>
      </w:pPr>
      <w:r>
        <w:rPr>
          <w:rFonts w:hint="cs"/>
          <w:rtl/>
        </w:rPr>
        <w:t>"</w:t>
      </w:r>
      <w:r>
        <w:rPr>
          <w:rFonts w:hint="cs"/>
          <w:b/>
          <w:bCs/>
          <w:rtl/>
        </w:rPr>
        <w:t>ש. האם ראית תמונה כזה דומה לזו, אחד עם קרחת תמונות דומות לו ראית? כפי שהוא לבוש סוודר וכו'?"</w:t>
      </w:r>
    </w:p>
    <w:p w14:paraId="325D13E1" w14:textId="77777777" w:rsidR="00D53F06" w:rsidRDefault="00D53F06">
      <w:pPr>
        <w:tabs>
          <w:tab w:val="left" w:pos="1106"/>
        </w:tabs>
        <w:spacing w:line="480" w:lineRule="auto"/>
        <w:ind w:left="1106" w:right="900"/>
        <w:rPr>
          <w:rFonts w:hint="cs"/>
          <w:b/>
          <w:bCs/>
          <w:rtl/>
        </w:rPr>
      </w:pPr>
      <w:r>
        <w:rPr>
          <w:rFonts w:hint="cs"/>
          <w:b/>
          <w:bCs/>
          <w:rtl/>
        </w:rPr>
        <w:t>ת. כל מיני. כן.</w:t>
      </w:r>
    </w:p>
    <w:p w14:paraId="37D07475" w14:textId="77777777" w:rsidR="00D53F06" w:rsidRDefault="00D53F06">
      <w:pPr>
        <w:tabs>
          <w:tab w:val="left" w:pos="1106"/>
        </w:tabs>
        <w:spacing w:line="480" w:lineRule="auto"/>
        <w:ind w:left="1106" w:right="900"/>
        <w:rPr>
          <w:rFonts w:hint="cs"/>
          <w:b/>
          <w:bCs/>
          <w:rtl/>
        </w:rPr>
      </w:pPr>
      <w:r>
        <w:rPr>
          <w:rFonts w:hint="cs"/>
          <w:b/>
          <w:bCs/>
          <w:rtl/>
        </w:rPr>
        <w:t>...</w:t>
      </w:r>
    </w:p>
    <w:p w14:paraId="53107E8D" w14:textId="77777777" w:rsidR="00D53F06" w:rsidRDefault="00D53F06">
      <w:pPr>
        <w:tabs>
          <w:tab w:val="left" w:pos="1106"/>
        </w:tabs>
        <w:spacing w:line="480" w:lineRule="auto"/>
        <w:ind w:left="1106" w:right="900"/>
        <w:rPr>
          <w:rFonts w:hint="cs"/>
          <w:b/>
          <w:bCs/>
          <w:rtl/>
        </w:rPr>
      </w:pPr>
      <w:r>
        <w:rPr>
          <w:rFonts w:hint="cs"/>
          <w:b/>
          <w:bCs/>
          <w:rtl/>
        </w:rPr>
        <w:t>ש. האם היו עוד אנשים מקריחים למשל?</w:t>
      </w:r>
    </w:p>
    <w:p w14:paraId="3AD3BD17" w14:textId="77777777" w:rsidR="00D53F06" w:rsidRDefault="00D53F06">
      <w:pPr>
        <w:tabs>
          <w:tab w:val="left" w:pos="1106"/>
        </w:tabs>
        <w:spacing w:line="480" w:lineRule="auto"/>
        <w:ind w:left="1106" w:right="900"/>
        <w:rPr>
          <w:rFonts w:hint="cs"/>
          <w:rtl/>
        </w:rPr>
      </w:pPr>
      <w:r>
        <w:rPr>
          <w:rFonts w:hint="cs"/>
          <w:b/>
          <w:bCs/>
          <w:rtl/>
        </w:rPr>
        <w:t>ת. כן</w:t>
      </w:r>
      <w:r>
        <w:rPr>
          <w:rFonts w:hint="cs"/>
          <w:rtl/>
        </w:rPr>
        <w:t xml:space="preserve">" (עמ' 20 לפרוטוקול). </w:t>
      </w:r>
    </w:p>
    <w:p w14:paraId="6809FB56" w14:textId="77777777" w:rsidR="00D53F06" w:rsidRDefault="00D53F06">
      <w:pPr>
        <w:tabs>
          <w:tab w:val="left" w:pos="386"/>
        </w:tabs>
        <w:spacing w:line="480" w:lineRule="auto"/>
        <w:ind w:left="385"/>
        <w:rPr>
          <w:rFonts w:hint="cs"/>
          <w:rtl/>
        </w:rPr>
      </w:pPr>
    </w:p>
    <w:p w14:paraId="61FC063B" w14:textId="77777777" w:rsidR="00D53F06" w:rsidRDefault="00D53F06">
      <w:pPr>
        <w:tabs>
          <w:tab w:val="left" w:pos="386"/>
        </w:tabs>
        <w:spacing w:line="480" w:lineRule="auto"/>
        <w:ind w:left="385"/>
        <w:rPr>
          <w:rFonts w:hint="cs"/>
          <w:rtl/>
        </w:rPr>
      </w:pPr>
      <w:r>
        <w:rPr>
          <w:rFonts w:hint="cs"/>
          <w:rtl/>
        </w:rPr>
        <w:t>השוטר רונן לוי העיד, כי אלבום התמונות מחולק לבני מיעוטים ויהודים (עמ' 5 לפרוטוקול) וכי האלבום מחולק לחבילות לפי שנתוני לידה, כאשר בכל שנתון יש כ-50 תמונות (עמ' 4 לפרוטוקול) משמע, שהמתלוננת זיהתה את תמונתו של הנאשם מתוך כ- 100 תמונות.</w:t>
      </w:r>
    </w:p>
    <w:p w14:paraId="1C87E62B" w14:textId="77777777" w:rsidR="00D53F06" w:rsidRDefault="00D53F06">
      <w:pPr>
        <w:spacing w:line="480" w:lineRule="auto"/>
        <w:ind w:left="386"/>
        <w:rPr>
          <w:rFonts w:hint="cs"/>
          <w:rtl/>
        </w:rPr>
      </w:pPr>
      <w:r>
        <w:rPr>
          <w:rFonts w:hint="cs"/>
          <w:rtl/>
        </w:rPr>
        <w:t>כאמור לעיל, הזיהוי נערך כשנה לאחר האירוע ובמהלכו ציינה המתלוננת כי היא בטוחה ב-80% שזהו האיש. בעדותה הסבירה: "</w:t>
      </w:r>
      <w:r>
        <w:rPr>
          <w:rFonts w:hint="cs"/>
          <w:b/>
          <w:bCs/>
          <w:rtl/>
        </w:rPr>
        <w:t>אמרתי להם שזה לפי דעתי האיש, שאל אותי כמה אחוזים ואז אמרתי 80, כי עבר הרבה זמן ואני לא רוצה להגיד 100 אחוז...</w:t>
      </w:r>
      <w:r>
        <w:rPr>
          <w:rFonts w:hint="cs"/>
          <w:rtl/>
        </w:rPr>
        <w:t>" (עמ' 20 לפרוטוקול).</w:t>
      </w:r>
    </w:p>
    <w:p w14:paraId="2495C635" w14:textId="77777777" w:rsidR="00D53F06" w:rsidRDefault="00D53F06">
      <w:pPr>
        <w:spacing w:line="480" w:lineRule="auto"/>
        <w:ind w:left="386"/>
        <w:rPr>
          <w:rFonts w:hint="cs"/>
          <w:rtl/>
        </w:rPr>
      </w:pPr>
    </w:p>
    <w:p w14:paraId="20E196C7" w14:textId="77777777" w:rsidR="00D53F06" w:rsidRDefault="00D53F06">
      <w:pPr>
        <w:spacing w:line="480" w:lineRule="auto"/>
        <w:ind w:left="386"/>
        <w:rPr>
          <w:rFonts w:hint="cs"/>
          <w:rtl/>
        </w:rPr>
      </w:pPr>
      <w:r>
        <w:rPr>
          <w:rFonts w:hint="cs"/>
          <w:rtl/>
        </w:rPr>
        <w:t>ברור שבכל אלה יש כדי להפחית ממשקל הזיהוי, ואולם אין לומר שכוחו הראייתי ניטל ממנו לגמרי. ידוע הוא, שפגמים וליקויים אינם מביאים לפסלות הזיהוי כראיה אלא לנטילה מכוחו הראייתי בלבד (י' קדמי "על הראיות – חלק שני" (תשנ"ט),865, 881). במקרה זה, גם אם אין לייחס לזיהוי משקל ראייתי מכריע, הרי שבהצטרף לראיות אחרות, יש בכך כדי לבסס הרשעה. בעיקר מצטרפת לזיהוי העובדה, שמספר הרכב אותו רשמה המתלוננת באותו ארוע הינו רכבו של הנאשם, ולפי דבריו הוא, עליהם חזר הן בהודעתו במשטרה והן בעדותו לפני, הוא היחיד הנוהג ברכב. ב"כ הנאשם העלה ספקות באשר ליכולתה של המתלוננת לרשום את מספר הרכב בנסיבות אותו מקרה. ואולם, אינני מוצא ממש בטענות אלה. המתלוננת העידה כי התרחקה מהרכב כשלושה צעדים ואז הוציאה מהתיק, שהיה תלוי על כתפה, את ארנקה, ומתוכו הוציאה עט ונייר ורשמה את מספר הרכב (עמ' 17-18 לפרוטוקול). העובדה, שהמתלוננת לא ידעה לומר מהו סוג הרכב או מה צבעו, מלבד העובדה שהוא היה בהיר, אין בה כדי ללמד על יכולתה או אי יכולתה לזכור ולרשום את מספר הרכב.</w:t>
      </w:r>
    </w:p>
    <w:p w14:paraId="09621AA0" w14:textId="77777777" w:rsidR="00D53F06" w:rsidRDefault="00D53F06">
      <w:pPr>
        <w:tabs>
          <w:tab w:val="left" w:pos="386"/>
        </w:tabs>
        <w:spacing w:line="480" w:lineRule="auto"/>
        <w:ind w:left="386"/>
        <w:rPr>
          <w:rFonts w:hint="cs"/>
          <w:rtl/>
        </w:rPr>
      </w:pPr>
    </w:p>
    <w:p w14:paraId="13A426CC" w14:textId="77777777" w:rsidR="00D53F06" w:rsidRDefault="00D53F06">
      <w:pPr>
        <w:tabs>
          <w:tab w:val="left" w:pos="386"/>
        </w:tabs>
        <w:spacing w:line="480" w:lineRule="auto"/>
        <w:ind w:left="386"/>
        <w:rPr>
          <w:rFonts w:hint="cs"/>
          <w:rtl/>
        </w:rPr>
      </w:pPr>
      <w:r>
        <w:rPr>
          <w:rFonts w:hint="cs"/>
          <w:rtl/>
        </w:rPr>
        <w:t>לא למותר לציין, כי הנאשם, שטרח והציג לוח תורנויות המעיד כי עבד ביום בו נחקר, לא הציג ראיה לכך שעבד גם ביום הארוע באותה שעה. בחקירתו הנגדית ניסה הנאשם להתחמק מהתייחסות לשאלה אם עבד באותו יום ואמר: "</w:t>
      </w:r>
      <w:r>
        <w:rPr>
          <w:rFonts w:hint="cs"/>
          <w:b/>
          <w:bCs/>
          <w:rtl/>
        </w:rPr>
        <w:t>לא זוכר איפה הייתי ביום הזה. לא זוכר אם עבדתי או לא</w:t>
      </w:r>
      <w:r>
        <w:rPr>
          <w:rFonts w:hint="cs"/>
          <w:rtl/>
        </w:rPr>
        <w:t>". אך בהמשך, כאשר נשאל אם לא בדק איפה היה באותו יום, אמר "</w:t>
      </w:r>
      <w:r>
        <w:rPr>
          <w:rFonts w:hint="cs"/>
          <w:b/>
          <w:bCs/>
          <w:rtl/>
        </w:rPr>
        <w:t>ניסיתי לעשות אך לא מצאתי עצמי תורן במלר"ם או במט"ר ואני לא זוכר איפה הייתי</w:t>
      </w:r>
      <w:r>
        <w:rPr>
          <w:rFonts w:hint="cs"/>
          <w:rtl/>
        </w:rPr>
        <w:t>" (עמ' 31 לפרוטוקול).</w:t>
      </w:r>
    </w:p>
    <w:p w14:paraId="1B711C34" w14:textId="77777777" w:rsidR="00D53F06" w:rsidRDefault="00D53F06">
      <w:pPr>
        <w:tabs>
          <w:tab w:val="left" w:pos="386"/>
        </w:tabs>
        <w:spacing w:line="480" w:lineRule="auto"/>
        <w:ind w:left="386"/>
        <w:rPr>
          <w:rFonts w:hint="cs"/>
          <w:rtl/>
        </w:rPr>
      </w:pPr>
      <w:r>
        <w:rPr>
          <w:rFonts w:hint="cs"/>
          <w:rtl/>
        </w:rPr>
        <w:t>לסיכום – הצירוף של מספר הרכב, שהוא רכבו של הנאשם ונמצא בשימושו הבלעדי, התיאור שמסרה המתלוננת, זיהוי הנאשם על ידה וכן עדותה של המתלוננת בפני, כל אלה מהווים תשתית מספקת לבניין ראיות התביעה בעניין הזיהוי.</w:t>
      </w:r>
    </w:p>
    <w:p w14:paraId="5D53C44A" w14:textId="77777777" w:rsidR="00D53F06" w:rsidRDefault="00D53F06">
      <w:pPr>
        <w:tabs>
          <w:tab w:val="left" w:pos="386"/>
        </w:tabs>
        <w:spacing w:line="480" w:lineRule="auto"/>
        <w:ind w:left="385" w:hanging="357"/>
        <w:rPr>
          <w:rFonts w:hint="cs"/>
          <w:color w:val="FFFFFF"/>
          <w:sz w:val="2"/>
          <w:szCs w:val="2"/>
          <w:rtl/>
        </w:rPr>
      </w:pPr>
    </w:p>
    <w:p w14:paraId="719E3D12" w14:textId="77777777" w:rsidR="00D53F06" w:rsidRDefault="00D53F06">
      <w:pPr>
        <w:tabs>
          <w:tab w:val="left" w:pos="386"/>
        </w:tabs>
        <w:spacing w:line="480" w:lineRule="auto"/>
        <w:ind w:left="385" w:hanging="357"/>
        <w:rPr>
          <w:color w:val="FFFFFF"/>
          <w:sz w:val="2"/>
          <w:szCs w:val="2"/>
          <w:rtl/>
        </w:rPr>
      </w:pPr>
      <w:r>
        <w:rPr>
          <w:color w:val="FFFFFF"/>
          <w:sz w:val="2"/>
          <w:szCs w:val="2"/>
          <w:rtl/>
        </w:rPr>
        <w:t>5129371</w:t>
      </w:r>
    </w:p>
    <w:p w14:paraId="5E99D4D9" w14:textId="77777777" w:rsidR="00D53F06" w:rsidRDefault="00D53F06">
      <w:pPr>
        <w:tabs>
          <w:tab w:val="left" w:pos="386"/>
        </w:tabs>
        <w:spacing w:line="480" w:lineRule="auto"/>
        <w:ind w:left="385" w:hanging="357"/>
        <w:rPr>
          <w:rFonts w:hint="cs"/>
          <w:rtl/>
        </w:rPr>
      </w:pPr>
      <w:r>
        <w:rPr>
          <w:color w:val="FFFFFF"/>
          <w:sz w:val="2"/>
          <w:szCs w:val="2"/>
          <w:rtl/>
        </w:rPr>
        <w:t>54678313</w:t>
      </w:r>
    </w:p>
    <w:p w14:paraId="4E8765AB" w14:textId="77777777" w:rsidR="00D53F06" w:rsidRDefault="00D53F06">
      <w:pPr>
        <w:spacing w:line="480" w:lineRule="auto"/>
        <w:ind w:left="386"/>
        <w:rPr>
          <w:rFonts w:hint="cs"/>
          <w:rtl/>
        </w:rPr>
      </w:pPr>
      <w:r>
        <w:rPr>
          <w:rFonts w:hint="cs"/>
          <w:rtl/>
        </w:rPr>
        <w:t xml:space="preserve">לנוכח כל האמור לעיל, אני מוצא את הנאשם אשם בעבירה שיוחסה לו בכתב האישום ומרשיעו בעבירה לפי </w:t>
      </w:r>
      <w:hyperlink r:id="rId10" w:history="1">
        <w:r w:rsidR="00742DF4" w:rsidRPr="00742DF4">
          <w:rPr>
            <w:color w:val="0000FF"/>
            <w:u w:val="single"/>
            <w:rtl/>
          </w:rPr>
          <w:t>סעיף 349(א)</w:t>
        </w:r>
      </w:hyperlink>
      <w:r>
        <w:rPr>
          <w:rFonts w:hint="cs"/>
          <w:rtl/>
        </w:rPr>
        <w:t xml:space="preserve"> ל</w:t>
      </w:r>
      <w:hyperlink r:id="rId11" w:history="1">
        <w:r w:rsidR="0053524E" w:rsidRPr="0053524E">
          <w:rPr>
            <w:rStyle w:val="Hyperlink"/>
            <w:rFonts w:hint="eastAsia"/>
            <w:rtl/>
          </w:rPr>
          <w:t>חוק</w:t>
        </w:r>
        <w:r w:rsidR="0053524E" w:rsidRPr="0053524E">
          <w:rPr>
            <w:rStyle w:val="Hyperlink"/>
            <w:rtl/>
          </w:rPr>
          <w:t xml:space="preserve"> העונשין</w:t>
        </w:r>
      </w:hyperlink>
      <w:r>
        <w:rPr>
          <w:rFonts w:hint="cs"/>
          <w:rtl/>
        </w:rPr>
        <w:t>, תשל"ז-1977.</w:t>
      </w:r>
    </w:p>
    <w:p w14:paraId="3B542CFC" w14:textId="77777777" w:rsidR="00D53F06" w:rsidRDefault="00D53F06">
      <w:pPr>
        <w:keepNext/>
        <w:jc w:val="left"/>
        <w:rPr>
          <w:rFonts w:hAnsi="David" w:hint="cs"/>
          <w:color w:val="000000"/>
          <w:sz w:val="22"/>
          <w:szCs w:val="22"/>
          <w:rtl/>
        </w:rPr>
      </w:pPr>
    </w:p>
    <w:p w14:paraId="274E8D8D" w14:textId="77777777" w:rsidR="00D53F06" w:rsidRDefault="00D53F06">
      <w:pPr>
        <w:keepNext/>
        <w:jc w:val="left"/>
        <w:rPr>
          <w:rFonts w:hAnsi="David"/>
          <w:color w:val="FFFFFF"/>
          <w:sz w:val="2"/>
          <w:szCs w:val="2"/>
          <w:rtl/>
        </w:rPr>
      </w:pPr>
    </w:p>
    <w:p w14:paraId="0B991113" w14:textId="77777777" w:rsidR="00D53F06" w:rsidRDefault="00D53F06">
      <w:pPr>
        <w:keepNext/>
        <w:jc w:val="left"/>
        <w:rPr>
          <w:rFonts w:hAnsi="David"/>
          <w:color w:val="FFFFFF"/>
          <w:sz w:val="2"/>
          <w:szCs w:val="2"/>
          <w:rtl/>
        </w:rPr>
      </w:pPr>
      <w:r>
        <w:rPr>
          <w:rFonts w:hAnsi="David"/>
          <w:color w:val="FFFFFF"/>
          <w:sz w:val="2"/>
          <w:szCs w:val="2"/>
          <w:rtl/>
        </w:rPr>
        <w:t>5129371</w:t>
      </w:r>
    </w:p>
    <w:p w14:paraId="0A30B7E2" w14:textId="77777777" w:rsidR="00D53F06" w:rsidRDefault="00D53F06">
      <w:pPr>
        <w:keepNext/>
        <w:jc w:val="left"/>
        <w:rPr>
          <w:rFonts w:hAnsi="David" w:hint="cs"/>
          <w:color w:val="000000"/>
          <w:sz w:val="22"/>
          <w:szCs w:val="22"/>
          <w:rtl/>
        </w:rPr>
      </w:pPr>
    </w:p>
    <w:p w14:paraId="0A0B1280" w14:textId="77777777" w:rsidR="00D53F06" w:rsidRDefault="00D53F06">
      <w:pPr>
        <w:keepNext/>
        <w:jc w:val="left"/>
        <w:rPr>
          <w:rFonts w:hAnsi="David"/>
          <w:color w:val="000000"/>
          <w:sz w:val="22"/>
          <w:szCs w:val="22"/>
          <w:rtl/>
        </w:rPr>
      </w:pPr>
      <w:r>
        <w:rPr>
          <w:rFonts w:hAnsi="David"/>
          <w:color w:val="000000"/>
          <w:sz w:val="22"/>
          <w:szCs w:val="22"/>
          <w:rtl/>
        </w:rPr>
        <w:t>אמנון כהן 54678313-4117/00</w:t>
      </w:r>
    </w:p>
    <w:p w14:paraId="65D17138" w14:textId="77777777" w:rsidR="00D53F06" w:rsidRDefault="00D53F06">
      <w:pPr>
        <w:rPr>
          <w:rFonts w:hint="cs"/>
          <w:rtl/>
        </w:rPr>
      </w:pPr>
    </w:p>
    <w:tbl>
      <w:tblPr>
        <w:tblW w:w="0" w:type="auto"/>
        <w:tblInd w:w="6153" w:type="dxa"/>
        <w:tblBorders>
          <w:top w:val="single" w:sz="4" w:space="0" w:color="auto"/>
        </w:tblBorders>
        <w:tblLook w:val="0000" w:firstRow="0" w:lastRow="0" w:firstColumn="0" w:lastColumn="0" w:noHBand="0" w:noVBand="0"/>
      </w:tblPr>
      <w:tblGrid>
        <w:gridCol w:w="2369"/>
      </w:tblGrid>
      <w:tr w:rsidR="00D53F06" w14:paraId="3EF9EFC8" w14:textId="77777777">
        <w:tc>
          <w:tcPr>
            <w:tcW w:w="2376" w:type="dxa"/>
            <w:tcBorders>
              <w:top w:val="single" w:sz="4" w:space="0" w:color="auto"/>
              <w:left w:val="nil"/>
              <w:bottom w:val="nil"/>
              <w:right w:val="nil"/>
            </w:tcBorders>
          </w:tcPr>
          <w:p w14:paraId="2EF15E71" w14:textId="77777777" w:rsidR="00D53F06" w:rsidRDefault="00D53F06">
            <w:pPr>
              <w:jc w:val="center"/>
            </w:pPr>
            <w:r>
              <w:rPr>
                <w:color w:val="000000"/>
                <w:rtl/>
              </w:rPr>
              <w:t xml:space="preserve">ניתנה היום כ"ז בחשון, תשס"ב (13 בנובמבר 2001) במעמד הצדדים </w:t>
            </w:r>
            <w:r>
              <w:rPr>
                <w:rFonts w:hint="cs"/>
                <w:rtl/>
              </w:rPr>
              <w:t>אמנון כהן</w:t>
            </w:r>
          </w:p>
          <w:p w14:paraId="7CC0DA82" w14:textId="77777777" w:rsidR="00D53F06" w:rsidRDefault="00D53F06">
            <w:pPr>
              <w:jc w:val="center"/>
              <w:rPr>
                <w:rFonts w:hint="cs"/>
                <w:rtl/>
              </w:rPr>
            </w:pPr>
            <w:r>
              <w:rPr>
                <w:rFonts w:hint="cs"/>
                <w:rtl/>
              </w:rPr>
              <w:t>שופט בית משפט מחוזי</w:t>
            </w:r>
          </w:p>
          <w:p w14:paraId="0D8B95AE" w14:textId="77777777" w:rsidR="00D53F06" w:rsidRDefault="00D53F06">
            <w:pPr>
              <w:jc w:val="center"/>
            </w:pPr>
            <w:r>
              <w:rPr>
                <w:rFonts w:hint="cs"/>
                <w:rtl/>
              </w:rPr>
              <w:t>נשיא בית משפט השלום</w:t>
            </w:r>
          </w:p>
        </w:tc>
      </w:tr>
    </w:tbl>
    <w:p w14:paraId="15708EA5" w14:textId="77777777" w:rsidR="00D53F06" w:rsidRDefault="00D53F06">
      <w:pPr>
        <w:jc w:val="left"/>
        <w:rPr>
          <w:rFonts w:hint="cs"/>
          <w:color w:val="000000"/>
          <w:rtl/>
        </w:rPr>
      </w:pPr>
      <w:r>
        <w:rPr>
          <w:rFonts w:hint="cs"/>
          <w:rtl/>
        </w:rPr>
        <w:t>קלדנית: זהבה נחום</w:t>
      </w:r>
    </w:p>
    <w:p w14:paraId="1A1D1241" w14:textId="77777777" w:rsidR="00D53F06" w:rsidRDefault="00D53F06">
      <w:pPr>
        <w:jc w:val="left"/>
        <w:rPr>
          <w:rFonts w:hint="cs"/>
          <w:rtl/>
        </w:rPr>
      </w:pPr>
      <w:r>
        <w:rPr>
          <w:color w:val="000000"/>
          <w:rtl/>
        </w:rPr>
        <w:t>נוסח מסמך זה כפוף לשינויי ניסוח ועריכה</w:t>
      </w:r>
    </w:p>
    <w:sectPr w:rsidR="00D53F06">
      <w:headerReference w:type="even" r:id="rId12"/>
      <w:headerReference w:type="default" r:id="rId13"/>
      <w:footerReference w:type="even" r:id="rId14"/>
      <w:footerReference w:type="default" r:id="rId15"/>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C728A" w14:textId="77777777" w:rsidR="00F508C8" w:rsidRDefault="00F508C8">
      <w:r>
        <w:separator/>
      </w:r>
    </w:p>
  </w:endnote>
  <w:endnote w:type="continuationSeparator" w:id="0">
    <w:p w14:paraId="58FF38F5" w14:textId="77777777" w:rsidR="00F508C8" w:rsidRDefault="00F50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BD183" w14:textId="77777777" w:rsidR="007317DF" w:rsidRDefault="007317D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AB16B6C" w14:textId="77777777" w:rsidR="007317DF" w:rsidRDefault="007317D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731077" w14:textId="77777777" w:rsidR="007317DF" w:rsidRDefault="007317D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C:\nevo\43=final-2001-doc-296-orly\s00004117-70.doc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7D9B" w14:textId="77777777" w:rsidR="007317DF" w:rsidRDefault="007317D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A6FFE">
      <w:rPr>
        <w:rFonts w:hAnsi="FrankRuehl" w:cs="FrankRuehl"/>
        <w:noProof/>
        <w:sz w:val="24"/>
        <w:rtl/>
      </w:rPr>
      <w:t>1</w:t>
    </w:r>
    <w:r>
      <w:rPr>
        <w:rFonts w:hAnsi="FrankRuehl" w:cs="FrankRuehl"/>
        <w:sz w:val="24"/>
        <w:rtl/>
      </w:rPr>
      <w:fldChar w:fldCharType="end"/>
    </w:r>
  </w:p>
  <w:p w14:paraId="269D4D32" w14:textId="77777777" w:rsidR="007317DF" w:rsidRDefault="007317D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A73F3E" w14:textId="77777777" w:rsidR="007317DF" w:rsidRDefault="007317D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C:\nevo\43=final-2001-doc-296-orly\s00004117-70.doc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17EF" w14:textId="77777777" w:rsidR="00F508C8" w:rsidRDefault="00F508C8">
      <w:r>
        <w:separator/>
      </w:r>
    </w:p>
  </w:footnote>
  <w:footnote w:type="continuationSeparator" w:id="0">
    <w:p w14:paraId="65A0ECD6" w14:textId="77777777" w:rsidR="00F508C8" w:rsidRDefault="00F50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AE0D" w14:textId="77777777" w:rsidR="007317DF" w:rsidRDefault="007317D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4117/00</w:t>
    </w:r>
    <w:r>
      <w:rPr>
        <w:rFonts w:hAnsi="David"/>
        <w:color w:val="000000"/>
        <w:sz w:val="22"/>
        <w:szCs w:val="22"/>
        <w:rtl/>
      </w:rPr>
      <w:tab/>
      <w:t xml:space="preserve"> לשכת תביעות ירושלים נ' טחאן מחמוד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AF7B5" w14:textId="77777777" w:rsidR="007317DF" w:rsidRDefault="007317D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4117/00</w:t>
    </w:r>
    <w:r>
      <w:rPr>
        <w:rFonts w:hAnsi="David"/>
        <w:color w:val="000000"/>
        <w:sz w:val="22"/>
        <w:szCs w:val="22"/>
        <w:rtl/>
      </w:rPr>
      <w:tab/>
      <w:t xml:space="preserve"> לשכת תביעות ירושלים נ' טחאן מחמוד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15B"/>
    <w:multiLevelType w:val="hybridMultilevel"/>
    <w:tmpl w:val="7B50171C"/>
    <w:lvl w:ilvl="0" w:tplc="083898AC">
      <w:start w:val="1"/>
      <w:numFmt w:val="decimal"/>
      <w:lvlText w:val="%1."/>
      <w:lvlJc w:val="left"/>
      <w:pPr>
        <w:tabs>
          <w:tab w:val="num" w:pos="386"/>
        </w:tabs>
        <w:ind w:left="386" w:right="386"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520386881">
    <w:abstractNumId w:val="0"/>
  </w:num>
  <w:num w:numId="2" w16cid:durableId="16472030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D53F06"/>
    <w:rsid w:val="00282F64"/>
    <w:rsid w:val="003D0C91"/>
    <w:rsid w:val="0053524E"/>
    <w:rsid w:val="007317DF"/>
    <w:rsid w:val="00742DF4"/>
    <w:rsid w:val="00AA6FFE"/>
    <w:rsid w:val="00D53F06"/>
    <w:rsid w:val="00F5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83DEF3"/>
  <w15:chartTrackingRefBased/>
  <w15:docId w15:val="{38C1E91D-348D-4ADF-9128-CBFBA460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pPr>
      <w:overflowPunct w:val="0"/>
      <w:autoSpaceDE w:val="0"/>
      <w:autoSpaceDN w:val="0"/>
      <w:bidi w:val="0"/>
      <w:adjustRightInd w:val="0"/>
      <w:spacing w:line="480" w:lineRule="auto"/>
      <w:jc w:val="left"/>
    </w:pPr>
    <w:rPr>
      <w:rFonts w:cs="Times New Roman"/>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53524E"/>
    <w:rPr>
      <w:color w:val="0000FF"/>
      <w:u w:val="single"/>
    </w:rPr>
  </w:style>
  <w:style w:type="paragraph" w:styleId="BalloonText">
    <w:name w:val="Balloon Text"/>
    <w:basedOn w:val="Normal"/>
    <w:link w:val="BalloonTextChar"/>
    <w:rsid w:val="00742DF4"/>
    <w:pPr>
      <w:spacing w:line="240" w:lineRule="auto"/>
    </w:pPr>
    <w:rPr>
      <w:rFonts w:ascii="Tahoma" w:hAnsi="Tahoma" w:cs="Tahoma"/>
      <w:sz w:val="18"/>
      <w:szCs w:val="18"/>
    </w:rPr>
  </w:style>
  <w:style w:type="character" w:customStyle="1" w:styleId="BalloonTextChar">
    <w:name w:val="Balloon Text Char"/>
    <w:link w:val="BalloonText"/>
    <w:rsid w:val="00742DF4"/>
    <w:rPr>
      <w:rFonts w:ascii="Tahoma" w:hAnsi="Tahoma" w:cs="Tahoma"/>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70301/349.a" TargetMode="External"/><Relationship Id="rId4" Type="http://schemas.openxmlformats.org/officeDocument/2006/relationships/webSettings" Target="webSettings.xml"/><Relationship Id="rId9" Type="http://schemas.openxmlformats.org/officeDocument/2006/relationships/hyperlink" Target="http://www.nevo.co.il/case/1793816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1330</Words>
  <Characters>7584</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8897</CharactersWithSpaces>
  <SharedDoc>false</SharedDoc>
  <HLinks>
    <vt:vector size="30" baseType="variant">
      <vt:variant>
        <vt:i4>7995492</vt:i4>
      </vt:variant>
      <vt:variant>
        <vt:i4>12</vt:i4>
      </vt:variant>
      <vt:variant>
        <vt:i4>0</vt:i4>
      </vt:variant>
      <vt:variant>
        <vt:i4>5</vt:i4>
      </vt:variant>
      <vt:variant>
        <vt:lpwstr>http://www.nevo.co.il/law/70301</vt:lpwstr>
      </vt:variant>
      <vt:variant>
        <vt:lpwstr/>
      </vt:variant>
      <vt:variant>
        <vt:i4>5177439</vt:i4>
      </vt:variant>
      <vt:variant>
        <vt:i4>9</vt:i4>
      </vt:variant>
      <vt:variant>
        <vt:i4>0</vt:i4>
      </vt:variant>
      <vt:variant>
        <vt:i4>5</vt:i4>
      </vt:variant>
      <vt:variant>
        <vt:lpwstr>http://www.nevo.co.il/law/70301/349.a</vt:lpwstr>
      </vt:variant>
      <vt:variant>
        <vt:lpwstr/>
      </vt:variant>
      <vt:variant>
        <vt:i4>3539057</vt:i4>
      </vt:variant>
      <vt:variant>
        <vt:i4>6</vt:i4>
      </vt:variant>
      <vt:variant>
        <vt:i4>0</vt:i4>
      </vt:variant>
      <vt:variant>
        <vt:i4>5</vt:i4>
      </vt:variant>
      <vt:variant>
        <vt:lpwstr>http://www.nevo.co.il/case/17938169</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2001-11-13T12:29:00Z</cp:lastPrinted>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4117</vt:lpwstr>
  </property>
  <property fmtid="{D5CDD505-2E9C-101B-9397-08002B2CF9AE}" pid="6" name="PROCYEAR">
    <vt:lpwstr>00</vt:lpwstr>
  </property>
  <property fmtid="{D5CDD505-2E9C-101B-9397-08002B2CF9AE}" pid="7" name="APPELLANT">
    <vt:lpwstr>לשכת תביעות ירושלים</vt:lpwstr>
  </property>
  <property fmtid="{D5CDD505-2E9C-101B-9397-08002B2CF9AE}" pid="8" name="APPELLEE">
    <vt:lpwstr>טחאן מחמוד</vt:lpwstr>
  </property>
  <property fmtid="{D5CDD505-2E9C-101B-9397-08002B2CF9AE}" pid="9" name="JUDGE">
    <vt:lpwstr>אמנון כהן</vt:lpwstr>
  </property>
  <property fmtid="{D5CDD505-2E9C-101B-9397-08002B2CF9AE}" pid="10" name="CITY">
    <vt:lpwstr>י-ם</vt:lpwstr>
  </property>
  <property fmtid="{D5CDD505-2E9C-101B-9397-08002B2CF9AE}" pid="11" name="DATE">
    <vt:lpwstr>20011113</vt:lpwstr>
  </property>
  <property fmtid="{D5CDD505-2E9C-101B-9397-08002B2CF9AE}" pid="12" name="WORDNUMPAGES">
    <vt:lpwstr>6</vt:lpwstr>
  </property>
  <property fmtid="{D5CDD505-2E9C-101B-9397-08002B2CF9AE}" pid="13" name="LAWYER">
    <vt:lpwstr>אבו עטה איברהים</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17938169</vt:lpwstr>
  </property>
  <property fmtid="{D5CDD505-2E9C-101B-9397-08002B2CF9AE}" pid="32" name="LAWLISTTMP1">
    <vt:lpwstr>70301/349.a</vt:lpwstr>
  </property>
</Properties>
</file>