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4CEED" w14:textId="77777777" w:rsidR="00B64FF6" w:rsidRDefault="00B64FF6">
      <w:pPr>
        <w:spacing w:after="80" w:line="260" w:lineRule="exact"/>
        <w:ind w:firstLine="283"/>
        <w:jc w:val="center"/>
        <w:rPr>
          <w:rFonts w:hint="cs"/>
          <w:sz w:val="22"/>
          <w:rtl/>
        </w:rPr>
      </w:pPr>
    </w:p>
    <w:p w14:paraId="35C3313D" w14:textId="77777777" w:rsidR="00B64FF6" w:rsidRDefault="00B64FF6">
      <w:pPr>
        <w:spacing w:after="80" w:line="260" w:lineRule="exact"/>
        <w:ind w:firstLine="283"/>
        <w:jc w:val="center"/>
        <w:rPr>
          <w:rFonts w:hint="cs"/>
          <w:sz w:val="22"/>
          <w:rtl/>
        </w:rPr>
      </w:pPr>
    </w:p>
    <w:p w14:paraId="1C44D484" w14:textId="77777777" w:rsidR="00B64FF6" w:rsidRDefault="00B64FF6">
      <w:pPr>
        <w:spacing w:after="80" w:line="260" w:lineRule="exact"/>
        <w:ind w:firstLine="283"/>
        <w:jc w:val="center"/>
        <w:rPr>
          <w:b/>
          <w:bCs/>
          <w:sz w:val="22"/>
          <w:rtl/>
        </w:rPr>
      </w:pPr>
      <w:r>
        <w:rPr>
          <w:rFonts w:hint="cs"/>
          <w:b/>
          <w:bCs/>
          <w:sz w:val="22"/>
          <w:rtl/>
        </w:rPr>
        <w:t>בתי המשפט</w:t>
      </w:r>
    </w:p>
    <w:p w14:paraId="1799A040" w14:textId="77777777" w:rsidR="00B64FF6" w:rsidRDefault="00456D0E">
      <w:pPr>
        <w:spacing w:after="80" w:line="260" w:lineRule="exact"/>
        <w:ind w:firstLine="283"/>
        <w:rPr>
          <w:rFonts w:hint="cs"/>
          <w:sz w:val="22"/>
          <w:rtl/>
        </w:rPr>
      </w:pPr>
      <w:r>
        <w:rPr>
          <w:rFonts w:hint="cs"/>
          <w:sz w:val="22"/>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819"/>
        <w:gridCol w:w="993"/>
        <w:gridCol w:w="1809"/>
      </w:tblGrid>
      <w:tr w:rsidR="0023337E" w14:paraId="0BF5E1A4" w14:textId="77777777">
        <w:trPr>
          <w:cantSplit/>
          <w:trHeight w:val="195"/>
        </w:trPr>
        <w:tc>
          <w:tcPr>
            <w:tcW w:w="5727" w:type="dxa"/>
            <w:gridSpan w:val="2"/>
            <w:vMerge w:val="restart"/>
            <w:tcBorders>
              <w:top w:val="single" w:sz="4" w:space="0" w:color="auto"/>
              <w:left w:val="single" w:sz="4" w:space="0" w:color="auto"/>
              <w:bottom w:val="single" w:sz="4" w:space="0" w:color="auto"/>
              <w:right w:val="single" w:sz="4" w:space="0" w:color="auto"/>
            </w:tcBorders>
          </w:tcPr>
          <w:p w14:paraId="7BA577FC" w14:textId="77777777" w:rsidR="0023337E" w:rsidRDefault="0023337E">
            <w:pPr>
              <w:spacing w:after="80" w:line="260" w:lineRule="exact"/>
              <w:ind w:firstLine="283"/>
              <w:rPr>
                <w:b/>
                <w:bCs/>
                <w:sz w:val="22"/>
              </w:rPr>
            </w:pPr>
            <w:r>
              <w:rPr>
                <w:rFonts w:hint="cs"/>
                <w:b/>
                <w:bCs/>
                <w:sz w:val="22"/>
                <w:rtl/>
              </w:rPr>
              <w:t>בית משפט השלום קרית גת</w:t>
            </w:r>
          </w:p>
        </w:tc>
        <w:tc>
          <w:tcPr>
            <w:tcW w:w="2802" w:type="dxa"/>
            <w:gridSpan w:val="2"/>
            <w:tcBorders>
              <w:top w:val="single" w:sz="4" w:space="0" w:color="auto"/>
              <w:left w:val="single" w:sz="4" w:space="0" w:color="auto"/>
              <w:bottom w:val="single" w:sz="4" w:space="0" w:color="auto"/>
              <w:right w:val="single" w:sz="4" w:space="0" w:color="auto"/>
            </w:tcBorders>
          </w:tcPr>
          <w:p w14:paraId="15F8FC5B" w14:textId="77777777" w:rsidR="0023337E" w:rsidRDefault="0023337E">
            <w:pPr>
              <w:spacing w:after="80" w:line="260" w:lineRule="exact"/>
              <w:ind w:firstLine="283"/>
              <w:rPr>
                <w:b/>
                <w:bCs/>
                <w:sz w:val="22"/>
              </w:rPr>
            </w:pPr>
            <w:r>
              <w:rPr>
                <w:rFonts w:hint="cs"/>
                <w:b/>
                <w:bCs/>
                <w:sz w:val="22"/>
                <w:rtl/>
              </w:rPr>
              <w:t>ת.פ  002222/00</w:t>
            </w:r>
          </w:p>
        </w:tc>
      </w:tr>
      <w:tr w:rsidR="0023337E" w14:paraId="264CEDEB"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2DDF4FE" w14:textId="77777777" w:rsidR="0023337E" w:rsidRDefault="0023337E">
            <w:pPr>
              <w:spacing w:after="80" w:line="260" w:lineRule="exact"/>
              <w:ind w:firstLine="283"/>
              <w:rPr>
                <w:b/>
                <w:bCs/>
                <w:sz w:val="22"/>
              </w:rPr>
            </w:pPr>
          </w:p>
        </w:tc>
        <w:tc>
          <w:tcPr>
            <w:tcW w:w="2802" w:type="dxa"/>
            <w:gridSpan w:val="2"/>
            <w:tcBorders>
              <w:top w:val="single" w:sz="4" w:space="0" w:color="auto"/>
              <w:left w:val="single" w:sz="4" w:space="0" w:color="auto"/>
              <w:bottom w:val="single" w:sz="4" w:space="0" w:color="auto"/>
              <w:right w:val="single" w:sz="4" w:space="0" w:color="auto"/>
            </w:tcBorders>
          </w:tcPr>
          <w:p w14:paraId="480C98C1" w14:textId="77777777" w:rsidR="0023337E" w:rsidRDefault="00456D0E">
            <w:pPr>
              <w:spacing w:after="80" w:line="260" w:lineRule="exact"/>
              <w:ind w:firstLine="283"/>
              <w:rPr>
                <w:b/>
                <w:bCs/>
                <w:sz w:val="22"/>
              </w:rPr>
            </w:pPr>
            <w:r>
              <w:rPr>
                <w:sz w:val="22"/>
                <w:rtl/>
              </w:rPr>
              <w:t xml:space="preserve"> </w:t>
            </w:r>
          </w:p>
        </w:tc>
      </w:tr>
      <w:tr w:rsidR="0023337E" w14:paraId="55C4BBCE"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705026FC" w14:textId="77777777" w:rsidR="0023337E" w:rsidRDefault="0023337E">
            <w:pPr>
              <w:spacing w:after="80" w:line="260" w:lineRule="exact"/>
              <w:ind w:firstLine="283"/>
              <w:rPr>
                <w:b/>
                <w:bCs/>
                <w:sz w:val="22"/>
              </w:rPr>
            </w:pPr>
            <w:r>
              <w:rPr>
                <w:rFonts w:hint="cs"/>
                <w:b/>
                <w:bCs/>
                <w:sz w:val="22"/>
                <w:rtl/>
              </w:rPr>
              <w:t>בפני:</w:t>
            </w:r>
          </w:p>
        </w:tc>
        <w:tc>
          <w:tcPr>
            <w:tcW w:w="4819" w:type="dxa"/>
            <w:tcBorders>
              <w:top w:val="single" w:sz="4" w:space="0" w:color="auto"/>
              <w:left w:val="single" w:sz="4" w:space="0" w:color="auto"/>
              <w:bottom w:val="single" w:sz="4" w:space="0" w:color="auto"/>
              <w:right w:val="single" w:sz="4" w:space="0" w:color="auto"/>
            </w:tcBorders>
          </w:tcPr>
          <w:p w14:paraId="4DF490D9" w14:textId="77777777" w:rsidR="0023337E" w:rsidRDefault="0023337E">
            <w:pPr>
              <w:spacing w:after="80" w:line="260" w:lineRule="exact"/>
              <w:ind w:firstLine="283"/>
              <w:rPr>
                <w:b/>
                <w:bCs/>
                <w:sz w:val="22"/>
              </w:rPr>
            </w:pPr>
            <w:r>
              <w:rPr>
                <w:rFonts w:hint="cs"/>
                <w:b/>
                <w:bCs/>
                <w:sz w:val="22"/>
                <w:rtl/>
              </w:rPr>
              <w:t>כבוד השופט אבי זמיר</w:t>
            </w:r>
          </w:p>
        </w:tc>
        <w:tc>
          <w:tcPr>
            <w:tcW w:w="99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A65C60D" w14:textId="77777777" w:rsidR="0023337E" w:rsidRDefault="0023337E">
            <w:pPr>
              <w:spacing w:after="80" w:line="260" w:lineRule="exact"/>
              <w:ind w:firstLine="283"/>
              <w:rPr>
                <w:b/>
                <w:bCs/>
                <w:sz w:val="22"/>
              </w:rPr>
            </w:pPr>
            <w:r>
              <w:rPr>
                <w:rFonts w:hint="cs"/>
                <w:b/>
                <w:bCs/>
                <w:sz w:val="22"/>
                <w:rtl/>
              </w:rPr>
              <w:t>תאריך:</w:t>
            </w:r>
          </w:p>
        </w:tc>
        <w:tc>
          <w:tcPr>
            <w:tcW w:w="1809" w:type="dxa"/>
            <w:tcBorders>
              <w:top w:val="single" w:sz="4" w:space="0" w:color="auto"/>
              <w:left w:val="single" w:sz="4" w:space="0" w:color="auto"/>
              <w:bottom w:val="single" w:sz="4" w:space="0" w:color="auto"/>
              <w:right w:val="single" w:sz="4" w:space="0" w:color="auto"/>
            </w:tcBorders>
          </w:tcPr>
          <w:p w14:paraId="6D6BA5CE" w14:textId="77777777" w:rsidR="0023337E" w:rsidRDefault="0023337E">
            <w:pPr>
              <w:spacing w:after="80" w:line="260" w:lineRule="exact"/>
              <w:ind w:firstLine="283"/>
              <w:rPr>
                <w:b/>
                <w:bCs/>
                <w:sz w:val="22"/>
              </w:rPr>
            </w:pPr>
            <w:r>
              <w:rPr>
                <w:rFonts w:hint="cs"/>
                <w:b/>
                <w:bCs/>
                <w:sz w:val="22"/>
                <w:rtl/>
              </w:rPr>
              <w:t>01/01/2003</w:t>
            </w:r>
          </w:p>
        </w:tc>
      </w:tr>
    </w:tbl>
    <w:p w14:paraId="7765C44B" w14:textId="77777777" w:rsidR="00B64FF6" w:rsidRDefault="00456D0E">
      <w:pPr>
        <w:pStyle w:val="Header"/>
        <w:spacing w:after="80" w:line="260" w:lineRule="exact"/>
        <w:ind w:firstLine="283"/>
        <w:rPr>
          <w:rFonts w:hint="cs"/>
          <w:sz w:val="22"/>
          <w:rtl/>
        </w:rPr>
      </w:pPr>
      <w:r>
        <w:rPr>
          <w:rFonts w:hint="cs"/>
          <w:sz w:val="22"/>
          <w:rtl/>
        </w:rPr>
        <w:t xml:space="preserve"> </w:t>
      </w:r>
    </w:p>
    <w:p w14:paraId="1628781F" w14:textId="77777777" w:rsidR="00B64FF6" w:rsidRDefault="00456D0E">
      <w:pPr>
        <w:pStyle w:val="1"/>
        <w:spacing w:after="80" w:line="260" w:lineRule="exact"/>
        <w:ind w:firstLine="283"/>
        <w:jc w:val="both"/>
        <w:rPr>
          <w:rFonts w:hint="cs"/>
          <w:b/>
          <w:bCs/>
          <w:sz w:val="22"/>
          <w:rtl/>
        </w:rPr>
      </w:pPr>
      <w:r>
        <w:rPr>
          <w:rFonts w:hint="cs"/>
          <w:b/>
          <w:bCs/>
          <w:sz w:val="22"/>
          <w:rtl/>
        </w:rPr>
        <w:t xml:space="preserve"> </w:t>
      </w: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23337E" w14:paraId="7AC9126C" w14:textId="77777777">
        <w:tc>
          <w:tcPr>
            <w:tcW w:w="1418" w:type="dxa"/>
          </w:tcPr>
          <w:p w14:paraId="2994EEF1" w14:textId="77777777" w:rsidR="0023337E" w:rsidRDefault="0023337E">
            <w:pPr>
              <w:pStyle w:val="a"/>
              <w:suppressLineNumbers w:val="0"/>
              <w:spacing w:after="80" w:line="260" w:lineRule="exact"/>
              <w:ind w:firstLine="283"/>
            </w:pPr>
            <w:r>
              <w:rPr>
                <w:rFonts w:hint="cs"/>
                <w:rtl/>
              </w:rPr>
              <w:t>בעניין:</w:t>
            </w:r>
          </w:p>
        </w:tc>
        <w:tc>
          <w:tcPr>
            <w:tcW w:w="4820" w:type="dxa"/>
            <w:gridSpan w:val="2"/>
          </w:tcPr>
          <w:p w14:paraId="519F576F" w14:textId="77777777" w:rsidR="0023337E" w:rsidRDefault="0023337E">
            <w:pPr>
              <w:pStyle w:val="a"/>
              <w:suppressLineNumbers w:val="0"/>
              <w:spacing w:after="80" w:line="260" w:lineRule="exact"/>
              <w:ind w:firstLine="283"/>
            </w:pPr>
            <w:r>
              <w:rPr>
                <w:rFonts w:hint="cs"/>
                <w:rtl/>
              </w:rPr>
              <w:t>מדינת ישראל</w:t>
            </w:r>
          </w:p>
        </w:tc>
        <w:tc>
          <w:tcPr>
            <w:tcW w:w="2409" w:type="dxa"/>
          </w:tcPr>
          <w:p w14:paraId="68EA2CE4" w14:textId="77777777" w:rsidR="0023337E" w:rsidRDefault="00456D0E">
            <w:pPr>
              <w:pStyle w:val="a"/>
              <w:suppressLineNumbers w:val="0"/>
              <w:spacing w:after="80" w:line="260" w:lineRule="exact"/>
              <w:ind w:firstLine="283"/>
            </w:pPr>
            <w:r>
              <w:rPr>
                <w:rtl/>
              </w:rPr>
              <w:t xml:space="preserve"> </w:t>
            </w:r>
          </w:p>
        </w:tc>
      </w:tr>
      <w:tr w:rsidR="0023337E" w14:paraId="0F216859" w14:textId="77777777">
        <w:tc>
          <w:tcPr>
            <w:tcW w:w="1418" w:type="dxa"/>
          </w:tcPr>
          <w:p w14:paraId="0ED4B325" w14:textId="77777777" w:rsidR="0023337E" w:rsidRDefault="00456D0E">
            <w:pPr>
              <w:pStyle w:val="a"/>
              <w:suppressLineNumbers w:val="0"/>
              <w:spacing w:after="80" w:line="260" w:lineRule="exact"/>
              <w:ind w:firstLine="283"/>
            </w:pPr>
            <w:bookmarkStart w:id="0" w:name="FirstLawyer"/>
            <w:r>
              <w:rPr>
                <w:rtl/>
              </w:rPr>
              <w:t xml:space="preserve"> </w:t>
            </w:r>
          </w:p>
        </w:tc>
        <w:tc>
          <w:tcPr>
            <w:tcW w:w="1757" w:type="dxa"/>
          </w:tcPr>
          <w:p w14:paraId="10E95A4D" w14:textId="77777777" w:rsidR="0023337E" w:rsidRDefault="0023337E">
            <w:pPr>
              <w:pStyle w:val="a"/>
              <w:suppressLineNumbers w:val="0"/>
              <w:spacing w:after="80" w:line="260" w:lineRule="exact"/>
              <w:ind w:firstLine="283"/>
            </w:pPr>
            <w:r>
              <w:rPr>
                <w:rFonts w:hint="cs"/>
                <w:rtl/>
              </w:rPr>
              <w:t xml:space="preserve">ע"י ב"כ </w:t>
            </w:r>
          </w:p>
        </w:tc>
        <w:tc>
          <w:tcPr>
            <w:tcW w:w="3063" w:type="dxa"/>
          </w:tcPr>
          <w:p w14:paraId="6339F6DD" w14:textId="77777777" w:rsidR="0023337E" w:rsidRDefault="0023337E">
            <w:pPr>
              <w:pStyle w:val="a"/>
              <w:suppressLineNumbers w:val="0"/>
              <w:spacing w:after="80" w:line="260" w:lineRule="exact"/>
              <w:ind w:firstLine="283"/>
            </w:pPr>
            <w:r>
              <w:rPr>
                <w:rFonts w:hint="cs"/>
                <w:rtl/>
              </w:rPr>
              <w:t>רפ"ק אוזיזק</w:t>
            </w:r>
          </w:p>
        </w:tc>
        <w:tc>
          <w:tcPr>
            <w:tcW w:w="2409" w:type="dxa"/>
          </w:tcPr>
          <w:p w14:paraId="41C073A5" w14:textId="77777777" w:rsidR="0023337E" w:rsidRDefault="0023337E">
            <w:pPr>
              <w:pStyle w:val="a"/>
              <w:suppressLineNumbers w:val="0"/>
              <w:spacing w:after="80" w:line="260" w:lineRule="exact"/>
              <w:ind w:firstLine="283"/>
            </w:pPr>
            <w:r>
              <w:rPr>
                <w:rFonts w:hint="cs"/>
                <w:rtl/>
              </w:rPr>
              <w:t>המאשימה</w:t>
            </w:r>
          </w:p>
        </w:tc>
      </w:tr>
      <w:bookmarkEnd w:id="0"/>
      <w:tr w:rsidR="0023337E" w14:paraId="0A280E1A" w14:textId="77777777">
        <w:tc>
          <w:tcPr>
            <w:tcW w:w="1418" w:type="dxa"/>
          </w:tcPr>
          <w:p w14:paraId="0FACC4EC" w14:textId="77777777" w:rsidR="0023337E" w:rsidRDefault="00456D0E">
            <w:pPr>
              <w:pStyle w:val="a"/>
              <w:suppressLineNumbers w:val="0"/>
              <w:spacing w:after="80" w:line="260" w:lineRule="exact"/>
              <w:ind w:firstLine="283"/>
            </w:pPr>
            <w:r>
              <w:rPr>
                <w:rtl/>
              </w:rPr>
              <w:t xml:space="preserve"> </w:t>
            </w:r>
          </w:p>
        </w:tc>
        <w:tc>
          <w:tcPr>
            <w:tcW w:w="4820" w:type="dxa"/>
            <w:gridSpan w:val="2"/>
          </w:tcPr>
          <w:p w14:paraId="720B5A1D" w14:textId="77777777" w:rsidR="0023337E" w:rsidRDefault="0023337E">
            <w:pPr>
              <w:pStyle w:val="a"/>
              <w:suppressLineNumbers w:val="0"/>
              <w:spacing w:after="80" w:line="260" w:lineRule="exact"/>
              <w:ind w:firstLine="283"/>
            </w:pPr>
            <w:r>
              <w:rPr>
                <w:rFonts w:hint="cs"/>
                <w:rtl/>
              </w:rPr>
              <w:t>נגד</w:t>
            </w:r>
          </w:p>
          <w:p w14:paraId="388CF635" w14:textId="77777777" w:rsidR="0023337E" w:rsidRDefault="00456D0E">
            <w:pPr>
              <w:pStyle w:val="a"/>
              <w:suppressLineNumbers w:val="0"/>
              <w:spacing w:after="80" w:line="260" w:lineRule="exact"/>
              <w:ind w:firstLine="283"/>
            </w:pPr>
            <w:r>
              <w:rPr>
                <w:rtl/>
              </w:rPr>
              <w:t xml:space="preserve"> </w:t>
            </w:r>
          </w:p>
        </w:tc>
        <w:tc>
          <w:tcPr>
            <w:tcW w:w="2409" w:type="dxa"/>
          </w:tcPr>
          <w:p w14:paraId="12CE29D8" w14:textId="77777777" w:rsidR="0023337E" w:rsidRDefault="00456D0E">
            <w:pPr>
              <w:pStyle w:val="a"/>
              <w:suppressLineNumbers w:val="0"/>
              <w:spacing w:after="80" w:line="260" w:lineRule="exact"/>
              <w:ind w:firstLine="283"/>
            </w:pPr>
            <w:r>
              <w:rPr>
                <w:rtl/>
              </w:rPr>
              <w:t xml:space="preserve"> </w:t>
            </w:r>
          </w:p>
        </w:tc>
      </w:tr>
      <w:tr w:rsidR="0023337E" w14:paraId="06B43D4B" w14:textId="77777777">
        <w:tc>
          <w:tcPr>
            <w:tcW w:w="1418" w:type="dxa"/>
          </w:tcPr>
          <w:p w14:paraId="3DB1ABA0" w14:textId="77777777" w:rsidR="0023337E" w:rsidRDefault="00456D0E">
            <w:pPr>
              <w:pStyle w:val="a"/>
              <w:suppressLineNumbers w:val="0"/>
              <w:spacing w:after="80" w:line="260" w:lineRule="exact"/>
              <w:ind w:firstLine="283"/>
            </w:pPr>
            <w:bookmarkStart w:id="1" w:name="שם_ב" w:colFirst="1" w:colLast="1"/>
            <w:r>
              <w:rPr>
                <w:rtl/>
              </w:rPr>
              <w:t xml:space="preserve"> </w:t>
            </w:r>
          </w:p>
        </w:tc>
        <w:tc>
          <w:tcPr>
            <w:tcW w:w="4820" w:type="dxa"/>
            <w:gridSpan w:val="2"/>
          </w:tcPr>
          <w:p w14:paraId="6411EB18" w14:textId="77777777" w:rsidR="0023337E" w:rsidRDefault="0023337E">
            <w:pPr>
              <w:pStyle w:val="a"/>
              <w:suppressLineNumbers w:val="0"/>
              <w:spacing w:after="80" w:line="260" w:lineRule="exact"/>
              <w:ind w:firstLine="283"/>
            </w:pPr>
            <w:r>
              <w:rPr>
                <w:rFonts w:hint="cs"/>
                <w:rtl/>
              </w:rPr>
              <w:t>מלינקר שלמה</w:t>
            </w:r>
          </w:p>
        </w:tc>
        <w:tc>
          <w:tcPr>
            <w:tcW w:w="2409" w:type="dxa"/>
          </w:tcPr>
          <w:p w14:paraId="1E74ECFC" w14:textId="77777777" w:rsidR="0023337E" w:rsidRDefault="00456D0E">
            <w:pPr>
              <w:pStyle w:val="a"/>
              <w:suppressLineNumbers w:val="0"/>
              <w:spacing w:after="80" w:line="260" w:lineRule="exact"/>
              <w:ind w:firstLine="283"/>
            </w:pPr>
            <w:r>
              <w:rPr>
                <w:rtl/>
              </w:rPr>
              <w:t xml:space="preserve"> </w:t>
            </w:r>
          </w:p>
        </w:tc>
      </w:tr>
      <w:tr w:rsidR="0023337E" w14:paraId="5A7567BE" w14:textId="77777777">
        <w:tc>
          <w:tcPr>
            <w:tcW w:w="1418" w:type="dxa"/>
          </w:tcPr>
          <w:p w14:paraId="4BA00D22" w14:textId="77777777" w:rsidR="0023337E" w:rsidRDefault="00456D0E">
            <w:pPr>
              <w:pStyle w:val="a"/>
              <w:suppressLineNumbers w:val="0"/>
              <w:spacing w:after="80" w:line="260" w:lineRule="exact"/>
              <w:ind w:firstLine="283"/>
            </w:pPr>
            <w:bookmarkStart w:id="2" w:name="בא_כוח_ב" w:colFirst="2" w:colLast="2"/>
            <w:bookmarkEnd w:id="1"/>
            <w:r>
              <w:rPr>
                <w:rtl/>
              </w:rPr>
              <w:t xml:space="preserve"> </w:t>
            </w:r>
          </w:p>
        </w:tc>
        <w:tc>
          <w:tcPr>
            <w:tcW w:w="1757" w:type="dxa"/>
          </w:tcPr>
          <w:p w14:paraId="5624B59B" w14:textId="77777777" w:rsidR="0023337E" w:rsidRDefault="0023337E">
            <w:pPr>
              <w:pStyle w:val="a"/>
              <w:suppressLineNumbers w:val="0"/>
              <w:spacing w:after="80" w:line="260" w:lineRule="exact"/>
              <w:ind w:firstLine="283"/>
            </w:pPr>
            <w:r>
              <w:rPr>
                <w:rFonts w:hint="cs"/>
                <w:rtl/>
              </w:rPr>
              <w:t>ע"י ב"כ עוה"ד</w:t>
            </w:r>
          </w:p>
        </w:tc>
        <w:tc>
          <w:tcPr>
            <w:tcW w:w="3063" w:type="dxa"/>
          </w:tcPr>
          <w:p w14:paraId="5957D67F" w14:textId="77777777" w:rsidR="0023337E" w:rsidRDefault="0023337E">
            <w:pPr>
              <w:pStyle w:val="a"/>
              <w:suppressLineNumbers w:val="0"/>
              <w:spacing w:after="80" w:line="260" w:lineRule="exact"/>
              <w:ind w:firstLine="283"/>
            </w:pPr>
            <w:r>
              <w:rPr>
                <w:rFonts w:hint="cs"/>
                <w:rtl/>
              </w:rPr>
              <w:t>כהנא ליאור</w:t>
            </w:r>
          </w:p>
        </w:tc>
        <w:tc>
          <w:tcPr>
            <w:tcW w:w="2409" w:type="dxa"/>
          </w:tcPr>
          <w:p w14:paraId="19CCA227" w14:textId="77777777" w:rsidR="0023337E" w:rsidRDefault="0023337E">
            <w:pPr>
              <w:pStyle w:val="a"/>
              <w:suppressLineNumbers w:val="0"/>
              <w:spacing w:after="80" w:line="260" w:lineRule="exact"/>
              <w:ind w:firstLine="283"/>
            </w:pPr>
            <w:r>
              <w:rPr>
                <w:rFonts w:hint="cs"/>
                <w:rtl/>
              </w:rPr>
              <w:t>הנאשם</w:t>
            </w:r>
          </w:p>
        </w:tc>
      </w:tr>
    </w:tbl>
    <w:bookmarkEnd w:id="2"/>
    <w:p w14:paraId="6519B8FD" w14:textId="77777777" w:rsidR="00B64FF6" w:rsidRDefault="00456D0E">
      <w:pPr>
        <w:pStyle w:val="1"/>
        <w:spacing w:after="80" w:line="260" w:lineRule="exact"/>
        <w:ind w:firstLine="283"/>
        <w:jc w:val="both"/>
        <w:rPr>
          <w:rFonts w:hint="cs"/>
          <w:b/>
          <w:bCs/>
          <w:sz w:val="22"/>
          <w:rtl/>
        </w:rPr>
      </w:pPr>
      <w:r>
        <w:rPr>
          <w:rFonts w:hint="cs"/>
          <w:b/>
          <w:bCs/>
          <w:sz w:val="22"/>
          <w:rtl/>
        </w:rPr>
        <w:t xml:space="preserve"> </w:t>
      </w:r>
    </w:p>
    <w:tbl>
      <w:tblPr>
        <w:bidiVisual/>
        <w:tblW w:w="8562" w:type="dxa"/>
        <w:tblCellMar>
          <w:left w:w="107" w:type="dxa"/>
          <w:right w:w="107" w:type="dxa"/>
        </w:tblCellMar>
        <w:tblLook w:val="0000" w:firstRow="0" w:lastRow="0" w:firstColumn="0" w:lastColumn="0" w:noHBand="0" w:noVBand="0"/>
      </w:tblPr>
      <w:tblGrid>
        <w:gridCol w:w="1332"/>
        <w:gridCol w:w="7230"/>
      </w:tblGrid>
      <w:tr w:rsidR="0023337E" w14:paraId="39058C24" w14:textId="77777777">
        <w:tc>
          <w:tcPr>
            <w:tcW w:w="1332" w:type="dxa"/>
          </w:tcPr>
          <w:p w14:paraId="26DAC15D" w14:textId="77777777" w:rsidR="0023337E" w:rsidRDefault="0023337E">
            <w:pPr>
              <w:pStyle w:val="a"/>
              <w:suppressLineNumbers w:val="0"/>
              <w:spacing w:after="80" w:line="260" w:lineRule="exact"/>
              <w:ind w:firstLine="283"/>
            </w:pPr>
            <w:bookmarkStart w:id="3" w:name="LastJudge"/>
            <w:r>
              <w:rPr>
                <w:rFonts w:hint="cs"/>
                <w:rtl/>
              </w:rPr>
              <w:t>נוכחים:</w:t>
            </w:r>
          </w:p>
        </w:tc>
        <w:tc>
          <w:tcPr>
            <w:tcW w:w="7230" w:type="dxa"/>
          </w:tcPr>
          <w:p w14:paraId="3138E580" w14:textId="77777777" w:rsidR="0023337E" w:rsidRDefault="0023337E">
            <w:pPr>
              <w:pStyle w:val="a"/>
              <w:suppressLineNumbers w:val="0"/>
              <w:spacing w:after="80" w:line="260" w:lineRule="exact"/>
              <w:ind w:firstLine="283"/>
            </w:pPr>
            <w:r>
              <w:rPr>
                <w:rFonts w:hint="cs"/>
                <w:rtl/>
              </w:rPr>
              <w:t>בשם המאשימה – רפ"ק אוזיזק</w:t>
            </w:r>
          </w:p>
          <w:p w14:paraId="6EC93BBC" w14:textId="77777777" w:rsidR="0023337E" w:rsidRDefault="0023337E">
            <w:pPr>
              <w:pStyle w:val="a"/>
              <w:suppressLineNumbers w:val="0"/>
              <w:spacing w:after="80" w:line="260" w:lineRule="exact"/>
              <w:ind w:firstLine="283"/>
            </w:pPr>
            <w:r>
              <w:rPr>
                <w:rFonts w:hint="cs"/>
                <w:rtl/>
              </w:rPr>
              <w:t>הנאשם – בעצמו וב"כ עו"ד ליאור כהנא</w:t>
            </w:r>
          </w:p>
        </w:tc>
      </w:tr>
    </w:tbl>
    <w:p w14:paraId="24DE09D6" w14:textId="77777777" w:rsidR="007C0359" w:rsidRDefault="007C0359" w:rsidP="007C0359">
      <w:pPr>
        <w:pStyle w:val="1"/>
        <w:spacing w:after="80" w:line="260" w:lineRule="exact"/>
        <w:ind w:firstLine="283"/>
        <w:jc w:val="both"/>
        <w:rPr>
          <w:sz w:val="22"/>
          <w:rtl/>
        </w:rPr>
      </w:pPr>
      <w:bookmarkStart w:id="4" w:name="LawTable"/>
      <w:bookmarkEnd w:id="3"/>
      <w:bookmarkEnd w:id="4"/>
    </w:p>
    <w:p w14:paraId="752C1887" w14:textId="77777777" w:rsidR="007C0359" w:rsidRPr="007C0359" w:rsidRDefault="007C0359" w:rsidP="007C0359">
      <w:pPr>
        <w:pStyle w:val="1"/>
        <w:spacing w:after="120" w:line="240" w:lineRule="exact"/>
        <w:ind w:left="283" w:hanging="283"/>
        <w:jc w:val="both"/>
        <w:rPr>
          <w:rFonts w:ascii="FrankRuehl" w:hAnsi="FrankRuehl" w:cs="FrankRuehl"/>
          <w:sz w:val="24"/>
          <w:rtl/>
        </w:rPr>
      </w:pPr>
    </w:p>
    <w:p w14:paraId="37B5DF51" w14:textId="77777777" w:rsidR="007C0359" w:rsidRPr="007C0359" w:rsidRDefault="007C0359" w:rsidP="007C0359">
      <w:pPr>
        <w:pStyle w:val="1"/>
        <w:spacing w:after="120" w:line="240" w:lineRule="exact"/>
        <w:ind w:left="283" w:hanging="283"/>
        <w:jc w:val="both"/>
        <w:rPr>
          <w:rFonts w:ascii="FrankRuehl" w:hAnsi="FrankRuehl" w:cs="FrankRuehl"/>
          <w:sz w:val="24"/>
          <w:rtl/>
        </w:rPr>
      </w:pPr>
      <w:r w:rsidRPr="007C0359">
        <w:rPr>
          <w:rFonts w:ascii="FrankRuehl" w:hAnsi="FrankRuehl" w:cs="FrankRuehl"/>
          <w:sz w:val="24"/>
          <w:rtl/>
        </w:rPr>
        <w:t xml:space="preserve">חקיקה שאוזכרה: </w:t>
      </w:r>
    </w:p>
    <w:p w14:paraId="5744EC08" w14:textId="77777777" w:rsidR="007C0359" w:rsidRPr="007C0359" w:rsidRDefault="007C0359" w:rsidP="007C0359">
      <w:pPr>
        <w:pStyle w:val="1"/>
        <w:spacing w:after="120" w:line="240" w:lineRule="exact"/>
        <w:ind w:left="283" w:hanging="283"/>
        <w:jc w:val="both"/>
        <w:rPr>
          <w:rFonts w:ascii="FrankRuehl" w:hAnsi="FrankRuehl" w:cs="FrankRuehl"/>
          <w:sz w:val="24"/>
          <w:rtl/>
        </w:rPr>
      </w:pPr>
      <w:hyperlink r:id="rId7" w:history="1">
        <w:r w:rsidRPr="007C0359">
          <w:rPr>
            <w:rFonts w:ascii="FrankRuehl" w:hAnsi="FrankRuehl" w:cs="FrankRuehl"/>
            <w:color w:val="0000FF"/>
            <w:sz w:val="24"/>
            <w:u w:val="single"/>
            <w:rtl/>
          </w:rPr>
          <w:t>חוק העונשין, תשל"ז-1977</w:t>
        </w:r>
      </w:hyperlink>
      <w:r w:rsidRPr="007C0359">
        <w:rPr>
          <w:rFonts w:ascii="FrankRuehl" w:hAnsi="FrankRuehl" w:cs="FrankRuehl"/>
          <w:sz w:val="24"/>
          <w:rtl/>
        </w:rPr>
        <w:t xml:space="preserve">: סע'  </w:t>
      </w:r>
      <w:hyperlink r:id="rId8" w:history="1">
        <w:r w:rsidRPr="007C0359">
          <w:rPr>
            <w:rFonts w:ascii="FrankRuehl" w:hAnsi="FrankRuehl" w:cs="FrankRuehl"/>
            <w:color w:val="0000FF"/>
            <w:sz w:val="24"/>
            <w:u w:val="single"/>
            <w:rtl/>
          </w:rPr>
          <w:t>348(ו)</w:t>
        </w:r>
      </w:hyperlink>
      <w:r w:rsidRPr="007C0359">
        <w:rPr>
          <w:rFonts w:ascii="FrankRuehl" w:hAnsi="FrankRuehl" w:cs="FrankRuehl"/>
          <w:sz w:val="24"/>
          <w:rtl/>
        </w:rPr>
        <w:t xml:space="preserve">, </w:t>
      </w:r>
      <w:hyperlink r:id="rId9" w:history="1">
        <w:r w:rsidRPr="007C0359">
          <w:rPr>
            <w:rFonts w:ascii="FrankRuehl" w:hAnsi="FrankRuehl" w:cs="FrankRuehl"/>
            <w:color w:val="0000FF"/>
            <w:sz w:val="24"/>
            <w:u w:val="single"/>
            <w:rtl/>
          </w:rPr>
          <w:t>349(ב)</w:t>
        </w:r>
      </w:hyperlink>
    </w:p>
    <w:p w14:paraId="0A1FE54C" w14:textId="77777777" w:rsidR="007C0359" w:rsidRPr="007C0359" w:rsidRDefault="007C0359" w:rsidP="007C0359">
      <w:pPr>
        <w:pStyle w:val="1"/>
        <w:spacing w:after="120" w:line="240" w:lineRule="exact"/>
        <w:ind w:left="283" w:hanging="283"/>
        <w:jc w:val="both"/>
        <w:rPr>
          <w:rFonts w:ascii="FrankRuehl" w:hAnsi="FrankRuehl" w:cs="FrankRuehl"/>
          <w:sz w:val="24"/>
          <w:rtl/>
        </w:rPr>
      </w:pPr>
      <w:hyperlink r:id="rId10" w:history="1">
        <w:r w:rsidRPr="007C0359">
          <w:rPr>
            <w:rFonts w:ascii="FrankRuehl" w:hAnsi="FrankRuehl" w:cs="FrankRuehl"/>
            <w:color w:val="0000FF"/>
            <w:sz w:val="24"/>
            <w:u w:val="single"/>
            <w:rtl/>
          </w:rPr>
          <w:t>חוק לתיקון דיני הראיות (הגנת ילדים), תשט"ו-1955</w:t>
        </w:r>
      </w:hyperlink>
      <w:r w:rsidRPr="007C0359">
        <w:rPr>
          <w:rFonts w:ascii="FrankRuehl" w:hAnsi="FrankRuehl" w:cs="FrankRuehl"/>
          <w:sz w:val="24"/>
          <w:rtl/>
        </w:rPr>
        <w:t xml:space="preserve">: סע'  </w:t>
      </w:r>
      <w:hyperlink r:id="rId11" w:history="1">
        <w:r w:rsidRPr="007C0359">
          <w:rPr>
            <w:rFonts w:ascii="FrankRuehl" w:hAnsi="FrankRuehl" w:cs="FrankRuehl"/>
            <w:color w:val="0000FF"/>
            <w:sz w:val="24"/>
            <w:u w:val="single"/>
            <w:rtl/>
          </w:rPr>
          <w:t>9(א)</w:t>
        </w:r>
      </w:hyperlink>
      <w:r w:rsidRPr="007C0359">
        <w:rPr>
          <w:rFonts w:ascii="FrankRuehl" w:hAnsi="FrankRuehl" w:cs="FrankRuehl"/>
          <w:sz w:val="24"/>
          <w:rtl/>
        </w:rPr>
        <w:t xml:space="preserve">, </w:t>
      </w:r>
      <w:hyperlink r:id="rId12" w:history="1">
        <w:r w:rsidRPr="007C0359">
          <w:rPr>
            <w:rFonts w:ascii="FrankRuehl" w:hAnsi="FrankRuehl" w:cs="FrankRuehl"/>
            <w:color w:val="0000FF"/>
            <w:sz w:val="24"/>
            <w:u w:val="single"/>
            <w:rtl/>
          </w:rPr>
          <w:t>11</w:t>
        </w:r>
      </w:hyperlink>
    </w:p>
    <w:p w14:paraId="04AC47CA" w14:textId="77777777" w:rsidR="007C0359" w:rsidRPr="007C0359" w:rsidRDefault="007C0359" w:rsidP="007C0359">
      <w:pPr>
        <w:pStyle w:val="1"/>
        <w:spacing w:after="120" w:line="240" w:lineRule="exact"/>
        <w:ind w:left="283" w:hanging="283"/>
        <w:jc w:val="both"/>
        <w:rPr>
          <w:rFonts w:ascii="FrankRuehl" w:hAnsi="FrankRuehl" w:cs="FrankRuehl"/>
          <w:sz w:val="24"/>
          <w:rtl/>
        </w:rPr>
      </w:pPr>
    </w:p>
    <w:p w14:paraId="604AC62E" w14:textId="77777777" w:rsidR="007C0359" w:rsidRPr="007C0359" w:rsidRDefault="007C0359" w:rsidP="007C0359">
      <w:pPr>
        <w:pStyle w:val="1"/>
        <w:spacing w:after="80" w:line="260" w:lineRule="exact"/>
        <w:ind w:firstLine="283"/>
        <w:jc w:val="both"/>
        <w:rPr>
          <w:sz w:val="22"/>
          <w:rtl/>
        </w:rPr>
      </w:pPr>
      <w:bookmarkStart w:id="5" w:name="LawTable_End"/>
      <w:bookmarkEnd w:id="5"/>
    </w:p>
    <w:p w14:paraId="2FA1BC96" w14:textId="77777777" w:rsidR="007C0359" w:rsidRPr="007C0359" w:rsidRDefault="007C0359" w:rsidP="007C0359">
      <w:pPr>
        <w:pStyle w:val="1"/>
        <w:spacing w:after="80" w:line="260" w:lineRule="exact"/>
        <w:ind w:firstLine="283"/>
        <w:jc w:val="both"/>
        <w:rPr>
          <w:b/>
          <w:bCs/>
          <w:sz w:val="22"/>
          <w:rtl/>
        </w:rPr>
      </w:pPr>
    </w:p>
    <w:p w14:paraId="6ACC9337" w14:textId="77777777" w:rsidR="00456D0E" w:rsidRPr="00456D0E" w:rsidRDefault="00456D0E" w:rsidP="007C0359">
      <w:pPr>
        <w:pStyle w:val="1"/>
        <w:spacing w:after="80" w:line="260" w:lineRule="exact"/>
        <w:ind w:firstLine="283"/>
        <w:jc w:val="both"/>
        <w:rPr>
          <w:rFonts w:ascii="FrankRuehl" w:hAnsi="FrankRuehl" w:cs="FrankRuehl"/>
          <w:sz w:val="24"/>
          <w:rtl/>
        </w:rPr>
      </w:pPr>
      <w:r w:rsidRPr="007C0359">
        <w:rPr>
          <w:rFonts w:hint="cs"/>
          <w:b/>
          <w:bCs/>
          <w:sz w:val="22"/>
          <w:rtl/>
        </w:rPr>
        <w:t xml:space="preserve"> </w:t>
      </w:r>
    </w:p>
    <w:p w14:paraId="4538A52F" w14:textId="77777777" w:rsidR="00456D0E" w:rsidRPr="00456D0E" w:rsidRDefault="00456D0E">
      <w:pPr>
        <w:pStyle w:val="1"/>
        <w:spacing w:after="80" w:line="260" w:lineRule="exact"/>
        <w:ind w:firstLine="283"/>
        <w:jc w:val="both"/>
        <w:rPr>
          <w:sz w:val="22"/>
          <w:rtl/>
        </w:rPr>
      </w:pPr>
    </w:p>
    <w:p w14:paraId="2925CDD3" w14:textId="77777777" w:rsidR="00456D0E" w:rsidRPr="00456D0E" w:rsidRDefault="00456D0E">
      <w:pPr>
        <w:pStyle w:val="1"/>
        <w:spacing w:after="80" w:line="260" w:lineRule="exact"/>
        <w:ind w:firstLine="283"/>
        <w:jc w:val="both"/>
        <w:rPr>
          <w:b/>
          <w:bCs/>
          <w:sz w:val="22"/>
          <w:rtl/>
        </w:rPr>
      </w:pPr>
    </w:p>
    <w:p w14:paraId="2A55D1A6" w14:textId="77777777" w:rsidR="00B64FF6" w:rsidRPr="00456D0E" w:rsidRDefault="00B64FF6">
      <w:pPr>
        <w:pStyle w:val="1"/>
        <w:spacing w:after="80" w:line="260" w:lineRule="exact"/>
        <w:ind w:firstLine="283"/>
        <w:jc w:val="both"/>
        <w:rPr>
          <w:rFonts w:hint="cs"/>
          <w:b/>
          <w:bCs/>
          <w:sz w:val="22"/>
          <w:rtl/>
        </w:rPr>
      </w:pPr>
    </w:p>
    <w:p w14:paraId="39589769" w14:textId="77777777" w:rsidR="00B64FF6" w:rsidRDefault="00B64FF6">
      <w:pPr>
        <w:pStyle w:val="1"/>
        <w:pBdr>
          <w:top w:val="single" w:sz="4" w:space="1" w:color="auto"/>
          <w:bottom w:val="single" w:sz="4" w:space="1" w:color="auto"/>
        </w:pBdr>
        <w:spacing w:line="300" w:lineRule="exact"/>
        <w:jc w:val="both"/>
        <w:rPr>
          <w:rFonts w:cs="FrankRuehl" w:hint="cs"/>
          <w:szCs w:val="26"/>
          <w:rtl/>
        </w:rPr>
      </w:pPr>
      <w:bookmarkStart w:id="6" w:name="ABSTRACT_START"/>
      <w:bookmarkEnd w:id="6"/>
      <w:r>
        <w:rPr>
          <w:rFonts w:cs="FrankRuehl" w:hint="cs"/>
          <w:szCs w:val="26"/>
          <w:rtl/>
        </w:rPr>
        <w:t>יוחס לנאשם עבירה של עשיית מעשים מגונים בפומבי, לפי סעיף 349(ב) ל</w:t>
      </w:r>
      <w:hyperlink r:id="rId13" w:history="1">
        <w:r w:rsidR="00456D0E" w:rsidRPr="00456D0E">
          <w:rPr>
            <w:rStyle w:val="Hyperlink"/>
            <w:rFonts w:cs="FrankRuehl" w:hint="eastAsia"/>
            <w:szCs w:val="26"/>
            <w:rtl/>
          </w:rPr>
          <w:t>חוק</w:t>
        </w:r>
        <w:r w:rsidR="00456D0E" w:rsidRPr="00456D0E">
          <w:rPr>
            <w:rStyle w:val="Hyperlink"/>
            <w:rFonts w:cs="FrankRuehl"/>
            <w:szCs w:val="26"/>
            <w:rtl/>
          </w:rPr>
          <w:t xml:space="preserve"> העונשין</w:t>
        </w:r>
      </w:hyperlink>
      <w:r>
        <w:rPr>
          <w:rFonts w:cs="FrankRuehl" w:hint="cs"/>
          <w:szCs w:val="26"/>
          <w:rtl/>
        </w:rPr>
        <w:t>. נטען כי, בסמוך לבית ספר ביצע הנאשם מספר פעמים מעשים מגונים בפומבי, כאשר חשף את איבר מינו לפני ילדה בת 10, כשהוא "מזמין" אותה לגעת באיבר</w:t>
      </w:r>
      <w:bookmarkStart w:id="7" w:name="ABSTRACT_END"/>
      <w:bookmarkEnd w:id="7"/>
      <w:r>
        <w:rPr>
          <w:rFonts w:cs="FrankRuehl" w:hint="cs"/>
          <w:szCs w:val="26"/>
          <w:rtl/>
        </w:rPr>
        <w:t>.</w:t>
      </w:r>
    </w:p>
    <w:p w14:paraId="16B56346" w14:textId="77777777" w:rsidR="00B64FF6" w:rsidRDefault="00B64FF6">
      <w:pPr>
        <w:pStyle w:val="Heading1"/>
        <w:spacing w:after="80" w:line="260" w:lineRule="exact"/>
        <w:ind w:firstLine="283"/>
        <w:jc w:val="both"/>
        <w:rPr>
          <w:sz w:val="22"/>
          <w:szCs w:val="24"/>
          <w:u w:val="none"/>
          <w:rtl/>
        </w:rPr>
      </w:pPr>
      <w:bookmarkStart w:id="8" w:name="סוג_מסמך"/>
      <w:bookmarkEnd w:id="8"/>
    </w:p>
    <w:p w14:paraId="47AE3CE3" w14:textId="77777777" w:rsidR="00B64FF6" w:rsidRDefault="00B64FF6">
      <w:pPr>
        <w:pStyle w:val="Heading1"/>
        <w:spacing w:after="80" w:line="260" w:lineRule="exact"/>
        <w:ind w:firstLine="283"/>
        <w:rPr>
          <w:sz w:val="22"/>
          <w:szCs w:val="24"/>
          <w:rtl/>
        </w:rPr>
      </w:pPr>
      <w:bookmarkStart w:id="9" w:name="PsakDin"/>
      <w:r>
        <w:rPr>
          <w:sz w:val="22"/>
          <w:szCs w:val="24"/>
          <w:rtl/>
        </w:rPr>
        <w:t>הכרעת דין</w:t>
      </w:r>
    </w:p>
    <w:bookmarkEnd w:id="9"/>
    <w:p w14:paraId="02629CBF" w14:textId="77777777" w:rsidR="00B64FF6" w:rsidRDefault="00456D0E">
      <w:pPr>
        <w:pStyle w:val="Heading1"/>
        <w:spacing w:after="80" w:line="260" w:lineRule="exact"/>
        <w:ind w:firstLine="283"/>
        <w:jc w:val="both"/>
        <w:rPr>
          <w:sz w:val="22"/>
          <w:szCs w:val="24"/>
          <w:rtl/>
        </w:rPr>
      </w:pPr>
      <w:r>
        <w:rPr>
          <w:rFonts w:hint="cs"/>
          <w:sz w:val="22"/>
          <w:szCs w:val="24"/>
          <w:rtl/>
        </w:rPr>
        <w:t xml:space="preserve"> </w:t>
      </w:r>
    </w:p>
    <w:p w14:paraId="1C23FB6B" w14:textId="77777777" w:rsidR="00B64FF6" w:rsidRDefault="00B64FF6">
      <w:pPr>
        <w:spacing w:after="80" w:line="260" w:lineRule="exact"/>
        <w:ind w:firstLine="283"/>
        <w:rPr>
          <w:rFonts w:hint="cs"/>
          <w:sz w:val="22"/>
          <w:rtl/>
        </w:rPr>
      </w:pPr>
      <w:r>
        <w:rPr>
          <w:rFonts w:hint="cs"/>
          <w:sz w:val="22"/>
          <w:rtl/>
        </w:rPr>
        <w:t>1.</w:t>
      </w:r>
      <w:r>
        <w:rPr>
          <w:rFonts w:hint="cs"/>
          <w:sz w:val="22"/>
          <w:rtl/>
        </w:rPr>
        <w:tab/>
        <w:t>כתב האישום בתיק זה הוגש ביום 27.11.00, וייחס לנאשם עבירה של עשיית מע</w:t>
      </w:r>
      <w:r w:rsidR="007C0359">
        <w:rPr>
          <w:rFonts w:hint="cs"/>
          <w:sz w:val="22"/>
          <w:rtl/>
        </w:rPr>
        <w:t xml:space="preserve">שים מגונים בפומבי, לפי סעיף </w:t>
      </w:r>
      <w:hyperlink r:id="rId14" w:history="1">
        <w:r w:rsidR="007C0359" w:rsidRPr="007C0359">
          <w:rPr>
            <w:color w:val="0000FF"/>
            <w:sz w:val="22"/>
            <w:u w:val="single"/>
            <w:rtl/>
          </w:rPr>
          <w:t>349(ב)</w:t>
        </w:r>
      </w:hyperlink>
      <w:r>
        <w:rPr>
          <w:rFonts w:hint="cs"/>
          <w:sz w:val="22"/>
          <w:rtl/>
        </w:rPr>
        <w:t xml:space="preserve"> ל</w:t>
      </w:r>
      <w:hyperlink r:id="rId15" w:history="1">
        <w:r w:rsidR="00456D0E" w:rsidRPr="00456D0E">
          <w:rPr>
            <w:rStyle w:val="Hyperlink"/>
            <w:rFonts w:hint="eastAsia"/>
            <w:sz w:val="22"/>
            <w:rtl/>
          </w:rPr>
          <w:t>חוק</w:t>
        </w:r>
        <w:r w:rsidR="00456D0E" w:rsidRPr="00456D0E">
          <w:rPr>
            <w:rStyle w:val="Hyperlink"/>
            <w:sz w:val="22"/>
            <w:rtl/>
          </w:rPr>
          <w:t xml:space="preserve"> העונשין</w:t>
        </w:r>
      </w:hyperlink>
      <w:r>
        <w:rPr>
          <w:rFonts w:hint="cs"/>
          <w:sz w:val="22"/>
          <w:rtl/>
        </w:rPr>
        <w:t xml:space="preserve">. נטען בו, כי במהלך חודש מאי-יוני 2000, בקרית-גת, בסמוך לבית הספר בן-צבי, ביצע הנאשם מספר פעמים מעשים מגונים בפומבי, כאשר חשף את איבר מינו לפני ילדה בת 10, כשהוא "מזמין" אותה לגעת באיבר. </w:t>
      </w:r>
    </w:p>
    <w:p w14:paraId="2B70FBE9" w14:textId="77777777" w:rsidR="00B64FF6" w:rsidRDefault="00456D0E">
      <w:pPr>
        <w:spacing w:after="80" w:line="260" w:lineRule="exact"/>
        <w:ind w:firstLine="283"/>
        <w:rPr>
          <w:rFonts w:hint="cs"/>
          <w:sz w:val="22"/>
          <w:rtl/>
        </w:rPr>
      </w:pPr>
      <w:r>
        <w:rPr>
          <w:rFonts w:hint="cs"/>
          <w:sz w:val="22"/>
          <w:rtl/>
        </w:rPr>
        <w:lastRenderedPageBreak/>
        <w:t xml:space="preserve"> </w:t>
      </w:r>
    </w:p>
    <w:p w14:paraId="287CE16D" w14:textId="77777777" w:rsidR="00B64FF6" w:rsidRDefault="00B64FF6">
      <w:pPr>
        <w:spacing w:after="80" w:line="260" w:lineRule="exact"/>
        <w:ind w:firstLine="283"/>
        <w:rPr>
          <w:rFonts w:hint="cs"/>
          <w:sz w:val="22"/>
          <w:rtl/>
        </w:rPr>
      </w:pPr>
      <w:r>
        <w:rPr>
          <w:rFonts w:hint="cs"/>
          <w:sz w:val="22"/>
          <w:rtl/>
        </w:rPr>
        <w:t>2.</w:t>
      </w:r>
      <w:r>
        <w:rPr>
          <w:rFonts w:hint="cs"/>
          <w:sz w:val="22"/>
          <w:rtl/>
        </w:rPr>
        <w:tab/>
        <w:t xml:space="preserve">הקטינה, א.מ., לא העידה בבית המשפט, וגירסתה נמסרה באמצעות עדות חוקרת הילדים, רחל נחום. </w:t>
      </w:r>
    </w:p>
    <w:p w14:paraId="59E0ECE3" w14:textId="77777777" w:rsidR="00B64FF6" w:rsidRDefault="00B64FF6">
      <w:pPr>
        <w:spacing w:after="80" w:line="260" w:lineRule="exact"/>
        <w:ind w:firstLine="283"/>
        <w:rPr>
          <w:rFonts w:hint="cs"/>
          <w:color w:val="FFFFFF"/>
          <w:sz w:val="4"/>
          <w:szCs w:val="4"/>
          <w:rtl/>
        </w:rPr>
      </w:pPr>
    </w:p>
    <w:p w14:paraId="24EC9596" w14:textId="77777777" w:rsidR="00B64FF6" w:rsidRDefault="00B64FF6">
      <w:pPr>
        <w:spacing w:after="80" w:line="260" w:lineRule="exact"/>
        <w:ind w:firstLine="283"/>
        <w:rPr>
          <w:rFonts w:hint="cs"/>
          <w:sz w:val="22"/>
          <w:rtl/>
        </w:rPr>
      </w:pPr>
      <w:r>
        <w:rPr>
          <w:color w:val="FFFFFF"/>
          <w:sz w:val="4"/>
          <w:szCs w:val="4"/>
          <w:rtl/>
        </w:rPr>
        <w:t>5129371</w:t>
      </w:r>
      <w:r w:rsidR="00456D0E">
        <w:rPr>
          <w:rFonts w:hint="cs"/>
          <w:sz w:val="22"/>
          <w:rtl/>
        </w:rPr>
        <w:t xml:space="preserve"> </w:t>
      </w:r>
    </w:p>
    <w:p w14:paraId="23335C28" w14:textId="77777777" w:rsidR="00B64FF6" w:rsidRDefault="00B64FF6">
      <w:pPr>
        <w:spacing w:after="80" w:line="260" w:lineRule="exact"/>
        <w:ind w:firstLine="283"/>
        <w:rPr>
          <w:rFonts w:hint="cs"/>
          <w:sz w:val="22"/>
          <w:rtl/>
        </w:rPr>
      </w:pPr>
      <w:r>
        <w:rPr>
          <w:rFonts w:hint="cs"/>
          <w:sz w:val="22"/>
          <w:rtl/>
        </w:rPr>
        <w:tab/>
        <w:t xml:space="preserve">אחותה של א.מ., ח.מ., נחקרה אף היא, על ידי חוקרת הילדים לאה דנינו. </w:t>
      </w:r>
    </w:p>
    <w:p w14:paraId="04633B02" w14:textId="77777777" w:rsidR="00B64FF6" w:rsidRDefault="00456D0E">
      <w:pPr>
        <w:spacing w:after="80" w:line="260" w:lineRule="exact"/>
        <w:ind w:firstLine="283"/>
        <w:rPr>
          <w:rFonts w:hint="cs"/>
          <w:sz w:val="22"/>
          <w:rtl/>
        </w:rPr>
      </w:pPr>
      <w:r>
        <w:rPr>
          <w:rFonts w:hint="cs"/>
          <w:sz w:val="22"/>
          <w:rtl/>
        </w:rPr>
        <w:t xml:space="preserve"> </w:t>
      </w:r>
    </w:p>
    <w:p w14:paraId="6DDB7259" w14:textId="77777777" w:rsidR="00B64FF6" w:rsidRDefault="00B64FF6">
      <w:pPr>
        <w:spacing w:after="80" w:line="260" w:lineRule="exact"/>
        <w:ind w:firstLine="283"/>
        <w:rPr>
          <w:rFonts w:hint="cs"/>
          <w:sz w:val="22"/>
          <w:rtl/>
        </w:rPr>
      </w:pPr>
      <w:r>
        <w:rPr>
          <w:rFonts w:hint="cs"/>
          <w:sz w:val="22"/>
          <w:rtl/>
        </w:rPr>
        <w:tab/>
        <w:t>כידוע, נקבע ב</w:t>
      </w:r>
      <w:hyperlink r:id="rId16" w:history="1">
        <w:r w:rsidR="00456D0E" w:rsidRPr="00456D0E">
          <w:rPr>
            <w:rStyle w:val="Hyperlink"/>
            <w:rFonts w:hint="eastAsia"/>
            <w:sz w:val="22"/>
            <w:rtl/>
          </w:rPr>
          <w:t>חוק</w:t>
        </w:r>
        <w:r w:rsidR="00456D0E" w:rsidRPr="00456D0E">
          <w:rPr>
            <w:rStyle w:val="Hyperlink"/>
            <w:sz w:val="22"/>
            <w:rtl/>
          </w:rPr>
          <w:t xml:space="preserve"> לתיקון דיני הראיות (הגנת ילדים)</w:t>
        </w:r>
      </w:hyperlink>
      <w:r w:rsidR="007C0359">
        <w:rPr>
          <w:rFonts w:hint="cs"/>
          <w:sz w:val="22"/>
          <w:rtl/>
        </w:rPr>
        <w:t xml:space="preserve">, תשט"ו – 1955, בסעיף </w:t>
      </w:r>
      <w:hyperlink r:id="rId17" w:history="1">
        <w:r w:rsidR="007C0359" w:rsidRPr="007C0359">
          <w:rPr>
            <w:color w:val="0000FF"/>
            <w:sz w:val="22"/>
            <w:u w:val="single"/>
            <w:rtl/>
          </w:rPr>
          <w:t>9(א),</w:t>
        </w:r>
      </w:hyperlink>
      <w:r>
        <w:rPr>
          <w:rFonts w:hint="cs"/>
          <w:sz w:val="22"/>
          <w:rtl/>
        </w:rPr>
        <w:t xml:space="preserve"> כנוסחו היום, כדלקמן: </w:t>
      </w:r>
    </w:p>
    <w:p w14:paraId="16BEAA22" w14:textId="77777777" w:rsidR="00B64FF6" w:rsidRDefault="00456D0E">
      <w:pPr>
        <w:spacing w:after="80" w:line="260" w:lineRule="exact"/>
        <w:ind w:firstLine="283"/>
        <w:rPr>
          <w:rFonts w:hint="cs"/>
          <w:sz w:val="22"/>
          <w:rtl/>
        </w:rPr>
      </w:pPr>
      <w:r>
        <w:rPr>
          <w:rFonts w:hint="cs"/>
          <w:sz w:val="22"/>
          <w:rtl/>
        </w:rPr>
        <w:t xml:space="preserve"> </w:t>
      </w:r>
    </w:p>
    <w:p w14:paraId="2B91A01D" w14:textId="77777777" w:rsidR="00B64FF6" w:rsidRDefault="00B64FF6">
      <w:pPr>
        <w:pStyle w:val="a4"/>
        <w:spacing w:after="80" w:line="260" w:lineRule="exact"/>
        <w:ind w:left="0" w:right="0" w:firstLine="283"/>
        <w:rPr>
          <w:rFonts w:hint="cs"/>
          <w:sz w:val="22"/>
          <w:szCs w:val="24"/>
          <w:rtl/>
        </w:rPr>
      </w:pPr>
      <w:r>
        <w:rPr>
          <w:rFonts w:hint="cs"/>
          <w:sz w:val="22"/>
          <w:szCs w:val="24"/>
          <w:rtl/>
        </w:rPr>
        <w:t xml:space="preserve">”עדות בעבירה המנויה בתוספת, שתועדה בידי חוקר ילדים בהתאם להוראות חוק זה, וכן זכרון דברים או דין וחשבון לעניין חקירה שתועדה כאמור, שנרשמו בידי חוקר ילדים בשעת החקירה או אחריה – כשרים להתקבל כראיה בבית המשפט". </w:t>
      </w:r>
    </w:p>
    <w:p w14:paraId="0CB83023" w14:textId="77777777" w:rsidR="00B64FF6" w:rsidRDefault="00456D0E">
      <w:pPr>
        <w:pStyle w:val="a4"/>
        <w:spacing w:after="80" w:line="260" w:lineRule="exact"/>
        <w:ind w:left="0" w:right="0" w:firstLine="283"/>
        <w:rPr>
          <w:rFonts w:hint="cs"/>
          <w:sz w:val="22"/>
          <w:szCs w:val="24"/>
          <w:rtl/>
        </w:rPr>
      </w:pPr>
      <w:r>
        <w:rPr>
          <w:rFonts w:hint="cs"/>
          <w:sz w:val="22"/>
          <w:szCs w:val="24"/>
          <w:rtl/>
        </w:rPr>
        <w:t xml:space="preserve"> </w:t>
      </w:r>
    </w:p>
    <w:p w14:paraId="111B59A7" w14:textId="77777777" w:rsidR="00B64FF6" w:rsidRDefault="00456D0E">
      <w:pPr>
        <w:spacing w:after="80" w:line="260" w:lineRule="exact"/>
        <w:ind w:firstLine="283"/>
        <w:rPr>
          <w:rFonts w:hint="cs"/>
          <w:sz w:val="22"/>
          <w:rtl/>
        </w:rPr>
      </w:pPr>
      <w:r>
        <w:rPr>
          <w:rFonts w:hint="cs"/>
          <w:sz w:val="22"/>
          <w:rtl/>
        </w:rPr>
        <w:t xml:space="preserve"> </w:t>
      </w:r>
    </w:p>
    <w:p w14:paraId="614B1237" w14:textId="77777777" w:rsidR="00B64FF6" w:rsidRDefault="00B64FF6">
      <w:pPr>
        <w:spacing w:after="80" w:line="260" w:lineRule="exact"/>
        <w:ind w:firstLine="283"/>
        <w:rPr>
          <w:rFonts w:hint="cs"/>
          <w:sz w:val="22"/>
          <w:rtl/>
        </w:rPr>
      </w:pPr>
      <w:r>
        <w:rPr>
          <w:rFonts w:hint="cs"/>
          <w:sz w:val="22"/>
          <w:rtl/>
        </w:rPr>
        <w:tab/>
        <w:t xml:space="preserve">בהתאם,  הוגשו ונתקבלו קלטת חקירתה של א.מ. – ת/8, תמליל הקלטת – ת/9, טופס הערכת העדות – ת/7, קלטת חקירתה של ח.מ. – ת/2, תמליל הקלטת – ת/3, טופס הערכת העדות – ת/1. </w:t>
      </w:r>
    </w:p>
    <w:p w14:paraId="1806AAD0" w14:textId="77777777" w:rsidR="00B64FF6" w:rsidRDefault="00456D0E">
      <w:pPr>
        <w:spacing w:after="80" w:line="260" w:lineRule="exact"/>
        <w:ind w:firstLine="283"/>
        <w:rPr>
          <w:rFonts w:hint="cs"/>
          <w:sz w:val="22"/>
          <w:rtl/>
        </w:rPr>
      </w:pPr>
      <w:r>
        <w:rPr>
          <w:rFonts w:hint="cs"/>
          <w:sz w:val="22"/>
          <w:rtl/>
        </w:rPr>
        <w:t xml:space="preserve"> </w:t>
      </w:r>
    </w:p>
    <w:p w14:paraId="52D3B771" w14:textId="77777777" w:rsidR="00B64FF6" w:rsidRDefault="00B64FF6">
      <w:pPr>
        <w:spacing w:after="80" w:line="260" w:lineRule="exact"/>
        <w:ind w:firstLine="283"/>
        <w:rPr>
          <w:rFonts w:hint="cs"/>
          <w:sz w:val="22"/>
          <w:rtl/>
        </w:rPr>
      </w:pPr>
      <w:r>
        <w:rPr>
          <w:rFonts w:hint="cs"/>
          <w:sz w:val="22"/>
          <w:rtl/>
        </w:rPr>
        <w:tab/>
        <w:t xml:space="preserve">עוד קובע החוק הנ"ל </w:t>
      </w:r>
      <w:hyperlink r:id="rId18" w:history="1">
        <w:r w:rsidR="007C0359" w:rsidRPr="007C0359">
          <w:rPr>
            <w:color w:val="0000FF"/>
            <w:sz w:val="22"/>
            <w:u w:val="single"/>
            <w:rtl/>
          </w:rPr>
          <w:t>בסעיף 11</w:t>
        </w:r>
      </w:hyperlink>
      <w:r>
        <w:rPr>
          <w:rFonts w:hint="cs"/>
          <w:sz w:val="22"/>
          <w:rtl/>
        </w:rPr>
        <w:t xml:space="preserve">, כי: </w:t>
      </w:r>
    </w:p>
    <w:p w14:paraId="1F3147A3" w14:textId="77777777" w:rsidR="00B64FF6" w:rsidRDefault="00456D0E">
      <w:pPr>
        <w:pStyle w:val="a4"/>
        <w:spacing w:after="80" w:line="260" w:lineRule="exact"/>
        <w:ind w:left="0" w:right="0" w:firstLine="283"/>
        <w:rPr>
          <w:rFonts w:hint="cs"/>
          <w:sz w:val="22"/>
          <w:szCs w:val="24"/>
          <w:rtl/>
        </w:rPr>
      </w:pPr>
      <w:r>
        <w:rPr>
          <w:rFonts w:hint="cs"/>
          <w:sz w:val="22"/>
          <w:szCs w:val="24"/>
          <w:rtl/>
        </w:rPr>
        <w:t xml:space="preserve"> </w:t>
      </w:r>
    </w:p>
    <w:p w14:paraId="40960D09" w14:textId="77777777" w:rsidR="00B64FF6" w:rsidRDefault="00B64FF6">
      <w:pPr>
        <w:pStyle w:val="a4"/>
        <w:spacing w:after="80" w:line="260" w:lineRule="exact"/>
        <w:ind w:left="0" w:right="0" w:firstLine="283"/>
        <w:rPr>
          <w:rFonts w:hint="cs"/>
          <w:sz w:val="22"/>
          <w:szCs w:val="24"/>
          <w:rtl/>
        </w:rPr>
      </w:pPr>
      <w:r>
        <w:rPr>
          <w:rFonts w:hint="cs"/>
          <w:sz w:val="22"/>
          <w:szCs w:val="24"/>
          <w:rtl/>
        </w:rPr>
        <w:t xml:space="preserve">”לא יורשע אדם על סמך ראיה לפי סעיף 9 אלא אם יש לה סיוע בראיה אחרת". </w:t>
      </w:r>
    </w:p>
    <w:p w14:paraId="577EDD6C" w14:textId="77777777" w:rsidR="00B64FF6" w:rsidRDefault="00456D0E">
      <w:pPr>
        <w:pStyle w:val="a4"/>
        <w:spacing w:after="80" w:line="260" w:lineRule="exact"/>
        <w:ind w:left="0" w:right="0" w:firstLine="283"/>
        <w:rPr>
          <w:rFonts w:hint="cs"/>
          <w:sz w:val="22"/>
          <w:szCs w:val="24"/>
          <w:rtl/>
        </w:rPr>
      </w:pPr>
      <w:r>
        <w:rPr>
          <w:rFonts w:hint="cs"/>
          <w:sz w:val="22"/>
          <w:szCs w:val="24"/>
          <w:rtl/>
        </w:rPr>
        <w:t xml:space="preserve"> </w:t>
      </w:r>
    </w:p>
    <w:p w14:paraId="39015931" w14:textId="77777777" w:rsidR="00B64FF6" w:rsidRDefault="00456D0E">
      <w:pPr>
        <w:spacing w:after="80" w:line="260" w:lineRule="exact"/>
        <w:ind w:firstLine="283"/>
        <w:rPr>
          <w:rFonts w:hint="cs"/>
          <w:sz w:val="22"/>
          <w:rtl/>
        </w:rPr>
      </w:pPr>
      <w:r>
        <w:rPr>
          <w:rFonts w:hint="cs"/>
          <w:sz w:val="22"/>
          <w:rtl/>
        </w:rPr>
        <w:t xml:space="preserve"> </w:t>
      </w:r>
    </w:p>
    <w:p w14:paraId="03C7884B" w14:textId="77777777" w:rsidR="00B64FF6" w:rsidRDefault="00B64FF6">
      <w:pPr>
        <w:spacing w:after="80" w:line="260" w:lineRule="exact"/>
        <w:ind w:firstLine="283"/>
        <w:rPr>
          <w:rFonts w:hint="cs"/>
          <w:sz w:val="22"/>
          <w:rtl/>
        </w:rPr>
      </w:pPr>
      <w:r>
        <w:rPr>
          <w:rFonts w:hint="cs"/>
          <w:sz w:val="22"/>
          <w:rtl/>
        </w:rPr>
        <w:tab/>
        <w:t xml:space="preserve">בפסיקה נקבע, כי תוספת ראייתית בדרגה של סיוע, צריכה להיות ראיה עצמאית, אשר קושרת את הנאשם לביצוע העבירה  ואשר מתייחסת לעניין מהותי השנוי במחלוקת בין הצדדים (ראו, למשל, </w:t>
      </w:r>
      <w:hyperlink r:id="rId19" w:history="1">
        <w:r w:rsidR="00456D0E" w:rsidRPr="00456D0E">
          <w:rPr>
            <w:rStyle w:val="Hyperlink"/>
            <w:rFonts w:hint="eastAsia"/>
            <w:sz w:val="22"/>
            <w:rtl/>
          </w:rPr>
          <w:t>ע</w:t>
        </w:r>
        <w:r w:rsidR="00456D0E" w:rsidRPr="00456D0E">
          <w:rPr>
            <w:rStyle w:val="Hyperlink"/>
            <w:sz w:val="22"/>
            <w:rtl/>
          </w:rPr>
          <w:t>.פ 1121/96 פלוני נ' מדינת ישראל, פ"ד נ</w:t>
        </w:r>
      </w:hyperlink>
      <w:r>
        <w:rPr>
          <w:rFonts w:hint="cs"/>
          <w:sz w:val="22"/>
          <w:rtl/>
        </w:rPr>
        <w:t xml:space="preserve"> (3) 353, 359). לצד זאת נפסק גם, כי אין צורך שראיית הסיוע תתייחס לכל פרט ופרט מפרטי המעשה, כי מצב נפשי של מתלונן יכול להוות ראיה עצמאית אם הוכח הקשר בינו לבין העבירה הנטענת, וכי עדויות קטינים בפני חוקר ילדים, גם בנוגע למקרים שלא התרחשו בנוכחות כולם יחד, יכולות לסייע זו לזו (ראו, למשל, </w:t>
      </w:r>
      <w:hyperlink r:id="rId20" w:history="1">
        <w:r w:rsidR="00456D0E" w:rsidRPr="00456D0E">
          <w:rPr>
            <w:rStyle w:val="Hyperlink"/>
            <w:rFonts w:hint="eastAsia"/>
            <w:sz w:val="22"/>
            <w:rtl/>
          </w:rPr>
          <w:t>ע</w:t>
        </w:r>
        <w:r w:rsidR="00456D0E" w:rsidRPr="00456D0E">
          <w:rPr>
            <w:rStyle w:val="Hyperlink"/>
            <w:sz w:val="22"/>
            <w:rtl/>
          </w:rPr>
          <w:t>.פ. 4009/90 מדינת ישראל נ' פלוני, פ"ד מז</w:t>
        </w:r>
      </w:hyperlink>
      <w:r>
        <w:rPr>
          <w:rFonts w:hint="cs"/>
          <w:sz w:val="22"/>
          <w:rtl/>
        </w:rPr>
        <w:t xml:space="preserve"> (1) 292, 304 –305;  </w:t>
      </w:r>
      <w:hyperlink r:id="rId21" w:history="1">
        <w:r w:rsidR="00456D0E" w:rsidRPr="00456D0E">
          <w:rPr>
            <w:rStyle w:val="Hyperlink"/>
            <w:rFonts w:hint="eastAsia"/>
            <w:sz w:val="22"/>
            <w:rtl/>
          </w:rPr>
          <w:t>ע</w:t>
        </w:r>
        <w:r w:rsidR="00456D0E" w:rsidRPr="00456D0E">
          <w:rPr>
            <w:rStyle w:val="Hyperlink"/>
            <w:sz w:val="22"/>
            <w:rtl/>
          </w:rPr>
          <w:t>.פ. 4596/98 פלונית נ' מדינת ישראל, פ"ד נד</w:t>
        </w:r>
      </w:hyperlink>
      <w:r>
        <w:rPr>
          <w:rFonts w:hint="cs"/>
          <w:sz w:val="22"/>
          <w:rtl/>
        </w:rPr>
        <w:t xml:space="preserve"> (1) 145, 165). בנוסף לכך, מובן שניתן למצוא ראייה מסייעת בדברי הנאשם עצמו וכן בהתנהגותו, לאחר מועד ביצוע העבירה. </w:t>
      </w:r>
    </w:p>
    <w:p w14:paraId="18C45068" w14:textId="77777777" w:rsidR="00B64FF6" w:rsidRDefault="00456D0E">
      <w:pPr>
        <w:spacing w:after="80" w:line="260" w:lineRule="exact"/>
        <w:ind w:firstLine="283"/>
        <w:rPr>
          <w:rFonts w:hint="cs"/>
          <w:sz w:val="22"/>
          <w:rtl/>
        </w:rPr>
      </w:pPr>
      <w:r>
        <w:rPr>
          <w:rFonts w:hint="cs"/>
          <w:sz w:val="22"/>
          <w:rtl/>
        </w:rPr>
        <w:t xml:space="preserve"> </w:t>
      </w:r>
    </w:p>
    <w:p w14:paraId="3E4D713C" w14:textId="77777777" w:rsidR="00B64FF6" w:rsidRDefault="00B64FF6">
      <w:pPr>
        <w:spacing w:after="80" w:line="260" w:lineRule="exact"/>
        <w:ind w:firstLine="283"/>
        <w:rPr>
          <w:rFonts w:hint="cs"/>
          <w:sz w:val="22"/>
          <w:rtl/>
        </w:rPr>
      </w:pPr>
      <w:r>
        <w:rPr>
          <w:rFonts w:hint="cs"/>
          <w:sz w:val="22"/>
          <w:rtl/>
        </w:rPr>
        <w:tab/>
        <w:t xml:space="preserve">עם זאת ברור, שמאחר ובית המשפט אינו יכול להתרשם באופן בלתי אמצעי מעדויות הקטינים עצמם, יש לבחון את העדויות, כפי שהן מובאות על ידי חוקר הילדים, בזהירות מירבית. </w:t>
      </w:r>
    </w:p>
    <w:p w14:paraId="3BFDE144" w14:textId="77777777" w:rsidR="00B64FF6" w:rsidRDefault="00456D0E">
      <w:pPr>
        <w:spacing w:after="80" w:line="260" w:lineRule="exact"/>
        <w:ind w:firstLine="283"/>
        <w:rPr>
          <w:rFonts w:hint="cs"/>
          <w:sz w:val="22"/>
          <w:rtl/>
        </w:rPr>
      </w:pPr>
      <w:r>
        <w:rPr>
          <w:rFonts w:hint="cs"/>
          <w:sz w:val="22"/>
          <w:rtl/>
        </w:rPr>
        <w:t xml:space="preserve"> </w:t>
      </w:r>
    </w:p>
    <w:p w14:paraId="15B7B8B6" w14:textId="77777777" w:rsidR="00B64FF6" w:rsidRDefault="00B64FF6">
      <w:pPr>
        <w:spacing w:after="80" w:line="260" w:lineRule="exact"/>
        <w:ind w:firstLine="283"/>
        <w:rPr>
          <w:rFonts w:hint="cs"/>
          <w:sz w:val="22"/>
          <w:rtl/>
        </w:rPr>
      </w:pPr>
      <w:r>
        <w:rPr>
          <w:rFonts w:hint="cs"/>
          <w:sz w:val="22"/>
          <w:rtl/>
        </w:rPr>
        <w:t>3.</w:t>
      </w:r>
      <w:r>
        <w:rPr>
          <w:rFonts w:hint="cs"/>
          <w:sz w:val="22"/>
          <w:rtl/>
        </w:rPr>
        <w:tab/>
        <w:t xml:space="preserve">הקטינה א.מ. מספרת לחוקרת הילדים, כי זיהתה בדרך את "אבא של אושרית" ו: </w:t>
      </w:r>
    </w:p>
    <w:p w14:paraId="4435CAC6" w14:textId="77777777" w:rsidR="00B64FF6" w:rsidRDefault="00456D0E">
      <w:pPr>
        <w:spacing w:after="80" w:line="260" w:lineRule="exact"/>
        <w:ind w:firstLine="283"/>
        <w:rPr>
          <w:rFonts w:hint="cs"/>
          <w:sz w:val="22"/>
          <w:rtl/>
        </w:rPr>
      </w:pPr>
      <w:r>
        <w:rPr>
          <w:rFonts w:hint="cs"/>
          <w:sz w:val="22"/>
          <w:rtl/>
        </w:rPr>
        <w:t xml:space="preserve"> </w:t>
      </w:r>
    </w:p>
    <w:p w14:paraId="5EB0F1A8" w14:textId="77777777" w:rsidR="00B64FF6" w:rsidRDefault="00B64FF6">
      <w:pPr>
        <w:pStyle w:val="a4"/>
        <w:spacing w:after="80" w:line="260" w:lineRule="exact"/>
        <w:ind w:left="0" w:right="0" w:firstLine="283"/>
        <w:rPr>
          <w:rFonts w:hint="cs"/>
          <w:bCs w:val="0"/>
          <w:sz w:val="22"/>
          <w:szCs w:val="24"/>
          <w:rtl/>
        </w:rPr>
      </w:pPr>
      <w:r>
        <w:rPr>
          <w:rFonts w:hint="cs"/>
          <w:sz w:val="22"/>
          <w:szCs w:val="24"/>
          <w:rtl/>
        </w:rPr>
        <w:t xml:space="preserve">”... הוא פתאום פותח את הרוכסן, מרחוק, כשהוא עוד ראה אותי ואני עדיין לא שמתי לב, התחיל לפתוח את הרוכסן והוציא את ה... איברים שלו, והוא ... כשהוא התקרב אלי הוא אמר לי בואי תמצצי לי ו... אני נבהלתי, התחלתי לרוץ... עברתי לו מתחת ליד... אחותי עזבה לי את היד, היא התחילה לבכות ואני רצתי לבית הספר. רצתי לרינה, רינה אומרת – תרגעי הכל יהיה בסדר, והיא לא עשתה לבנאדם כלום..." </w:t>
      </w:r>
      <w:r>
        <w:rPr>
          <w:rFonts w:hint="cs"/>
          <w:bCs w:val="0"/>
          <w:sz w:val="22"/>
          <w:szCs w:val="24"/>
          <w:rtl/>
        </w:rPr>
        <w:t xml:space="preserve">(שורות 166 – 177). </w:t>
      </w:r>
    </w:p>
    <w:p w14:paraId="4533B12B" w14:textId="77777777" w:rsidR="00B64FF6" w:rsidRDefault="00456D0E">
      <w:pPr>
        <w:pStyle w:val="a4"/>
        <w:spacing w:after="80" w:line="260" w:lineRule="exact"/>
        <w:ind w:left="0" w:right="0" w:firstLine="283"/>
        <w:rPr>
          <w:rFonts w:hint="cs"/>
          <w:bCs w:val="0"/>
          <w:sz w:val="22"/>
          <w:szCs w:val="24"/>
          <w:rtl/>
        </w:rPr>
      </w:pPr>
      <w:r>
        <w:rPr>
          <w:bCs w:val="0"/>
          <w:sz w:val="22"/>
          <w:szCs w:val="24"/>
          <w:rtl/>
        </w:rPr>
        <w:t xml:space="preserve"> </w:t>
      </w:r>
    </w:p>
    <w:p w14:paraId="6B20911D" w14:textId="77777777" w:rsidR="00B64FF6" w:rsidRDefault="00B64FF6">
      <w:pPr>
        <w:spacing w:after="80" w:line="260" w:lineRule="exact"/>
        <w:ind w:firstLine="283"/>
        <w:rPr>
          <w:sz w:val="22"/>
          <w:rtl/>
        </w:rPr>
      </w:pPr>
      <w:r>
        <w:rPr>
          <w:rFonts w:hint="cs"/>
          <w:sz w:val="22"/>
          <w:rtl/>
        </w:rPr>
        <w:tab/>
        <w:t xml:space="preserve">הקטינה חוזרת על תיאור דומה בעמוד 7 לת/9. </w:t>
      </w:r>
    </w:p>
    <w:p w14:paraId="5B6C0536" w14:textId="77777777" w:rsidR="00B64FF6" w:rsidRDefault="00456D0E">
      <w:pPr>
        <w:spacing w:after="80" w:line="260" w:lineRule="exact"/>
        <w:ind w:firstLine="283"/>
        <w:rPr>
          <w:rFonts w:hint="cs"/>
          <w:sz w:val="22"/>
          <w:rtl/>
        </w:rPr>
      </w:pPr>
      <w:r>
        <w:rPr>
          <w:rFonts w:hint="cs"/>
          <w:sz w:val="22"/>
          <w:rtl/>
        </w:rPr>
        <w:t xml:space="preserve"> </w:t>
      </w:r>
    </w:p>
    <w:p w14:paraId="5A10D63C" w14:textId="77777777" w:rsidR="00B64FF6" w:rsidRDefault="00B64FF6">
      <w:pPr>
        <w:spacing w:after="80" w:line="260" w:lineRule="exact"/>
        <w:ind w:firstLine="283"/>
        <w:rPr>
          <w:rFonts w:hint="cs"/>
          <w:sz w:val="22"/>
          <w:rtl/>
        </w:rPr>
      </w:pPr>
      <w:r>
        <w:rPr>
          <w:rFonts w:hint="cs"/>
          <w:sz w:val="22"/>
          <w:rtl/>
        </w:rPr>
        <w:lastRenderedPageBreak/>
        <w:tab/>
        <w:t xml:space="preserve">החוקרת רחל נחום רושמת בטופס העדות – ת/7, כי מדובר בילדה כבת 10, המתמצאת היטב בזמן ובמקום ומסוגלת לתאר אירועים תוך שימוש נכון בשפה. להערכתה, דבריה של הילדה אמיתיים, תיאור האירועים שלם וכולל גם תיאור רגשות בהתאמה לאירועים עצמם. </w:t>
      </w:r>
    </w:p>
    <w:p w14:paraId="52F7B208" w14:textId="77777777" w:rsidR="00B64FF6" w:rsidRDefault="00456D0E">
      <w:pPr>
        <w:spacing w:after="80" w:line="260" w:lineRule="exact"/>
        <w:ind w:firstLine="283"/>
        <w:rPr>
          <w:sz w:val="22"/>
          <w:rtl/>
        </w:rPr>
      </w:pPr>
      <w:r>
        <w:rPr>
          <w:rFonts w:hint="cs"/>
          <w:sz w:val="22"/>
          <w:rtl/>
        </w:rPr>
        <w:t xml:space="preserve"> </w:t>
      </w:r>
    </w:p>
    <w:p w14:paraId="0375CEE0" w14:textId="77777777" w:rsidR="00B64FF6" w:rsidRDefault="00B64FF6">
      <w:pPr>
        <w:spacing w:after="80" w:line="260" w:lineRule="exact"/>
        <w:ind w:firstLine="283"/>
        <w:rPr>
          <w:rFonts w:hint="cs"/>
          <w:sz w:val="22"/>
          <w:rtl/>
        </w:rPr>
      </w:pPr>
      <w:r>
        <w:rPr>
          <w:rFonts w:hint="cs"/>
          <w:sz w:val="22"/>
          <w:rtl/>
        </w:rPr>
        <w:tab/>
        <w:t xml:space="preserve">בעדותה בבית המשפט חזרה החוקרת והעריכה, כי בשל העובדה שעדות הקטינה כוללת תיאורים מאוד ספציפיים של זמן, מקום, נוכחים אחרים, אינטרקציות, תיאור תנועות הגוף וכו', מדובר בגירסה אמינה (עמ' 16 לפרוטוקול). </w:t>
      </w:r>
    </w:p>
    <w:p w14:paraId="598E256A" w14:textId="77777777" w:rsidR="00B64FF6" w:rsidRDefault="00456D0E">
      <w:pPr>
        <w:spacing w:after="80" w:line="260" w:lineRule="exact"/>
        <w:ind w:firstLine="283"/>
        <w:rPr>
          <w:rFonts w:hint="cs"/>
          <w:sz w:val="22"/>
          <w:rtl/>
        </w:rPr>
      </w:pPr>
      <w:r>
        <w:rPr>
          <w:rFonts w:hint="cs"/>
          <w:sz w:val="22"/>
          <w:rtl/>
        </w:rPr>
        <w:t xml:space="preserve"> </w:t>
      </w:r>
    </w:p>
    <w:p w14:paraId="3D3E3CA2" w14:textId="77777777" w:rsidR="00B64FF6" w:rsidRDefault="00B64FF6">
      <w:pPr>
        <w:spacing w:after="80" w:line="260" w:lineRule="exact"/>
        <w:ind w:firstLine="283"/>
        <w:rPr>
          <w:rFonts w:hint="cs"/>
          <w:sz w:val="22"/>
          <w:rtl/>
        </w:rPr>
      </w:pPr>
      <w:r>
        <w:rPr>
          <w:rFonts w:hint="cs"/>
          <w:sz w:val="22"/>
          <w:rtl/>
        </w:rPr>
        <w:tab/>
        <w:t xml:space="preserve">לאור זאת, לא ייחסה החוקרת משקל לכך שהקטינה השתמשה בביטוי "רוכסן", כאשר נטען בפניה על ידי הסנגור כי הנאשם לובש מכנסי צבא, שלגביהם ידוע שהם בעלי כפתורים; החוקרת ציינה, בהקשר זה, כי לפעמים כאשר חושבים על מכנסיים, חושבים מייד על רוכסן ועצם העובדה שהילדה לא שמה לב לפרט המסויים הזה, אם אכן כך קרה, איננה מעידה על חוסר אמינות (עמ' 17 לפרוטוקול). </w:t>
      </w:r>
    </w:p>
    <w:p w14:paraId="17A8E6A0" w14:textId="77777777" w:rsidR="00B64FF6" w:rsidRDefault="00456D0E">
      <w:pPr>
        <w:spacing w:after="80" w:line="260" w:lineRule="exact"/>
        <w:ind w:firstLine="283"/>
        <w:rPr>
          <w:rFonts w:hint="cs"/>
          <w:sz w:val="22"/>
          <w:rtl/>
        </w:rPr>
      </w:pPr>
      <w:r>
        <w:rPr>
          <w:rFonts w:hint="cs"/>
          <w:sz w:val="22"/>
          <w:rtl/>
        </w:rPr>
        <w:t xml:space="preserve"> </w:t>
      </w:r>
    </w:p>
    <w:p w14:paraId="45A43E73" w14:textId="77777777" w:rsidR="00B64FF6" w:rsidRDefault="00B64FF6">
      <w:pPr>
        <w:spacing w:after="80" w:line="260" w:lineRule="exact"/>
        <w:ind w:firstLine="283"/>
        <w:rPr>
          <w:rFonts w:hint="cs"/>
          <w:sz w:val="22"/>
          <w:rtl/>
        </w:rPr>
      </w:pPr>
      <w:r>
        <w:rPr>
          <w:rFonts w:hint="cs"/>
          <w:sz w:val="22"/>
          <w:rtl/>
        </w:rPr>
        <w:t>4.</w:t>
      </w:r>
      <w:r>
        <w:rPr>
          <w:rFonts w:hint="cs"/>
          <w:sz w:val="22"/>
          <w:rtl/>
        </w:rPr>
        <w:tab/>
        <w:t xml:space="preserve">תשובת החוקרת בעניין הרוכסן, מקובלת והגיונית, ובהחלט ייתכן שהילדה, באופן אינטואטיבי, השתמשה במושג מתוך עולם המושגים שהיא מכירה, מבלי שיש בכך כדי לתאר פיזית את אופן סגירת המכנסיים שאותם לבש הנאשם באותה עת (שלא להזכיר, אם כבר מבקש הסנגור לקבוע, מכח ידיעה שיפוטית כמעט, שבכל מכנסיי הצבא יש כפתורים, את הנוהג שרווח, לפחות בתקופות מסוימות, ובמיוחד אצל אנשי קבע, לתפור, תחת הכפתורים רוכסן, על מנת להקל על פתיחת וסגירת המכנסיים). </w:t>
      </w:r>
    </w:p>
    <w:p w14:paraId="48FC8FB4" w14:textId="77777777" w:rsidR="00B64FF6" w:rsidRDefault="00456D0E">
      <w:pPr>
        <w:spacing w:after="80" w:line="260" w:lineRule="exact"/>
        <w:ind w:firstLine="283"/>
        <w:rPr>
          <w:rFonts w:hint="cs"/>
          <w:sz w:val="22"/>
          <w:rtl/>
        </w:rPr>
      </w:pPr>
      <w:r>
        <w:rPr>
          <w:rFonts w:hint="cs"/>
          <w:sz w:val="22"/>
          <w:rtl/>
        </w:rPr>
        <w:t xml:space="preserve"> </w:t>
      </w:r>
    </w:p>
    <w:p w14:paraId="1C21C2A3" w14:textId="77777777" w:rsidR="00B64FF6" w:rsidRDefault="00B64FF6">
      <w:pPr>
        <w:spacing w:after="80" w:line="260" w:lineRule="exact"/>
        <w:ind w:firstLine="283"/>
        <w:rPr>
          <w:rFonts w:hint="cs"/>
          <w:sz w:val="22"/>
          <w:rtl/>
        </w:rPr>
      </w:pPr>
      <w:r>
        <w:rPr>
          <w:rFonts w:hint="cs"/>
          <w:sz w:val="22"/>
          <w:rtl/>
        </w:rPr>
        <w:tab/>
        <w:t xml:space="preserve">מעבר לכך, שמיעת הקלטת, עיון בתמליל העדות ובחינת עדותה של חוקרת הילדים, מביאים למסקנה בדבר אמינות גירסת הקטינה. </w:t>
      </w:r>
    </w:p>
    <w:p w14:paraId="56349D50" w14:textId="77777777" w:rsidR="00B64FF6" w:rsidRDefault="00456D0E">
      <w:pPr>
        <w:spacing w:after="80" w:line="260" w:lineRule="exact"/>
        <w:ind w:firstLine="283"/>
        <w:rPr>
          <w:rFonts w:hint="cs"/>
          <w:sz w:val="22"/>
          <w:rtl/>
        </w:rPr>
      </w:pPr>
      <w:r>
        <w:rPr>
          <w:rFonts w:hint="cs"/>
          <w:sz w:val="22"/>
          <w:rtl/>
        </w:rPr>
        <w:t xml:space="preserve"> </w:t>
      </w:r>
    </w:p>
    <w:p w14:paraId="3B83E572" w14:textId="77777777" w:rsidR="00B64FF6" w:rsidRDefault="00B64FF6">
      <w:pPr>
        <w:spacing w:after="80" w:line="260" w:lineRule="exact"/>
        <w:ind w:firstLine="283"/>
        <w:rPr>
          <w:rFonts w:hint="cs"/>
          <w:sz w:val="22"/>
          <w:rtl/>
        </w:rPr>
      </w:pPr>
      <w:r>
        <w:rPr>
          <w:rFonts w:hint="cs"/>
          <w:sz w:val="22"/>
          <w:rtl/>
        </w:rPr>
        <w:t>5.</w:t>
      </w:r>
      <w:r>
        <w:rPr>
          <w:rFonts w:hint="cs"/>
          <w:sz w:val="22"/>
          <w:rtl/>
        </w:rPr>
        <w:tab/>
        <w:t xml:space="preserve">סיוע לעדות זו ניתן למצוא, באופן מצטבר, במספר ראיות. </w:t>
      </w:r>
    </w:p>
    <w:p w14:paraId="4E062905" w14:textId="77777777" w:rsidR="00B64FF6" w:rsidRDefault="00456D0E">
      <w:pPr>
        <w:spacing w:after="80" w:line="260" w:lineRule="exact"/>
        <w:ind w:firstLine="283"/>
        <w:rPr>
          <w:rFonts w:hint="cs"/>
          <w:sz w:val="22"/>
          <w:rtl/>
        </w:rPr>
      </w:pPr>
      <w:r>
        <w:rPr>
          <w:rFonts w:hint="cs"/>
          <w:sz w:val="22"/>
          <w:rtl/>
        </w:rPr>
        <w:t xml:space="preserve"> </w:t>
      </w:r>
    </w:p>
    <w:p w14:paraId="5D608027" w14:textId="77777777" w:rsidR="00B64FF6" w:rsidRDefault="00B64FF6">
      <w:pPr>
        <w:spacing w:after="80" w:line="260" w:lineRule="exact"/>
        <w:ind w:firstLine="283"/>
        <w:rPr>
          <w:rFonts w:hint="cs"/>
          <w:sz w:val="22"/>
          <w:rtl/>
        </w:rPr>
      </w:pPr>
      <w:r>
        <w:rPr>
          <w:rFonts w:hint="cs"/>
          <w:sz w:val="22"/>
          <w:rtl/>
        </w:rPr>
        <w:tab/>
        <w:t xml:space="preserve">אחותה של הקטינה, הקטינה ח.מ., לא ראתה אמנם את הוצאת איבר המין ולא שמעה במו אוזניה את הדברים שאמר הנאשם בזמן האירוע, אך שמעה במו אוזניה את אחותה  מספרת לאביה שהנאשם הראה לה את איבר מינו ואמר לה "תמצצי לי" (עמ' 10 – 11 לת/3). החוקרת לאה דנינו רושמת, בת/1, כי מדובר בילדה קטנה, שטרם מלאו לה 6 שנים, אשר היתה במקום עם אחותה, אך ככל הנראה שמעה על פרטי האירוע, שארע מייד לאחר מכן, מאחותה. </w:t>
      </w:r>
    </w:p>
    <w:p w14:paraId="5A21421E" w14:textId="77777777" w:rsidR="00B64FF6" w:rsidRDefault="00456D0E">
      <w:pPr>
        <w:spacing w:after="80" w:line="260" w:lineRule="exact"/>
        <w:ind w:firstLine="283"/>
        <w:rPr>
          <w:rFonts w:hint="cs"/>
          <w:sz w:val="22"/>
          <w:rtl/>
        </w:rPr>
      </w:pPr>
      <w:r>
        <w:rPr>
          <w:rFonts w:hint="cs"/>
          <w:sz w:val="22"/>
          <w:rtl/>
        </w:rPr>
        <w:t xml:space="preserve"> </w:t>
      </w:r>
    </w:p>
    <w:p w14:paraId="48F24C98" w14:textId="77777777" w:rsidR="00B64FF6" w:rsidRDefault="00456D0E">
      <w:pPr>
        <w:spacing w:after="80" w:line="260" w:lineRule="exact"/>
        <w:ind w:firstLine="283"/>
        <w:rPr>
          <w:rFonts w:hint="cs"/>
          <w:sz w:val="22"/>
          <w:rtl/>
        </w:rPr>
      </w:pPr>
      <w:r>
        <w:rPr>
          <w:rFonts w:hint="cs"/>
          <w:sz w:val="22"/>
          <w:rtl/>
        </w:rPr>
        <w:t xml:space="preserve"> </w:t>
      </w:r>
    </w:p>
    <w:p w14:paraId="127138F1" w14:textId="77777777" w:rsidR="00B64FF6" w:rsidRDefault="00B64FF6">
      <w:pPr>
        <w:spacing w:after="80" w:line="260" w:lineRule="exact"/>
        <w:ind w:firstLine="283"/>
        <w:rPr>
          <w:rFonts w:hint="cs"/>
          <w:sz w:val="22"/>
          <w:rtl/>
        </w:rPr>
      </w:pPr>
      <w:r>
        <w:rPr>
          <w:rFonts w:hint="cs"/>
          <w:sz w:val="22"/>
          <w:rtl/>
        </w:rPr>
        <w:tab/>
        <w:t xml:space="preserve">הנאשם עצמו, בעת חקירתו במשטרה, הסתבך קשות שעה שהוא נדרש למסור הסבר; בתחילת הודעתו (ת/4) מכחיש הנאשם שביום 18.6.00, בסמוך לשעה 07.30, הוציא את איבר מינו ואמר לילדה "תמצצי לי" (עמ' 2, ש' 15 – 19). לאחר שהחוקר אומר לו שבתחילת חודש יוני ארע אירוע דומה, מכחיש זאת הנאשם אבל מוסיף, לראשונה, כי לפני כחודש "היה לחוץ לפיפי" ועשה זאת בעצים בסמוך לחנויות של גליקסון (שם, שורות 23 – 26).  בתשובה לשאלה נוספת, אשר מקרבת אותו לאיזור המרכז הקהילתי, השיב הנאשם, כי יכול להיות שעשה פיפי גם שם, אבל לא ראה במקום שום ילדה (עמ' 3, ש' 2 – 4). בתגובה לכך מבקש החוקר מהנאשם לומר כמה פעמים עשה פיפי בחוץ בבוקר בדרכו לעבודה במהלך חודש יוני, והנאשם השיב על כך כי אין הוא זוכר (שם, ש' 7 – 12). </w:t>
      </w:r>
    </w:p>
    <w:p w14:paraId="1CA2213D" w14:textId="77777777" w:rsidR="00B64FF6" w:rsidRDefault="00456D0E">
      <w:pPr>
        <w:spacing w:after="80" w:line="260" w:lineRule="exact"/>
        <w:ind w:firstLine="283"/>
        <w:rPr>
          <w:rFonts w:hint="cs"/>
          <w:sz w:val="22"/>
          <w:rtl/>
        </w:rPr>
      </w:pPr>
      <w:r>
        <w:rPr>
          <w:rFonts w:hint="cs"/>
          <w:sz w:val="22"/>
          <w:rtl/>
        </w:rPr>
        <w:t xml:space="preserve"> </w:t>
      </w:r>
    </w:p>
    <w:p w14:paraId="12E1D0AB" w14:textId="77777777" w:rsidR="00B64FF6" w:rsidRDefault="00B64FF6">
      <w:pPr>
        <w:spacing w:after="80" w:line="260" w:lineRule="exact"/>
        <w:ind w:firstLine="283"/>
        <w:rPr>
          <w:rFonts w:hint="cs"/>
          <w:sz w:val="22"/>
          <w:rtl/>
        </w:rPr>
      </w:pPr>
      <w:r>
        <w:rPr>
          <w:rFonts w:hint="cs"/>
          <w:sz w:val="22"/>
          <w:rtl/>
        </w:rPr>
        <w:tab/>
        <w:t xml:space="preserve">לקראת סיום חקירתו נשאל הנאשם מדוע שילדה תגיד שהוא הוציא את איבר המין ואמר לה את שאמר, והנאשם השיב על כך: </w:t>
      </w:r>
    </w:p>
    <w:p w14:paraId="7C0EE9BD" w14:textId="77777777" w:rsidR="00B64FF6" w:rsidRDefault="00456D0E">
      <w:pPr>
        <w:spacing w:after="80" w:line="260" w:lineRule="exact"/>
        <w:ind w:firstLine="283"/>
        <w:rPr>
          <w:rFonts w:hint="cs"/>
          <w:sz w:val="22"/>
          <w:rtl/>
        </w:rPr>
      </w:pPr>
      <w:r>
        <w:rPr>
          <w:rFonts w:hint="cs"/>
          <w:sz w:val="22"/>
          <w:rtl/>
        </w:rPr>
        <w:t xml:space="preserve"> </w:t>
      </w:r>
    </w:p>
    <w:p w14:paraId="6329EBA6" w14:textId="77777777" w:rsidR="00B64FF6" w:rsidRDefault="00B64FF6">
      <w:pPr>
        <w:pStyle w:val="a4"/>
        <w:spacing w:after="80" w:line="260" w:lineRule="exact"/>
        <w:ind w:left="0" w:right="0" w:firstLine="283"/>
        <w:rPr>
          <w:rFonts w:hint="cs"/>
          <w:bCs w:val="0"/>
          <w:sz w:val="22"/>
          <w:szCs w:val="24"/>
          <w:rtl/>
        </w:rPr>
      </w:pPr>
      <w:r>
        <w:rPr>
          <w:rFonts w:hint="cs"/>
          <w:sz w:val="22"/>
          <w:szCs w:val="24"/>
          <w:rtl/>
        </w:rPr>
        <w:t>”אני לא יודע. כדי שאני אגיד דבר כזה אני צריך להכיר אותה, ואני לא עשיתי דבר כזה" (</w:t>
      </w:r>
      <w:r>
        <w:rPr>
          <w:rFonts w:hint="cs"/>
          <w:bCs w:val="0"/>
          <w:sz w:val="22"/>
          <w:szCs w:val="24"/>
          <w:rtl/>
        </w:rPr>
        <w:t xml:space="preserve">שם, ש' 19 – 21). </w:t>
      </w:r>
    </w:p>
    <w:p w14:paraId="5A422009" w14:textId="77777777" w:rsidR="00B64FF6" w:rsidRDefault="00456D0E">
      <w:pPr>
        <w:pStyle w:val="a4"/>
        <w:spacing w:after="80" w:line="260" w:lineRule="exact"/>
        <w:ind w:left="0" w:right="0" w:firstLine="283"/>
        <w:rPr>
          <w:rFonts w:hint="cs"/>
          <w:bCs w:val="0"/>
          <w:sz w:val="22"/>
          <w:szCs w:val="24"/>
          <w:rtl/>
        </w:rPr>
      </w:pPr>
      <w:r>
        <w:rPr>
          <w:rFonts w:hint="cs"/>
          <w:bCs w:val="0"/>
          <w:sz w:val="22"/>
          <w:szCs w:val="24"/>
          <w:rtl/>
        </w:rPr>
        <w:t xml:space="preserve"> </w:t>
      </w:r>
    </w:p>
    <w:p w14:paraId="35D3E637" w14:textId="77777777" w:rsidR="00B64FF6" w:rsidRDefault="00456D0E">
      <w:pPr>
        <w:spacing w:after="80" w:line="260" w:lineRule="exact"/>
        <w:ind w:firstLine="283"/>
        <w:rPr>
          <w:rFonts w:hint="cs"/>
          <w:sz w:val="22"/>
          <w:rtl/>
        </w:rPr>
      </w:pPr>
      <w:r>
        <w:rPr>
          <w:rFonts w:hint="cs"/>
          <w:sz w:val="22"/>
          <w:rtl/>
        </w:rPr>
        <w:t xml:space="preserve"> </w:t>
      </w:r>
    </w:p>
    <w:p w14:paraId="1D33A9DE" w14:textId="77777777" w:rsidR="00B64FF6" w:rsidRDefault="00B64FF6">
      <w:pPr>
        <w:spacing w:after="80" w:line="260" w:lineRule="exact"/>
        <w:ind w:firstLine="283"/>
        <w:rPr>
          <w:rFonts w:hint="cs"/>
          <w:sz w:val="22"/>
          <w:rtl/>
        </w:rPr>
      </w:pPr>
      <w:r>
        <w:rPr>
          <w:rFonts w:hint="cs"/>
          <w:sz w:val="22"/>
          <w:rtl/>
        </w:rPr>
        <w:lastRenderedPageBreak/>
        <w:tab/>
        <w:t>ניכר בעליל, כי גירסתו של הנאשם, כפי שנמסרה לחוקר איננה אמינה, ובמיוחד נכשל הנאשם בלשונו בתשובתו האחרונה הנ"ל, שעה שאיננו שולל אפשרות של אמירה דברים מהסוג האמור, אך זאת רק לילדה המוכרת לו...</w:t>
      </w:r>
      <w:r>
        <w:rPr>
          <w:color w:val="FFFFFF"/>
          <w:sz w:val="4"/>
          <w:szCs w:val="4"/>
          <w:rtl/>
        </w:rPr>
        <w:t>נ</w:t>
      </w:r>
    </w:p>
    <w:p w14:paraId="620873FA" w14:textId="77777777" w:rsidR="00B64FF6" w:rsidRDefault="00456D0E">
      <w:pPr>
        <w:spacing w:after="80" w:line="260" w:lineRule="exact"/>
        <w:ind w:firstLine="283"/>
        <w:rPr>
          <w:rFonts w:hint="cs"/>
          <w:sz w:val="22"/>
          <w:rtl/>
        </w:rPr>
      </w:pPr>
      <w:r>
        <w:rPr>
          <w:rFonts w:hint="cs"/>
          <w:sz w:val="22"/>
          <w:rtl/>
        </w:rPr>
        <w:t xml:space="preserve"> </w:t>
      </w:r>
    </w:p>
    <w:p w14:paraId="79561ED9" w14:textId="77777777" w:rsidR="00B64FF6" w:rsidRDefault="00B64FF6">
      <w:pPr>
        <w:spacing w:after="80" w:line="260" w:lineRule="exact"/>
        <w:ind w:firstLine="283"/>
        <w:rPr>
          <w:rFonts w:hint="cs"/>
          <w:sz w:val="22"/>
          <w:rtl/>
        </w:rPr>
      </w:pPr>
      <w:r>
        <w:rPr>
          <w:rFonts w:hint="cs"/>
          <w:sz w:val="22"/>
          <w:rtl/>
        </w:rPr>
        <w:tab/>
        <w:t xml:space="preserve">יתרה מכך, לא ניתן על ידי הנאשם הסבר מספק לפשר התנהגותו זו, שלפיה הוא נוהג, לגירסתו, להטיל את מימיו, מחוץ לביתו, ועוד בשעת בוקר, שעה שרק עזב זה עתה את ביתו בדרכו לעבודה. לא נטען וממילא לא הוכח, כי מערכת האינסטלציה בביתו של הנאשם סבלה מתקלות חוזרות ונישנות, או כי הנאשם עצמו סובל מבעייה רפואית כלשהי, הגורמת לו להשתנה מרובה. </w:t>
      </w:r>
    </w:p>
    <w:p w14:paraId="77EA73A6" w14:textId="77777777" w:rsidR="00B64FF6" w:rsidRDefault="00B64FF6">
      <w:pPr>
        <w:spacing w:after="80" w:line="260" w:lineRule="exact"/>
        <w:ind w:firstLine="283"/>
        <w:rPr>
          <w:rFonts w:hint="cs"/>
          <w:sz w:val="22"/>
          <w:rtl/>
        </w:rPr>
      </w:pPr>
      <w:r>
        <w:rPr>
          <w:rFonts w:hint="cs"/>
          <w:sz w:val="22"/>
          <w:rtl/>
        </w:rPr>
        <w:tab/>
      </w:r>
    </w:p>
    <w:p w14:paraId="78639B37" w14:textId="77777777" w:rsidR="00B64FF6" w:rsidRDefault="00B64FF6">
      <w:pPr>
        <w:spacing w:after="80" w:line="260" w:lineRule="exact"/>
        <w:ind w:firstLine="283"/>
        <w:rPr>
          <w:rFonts w:hint="cs"/>
          <w:sz w:val="22"/>
          <w:rtl/>
        </w:rPr>
      </w:pPr>
      <w:r>
        <w:rPr>
          <w:rFonts w:hint="cs"/>
          <w:sz w:val="22"/>
          <w:rtl/>
        </w:rPr>
        <w:br w:type="page"/>
      </w:r>
      <w:r w:rsidR="00456D0E">
        <w:rPr>
          <w:rFonts w:hint="cs"/>
          <w:sz w:val="22"/>
          <w:rtl/>
        </w:rPr>
        <w:t xml:space="preserve"> </w:t>
      </w:r>
    </w:p>
    <w:p w14:paraId="20468D2F" w14:textId="77777777" w:rsidR="00B64FF6" w:rsidRDefault="007C0359">
      <w:pPr>
        <w:spacing w:after="80" w:line="260" w:lineRule="exact"/>
        <w:ind w:firstLine="283"/>
        <w:rPr>
          <w:rFonts w:hint="cs"/>
          <w:sz w:val="22"/>
          <w:rtl/>
        </w:rPr>
      </w:pPr>
      <w:r>
        <w:rPr>
          <w:rFonts w:hint="cs"/>
          <w:sz w:val="22"/>
          <w:rtl/>
        </w:rPr>
        <w:t>6.</w:t>
      </w:r>
      <w:r>
        <w:rPr>
          <w:rFonts w:hint="cs"/>
          <w:sz w:val="22"/>
          <w:rtl/>
        </w:rPr>
        <w:tab/>
        <w:t xml:space="preserve">סעיף </w:t>
      </w:r>
      <w:hyperlink r:id="rId22" w:history="1">
        <w:r w:rsidRPr="007C0359">
          <w:rPr>
            <w:color w:val="0000FF"/>
            <w:sz w:val="22"/>
            <w:u w:val="single"/>
            <w:rtl/>
          </w:rPr>
          <w:t>349(ב)</w:t>
        </w:r>
      </w:hyperlink>
      <w:r w:rsidR="00B64FF6">
        <w:rPr>
          <w:rFonts w:hint="cs"/>
          <w:sz w:val="22"/>
          <w:rtl/>
        </w:rPr>
        <w:t xml:space="preserve"> מבוסס על הגדרת הב</w:t>
      </w:r>
      <w:r>
        <w:rPr>
          <w:rFonts w:hint="cs"/>
          <w:sz w:val="22"/>
          <w:rtl/>
        </w:rPr>
        <w:t xml:space="preserve">יטוי "מעשה מגונה" אשר בסעיף </w:t>
      </w:r>
      <w:hyperlink r:id="rId23" w:history="1">
        <w:r w:rsidRPr="007C0359">
          <w:rPr>
            <w:color w:val="0000FF"/>
            <w:sz w:val="22"/>
            <w:u w:val="single"/>
            <w:rtl/>
          </w:rPr>
          <w:t>348(ו)</w:t>
        </w:r>
      </w:hyperlink>
      <w:r w:rsidR="00B64FF6">
        <w:rPr>
          <w:rFonts w:hint="cs"/>
          <w:sz w:val="22"/>
          <w:rtl/>
        </w:rPr>
        <w:t xml:space="preserve"> לחוק ולפיה מדובר במעשה אשר נעשה "</w:t>
      </w:r>
      <w:r w:rsidR="00B64FF6">
        <w:rPr>
          <w:rFonts w:hint="cs"/>
          <w:b/>
          <w:bCs/>
          <w:sz w:val="22"/>
          <w:rtl/>
        </w:rPr>
        <w:t>לשם גירוי, סיפוק או ביזוי מיניים"</w:t>
      </w:r>
      <w:r w:rsidR="00B64FF6">
        <w:rPr>
          <w:rFonts w:hint="cs"/>
          <w:sz w:val="22"/>
          <w:rtl/>
        </w:rPr>
        <w:t>. אופי האירוע, וכן המקום, האופן ו"קהל היעד" שבפניו ארע, מלמדים מתוכו על כוונה כזו. יתרה מכך, נפסק לאחרונה, כי לצורך גיבוש היסוד הנפשי הנדרש בעבירות מקבוצה זו, די בכך כי בלב נאשם תהיה מודעות, בדרגת הסתברות הקרובה לוודאי, כי מעשיו יסבו ביזוי מיני, גם אם לא חפץ בכך כמטרה העומדת לעצמה (</w:t>
      </w:r>
      <w:hyperlink r:id="rId24" w:history="1">
        <w:r w:rsidR="00456D0E" w:rsidRPr="00456D0E">
          <w:rPr>
            <w:rStyle w:val="Hyperlink"/>
            <w:rFonts w:hint="eastAsia"/>
            <w:sz w:val="22"/>
            <w:rtl/>
          </w:rPr>
          <w:t>ע</w:t>
        </w:r>
        <w:r w:rsidR="00456D0E" w:rsidRPr="00456D0E">
          <w:rPr>
            <w:rStyle w:val="Hyperlink"/>
            <w:sz w:val="22"/>
            <w:rtl/>
          </w:rPr>
          <w:t>.פ. 6269/99 כהן נ' מדינת ישראל, פ"דנה</w:t>
        </w:r>
      </w:hyperlink>
      <w:r w:rsidR="00B64FF6">
        <w:rPr>
          <w:rFonts w:hint="cs"/>
          <w:sz w:val="22"/>
          <w:rtl/>
        </w:rPr>
        <w:t xml:space="preserve"> (2)496). </w:t>
      </w:r>
    </w:p>
    <w:p w14:paraId="4DA315D2" w14:textId="77777777" w:rsidR="00B64FF6" w:rsidRDefault="00456D0E">
      <w:pPr>
        <w:spacing w:after="80" w:line="260" w:lineRule="exact"/>
        <w:ind w:firstLine="283"/>
        <w:rPr>
          <w:rFonts w:hint="cs"/>
          <w:sz w:val="22"/>
          <w:rtl/>
        </w:rPr>
      </w:pPr>
      <w:r>
        <w:rPr>
          <w:rFonts w:hint="cs"/>
          <w:sz w:val="22"/>
          <w:rtl/>
        </w:rPr>
        <w:t xml:space="preserve"> </w:t>
      </w:r>
    </w:p>
    <w:p w14:paraId="0488F9A7" w14:textId="77777777" w:rsidR="00B64FF6" w:rsidRDefault="00B64FF6">
      <w:pPr>
        <w:spacing w:after="80" w:line="260" w:lineRule="exact"/>
        <w:ind w:firstLine="283"/>
        <w:rPr>
          <w:rFonts w:hint="cs"/>
          <w:sz w:val="22"/>
          <w:rtl/>
        </w:rPr>
      </w:pPr>
      <w:r>
        <w:rPr>
          <w:rFonts w:hint="cs"/>
          <w:sz w:val="22"/>
          <w:rtl/>
        </w:rPr>
        <w:t>7.</w:t>
      </w:r>
      <w:r>
        <w:rPr>
          <w:rFonts w:hint="cs"/>
          <w:sz w:val="22"/>
          <w:rtl/>
        </w:rPr>
        <w:tab/>
        <w:t xml:space="preserve">לאור האמור לעיל, ראיתי לנכון להרשיע את הנאשם בעבירה שיוחסה לו בכתב האישום. </w:t>
      </w:r>
    </w:p>
    <w:p w14:paraId="15DE1F69" w14:textId="77777777" w:rsidR="00B64FF6" w:rsidRDefault="00456D0E">
      <w:pPr>
        <w:spacing w:after="80" w:line="260" w:lineRule="exact"/>
        <w:ind w:firstLine="283"/>
        <w:rPr>
          <w:rFonts w:hint="cs"/>
          <w:sz w:val="22"/>
          <w:rtl/>
        </w:rPr>
      </w:pPr>
      <w:r>
        <w:rPr>
          <w:rFonts w:hint="cs"/>
          <w:sz w:val="22"/>
          <w:rtl/>
        </w:rPr>
        <w:t xml:space="preserve"> </w:t>
      </w:r>
    </w:p>
    <w:p w14:paraId="0567CB47" w14:textId="77777777" w:rsidR="00B64FF6" w:rsidRDefault="00456D0E">
      <w:pPr>
        <w:spacing w:after="80" w:line="260" w:lineRule="exact"/>
        <w:ind w:firstLine="283"/>
        <w:rPr>
          <w:rFonts w:hint="cs"/>
          <w:sz w:val="22"/>
          <w:rtl/>
        </w:rPr>
      </w:pPr>
      <w:r>
        <w:rPr>
          <w:rFonts w:hint="cs"/>
          <w:sz w:val="22"/>
          <w:rtl/>
        </w:rPr>
        <w:t xml:space="preserve"> </w:t>
      </w:r>
    </w:p>
    <w:p w14:paraId="79EE04E2" w14:textId="77777777" w:rsidR="00B64FF6" w:rsidRDefault="00456D0E">
      <w:pPr>
        <w:spacing w:after="80" w:line="260" w:lineRule="exact"/>
        <w:ind w:firstLine="283"/>
        <w:rPr>
          <w:rFonts w:hint="cs"/>
          <w:sz w:val="22"/>
          <w:rtl/>
        </w:rPr>
      </w:pPr>
      <w:r>
        <w:rPr>
          <w:rFonts w:hint="cs"/>
          <w:sz w:val="22"/>
          <w:rtl/>
        </w:rPr>
        <w:t xml:space="preserve"> </w:t>
      </w:r>
    </w:p>
    <w:p w14:paraId="3B3E44BE" w14:textId="77777777" w:rsidR="00B64FF6" w:rsidRDefault="00B64FF6">
      <w:pPr>
        <w:spacing w:after="80" w:line="260" w:lineRule="exact"/>
        <w:ind w:firstLine="283"/>
        <w:rPr>
          <w:rFonts w:hint="cs"/>
          <w:b/>
          <w:bCs/>
          <w:sz w:val="22"/>
          <w:rtl/>
        </w:rPr>
      </w:pPr>
      <w:r>
        <w:rPr>
          <w:rFonts w:hint="cs"/>
          <w:b/>
          <w:bCs/>
          <w:sz w:val="22"/>
          <w:rtl/>
        </w:rPr>
        <w:t xml:space="preserve">ניתנה היום כ"ז בטבת, תשס"ג (1 בינואר 2003) במעמד הנוכחים. </w:t>
      </w:r>
    </w:p>
    <w:p w14:paraId="5EE00390" w14:textId="77777777" w:rsidR="00B64FF6" w:rsidRDefault="00B64FF6">
      <w:pPr>
        <w:spacing w:after="80" w:line="260" w:lineRule="exact"/>
        <w:ind w:firstLine="283"/>
        <w:rPr>
          <w:rFonts w:hint="cs"/>
          <w:b/>
          <w:bCs/>
          <w:sz w:val="22"/>
          <w:rtl/>
        </w:rPr>
      </w:pPr>
      <w:r>
        <w:rPr>
          <w:rFonts w:hint="cs"/>
          <w:b/>
          <w:bCs/>
          <w:sz w:val="22"/>
          <w:rtl/>
        </w:rPr>
        <w:t>מותר לפרסום מהיום.</w:t>
      </w:r>
      <w:r>
        <w:rPr>
          <w:b/>
          <w:bCs/>
          <w:color w:val="FFFFFF"/>
          <w:sz w:val="4"/>
          <w:szCs w:val="4"/>
          <w:rtl/>
        </w:rPr>
        <w:t>ב</w:t>
      </w:r>
    </w:p>
    <w:p w14:paraId="52F5A3A6" w14:textId="77777777" w:rsidR="00B64FF6" w:rsidRDefault="00456D0E">
      <w:pPr>
        <w:spacing w:after="80" w:line="260" w:lineRule="exact"/>
        <w:ind w:firstLine="283"/>
        <w:rPr>
          <w:rFonts w:hint="cs"/>
          <w:b/>
          <w:bCs/>
          <w:color w:val="000080"/>
          <w:sz w:val="22"/>
          <w:rtl/>
        </w:rPr>
      </w:pPr>
      <w:r>
        <w:rPr>
          <w:rFonts w:hint="cs"/>
          <w:b/>
          <w:bCs/>
          <w:color w:val="000080"/>
          <w:sz w:val="22"/>
          <w:rtl/>
        </w:rPr>
        <w:t xml:space="preserve"> </w:t>
      </w:r>
    </w:p>
    <w:tbl>
      <w:tblPr>
        <w:tblW w:w="0" w:type="auto"/>
        <w:tblInd w:w="6294" w:type="dxa"/>
        <w:tblBorders>
          <w:top w:val="single" w:sz="4" w:space="0" w:color="auto"/>
        </w:tblBorders>
        <w:tblLook w:val="0000" w:firstRow="0" w:lastRow="0" w:firstColumn="0" w:lastColumn="0" w:noHBand="0" w:noVBand="0"/>
      </w:tblPr>
      <w:tblGrid>
        <w:gridCol w:w="2235"/>
      </w:tblGrid>
      <w:tr w:rsidR="00B64FF6" w14:paraId="28F33CFF" w14:textId="77777777">
        <w:tc>
          <w:tcPr>
            <w:tcW w:w="2235" w:type="dxa"/>
            <w:tcBorders>
              <w:top w:val="single" w:sz="4" w:space="0" w:color="auto"/>
              <w:left w:val="nil"/>
              <w:bottom w:val="nil"/>
              <w:right w:val="nil"/>
            </w:tcBorders>
          </w:tcPr>
          <w:p w14:paraId="3493E635" w14:textId="77777777" w:rsidR="00B64FF6" w:rsidRDefault="00B64FF6">
            <w:pPr>
              <w:spacing w:after="80" w:line="260" w:lineRule="exact"/>
              <w:ind w:firstLine="283"/>
              <w:rPr>
                <w:b/>
                <w:bCs/>
                <w:sz w:val="22"/>
              </w:rPr>
            </w:pPr>
            <w:r>
              <w:rPr>
                <w:rFonts w:hint="cs"/>
                <w:b/>
                <w:bCs/>
                <w:sz w:val="22"/>
                <w:rtl/>
              </w:rPr>
              <w:t>אבי זמיר, שופט</w:t>
            </w:r>
          </w:p>
        </w:tc>
      </w:tr>
    </w:tbl>
    <w:p w14:paraId="1677CFE4" w14:textId="77777777" w:rsidR="00B64FF6" w:rsidRDefault="00456D0E">
      <w:pPr>
        <w:spacing w:after="80" w:line="260" w:lineRule="exact"/>
        <w:ind w:firstLine="283"/>
        <w:rPr>
          <w:rFonts w:hint="cs"/>
          <w:sz w:val="22"/>
          <w:rtl/>
        </w:rPr>
      </w:pPr>
      <w:r>
        <w:rPr>
          <w:sz w:val="22"/>
          <w:rtl/>
        </w:rPr>
        <w:t xml:space="preserve"> </w:t>
      </w:r>
    </w:p>
    <w:p w14:paraId="0D6F1BB9" w14:textId="77777777" w:rsidR="00B64FF6" w:rsidRDefault="00456D0E">
      <w:pPr>
        <w:spacing w:after="80" w:line="260" w:lineRule="exact"/>
        <w:ind w:firstLine="283"/>
        <w:rPr>
          <w:sz w:val="22"/>
          <w:rtl/>
        </w:rPr>
      </w:pPr>
      <w:r>
        <w:rPr>
          <w:sz w:val="22"/>
          <w:rtl/>
        </w:rPr>
        <w:t xml:space="preserve"> </w:t>
      </w:r>
    </w:p>
    <w:p w14:paraId="7A873D07" w14:textId="77777777" w:rsidR="00B64FF6" w:rsidRDefault="00456D0E">
      <w:pPr>
        <w:spacing w:after="80" w:line="260" w:lineRule="exact"/>
        <w:ind w:firstLine="283"/>
        <w:rPr>
          <w:sz w:val="22"/>
          <w:rtl/>
        </w:rPr>
      </w:pPr>
      <w:r>
        <w:rPr>
          <w:sz w:val="22"/>
          <w:rtl/>
        </w:rPr>
        <w:t xml:space="preserve"> </w:t>
      </w:r>
    </w:p>
    <w:p w14:paraId="313D37EB" w14:textId="77777777" w:rsidR="00B64FF6" w:rsidRDefault="00456D0E">
      <w:pPr>
        <w:spacing w:after="80" w:line="260" w:lineRule="exact"/>
        <w:ind w:firstLine="283"/>
        <w:rPr>
          <w:sz w:val="22"/>
          <w:rtl/>
        </w:rPr>
      </w:pPr>
      <w:r>
        <w:rPr>
          <w:sz w:val="22"/>
          <w:rtl/>
        </w:rPr>
        <w:t xml:space="preserve"> </w:t>
      </w:r>
    </w:p>
    <w:p w14:paraId="14970E50" w14:textId="77777777" w:rsidR="00B64FF6" w:rsidRDefault="00B64FF6">
      <w:pPr>
        <w:spacing w:after="80" w:line="260" w:lineRule="exact"/>
        <w:ind w:firstLine="283"/>
        <w:rPr>
          <w:rFonts w:hint="cs"/>
          <w:sz w:val="22"/>
          <w:rtl/>
        </w:rPr>
      </w:pPr>
      <w:r>
        <w:rPr>
          <w:rFonts w:hint="cs"/>
          <w:sz w:val="22"/>
          <w:rtl/>
        </w:rPr>
        <w:t xml:space="preserve">002222/00פ  140 גילה </w:t>
      </w:r>
    </w:p>
    <w:p w14:paraId="020CC1AC" w14:textId="77777777" w:rsidR="00B64FF6" w:rsidRDefault="00B64FF6">
      <w:pPr>
        <w:spacing w:after="80" w:line="260" w:lineRule="exact"/>
        <w:ind w:firstLine="283"/>
        <w:rPr>
          <w:sz w:val="22"/>
          <w:rtl/>
        </w:rPr>
      </w:pPr>
      <w:r>
        <w:rPr>
          <w:sz w:val="22"/>
          <w:rtl/>
        </w:rPr>
        <w:t>נוסח זה כפוף לשינויי עריכה וניסוח</w:t>
      </w:r>
    </w:p>
    <w:sectPr w:rsidR="00B64FF6">
      <w:headerReference w:type="even" r:id="rId25"/>
      <w:headerReference w:type="default" r:id="rId26"/>
      <w:footerReference w:type="even" r:id="rId27"/>
      <w:footerReference w:type="default" r:id="rId28"/>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31A46" w14:textId="77777777" w:rsidR="008244FF" w:rsidRDefault="008244FF">
      <w:pPr>
        <w:spacing w:line="240" w:lineRule="auto"/>
      </w:pPr>
      <w:r>
        <w:separator/>
      </w:r>
    </w:p>
  </w:endnote>
  <w:endnote w:type="continuationSeparator" w:id="0">
    <w:p w14:paraId="39286B15" w14:textId="77777777" w:rsidR="008244FF" w:rsidRDefault="008244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276A" w14:textId="77777777" w:rsidR="006D49DD" w:rsidRDefault="006D49D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4</w:t>
    </w:r>
    <w:r>
      <w:rPr>
        <w:rFonts w:hAnsi="FrankRuehl" w:cs="FrankRuehl"/>
        <w:sz w:val="24"/>
        <w:rtl/>
      </w:rPr>
      <w:fldChar w:fldCharType="end"/>
    </w:r>
  </w:p>
  <w:p w14:paraId="4F20D776" w14:textId="77777777" w:rsidR="006D49DD" w:rsidRDefault="006D49D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9F6AE6C" w14:textId="77777777" w:rsidR="006D49DD" w:rsidRDefault="006D49D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56D0E">
      <w:rPr>
        <w:rFonts w:cs="TopType Jerushalmi"/>
        <w:noProof/>
        <w:color w:val="000000"/>
        <w:sz w:val="14"/>
        <w:szCs w:val="14"/>
      </w:rPr>
      <w:t>Z:\00000000000000000000000000000000000-2016---------------\HAKIKA-KIDUD-2016\2003\word\03\outdoc-nohyper\OutDoc-Makor\s002222.doc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7DD5A" w14:textId="77777777" w:rsidR="006D49DD" w:rsidRDefault="006D49D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161BB">
      <w:rPr>
        <w:rFonts w:hAnsi="FrankRuehl" w:cs="FrankRuehl"/>
        <w:noProof/>
        <w:sz w:val="24"/>
        <w:rtl/>
      </w:rPr>
      <w:t>1</w:t>
    </w:r>
    <w:r>
      <w:rPr>
        <w:rFonts w:hAnsi="FrankRuehl" w:cs="FrankRuehl"/>
        <w:sz w:val="24"/>
        <w:rtl/>
      </w:rPr>
      <w:fldChar w:fldCharType="end"/>
    </w:r>
  </w:p>
  <w:p w14:paraId="69B3A321" w14:textId="77777777" w:rsidR="006D49DD" w:rsidRDefault="006D49D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B86163C" w14:textId="77777777" w:rsidR="006D49DD" w:rsidRDefault="006D49D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56D0E">
      <w:rPr>
        <w:rFonts w:cs="TopType Jerushalmi"/>
        <w:noProof/>
        <w:color w:val="000000"/>
        <w:sz w:val="14"/>
        <w:szCs w:val="14"/>
      </w:rPr>
      <w:t>Z:\00000000000000000000000000000000000-2016---------------\HAKIKA-KIDUD-2016\2003\word\03\outdoc-nohyper\OutDoc-Makor\s002222.doc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E9636" w14:textId="77777777" w:rsidR="008244FF" w:rsidRDefault="008244FF">
      <w:pPr>
        <w:spacing w:line="240" w:lineRule="auto"/>
      </w:pPr>
      <w:r>
        <w:separator/>
      </w:r>
    </w:p>
  </w:footnote>
  <w:footnote w:type="continuationSeparator" w:id="0">
    <w:p w14:paraId="20E6A61F" w14:textId="77777777" w:rsidR="008244FF" w:rsidRDefault="008244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52477" w14:textId="77777777" w:rsidR="006D49DD" w:rsidRDefault="006D49DD">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(ק"ג) 2222/00</w:t>
    </w:r>
    <w:r>
      <w:rPr>
        <w:rFonts w:hAnsi="David"/>
        <w:color w:val="000000"/>
        <w:sz w:val="22"/>
        <w:szCs w:val="22"/>
        <w:rtl/>
      </w:rPr>
      <w:tab/>
      <w:t xml:space="preserve"> מדינת ישראל נ' מלינקר שלמה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A8FA" w14:textId="77777777" w:rsidR="006D49DD" w:rsidRDefault="006D49DD">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(ק"ג) 2222/00</w:t>
    </w:r>
    <w:r>
      <w:rPr>
        <w:rFonts w:hAnsi="David"/>
        <w:color w:val="000000"/>
        <w:sz w:val="22"/>
        <w:szCs w:val="22"/>
        <w:rtl/>
      </w:rPr>
      <w:tab/>
      <w:t xml:space="preserve"> מדינת ישראל נ' מלינקר שלמה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D1BDF"/>
    <w:multiLevelType w:val="multilevel"/>
    <w:tmpl w:val="E8C2FE32"/>
    <w:lvl w:ilvl="0">
      <w:start w:val="1"/>
      <w:numFmt w:val="decimal"/>
      <w:lvlText w:val="%1."/>
      <w:lvlJc w:val="left"/>
      <w:pPr>
        <w:tabs>
          <w:tab w:val="num" w:pos="720"/>
        </w:tabs>
        <w:ind w:left="720" w:right="720" w:hanging="360"/>
      </w:pPr>
    </w:lvl>
    <w:lvl w:ilvl="1">
      <w:start w:val="1"/>
      <w:numFmt w:val="decimal"/>
      <w:lvlText w:val="%2."/>
      <w:lvlJc w:val="left"/>
      <w:pPr>
        <w:tabs>
          <w:tab w:val="num" w:pos="1440"/>
        </w:tabs>
        <w:ind w:left="1440" w:right="1440" w:hanging="360"/>
      </w:pPr>
    </w:lvl>
    <w:lvl w:ilvl="2">
      <w:start w:val="1"/>
      <w:numFmt w:val="decimal"/>
      <w:lvlText w:val="%3."/>
      <w:lvlJc w:val="left"/>
      <w:pPr>
        <w:tabs>
          <w:tab w:val="num" w:pos="2160"/>
        </w:tabs>
        <w:ind w:left="2160" w:right="2160" w:hanging="360"/>
      </w:pPr>
    </w:lvl>
    <w:lvl w:ilvl="3">
      <w:start w:val="1"/>
      <w:numFmt w:val="decimal"/>
      <w:lvlText w:val="%4."/>
      <w:lvlJc w:val="left"/>
      <w:pPr>
        <w:tabs>
          <w:tab w:val="num" w:pos="2880"/>
        </w:tabs>
        <w:ind w:left="2880" w:right="2880" w:hanging="360"/>
      </w:pPr>
    </w:lvl>
    <w:lvl w:ilvl="4">
      <w:start w:val="1"/>
      <w:numFmt w:val="decimal"/>
      <w:lvlText w:val="%5."/>
      <w:lvlJc w:val="left"/>
      <w:pPr>
        <w:tabs>
          <w:tab w:val="num" w:pos="3600"/>
        </w:tabs>
        <w:ind w:left="3600" w:right="3600" w:hanging="360"/>
      </w:pPr>
    </w:lvl>
    <w:lvl w:ilvl="5">
      <w:start w:val="1"/>
      <w:numFmt w:val="decimal"/>
      <w:lvlText w:val="%6."/>
      <w:lvlJc w:val="left"/>
      <w:pPr>
        <w:tabs>
          <w:tab w:val="num" w:pos="4320"/>
        </w:tabs>
        <w:ind w:left="4320" w:right="4320" w:hanging="360"/>
      </w:pPr>
    </w:lvl>
    <w:lvl w:ilvl="6">
      <w:start w:val="1"/>
      <w:numFmt w:val="decimal"/>
      <w:lvlText w:val="%7."/>
      <w:lvlJc w:val="left"/>
      <w:pPr>
        <w:tabs>
          <w:tab w:val="num" w:pos="5040"/>
        </w:tabs>
        <w:ind w:left="5040" w:right="5040" w:hanging="360"/>
      </w:pPr>
    </w:lvl>
    <w:lvl w:ilvl="7">
      <w:start w:val="1"/>
      <w:numFmt w:val="decimal"/>
      <w:lvlText w:val="%8."/>
      <w:lvlJc w:val="left"/>
      <w:pPr>
        <w:tabs>
          <w:tab w:val="num" w:pos="5760"/>
        </w:tabs>
        <w:ind w:left="5760" w:right="5760" w:hanging="360"/>
      </w:pPr>
    </w:lvl>
    <w:lvl w:ilvl="8">
      <w:start w:val="1"/>
      <w:numFmt w:val="decimal"/>
      <w:lvlText w:val="%9."/>
      <w:lvlJc w:val="left"/>
      <w:pPr>
        <w:tabs>
          <w:tab w:val="num" w:pos="6480"/>
        </w:tabs>
        <w:ind w:left="6480" w:right="6480" w:hanging="360"/>
      </w:pPr>
    </w:lvl>
  </w:abstractNum>
  <w:abstractNum w:abstractNumId="1" w15:restartNumberingAfterBreak="0">
    <w:nsid w:val="735C551A"/>
    <w:multiLevelType w:val="multilevel"/>
    <w:tmpl w:val="313EA022"/>
    <w:lvl w:ilvl="0">
      <w:start w:val="1"/>
      <w:numFmt w:val="decimal"/>
      <w:lvlText w:val="%1."/>
      <w:lvlJc w:val="left"/>
      <w:pPr>
        <w:tabs>
          <w:tab w:val="num" w:pos="720"/>
        </w:tabs>
        <w:ind w:left="720" w:right="720" w:hanging="360"/>
      </w:pPr>
    </w:lvl>
    <w:lvl w:ilvl="1">
      <w:start w:val="1"/>
      <w:numFmt w:val="decimal"/>
      <w:lvlText w:val="%2."/>
      <w:lvlJc w:val="left"/>
      <w:pPr>
        <w:tabs>
          <w:tab w:val="num" w:pos="1440"/>
        </w:tabs>
        <w:ind w:left="1440" w:right="1440" w:hanging="360"/>
      </w:pPr>
    </w:lvl>
    <w:lvl w:ilvl="2">
      <w:start w:val="1"/>
      <w:numFmt w:val="decimal"/>
      <w:lvlText w:val="%3."/>
      <w:lvlJc w:val="left"/>
      <w:pPr>
        <w:tabs>
          <w:tab w:val="num" w:pos="2160"/>
        </w:tabs>
        <w:ind w:left="2160" w:right="2160" w:hanging="360"/>
      </w:pPr>
    </w:lvl>
    <w:lvl w:ilvl="3">
      <w:start w:val="1"/>
      <w:numFmt w:val="decimal"/>
      <w:lvlText w:val="%4."/>
      <w:lvlJc w:val="left"/>
      <w:pPr>
        <w:tabs>
          <w:tab w:val="num" w:pos="2880"/>
        </w:tabs>
        <w:ind w:left="2880" w:right="2880" w:hanging="360"/>
      </w:pPr>
    </w:lvl>
    <w:lvl w:ilvl="4">
      <w:start w:val="1"/>
      <w:numFmt w:val="decimal"/>
      <w:lvlText w:val="%5."/>
      <w:lvlJc w:val="left"/>
      <w:pPr>
        <w:tabs>
          <w:tab w:val="num" w:pos="3600"/>
        </w:tabs>
        <w:ind w:left="3600" w:right="3600" w:hanging="360"/>
      </w:pPr>
    </w:lvl>
    <w:lvl w:ilvl="5">
      <w:start w:val="1"/>
      <w:numFmt w:val="decimal"/>
      <w:lvlText w:val="%6."/>
      <w:lvlJc w:val="left"/>
      <w:pPr>
        <w:tabs>
          <w:tab w:val="num" w:pos="4320"/>
        </w:tabs>
        <w:ind w:left="4320" w:right="4320" w:hanging="360"/>
      </w:pPr>
    </w:lvl>
    <w:lvl w:ilvl="6">
      <w:start w:val="1"/>
      <w:numFmt w:val="decimal"/>
      <w:lvlText w:val="%7."/>
      <w:lvlJc w:val="left"/>
      <w:pPr>
        <w:tabs>
          <w:tab w:val="num" w:pos="5040"/>
        </w:tabs>
        <w:ind w:left="5040" w:right="5040" w:hanging="360"/>
      </w:pPr>
    </w:lvl>
    <w:lvl w:ilvl="7">
      <w:start w:val="1"/>
      <w:numFmt w:val="decimal"/>
      <w:lvlText w:val="%8."/>
      <w:lvlJc w:val="left"/>
      <w:pPr>
        <w:tabs>
          <w:tab w:val="num" w:pos="5760"/>
        </w:tabs>
        <w:ind w:left="5760" w:right="5760" w:hanging="360"/>
      </w:pPr>
    </w:lvl>
    <w:lvl w:ilvl="8">
      <w:start w:val="1"/>
      <w:numFmt w:val="decimal"/>
      <w:lvlText w:val="%9."/>
      <w:lvlJc w:val="left"/>
      <w:pPr>
        <w:tabs>
          <w:tab w:val="num" w:pos="6480"/>
        </w:tabs>
        <w:ind w:left="6480" w:right="6480" w:hanging="360"/>
      </w:pPr>
    </w:lvl>
  </w:abstractNum>
  <w:num w:numId="1" w16cid:durableId="1053114705">
    <w:abstractNumId w:val="1"/>
  </w:num>
  <w:num w:numId="2" w16cid:durableId="18690978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6614589">
    <w:abstractNumId w:val="0"/>
  </w:num>
  <w:num w:numId="4" w16cid:durableId="16342110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75"/>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23337E"/>
    <w:rsid w:val="0023337E"/>
    <w:rsid w:val="00456D0E"/>
    <w:rsid w:val="004610C4"/>
    <w:rsid w:val="006D49DD"/>
    <w:rsid w:val="007C0359"/>
    <w:rsid w:val="008244FF"/>
    <w:rsid w:val="00AC393E"/>
    <w:rsid w:val="00B64FF6"/>
    <w:rsid w:val="00E161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D19CE58"/>
  <w15:chartTrackingRefBased/>
  <w15:docId w15:val="{A8C7C367-33E7-4359-94AD-D00E0D5B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jc w:val="center"/>
      <w:outlineLvl w:val="0"/>
    </w:pPr>
    <w:rPr>
      <w:bCs/>
      <w:sz w:val="24"/>
      <w:szCs w:val="28"/>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sz w:val="24"/>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11">
    <w:name w:val="סגנון1"/>
    <w:basedOn w:val="Normal"/>
    <w:rPr>
      <w:bCs/>
    </w:rPr>
  </w:style>
  <w:style w:type="paragraph" w:customStyle="1" w:styleId="a2">
    <w:name w:val="תשובה"/>
    <w:basedOn w:val="Normal"/>
    <w:next w:val="a3"/>
    <w:pPr>
      <w:tabs>
        <w:tab w:val="num" w:pos="737"/>
      </w:tabs>
      <w:ind w:left="737" w:hanging="737"/>
    </w:pPr>
  </w:style>
  <w:style w:type="paragraph" w:customStyle="1" w:styleId="a3">
    <w:name w:val="שאלה"/>
    <w:basedOn w:val="11"/>
    <w:next w:val="a2"/>
    <w:autoRedefine/>
    <w:pPr>
      <w:tabs>
        <w:tab w:val="num" w:pos="737"/>
      </w:tabs>
      <w:ind w:left="737" w:hanging="737"/>
    </w:pPr>
    <w:rPr>
      <w:szCs w:val="22"/>
    </w:rPr>
  </w:style>
  <w:style w:type="paragraph" w:customStyle="1" w:styleId="a4">
    <w:name w:val="צטוט"/>
    <w:basedOn w:val="Normal"/>
    <w:pPr>
      <w:spacing w:line="240" w:lineRule="auto"/>
      <w:ind w:left="1134" w:right="1134"/>
    </w:pPr>
    <w:rPr>
      <w:bCs/>
      <w:szCs w:val="22"/>
    </w:rPr>
  </w:style>
  <w:style w:type="character" w:styleId="PageNumber">
    <w:name w:val="page number"/>
    <w:semiHidden/>
    <w:rPr>
      <w:rFonts w:cs="David"/>
    </w:rPr>
  </w:style>
  <w:style w:type="character" w:styleId="Hyperlink">
    <w:name w:val="Hyperlink"/>
    <w:rsid w:val="00456D0E"/>
    <w:rPr>
      <w:color w:val="0000FF"/>
      <w:u w:val="single"/>
    </w:rPr>
  </w:style>
  <w:style w:type="character" w:customStyle="1" w:styleId="a5">
    <w:name w:val="אזכור לא מזוהה"/>
    <w:uiPriority w:val="99"/>
    <w:semiHidden/>
    <w:unhideWhenUsed/>
    <w:rsid w:val="007C03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f"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87/11"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6015465"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87/11" TargetMode="External"/><Relationship Id="rId17" Type="http://schemas.openxmlformats.org/officeDocument/2006/relationships/hyperlink" Target="http://www.nevo.co.il/law/70387/9.a"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87" TargetMode="External"/><Relationship Id="rId20" Type="http://schemas.openxmlformats.org/officeDocument/2006/relationships/hyperlink" Target="http://www.nevo.co.il/case/1792174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87/9.a" TargetMode="External"/><Relationship Id="rId24" Type="http://schemas.openxmlformats.org/officeDocument/2006/relationships/hyperlink" Target="http://www.nevo.co.il/case/5676920"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348.f" TargetMode="External"/><Relationship Id="rId28" Type="http://schemas.openxmlformats.org/officeDocument/2006/relationships/footer" Target="footer2.xml"/><Relationship Id="rId10" Type="http://schemas.openxmlformats.org/officeDocument/2006/relationships/hyperlink" Target="http://www.nevo.co.il/law/70387" TargetMode="External"/><Relationship Id="rId19" Type="http://schemas.openxmlformats.org/officeDocument/2006/relationships/hyperlink" Target="http://www.nevo.co.il/case/17910663" TargetMode="External"/><Relationship Id="rId4" Type="http://schemas.openxmlformats.org/officeDocument/2006/relationships/webSettings" Target="webSettings.xml"/><Relationship Id="rId9" Type="http://schemas.openxmlformats.org/officeDocument/2006/relationships/hyperlink" Target="http://www.nevo.co.il/law/70301/349.b" TargetMode="External"/><Relationship Id="rId14" Type="http://schemas.openxmlformats.org/officeDocument/2006/relationships/hyperlink" Target="http://www.nevo.co.il/law/70301/349.b" TargetMode="External"/><Relationship Id="rId22" Type="http://schemas.openxmlformats.org/officeDocument/2006/relationships/hyperlink" Target="http://www.nevo.co.il/law/70301/349.b"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1184</Words>
  <Characters>6750</Characters>
  <Application>Microsoft Office Word</Application>
  <DocSecurity>0</DocSecurity>
  <Lines>56</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7919</CharactersWithSpaces>
  <SharedDoc>false</SharedDoc>
  <HLinks>
    <vt:vector size="108" baseType="variant">
      <vt:variant>
        <vt:i4>3866742</vt:i4>
      </vt:variant>
      <vt:variant>
        <vt:i4>51</vt:i4>
      </vt:variant>
      <vt:variant>
        <vt:i4>0</vt:i4>
      </vt:variant>
      <vt:variant>
        <vt:i4>5</vt:i4>
      </vt:variant>
      <vt:variant>
        <vt:lpwstr>http://www.nevo.co.il/case/5676920</vt:lpwstr>
      </vt:variant>
      <vt:variant>
        <vt:lpwstr/>
      </vt:variant>
      <vt:variant>
        <vt:i4>5177438</vt:i4>
      </vt:variant>
      <vt:variant>
        <vt:i4>48</vt:i4>
      </vt:variant>
      <vt:variant>
        <vt:i4>0</vt:i4>
      </vt:variant>
      <vt:variant>
        <vt:i4>5</vt:i4>
      </vt:variant>
      <vt:variant>
        <vt:lpwstr>http://www.nevo.co.il/law/70301/348.f</vt:lpwstr>
      </vt:variant>
      <vt:variant>
        <vt:lpwstr/>
      </vt:variant>
      <vt:variant>
        <vt:i4>5177439</vt:i4>
      </vt:variant>
      <vt:variant>
        <vt:i4>45</vt:i4>
      </vt:variant>
      <vt:variant>
        <vt:i4>0</vt:i4>
      </vt:variant>
      <vt:variant>
        <vt:i4>5</vt:i4>
      </vt:variant>
      <vt:variant>
        <vt:lpwstr>http://www.nevo.co.il/law/70301/349.b</vt:lpwstr>
      </vt:variant>
      <vt:variant>
        <vt:lpwstr/>
      </vt:variant>
      <vt:variant>
        <vt:i4>3539063</vt:i4>
      </vt:variant>
      <vt:variant>
        <vt:i4>42</vt:i4>
      </vt:variant>
      <vt:variant>
        <vt:i4>0</vt:i4>
      </vt:variant>
      <vt:variant>
        <vt:i4>5</vt:i4>
      </vt:variant>
      <vt:variant>
        <vt:lpwstr>http://www.nevo.co.il/case/6015465</vt:lpwstr>
      </vt:variant>
      <vt:variant>
        <vt:lpwstr/>
      </vt:variant>
      <vt:variant>
        <vt:i4>3997814</vt:i4>
      </vt:variant>
      <vt:variant>
        <vt:i4>39</vt:i4>
      </vt:variant>
      <vt:variant>
        <vt:i4>0</vt:i4>
      </vt:variant>
      <vt:variant>
        <vt:i4>5</vt:i4>
      </vt:variant>
      <vt:variant>
        <vt:lpwstr>http://www.nevo.co.il/case/17921747</vt:lpwstr>
      </vt:variant>
      <vt:variant>
        <vt:lpwstr/>
      </vt:variant>
      <vt:variant>
        <vt:i4>4063348</vt:i4>
      </vt:variant>
      <vt:variant>
        <vt:i4>36</vt:i4>
      </vt:variant>
      <vt:variant>
        <vt:i4>0</vt:i4>
      </vt:variant>
      <vt:variant>
        <vt:i4>5</vt:i4>
      </vt:variant>
      <vt:variant>
        <vt:lpwstr>http://www.nevo.co.il/case/17910663</vt:lpwstr>
      </vt:variant>
      <vt:variant>
        <vt:lpwstr/>
      </vt:variant>
      <vt:variant>
        <vt:i4>7077986</vt:i4>
      </vt:variant>
      <vt:variant>
        <vt:i4>33</vt:i4>
      </vt:variant>
      <vt:variant>
        <vt:i4>0</vt:i4>
      </vt:variant>
      <vt:variant>
        <vt:i4>5</vt:i4>
      </vt:variant>
      <vt:variant>
        <vt:lpwstr>http://www.nevo.co.il/law/70387/11</vt:lpwstr>
      </vt:variant>
      <vt:variant>
        <vt:lpwstr/>
      </vt:variant>
      <vt:variant>
        <vt:i4>7536746</vt:i4>
      </vt:variant>
      <vt:variant>
        <vt:i4>30</vt:i4>
      </vt:variant>
      <vt:variant>
        <vt:i4>0</vt:i4>
      </vt:variant>
      <vt:variant>
        <vt:i4>5</vt:i4>
      </vt:variant>
      <vt:variant>
        <vt:lpwstr>http://www.nevo.co.il/law/70387/9.a</vt:lpwstr>
      </vt:variant>
      <vt:variant>
        <vt:lpwstr/>
      </vt:variant>
      <vt:variant>
        <vt:i4>7471204</vt:i4>
      </vt:variant>
      <vt:variant>
        <vt:i4>27</vt:i4>
      </vt:variant>
      <vt:variant>
        <vt:i4>0</vt:i4>
      </vt:variant>
      <vt:variant>
        <vt:i4>5</vt:i4>
      </vt:variant>
      <vt:variant>
        <vt:lpwstr>http://www.nevo.co.il/law/70387</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5177439</vt:i4>
      </vt:variant>
      <vt:variant>
        <vt:i4>21</vt:i4>
      </vt:variant>
      <vt:variant>
        <vt:i4>0</vt:i4>
      </vt:variant>
      <vt:variant>
        <vt:i4>5</vt:i4>
      </vt:variant>
      <vt:variant>
        <vt:lpwstr>http://www.nevo.co.il/law/70301/349.b</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7077986</vt:i4>
      </vt:variant>
      <vt:variant>
        <vt:i4>15</vt:i4>
      </vt:variant>
      <vt:variant>
        <vt:i4>0</vt:i4>
      </vt:variant>
      <vt:variant>
        <vt:i4>5</vt:i4>
      </vt:variant>
      <vt:variant>
        <vt:lpwstr>http://www.nevo.co.il/law/70387/11</vt:lpwstr>
      </vt:variant>
      <vt:variant>
        <vt:lpwstr/>
      </vt:variant>
      <vt:variant>
        <vt:i4>7536746</vt:i4>
      </vt:variant>
      <vt:variant>
        <vt:i4>12</vt:i4>
      </vt:variant>
      <vt:variant>
        <vt:i4>0</vt:i4>
      </vt:variant>
      <vt:variant>
        <vt:i4>5</vt:i4>
      </vt:variant>
      <vt:variant>
        <vt:lpwstr>http://www.nevo.co.il/law/70387/9.a</vt:lpwstr>
      </vt:variant>
      <vt:variant>
        <vt:lpwstr/>
      </vt:variant>
      <vt:variant>
        <vt:i4>7471204</vt:i4>
      </vt:variant>
      <vt:variant>
        <vt:i4>9</vt:i4>
      </vt:variant>
      <vt:variant>
        <vt:i4>0</vt:i4>
      </vt:variant>
      <vt:variant>
        <vt:i4>5</vt:i4>
      </vt:variant>
      <vt:variant>
        <vt:lpwstr>http://www.nevo.co.il/law/70387</vt:lpwstr>
      </vt:variant>
      <vt:variant>
        <vt:lpwstr/>
      </vt:variant>
      <vt:variant>
        <vt:i4>5177439</vt:i4>
      </vt:variant>
      <vt:variant>
        <vt:i4>6</vt:i4>
      </vt:variant>
      <vt:variant>
        <vt:i4>0</vt:i4>
      </vt:variant>
      <vt:variant>
        <vt:i4>5</vt:i4>
      </vt:variant>
      <vt:variant>
        <vt:lpwstr>http://www.nevo.co.il/law/70301/349.b</vt:lpwstr>
      </vt:variant>
      <vt:variant>
        <vt:lpwstr/>
      </vt:variant>
      <vt:variant>
        <vt:i4>5177438</vt:i4>
      </vt:variant>
      <vt:variant>
        <vt:i4>3</vt:i4>
      </vt:variant>
      <vt:variant>
        <vt:i4>0</vt:i4>
      </vt:variant>
      <vt:variant>
        <vt:i4>5</vt:i4>
      </vt:variant>
      <vt:variant>
        <vt:lpwstr>http://www.nevo.co.il/law/70301/348.f</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2003-01-01T11:28:00Z</cp:lastPrinted>
  <dcterms:created xsi:type="dcterms:W3CDTF">2022-05-24T10:10:00Z</dcterms:created>
  <dcterms:modified xsi:type="dcterms:W3CDTF">2022-05-24T10:10:00Z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2222</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מלינקר שלמה</vt:lpwstr>
  </property>
  <property fmtid="{D5CDD505-2E9C-101B-9397-08002B2CF9AE}" pid="9" name="LAWYER">
    <vt:lpwstr>אוזיזק;כהנא ליאור</vt:lpwstr>
  </property>
  <property fmtid="{D5CDD505-2E9C-101B-9397-08002B2CF9AE}" pid="10" name="JUDGE">
    <vt:lpwstr>אבי זמיר</vt:lpwstr>
  </property>
  <property fmtid="{D5CDD505-2E9C-101B-9397-08002B2CF9AE}" pid="11" name="CITY">
    <vt:lpwstr>ק"ג</vt:lpwstr>
  </property>
  <property fmtid="{D5CDD505-2E9C-101B-9397-08002B2CF9AE}" pid="12" name="DATE">
    <vt:lpwstr>20030101</vt:lpwstr>
  </property>
  <property fmtid="{D5CDD505-2E9C-101B-9397-08002B2CF9AE}" pid="13" name="WORDNUMPAGES">
    <vt:lpwstr>4</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ISABSTRACT">
    <vt:lpwstr>Y</vt:lpwstr>
  </property>
  <property fmtid="{D5CDD505-2E9C-101B-9397-08002B2CF9AE}" pid="18" name="CASESLISTTMP1">
    <vt:lpwstr>17910663;17921747;6015465;5676920</vt:lpwstr>
  </property>
  <property fmtid="{D5CDD505-2E9C-101B-9397-08002B2CF9AE}" pid="19" name="LAWLISTTMP1">
    <vt:lpwstr>70301/349.b:2;348.f</vt:lpwstr>
  </property>
  <property fmtid="{D5CDD505-2E9C-101B-9397-08002B2CF9AE}" pid="20" name="LAWLISTTMP2">
    <vt:lpwstr>70387/009.a;011</vt:lpwstr>
  </property>
</Properties>
</file>