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EE08" w14:textId="77777777" w:rsidR="00BA4D16" w:rsidRDefault="00BA4D16">
      <w:pPr>
        <w:spacing w:after="80" w:line="260" w:lineRule="exact"/>
        <w:ind w:firstLine="283"/>
        <w:jc w:val="center"/>
        <w:rPr>
          <w:rFonts w:hint="cs"/>
          <w:sz w:val="22"/>
          <w:rtl/>
        </w:rPr>
      </w:pPr>
    </w:p>
    <w:p w14:paraId="53C9836B" w14:textId="77777777" w:rsidR="00BA4D16" w:rsidRDefault="00BA4D16">
      <w:pPr>
        <w:spacing w:after="80" w:line="260" w:lineRule="exact"/>
        <w:ind w:firstLine="283"/>
        <w:jc w:val="center"/>
        <w:rPr>
          <w:rFonts w:hint="cs"/>
          <w:sz w:val="22"/>
          <w:rtl/>
        </w:rPr>
      </w:pPr>
    </w:p>
    <w:p w14:paraId="74C389E4" w14:textId="77777777" w:rsidR="00BA4D16" w:rsidRDefault="00BA4D16">
      <w:pPr>
        <w:spacing w:after="80" w:line="260" w:lineRule="exact"/>
        <w:ind w:firstLine="283"/>
        <w:jc w:val="center"/>
        <w:rPr>
          <w:rFonts w:hint="cs"/>
          <w:sz w:val="22"/>
          <w:rtl/>
        </w:rPr>
      </w:pPr>
      <w:r>
        <w:rPr>
          <w:rFonts w:hint="cs"/>
          <w:b/>
          <w:bCs/>
          <w:sz w:val="22"/>
          <w:rtl/>
        </w:rPr>
        <w:t>בתי המשפט</w:t>
      </w:r>
      <w:r w:rsidR="006C29A8">
        <w:rPr>
          <w:rFonts w:hint="cs"/>
          <w:sz w:val="2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819"/>
        <w:gridCol w:w="993"/>
        <w:gridCol w:w="1809"/>
      </w:tblGrid>
      <w:tr w:rsidR="00D721E5" w14:paraId="768037B1" w14:textId="77777777" w:rsidTr="00D721E5">
        <w:trPr>
          <w:cantSplit/>
          <w:trHeight w:val="195"/>
        </w:trPr>
        <w:tc>
          <w:tcPr>
            <w:tcW w:w="5727" w:type="dxa"/>
            <w:gridSpan w:val="2"/>
            <w:vMerge w:val="restart"/>
            <w:tcBorders>
              <w:top w:val="single" w:sz="4" w:space="0" w:color="auto"/>
              <w:left w:val="single" w:sz="4" w:space="0" w:color="auto"/>
              <w:bottom w:val="single" w:sz="4" w:space="0" w:color="auto"/>
              <w:right w:val="single" w:sz="4" w:space="0" w:color="auto"/>
            </w:tcBorders>
          </w:tcPr>
          <w:p w14:paraId="0C8DF0DC" w14:textId="77777777" w:rsidR="00D721E5" w:rsidRDefault="00D721E5">
            <w:pPr>
              <w:spacing w:after="80" w:line="260" w:lineRule="exact"/>
              <w:ind w:firstLine="283"/>
              <w:rPr>
                <w:b/>
                <w:bCs/>
                <w:sz w:val="22"/>
              </w:rPr>
            </w:pPr>
            <w:r>
              <w:rPr>
                <w:rFonts w:hint="cs"/>
                <w:b/>
                <w:bCs/>
                <w:sz w:val="22"/>
                <w:rtl/>
              </w:rPr>
              <w:t>בית משפט השלום קרית גת</w:t>
            </w:r>
          </w:p>
        </w:tc>
        <w:tc>
          <w:tcPr>
            <w:tcW w:w="2802" w:type="dxa"/>
            <w:gridSpan w:val="2"/>
            <w:tcBorders>
              <w:top w:val="single" w:sz="4" w:space="0" w:color="auto"/>
              <w:left w:val="single" w:sz="4" w:space="0" w:color="auto"/>
              <w:bottom w:val="single" w:sz="4" w:space="0" w:color="auto"/>
              <w:right w:val="single" w:sz="4" w:space="0" w:color="auto"/>
            </w:tcBorders>
          </w:tcPr>
          <w:p w14:paraId="3C5DD34E" w14:textId="77777777" w:rsidR="00D721E5" w:rsidRDefault="00D721E5">
            <w:pPr>
              <w:spacing w:after="80" w:line="260" w:lineRule="exact"/>
              <w:ind w:firstLine="283"/>
              <w:rPr>
                <w:b/>
                <w:bCs/>
                <w:sz w:val="22"/>
              </w:rPr>
            </w:pPr>
            <w:r>
              <w:rPr>
                <w:rFonts w:hint="cs"/>
                <w:b/>
                <w:bCs/>
                <w:sz w:val="22"/>
                <w:rtl/>
              </w:rPr>
              <w:t>ת.פ  000585/00</w:t>
            </w:r>
          </w:p>
        </w:tc>
      </w:tr>
      <w:tr w:rsidR="00D721E5" w14:paraId="10227AFE" w14:textId="77777777" w:rsidTr="00D721E5">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FE571C5" w14:textId="77777777" w:rsidR="00D721E5" w:rsidRDefault="00D721E5">
            <w:pPr>
              <w:spacing w:after="80" w:line="260" w:lineRule="exact"/>
              <w:ind w:firstLine="283"/>
              <w:rPr>
                <w:b/>
                <w:bCs/>
                <w:sz w:val="22"/>
              </w:rPr>
            </w:pPr>
          </w:p>
        </w:tc>
        <w:tc>
          <w:tcPr>
            <w:tcW w:w="2802" w:type="dxa"/>
            <w:gridSpan w:val="2"/>
            <w:tcBorders>
              <w:top w:val="single" w:sz="4" w:space="0" w:color="auto"/>
              <w:left w:val="single" w:sz="4" w:space="0" w:color="auto"/>
              <w:bottom w:val="single" w:sz="4" w:space="0" w:color="auto"/>
              <w:right w:val="single" w:sz="4" w:space="0" w:color="auto"/>
            </w:tcBorders>
          </w:tcPr>
          <w:p w14:paraId="104A5EC6" w14:textId="77777777" w:rsidR="00D721E5" w:rsidRDefault="006C29A8">
            <w:pPr>
              <w:spacing w:after="80" w:line="260" w:lineRule="exact"/>
              <w:ind w:firstLine="283"/>
              <w:rPr>
                <w:b/>
                <w:bCs/>
                <w:sz w:val="22"/>
              </w:rPr>
            </w:pPr>
            <w:r>
              <w:rPr>
                <w:sz w:val="22"/>
                <w:rtl/>
              </w:rPr>
              <w:t xml:space="preserve"> </w:t>
            </w:r>
          </w:p>
        </w:tc>
      </w:tr>
      <w:tr w:rsidR="00D721E5" w14:paraId="6C73824A" w14:textId="77777777" w:rsidTr="00D721E5">
        <w:trPr>
          <w:trHeight w:val="286"/>
        </w:trPr>
        <w:tc>
          <w:tcPr>
            <w:tcW w:w="908" w:type="dxa"/>
            <w:tcBorders>
              <w:top w:val="single" w:sz="4" w:space="0" w:color="auto"/>
              <w:left w:val="single" w:sz="4" w:space="0" w:color="auto"/>
              <w:bottom w:val="single" w:sz="4" w:space="0" w:color="auto"/>
              <w:right w:val="single" w:sz="4" w:space="0" w:color="auto"/>
            </w:tcBorders>
          </w:tcPr>
          <w:p w14:paraId="15D52A6F" w14:textId="77777777" w:rsidR="00D721E5" w:rsidRDefault="00D721E5">
            <w:pPr>
              <w:spacing w:after="80" w:line="260" w:lineRule="exact"/>
              <w:ind w:firstLine="283"/>
              <w:rPr>
                <w:b/>
                <w:bCs/>
                <w:sz w:val="22"/>
              </w:rPr>
            </w:pPr>
            <w:r>
              <w:rPr>
                <w:rFonts w:hint="cs"/>
                <w:b/>
                <w:bCs/>
                <w:sz w:val="22"/>
                <w:rtl/>
              </w:rPr>
              <w:t>בפני:</w:t>
            </w:r>
          </w:p>
        </w:tc>
        <w:tc>
          <w:tcPr>
            <w:tcW w:w="4819" w:type="dxa"/>
            <w:tcBorders>
              <w:top w:val="single" w:sz="4" w:space="0" w:color="auto"/>
              <w:left w:val="single" w:sz="4" w:space="0" w:color="auto"/>
              <w:bottom w:val="single" w:sz="4" w:space="0" w:color="auto"/>
              <w:right w:val="single" w:sz="4" w:space="0" w:color="auto"/>
            </w:tcBorders>
          </w:tcPr>
          <w:p w14:paraId="2DC994BB" w14:textId="77777777" w:rsidR="00D721E5" w:rsidRDefault="00D721E5">
            <w:pPr>
              <w:spacing w:after="80" w:line="260" w:lineRule="exact"/>
              <w:ind w:firstLine="283"/>
              <w:rPr>
                <w:b/>
                <w:bCs/>
                <w:sz w:val="22"/>
              </w:rPr>
            </w:pPr>
            <w:r>
              <w:rPr>
                <w:rFonts w:hint="cs"/>
                <w:b/>
                <w:bCs/>
                <w:sz w:val="22"/>
                <w:rtl/>
              </w:rPr>
              <w:t>כבוד השופט אבי זמיר</w:t>
            </w:r>
          </w:p>
        </w:tc>
        <w:tc>
          <w:tcPr>
            <w:tcW w:w="9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95B8A73" w14:textId="77777777" w:rsidR="00D721E5" w:rsidRDefault="00D721E5">
            <w:pPr>
              <w:spacing w:after="80" w:line="260" w:lineRule="exact"/>
              <w:ind w:firstLine="283"/>
              <w:rPr>
                <w:b/>
                <w:bCs/>
                <w:sz w:val="22"/>
              </w:rPr>
            </w:pPr>
            <w:r>
              <w:rPr>
                <w:rFonts w:hint="cs"/>
                <w:b/>
                <w:bCs/>
                <w:sz w:val="22"/>
                <w:rtl/>
              </w:rPr>
              <w:t>תאריך:</w:t>
            </w:r>
          </w:p>
        </w:tc>
        <w:tc>
          <w:tcPr>
            <w:tcW w:w="1809" w:type="dxa"/>
            <w:tcBorders>
              <w:top w:val="single" w:sz="4" w:space="0" w:color="auto"/>
              <w:left w:val="single" w:sz="4" w:space="0" w:color="auto"/>
              <w:bottom w:val="single" w:sz="4" w:space="0" w:color="auto"/>
              <w:right w:val="single" w:sz="4" w:space="0" w:color="auto"/>
            </w:tcBorders>
          </w:tcPr>
          <w:p w14:paraId="37DB2051" w14:textId="77777777" w:rsidR="00D721E5" w:rsidRDefault="00D721E5">
            <w:pPr>
              <w:spacing w:after="80" w:line="260" w:lineRule="exact"/>
              <w:ind w:firstLine="283"/>
              <w:rPr>
                <w:b/>
                <w:bCs/>
                <w:sz w:val="22"/>
              </w:rPr>
            </w:pPr>
            <w:r>
              <w:rPr>
                <w:rFonts w:hint="cs"/>
                <w:b/>
                <w:bCs/>
                <w:sz w:val="22"/>
                <w:rtl/>
              </w:rPr>
              <w:t>01/01/2003</w:t>
            </w:r>
          </w:p>
        </w:tc>
      </w:tr>
    </w:tbl>
    <w:p w14:paraId="265A39EF" w14:textId="77777777" w:rsidR="00BA4D16" w:rsidRDefault="006C29A8">
      <w:pPr>
        <w:pStyle w:val="Header"/>
        <w:spacing w:after="80" w:line="260" w:lineRule="exact"/>
        <w:ind w:firstLine="283"/>
        <w:rPr>
          <w:rFonts w:hint="cs"/>
          <w:sz w:val="22"/>
          <w:rtl/>
        </w:rPr>
      </w:pPr>
      <w:r>
        <w:rPr>
          <w:rFonts w:hint="cs"/>
          <w:sz w:val="22"/>
          <w:rtl/>
        </w:rPr>
        <w:t xml:space="preserve"> </w:t>
      </w:r>
    </w:p>
    <w:p w14:paraId="6E6D52C6" w14:textId="77777777" w:rsidR="00BA4D16" w:rsidRDefault="006C29A8">
      <w:pPr>
        <w:pStyle w:val="1"/>
        <w:spacing w:after="80" w:line="260" w:lineRule="exact"/>
        <w:ind w:firstLine="283"/>
        <w:jc w:val="both"/>
        <w:rPr>
          <w:rFonts w:hint="cs"/>
          <w:b/>
          <w:bCs/>
          <w:sz w:val="22"/>
          <w:rtl/>
        </w:rPr>
      </w:pPr>
      <w:r>
        <w:rPr>
          <w:rFonts w:hint="cs"/>
          <w:b/>
          <w:bCs/>
          <w:sz w:val="22"/>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D721E5" w14:paraId="6BDBCEAB" w14:textId="77777777" w:rsidTr="00D721E5">
        <w:tc>
          <w:tcPr>
            <w:tcW w:w="1418" w:type="dxa"/>
          </w:tcPr>
          <w:p w14:paraId="730D64AC" w14:textId="77777777" w:rsidR="00D721E5" w:rsidRDefault="00D721E5">
            <w:pPr>
              <w:pStyle w:val="a"/>
              <w:suppressLineNumbers w:val="0"/>
              <w:spacing w:after="80" w:line="260" w:lineRule="exact"/>
              <w:ind w:firstLine="283"/>
            </w:pPr>
            <w:r>
              <w:rPr>
                <w:rFonts w:hint="cs"/>
                <w:rtl/>
              </w:rPr>
              <w:t>בעניין:</w:t>
            </w:r>
          </w:p>
        </w:tc>
        <w:tc>
          <w:tcPr>
            <w:tcW w:w="4820" w:type="dxa"/>
            <w:gridSpan w:val="2"/>
          </w:tcPr>
          <w:p w14:paraId="63DC064E" w14:textId="77777777" w:rsidR="00D721E5" w:rsidRDefault="00D721E5">
            <w:pPr>
              <w:pStyle w:val="a"/>
              <w:suppressLineNumbers w:val="0"/>
              <w:spacing w:after="80" w:line="260" w:lineRule="exact"/>
              <w:ind w:firstLine="283"/>
            </w:pPr>
            <w:r>
              <w:rPr>
                <w:rFonts w:hint="cs"/>
                <w:rtl/>
              </w:rPr>
              <w:t>מדינת ישראל</w:t>
            </w:r>
          </w:p>
        </w:tc>
        <w:tc>
          <w:tcPr>
            <w:tcW w:w="2409" w:type="dxa"/>
          </w:tcPr>
          <w:p w14:paraId="0AEAC6DD" w14:textId="77777777" w:rsidR="00D721E5" w:rsidRDefault="006C29A8">
            <w:pPr>
              <w:pStyle w:val="a"/>
              <w:suppressLineNumbers w:val="0"/>
              <w:spacing w:after="80" w:line="260" w:lineRule="exact"/>
              <w:ind w:firstLine="283"/>
            </w:pPr>
            <w:r>
              <w:rPr>
                <w:rtl/>
              </w:rPr>
              <w:t xml:space="preserve"> </w:t>
            </w:r>
          </w:p>
        </w:tc>
      </w:tr>
      <w:tr w:rsidR="00D721E5" w14:paraId="3CF4031E" w14:textId="77777777" w:rsidTr="00D721E5">
        <w:tc>
          <w:tcPr>
            <w:tcW w:w="1418" w:type="dxa"/>
          </w:tcPr>
          <w:p w14:paraId="6A9473C6" w14:textId="77777777" w:rsidR="00D721E5" w:rsidRDefault="006C29A8">
            <w:pPr>
              <w:pStyle w:val="a"/>
              <w:suppressLineNumbers w:val="0"/>
              <w:spacing w:after="80" w:line="260" w:lineRule="exact"/>
              <w:ind w:firstLine="283"/>
            </w:pPr>
            <w:bookmarkStart w:id="0" w:name="FirstLawyer"/>
            <w:r>
              <w:rPr>
                <w:rtl/>
              </w:rPr>
              <w:t xml:space="preserve"> </w:t>
            </w:r>
          </w:p>
        </w:tc>
        <w:tc>
          <w:tcPr>
            <w:tcW w:w="1757" w:type="dxa"/>
          </w:tcPr>
          <w:p w14:paraId="5C2A644B" w14:textId="77777777" w:rsidR="00D721E5" w:rsidRDefault="00D721E5">
            <w:pPr>
              <w:pStyle w:val="a"/>
              <w:suppressLineNumbers w:val="0"/>
              <w:spacing w:after="80" w:line="260" w:lineRule="exact"/>
              <w:ind w:firstLine="283"/>
            </w:pPr>
            <w:r>
              <w:rPr>
                <w:rFonts w:hint="cs"/>
                <w:rtl/>
              </w:rPr>
              <w:t xml:space="preserve">ע"י ב"כ </w:t>
            </w:r>
          </w:p>
        </w:tc>
        <w:tc>
          <w:tcPr>
            <w:tcW w:w="3063" w:type="dxa"/>
          </w:tcPr>
          <w:p w14:paraId="61568AA1" w14:textId="77777777" w:rsidR="00D721E5" w:rsidRDefault="00D721E5">
            <w:pPr>
              <w:pStyle w:val="a"/>
              <w:suppressLineNumbers w:val="0"/>
              <w:spacing w:after="80" w:line="260" w:lineRule="exact"/>
              <w:ind w:firstLine="283"/>
            </w:pPr>
            <w:r>
              <w:rPr>
                <w:rFonts w:hint="cs"/>
                <w:rtl/>
              </w:rPr>
              <w:t>רפ"ק אוזיזק</w:t>
            </w:r>
          </w:p>
        </w:tc>
        <w:tc>
          <w:tcPr>
            <w:tcW w:w="2409" w:type="dxa"/>
          </w:tcPr>
          <w:p w14:paraId="50112638" w14:textId="77777777" w:rsidR="00D721E5" w:rsidRDefault="00D721E5">
            <w:pPr>
              <w:pStyle w:val="a"/>
              <w:suppressLineNumbers w:val="0"/>
              <w:spacing w:after="80" w:line="260" w:lineRule="exact"/>
              <w:ind w:firstLine="283"/>
            </w:pPr>
            <w:r>
              <w:rPr>
                <w:rFonts w:hint="cs"/>
                <w:rtl/>
              </w:rPr>
              <w:t>המאשימה</w:t>
            </w:r>
          </w:p>
        </w:tc>
      </w:tr>
      <w:bookmarkEnd w:id="0"/>
      <w:tr w:rsidR="00D721E5" w14:paraId="02DA20D7" w14:textId="77777777" w:rsidTr="00D721E5">
        <w:tc>
          <w:tcPr>
            <w:tcW w:w="1418" w:type="dxa"/>
          </w:tcPr>
          <w:p w14:paraId="78286864" w14:textId="77777777" w:rsidR="00D721E5" w:rsidRDefault="006C29A8">
            <w:pPr>
              <w:pStyle w:val="a"/>
              <w:suppressLineNumbers w:val="0"/>
              <w:spacing w:after="80" w:line="260" w:lineRule="exact"/>
              <w:ind w:firstLine="283"/>
            </w:pPr>
            <w:r>
              <w:rPr>
                <w:rtl/>
              </w:rPr>
              <w:t xml:space="preserve"> </w:t>
            </w:r>
          </w:p>
        </w:tc>
        <w:tc>
          <w:tcPr>
            <w:tcW w:w="4820" w:type="dxa"/>
            <w:gridSpan w:val="2"/>
          </w:tcPr>
          <w:p w14:paraId="4139C402" w14:textId="77777777" w:rsidR="00D721E5" w:rsidRDefault="00D721E5">
            <w:pPr>
              <w:pStyle w:val="a"/>
              <w:suppressLineNumbers w:val="0"/>
              <w:spacing w:after="80" w:line="260" w:lineRule="exact"/>
              <w:ind w:firstLine="283"/>
            </w:pPr>
            <w:r>
              <w:rPr>
                <w:rFonts w:hint="cs"/>
                <w:rtl/>
              </w:rPr>
              <w:t>נגד</w:t>
            </w:r>
          </w:p>
          <w:p w14:paraId="602147FB" w14:textId="77777777" w:rsidR="00D721E5" w:rsidRDefault="006C29A8">
            <w:pPr>
              <w:pStyle w:val="a"/>
              <w:suppressLineNumbers w:val="0"/>
              <w:spacing w:after="80" w:line="260" w:lineRule="exact"/>
              <w:ind w:firstLine="283"/>
            </w:pPr>
            <w:r>
              <w:rPr>
                <w:rtl/>
              </w:rPr>
              <w:t xml:space="preserve"> </w:t>
            </w:r>
          </w:p>
        </w:tc>
        <w:tc>
          <w:tcPr>
            <w:tcW w:w="2409" w:type="dxa"/>
          </w:tcPr>
          <w:p w14:paraId="77D35E6B" w14:textId="77777777" w:rsidR="00D721E5" w:rsidRDefault="006C29A8">
            <w:pPr>
              <w:pStyle w:val="a"/>
              <w:suppressLineNumbers w:val="0"/>
              <w:spacing w:after="80" w:line="260" w:lineRule="exact"/>
              <w:ind w:firstLine="283"/>
            </w:pPr>
            <w:r>
              <w:rPr>
                <w:rtl/>
              </w:rPr>
              <w:t xml:space="preserve"> </w:t>
            </w:r>
          </w:p>
        </w:tc>
      </w:tr>
      <w:tr w:rsidR="00D721E5" w14:paraId="0CA3F697" w14:textId="77777777" w:rsidTr="00D721E5">
        <w:tc>
          <w:tcPr>
            <w:tcW w:w="1418" w:type="dxa"/>
          </w:tcPr>
          <w:p w14:paraId="052A963A" w14:textId="77777777" w:rsidR="00D721E5" w:rsidRDefault="006C29A8">
            <w:pPr>
              <w:pStyle w:val="a"/>
              <w:suppressLineNumbers w:val="0"/>
              <w:spacing w:after="80" w:line="260" w:lineRule="exact"/>
              <w:ind w:firstLine="283"/>
            </w:pPr>
            <w:bookmarkStart w:id="1" w:name="שם_ב" w:colFirst="1" w:colLast="1"/>
            <w:r>
              <w:rPr>
                <w:rtl/>
              </w:rPr>
              <w:t xml:space="preserve"> </w:t>
            </w:r>
          </w:p>
        </w:tc>
        <w:tc>
          <w:tcPr>
            <w:tcW w:w="4820" w:type="dxa"/>
            <w:gridSpan w:val="2"/>
          </w:tcPr>
          <w:p w14:paraId="4DD1D270" w14:textId="77777777" w:rsidR="00D721E5" w:rsidRDefault="00D721E5">
            <w:pPr>
              <w:pStyle w:val="a"/>
              <w:suppressLineNumbers w:val="0"/>
              <w:spacing w:after="80" w:line="260" w:lineRule="exact"/>
              <w:ind w:firstLine="283"/>
            </w:pPr>
            <w:r>
              <w:rPr>
                <w:rFonts w:hint="cs"/>
                <w:rtl/>
              </w:rPr>
              <w:t>מלינקר שלמה</w:t>
            </w:r>
          </w:p>
        </w:tc>
        <w:tc>
          <w:tcPr>
            <w:tcW w:w="2409" w:type="dxa"/>
          </w:tcPr>
          <w:p w14:paraId="0582F955" w14:textId="77777777" w:rsidR="00D721E5" w:rsidRDefault="006C29A8">
            <w:pPr>
              <w:pStyle w:val="a"/>
              <w:suppressLineNumbers w:val="0"/>
              <w:spacing w:after="80" w:line="260" w:lineRule="exact"/>
              <w:ind w:firstLine="283"/>
            </w:pPr>
            <w:r>
              <w:rPr>
                <w:rtl/>
              </w:rPr>
              <w:t xml:space="preserve"> </w:t>
            </w:r>
          </w:p>
        </w:tc>
      </w:tr>
      <w:tr w:rsidR="00D721E5" w14:paraId="78403ABB" w14:textId="77777777" w:rsidTr="00D721E5">
        <w:tc>
          <w:tcPr>
            <w:tcW w:w="1418" w:type="dxa"/>
          </w:tcPr>
          <w:p w14:paraId="0937C7FD" w14:textId="77777777" w:rsidR="00D721E5" w:rsidRDefault="006C29A8">
            <w:pPr>
              <w:pStyle w:val="a"/>
              <w:suppressLineNumbers w:val="0"/>
              <w:spacing w:after="80" w:line="260" w:lineRule="exact"/>
              <w:ind w:firstLine="283"/>
            </w:pPr>
            <w:bookmarkStart w:id="2" w:name="בא_כוח_ב" w:colFirst="2" w:colLast="2"/>
            <w:bookmarkEnd w:id="1"/>
            <w:r>
              <w:rPr>
                <w:rtl/>
              </w:rPr>
              <w:t xml:space="preserve"> </w:t>
            </w:r>
          </w:p>
        </w:tc>
        <w:tc>
          <w:tcPr>
            <w:tcW w:w="1757" w:type="dxa"/>
          </w:tcPr>
          <w:p w14:paraId="3BFFF32D" w14:textId="77777777" w:rsidR="00D721E5" w:rsidRDefault="00D721E5">
            <w:pPr>
              <w:pStyle w:val="a"/>
              <w:suppressLineNumbers w:val="0"/>
              <w:spacing w:after="80" w:line="260" w:lineRule="exact"/>
              <w:ind w:firstLine="283"/>
            </w:pPr>
            <w:r>
              <w:rPr>
                <w:rFonts w:hint="cs"/>
                <w:rtl/>
              </w:rPr>
              <w:t>ע"י ב"כ עוה"ד</w:t>
            </w:r>
          </w:p>
        </w:tc>
        <w:tc>
          <w:tcPr>
            <w:tcW w:w="3063" w:type="dxa"/>
          </w:tcPr>
          <w:p w14:paraId="6520DD03" w14:textId="77777777" w:rsidR="00D721E5" w:rsidRDefault="00D721E5">
            <w:pPr>
              <w:pStyle w:val="a"/>
              <w:suppressLineNumbers w:val="0"/>
              <w:spacing w:after="80" w:line="260" w:lineRule="exact"/>
              <w:ind w:firstLine="283"/>
            </w:pPr>
            <w:r>
              <w:rPr>
                <w:rFonts w:hint="cs"/>
                <w:rtl/>
              </w:rPr>
              <w:t>כהנא ליאור</w:t>
            </w:r>
          </w:p>
        </w:tc>
        <w:tc>
          <w:tcPr>
            <w:tcW w:w="2409" w:type="dxa"/>
          </w:tcPr>
          <w:p w14:paraId="38CBA9DC" w14:textId="77777777" w:rsidR="00D721E5" w:rsidRDefault="00D721E5">
            <w:pPr>
              <w:pStyle w:val="a"/>
              <w:suppressLineNumbers w:val="0"/>
              <w:spacing w:after="80" w:line="260" w:lineRule="exact"/>
              <w:ind w:firstLine="283"/>
            </w:pPr>
            <w:r>
              <w:rPr>
                <w:rFonts w:hint="cs"/>
                <w:rtl/>
              </w:rPr>
              <w:t>הנאשם</w:t>
            </w:r>
          </w:p>
        </w:tc>
      </w:tr>
    </w:tbl>
    <w:bookmarkEnd w:id="2"/>
    <w:p w14:paraId="531A01A8" w14:textId="77777777" w:rsidR="00BA4D16" w:rsidRDefault="006C29A8">
      <w:pPr>
        <w:pStyle w:val="1"/>
        <w:spacing w:after="80" w:line="260" w:lineRule="exact"/>
        <w:ind w:firstLine="283"/>
        <w:jc w:val="both"/>
        <w:rPr>
          <w:rFonts w:hint="cs"/>
          <w:b/>
          <w:bCs/>
          <w:sz w:val="22"/>
          <w:rtl/>
        </w:rPr>
      </w:pPr>
      <w:r>
        <w:rPr>
          <w:rFonts w:hint="cs"/>
          <w:b/>
          <w:bCs/>
          <w:sz w:val="22"/>
          <w:rtl/>
        </w:rPr>
        <w:t xml:space="preserve"> </w:t>
      </w:r>
    </w:p>
    <w:tbl>
      <w:tblPr>
        <w:bidiVisual/>
        <w:tblW w:w="8562" w:type="dxa"/>
        <w:tblCellMar>
          <w:left w:w="107" w:type="dxa"/>
          <w:right w:w="107" w:type="dxa"/>
        </w:tblCellMar>
        <w:tblLook w:val="0000" w:firstRow="0" w:lastRow="0" w:firstColumn="0" w:lastColumn="0" w:noHBand="0" w:noVBand="0"/>
      </w:tblPr>
      <w:tblGrid>
        <w:gridCol w:w="1332"/>
        <w:gridCol w:w="7230"/>
      </w:tblGrid>
      <w:tr w:rsidR="00D721E5" w14:paraId="150805C7" w14:textId="77777777" w:rsidTr="00D721E5">
        <w:tc>
          <w:tcPr>
            <w:tcW w:w="1332" w:type="dxa"/>
          </w:tcPr>
          <w:p w14:paraId="27BE6F43" w14:textId="77777777" w:rsidR="00D721E5" w:rsidRDefault="00D721E5">
            <w:pPr>
              <w:pStyle w:val="a"/>
              <w:suppressLineNumbers w:val="0"/>
              <w:spacing w:after="80" w:line="260" w:lineRule="exact"/>
              <w:ind w:firstLine="283"/>
            </w:pPr>
            <w:bookmarkStart w:id="3" w:name="LastJudge"/>
            <w:r>
              <w:rPr>
                <w:rFonts w:hint="cs"/>
                <w:rtl/>
              </w:rPr>
              <w:t>נוכחים:</w:t>
            </w:r>
          </w:p>
        </w:tc>
        <w:tc>
          <w:tcPr>
            <w:tcW w:w="7230" w:type="dxa"/>
          </w:tcPr>
          <w:p w14:paraId="4FBF2007" w14:textId="77777777" w:rsidR="00D721E5" w:rsidRDefault="00D721E5">
            <w:pPr>
              <w:pStyle w:val="a"/>
              <w:suppressLineNumbers w:val="0"/>
              <w:spacing w:after="80" w:line="260" w:lineRule="exact"/>
              <w:ind w:firstLine="283"/>
            </w:pPr>
            <w:r>
              <w:rPr>
                <w:rFonts w:hint="cs"/>
                <w:rtl/>
              </w:rPr>
              <w:t>בשם המאשימה – רפ"ק אוזיזק</w:t>
            </w:r>
          </w:p>
          <w:p w14:paraId="723C7957" w14:textId="77777777" w:rsidR="00D721E5" w:rsidRDefault="00D721E5">
            <w:pPr>
              <w:pStyle w:val="a"/>
              <w:suppressLineNumbers w:val="0"/>
              <w:spacing w:after="80" w:line="260" w:lineRule="exact"/>
              <w:ind w:firstLine="283"/>
            </w:pPr>
            <w:r>
              <w:rPr>
                <w:rFonts w:hint="cs"/>
                <w:rtl/>
              </w:rPr>
              <w:t xml:space="preserve">הנאשם – בעצמו וב"כ עו"ד כהנא ליאור </w:t>
            </w:r>
          </w:p>
        </w:tc>
      </w:tr>
    </w:tbl>
    <w:p w14:paraId="6FD270D7" w14:textId="77777777" w:rsidR="00044923" w:rsidRDefault="00044923" w:rsidP="00044923">
      <w:pPr>
        <w:pStyle w:val="1"/>
        <w:spacing w:after="80" w:line="260" w:lineRule="exact"/>
        <w:ind w:firstLine="283"/>
        <w:jc w:val="both"/>
        <w:rPr>
          <w:sz w:val="22"/>
          <w:rtl/>
        </w:rPr>
      </w:pPr>
      <w:bookmarkStart w:id="4" w:name="LawTable"/>
      <w:bookmarkEnd w:id="3"/>
      <w:bookmarkEnd w:id="4"/>
    </w:p>
    <w:p w14:paraId="773FE83B" w14:textId="77777777" w:rsidR="00044923" w:rsidRPr="00044923" w:rsidRDefault="00044923" w:rsidP="00044923">
      <w:pPr>
        <w:pStyle w:val="1"/>
        <w:spacing w:after="120" w:line="240" w:lineRule="exact"/>
        <w:ind w:left="283" w:hanging="283"/>
        <w:jc w:val="both"/>
        <w:rPr>
          <w:rFonts w:ascii="FrankRuehl" w:hAnsi="FrankRuehl" w:cs="FrankRuehl"/>
          <w:sz w:val="24"/>
          <w:rtl/>
        </w:rPr>
      </w:pPr>
    </w:p>
    <w:p w14:paraId="69BD10A6" w14:textId="77777777" w:rsidR="00044923" w:rsidRPr="00044923" w:rsidRDefault="00044923" w:rsidP="00044923">
      <w:pPr>
        <w:pStyle w:val="1"/>
        <w:spacing w:after="120" w:line="240" w:lineRule="exact"/>
        <w:ind w:left="283" w:hanging="283"/>
        <w:jc w:val="both"/>
        <w:rPr>
          <w:rFonts w:ascii="FrankRuehl" w:hAnsi="FrankRuehl" w:cs="FrankRuehl"/>
          <w:sz w:val="24"/>
          <w:rtl/>
        </w:rPr>
      </w:pPr>
      <w:r w:rsidRPr="00044923">
        <w:rPr>
          <w:rFonts w:ascii="FrankRuehl" w:hAnsi="FrankRuehl" w:cs="FrankRuehl"/>
          <w:sz w:val="24"/>
          <w:rtl/>
        </w:rPr>
        <w:t xml:space="preserve">חקיקה שאוזכרה: </w:t>
      </w:r>
    </w:p>
    <w:p w14:paraId="15349BD4" w14:textId="77777777" w:rsidR="00044923" w:rsidRPr="00044923" w:rsidRDefault="00044923" w:rsidP="00044923">
      <w:pPr>
        <w:pStyle w:val="1"/>
        <w:spacing w:after="120" w:line="240" w:lineRule="exact"/>
        <w:ind w:left="283" w:hanging="283"/>
        <w:jc w:val="both"/>
        <w:rPr>
          <w:rFonts w:ascii="FrankRuehl" w:hAnsi="FrankRuehl" w:cs="FrankRuehl"/>
          <w:sz w:val="24"/>
          <w:rtl/>
        </w:rPr>
      </w:pPr>
      <w:hyperlink r:id="rId7" w:history="1">
        <w:r w:rsidRPr="00044923">
          <w:rPr>
            <w:rFonts w:ascii="FrankRuehl" w:hAnsi="FrankRuehl" w:cs="FrankRuehl"/>
            <w:color w:val="0000FF"/>
            <w:sz w:val="24"/>
            <w:u w:val="single"/>
            <w:rtl/>
          </w:rPr>
          <w:t>חוק העונשין, תשל"ז-1977</w:t>
        </w:r>
      </w:hyperlink>
      <w:r w:rsidRPr="00044923">
        <w:rPr>
          <w:rFonts w:ascii="FrankRuehl" w:hAnsi="FrankRuehl" w:cs="FrankRuehl"/>
          <w:sz w:val="24"/>
          <w:rtl/>
        </w:rPr>
        <w:t xml:space="preserve">: סע'  </w:t>
      </w:r>
      <w:hyperlink r:id="rId8" w:history="1">
        <w:r w:rsidRPr="00044923">
          <w:rPr>
            <w:rFonts w:ascii="FrankRuehl" w:hAnsi="FrankRuehl" w:cs="FrankRuehl"/>
            <w:color w:val="0000FF"/>
            <w:sz w:val="24"/>
            <w:u w:val="single"/>
            <w:rtl/>
          </w:rPr>
          <w:t>348(ו)</w:t>
        </w:r>
      </w:hyperlink>
      <w:r w:rsidRPr="00044923">
        <w:rPr>
          <w:rFonts w:ascii="FrankRuehl" w:hAnsi="FrankRuehl" w:cs="FrankRuehl"/>
          <w:sz w:val="24"/>
          <w:rtl/>
        </w:rPr>
        <w:t xml:space="preserve">, </w:t>
      </w:r>
      <w:hyperlink r:id="rId9" w:history="1">
        <w:r w:rsidRPr="00044923">
          <w:rPr>
            <w:rFonts w:ascii="FrankRuehl" w:hAnsi="FrankRuehl" w:cs="FrankRuehl"/>
            <w:color w:val="0000FF"/>
            <w:sz w:val="24"/>
            <w:u w:val="single"/>
            <w:rtl/>
          </w:rPr>
          <w:t>349(ב)</w:t>
        </w:r>
      </w:hyperlink>
    </w:p>
    <w:p w14:paraId="1E4AE098" w14:textId="77777777" w:rsidR="00044923" w:rsidRPr="00044923" w:rsidRDefault="00044923" w:rsidP="00044923">
      <w:pPr>
        <w:pStyle w:val="1"/>
        <w:spacing w:after="120" w:line="240" w:lineRule="exact"/>
        <w:ind w:left="283" w:hanging="283"/>
        <w:jc w:val="both"/>
        <w:rPr>
          <w:rFonts w:ascii="FrankRuehl" w:hAnsi="FrankRuehl" w:cs="FrankRuehl"/>
          <w:sz w:val="24"/>
          <w:rtl/>
        </w:rPr>
      </w:pPr>
      <w:hyperlink r:id="rId10" w:history="1">
        <w:r w:rsidRPr="00044923">
          <w:rPr>
            <w:rFonts w:ascii="FrankRuehl" w:hAnsi="FrankRuehl" w:cs="FrankRuehl"/>
            <w:color w:val="0000FF"/>
            <w:sz w:val="24"/>
            <w:u w:val="single"/>
            <w:rtl/>
          </w:rPr>
          <w:t>חוק לתיקון דיני הראיות (הגנת ילדים), תשט"ו-1955</w:t>
        </w:r>
      </w:hyperlink>
      <w:r w:rsidRPr="00044923">
        <w:rPr>
          <w:rFonts w:ascii="FrankRuehl" w:hAnsi="FrankRuehl" w:cs="FrankRuehl"/>
          <w:sz w:val="24"/>
          <w:rtl/>
        </w:rPr>
        <w:t xml:space="preserve">: סע'  </w:t>
      </w:r>
      <w:hyperlink r:id="rId11" w:history="1">
        <w:r w:rsidRPr="00044923">
          <w:rPr>
            <w:rFonts w:ascii="FrankRuehl" w:hAnsi="FrankRuehl" w:cs="FrankRuehl"/>
            <w:color w:val="0000FF"/>
            <w:sz w:val="24"/>
            <w:u w:val="single"/>
            <w:rtl/>
          </w:rPr>
          <w:t>9(א)</w:t>
        </w:r>
      </w:hyperlink>
      <w:r w:rsidRPr="00044923">
        <w:rPr>
          <w:rFonts w:ascii="FrankRuehl" w:hAnsi="FrankRuehl" w:cs="FrankRuehl"/>
          <w:sz w:val="24"/>
          <w:rtl/>
        </w:rPr>
        <w:t xml:space="preserve">, </w:t>
      </w:r>
      <w:hyperlink r:id="rId12" w:history="1">
        <w:r w:rsidRPr="00044923">
          <w:rPr>
            <w:rFonts w:ascii="FrankRuehl" w:hAnsi="FrankRuehl" w:cs="FrankRuehl"/>
            <w:color w:val="0000FF"/>
            <w:sz w:val="24"/>
            <w:u w:val="single"/>
            <w:rtl/>
          </w:rPr>
          <w:t>11</w:t>
        </w:r>
      </w:hyperlink>
    </w:p>
    <w:p w14:paraId="3996F31F" w14:textId="77777777" w:rsidR="00044923" w:rsidRPr="00044923" w:rsidRDefault="00044923" w:rsidP="00044923">
      <w:pPr>
        <w:pStyle w:val="1"/>
        <w:spacing w:after="120" w:line="240" w:lineRule="exact"/>
        <w:ind w:left="283" w:hanging="283"/>
        <w:jc w:val="both"/>
        <w:rPr>
          <w:rFonts w:ascii="FrankRuehl" w:hAnsi="FrankRuehl" w:cs="FrankRuehl"/>
          <w:sz w:val="24"/>
          <w:rtl/>
        </w:rPr>
      </w:pPr>
    </w:p>
    <w:p w14:paraId="6EF9C62C" w14:textId="77777777" w:rsidR="00044923" w:rsidRPr="00044923" w:rsidRDefault="00044923" w:rsidP="00044923">
      <w:pPr>
        <w:pStyle w:val="1"/>
        <w:spacing w:after="80" w:line="260" w:lineRule="exact"/>
        <w:ind w:firstLine="283"/>
        <w:jc w:val="both"/>
        <w:rPr>
          <w:sz w:val="22"/>
          <w:rtl/>
        </w:rPr>
      </w:pPr>
      <w:bookmarkStart w:id="5" w:name="LawTable_End"/>
      <w:bookmarkEnd w:id="5"/>
    </w:p>
    <w:p w14:paraId="7F3484FC" w14:textId="77777777" w:rsidR="00044923" w:rsidRPr="00044923" w:rsidRDefault="00044923" w:rsidP="00044923">
      <w:pPr>
        <w:pStyle w:val="1"/>
        <w:spacing w:after="80" w:line="260" w:lineRule="exact"/>
        <w:ind w:firstLine="283"/>
        <w:jc w:val="both"/>
        <w:rPr>
          <w:b/>
          <w:bCs/>
          <w:sz w:val="22"/>
          <w:rtl/>
        </w:rPr>
      </w:pPr>
    </w:p>
    <w:p w14:paraId="1CDEB342" w14:textId="77777777" w:rsidR="006C29A8" w:rsidRPr="006C29A8" w:rsidRDefault="006C29A8" w:rsidP="00044923">
      <w:pPr>
        <w:pStyle w:val="1"/>
        <w:spacing w:after="80" w:line="260" w:lineRule="exact"/>
        <w:ind w:firstLine="283"/>
        <w:jc w:val="both"/>
        <w:rPr>
          <w:rFonts w:ascii="FrankRuehl" w:hAnsi="FrankRuehl" w:cs="FrankRuehl"/>
          <w:sz w:val="24"/>
          <w:rtl/>
        </w:rPr>
      </w:pPr>
      <w:r w:rsidRPr="00044923">
        <w:rPr>
          <w:rFonts w:hint="cs"/>
          <w:b/>
          <w:bCs/>
          <w:sz w:val="22"/>
          <w:rtl/>
        </w:rPr>
        <w:t xml:space="preserve"> </w:t>
      </w:r>
    </w:p>
    <w:p w14:paraId="268F9A42" w14:textId="77777777" w:rsidR="006C29A8" w:rsidRPr="006C29A8" w:rsidRDefault="006C29A8">
      <w:pPr>
        <w:pStyle w:val="1"/>
        <w:spacing w:after="80" w:line="260" w:lineRule="exact"/>
        <w:ind w:firstLine="283"/>
        <w:jc w:val="both"/>
        <w:rPr>
          <w:sz w:val="22"/>
          <w:rtl/>
        </w:rPr>
      </w:pPr>
    </w:p>
    <w:p w14:paraId="6E1DA10D" w14:textId="77777777" w:rsidR="006C29A8" w:rsidRPr="006C29A8" w:rsidRDefault="006C29A8">
      <w:pPr>
        <w:pStyle w:val="1"/>
        <w:spacing w:after="80" w:line="260" w:lineRule="exact"/>
        <w:ind w:firstLine="283"/>
        <w:jc w:val="both"/>
        <w:rPr>
          <w:b/>
          <w:bCs/>
          <w:sz w:val="22"/>
          <w:rtl/>
        </w:rPr>
      </w:pPr>
    </w:p>
    <w:p w14:paraId="01B87014" w14:textId="77777777" w:rsidR="00BA4D16" w:rsidRPr="006C29A8" w:rsidRDefault="00BA4D16">
      <w:pPr>
        <w:pStyle w:val="1"/>
        <w:spacing w:after="80" w:line="260" w:lineRule="exact"/>
        <w:ind w:firstLine="283"/>
        <w:jc w:val="both"/>
        <w:rPr>
          <w:rFonts w:hint="cs"/>
          <w:b/>
          <w:bCs/>
          <w:sz w:val="22"/>
          <w:rtl/>
        </w:rPr>
      </w:pPr>
    </w:p>
    <w:p w14:paraId="1BB06897" w14:textId="77777777" w:rsidR="00BA4D16" w:rsidRDefault="00BA4D16">
      <w:pPr>
        <w:pStyle w:val="1"/>
        <w:pBdr>
          <w:top w:val="single" w:sz="4" w:space="1" w:color="auto"/>
          <w:bottom w:val="single" w:sz="4" w:space="1" w:color="auto"/>
        </w:pBdr>
        <w:spacing w:line="300" w:lineRule="exact"/>
        <w:jc w:val="both"/>
        <w:rPr>
          <w:rFonts w:cs="FrankRuehl" w:hint="cs"/>
          <w:szCs w:val="26"/>
          <w:rtl/>
        </w:rPr>
      </w:pPr>
      <w:bookmarkStart w:id="6" w:name="ABSTRACT_START"/>
      <w:bookmarkEnd w:id="6"/>
      <w:r>
        <w:rPr>
          <w:rFonts w:cs="FrankRuehl" w:hint="cs"/>
          <w:szCs w:val="26"/>
          <w:rtl/>
        </w:rPr>
        <w:t>יוחס לנאשם עבירה של עשיית מעשים מגונים בפומבי, לפי סעיף 349(ב) ל</w:t>
      </w:r>
      <w:hyperlink r:id="rId13" w:history="1">
        <w:r w:rsidR="006C29A8" w:rsidRPr="006C29A8">
          <w:rPr>
            <w:rStyle w:val="Hyperlink"/>
            <w:rFonts w:cs="FrankRuehl" w:hint="eastAsia"/>
            <w:szCs w:val="26"/>
            <w:rtl/>
          </w:rPr>
          <w:t>חוק</w:t>
        </w:r>
        <w:r w:rsidR="006C29A8" w:rsidRPr="006C29A8">
          <w:rPr>
            <w:rStyle w:val="Hyperlink"/>
            <w:rFonts w:cs="FrankRuehl"/>
            <w:szCs w:val="26"/>
            <w:rtl/>
          </w:rPr>
          <w:t xml:space="preserve"> העונשין</w:t>
        </w:r>
      </w:hyperlink>
      <w:r>
        <w:rPr>
          <w:rFonts w:cs="FrankRuehl" w:hint="cs"/>
          <w:szCs w:val="26"/>
          <w:rtl/>
        </w:rPr>
        <w:t>. נטען כי, במרפסת ביתו וכן במקומות נוספים, ביצע הנאשם מעשה מגונה בפומבי, בכך שחשף את איבר מינו בפני קטינות</w:t>
      </w:r>
      <w:bookmarkStart w:id="7" w:name="ABSTRACT_END"/>
      <w:bookmarkEnd w:id="7"/>
      <w:r>
        <w:rPr>
          <w:rFonts w:cs="FrankRuehl" w:hint="cs"/>
          <w:szCs w:val="26"/>
          <w:rtl/>
        </w:rPr>
        <w:t>.</w:t>
      </w:r>
    </w:p>
    <w:p w14:paraId="59A91A9C" w14:textId="77777777" w:rsidR="00BA4D16" w:rsidRDefault="00BA4D16">
      <w:pPr>
        <w:pStyle w:val="Heading1"/>
        <w:spacing w:after="80" w:line="260" w:lineRule="exact"/>
        <w:ind w:firstLine="283"/>
        <w:jc w:val="both"/>
        <w:rPr>
          <w:sz w:val="22"/>
          <w:szCs w:val="24"/>
          <w:u w:val="none"/>
          <w:rtl/>
        </w:rPr>
      </w:pPr>
      <w:bookmarkStart w:id="8" w:name="סוג_מסמך"/>
      <w:bookmarkEnd w:id="8"/>
    </w:p>
    <w:p w14:paraId="476EB487" w14:textId="77777777" w:rsidR="00BA4D16" w:rsidRDefault="00BA4D16">
      <w:pPr>
        <w:pStyle w:val="Heading1"/>
        <w:spacing w:after="80" w:line="260" w:lineRule="exact"/>
        <w:ind w:firstLine="283"/>
        <w:rPr>
          <w:sz w:val="22"/>
          <w:szCs w:val="24"/>
          <w:rtl/>
        </w:rPr>
      </w:pPr>
      <w:bookmarkStart w:id="9" w:name="PsakDin"/>
      <w:r>
        <w:rPr>
          <w:sz w:val="22"/>
          <w:szCs w:val="24"/>
          <w:rtl/>
        </w:rPr>
        <w:t>הכרעת דין</w:t>
      </w:r>
    </w:p>
    <w:bookmarkEnd w:id="9"/>
    <w:p w14:paraId="7D10816C" w14:textId="77777777" w:rsidR="00BA4D16" w:rsidRDefault="006C29A8">
      <w:pPr>
        <w:pStyle w:val="Heading1"/>
        <w:spacing w:after="80" w:line="260" w:lineRule="exact"/>
        <w:ind w:firstLine="283"/>
        <w:jc w:val="both"/>
        <w:rPr>
          <w:sz w:val="22"/>
          <w:szCs w:val="24"/>
          <w:rtl/>
        </w:rPr>
      </w:pPr>
      <w:r>
        <w:rPr>
          <w:rFonts w:hint="cs"/>
          <w:sz w:val="22"/>
          <w:szCs w:val="24"/>
          <w:rtl/>
        </w:rPr>
        <w:t xml:space="preserve"> </w:t>
      </w:r>
    </w:p>
    <w:p w14:paraId="7D41F907" w14:textId="77777777" w:rsidR="00BA4D16" w:rsidRDefault="00BA4D16">
      <w:pPr>
        <w:spacing w:after="80" w:line="260" w:lineRule="exact"/>
        <w:ind w:firstLine="283"/>
        <w:rPr>
          <w:rFonts w:hint="cs"/>
          <w:sz w:val="22"/>
          <w:rtl/>
        </w:rPr>
      </w:pPr>
      <w:r>
        <w:rPr>
          <w:rFonts w:hint="cs"/>
          <w:sz w:val="22"/>
          <w:rtl/>
        </w:rPr>
        <w:t>1.</w:t>
      </w:r>
      <w:r>
        <w:rPr>
          <w:rFonts w:hint="cs"/>
          <w:sz w:val="22"/>
          <w:rtl/>
        </w:rPr>
        <w:tab/>
        <w:t>כתב האישום בתיק זה הוגש ביום 15.2.00, וייחס לנאשם עבירה של עשיית מע</w:t>
      </w:r>
      <w:r w:rsidR="00044923">
        <w:rPr>
          <w:rFonts w:hint="cs"/>
          <w:sz w:val="22"/>
          <w:rtl/>
        </w:rPr>
        <w:t xml:space="preserve">שים מגונים בפומבי, לפי סעיף </w:t>
      </w:r>
      <w:hyperlink r:id="rId14" w:history="1">
        <w:r w:rsidR="00044923" w:rsidRPr="00044923">
          <w:rPr>
            <w:color w:val="0000FF"/>
            <w:sz w:val="22"/>
            <w:u w:val="single"/>
            <w:rtl/>
          </w:rPr>
          <w:t>349(ב)</w:t>
        </w:r>
      </w:hyperlink>
      <w:r>
        <w:rPr>
          <w:rFonts w:hint="cs"/>
          <w:sz w:val="22"/>
          <w:rtl/>
        </w:rPr>
        <w:t xml:space="preserve"> ל</w:t>
      </w:r>
      <w:hyperlink r:id="rId15" w:history="1">
        <w:r w:rsidR="006C29A8" w:rsidRPr="006C29A8">
          <w:rPr>
            <w:rStyle w:val="Hyperlink"/>
            <w:rFonts w:hint="eastAsia"/>
            <w:sz w:val="22"/>
            <w:rtl/>
          </w:rPr>
          <w:t>חוק</w:t>
        </w:r>
        <w:r w:rsidR="006C29A8" w:rsidRPr="006C29A8">
          <w:rPr>
            <w:rStyle w:val="Hyperlink"/>
            <w:sz w:val="22"/>
            <w:rtl/>
          </w:rPr>
          <w:t xml:space="preserve"> העונשין</w:t>
        </w:r>
      </w:hyperlink>
      <w:r>
        <w:rPr>
          <w:rFonts w:hint="cs"/>
          <w:sz w:val="22"/>
          <w:rtl/>
        </w:rPr>
        <w:t>. נטען בו, כי ביום 9.11.99, בשעה 13.00 לערך, וכן במועדים קודמים נוספים אשר אינם ידועים במדוייק לתביעה, במרפסת ביתו וכן במקומות נוספים, ביצע הנאשם מעשה מגונה בפומבי, בכך שחשף את איבר מינו בפני הקטינות ר.ע. (ילידת 12.10.92), ל.ג. (ילידת 12.8.88), וח.ע. (</w:t>
      </w:r>
      <w:r>
        <w:rPr>
          <w:sz w:val="22"/>
        </w:rPr>
        <w:t>י</w:t>
      </w:r>
      <w:r>
        <w:rPr>
          <w:rFonts w:hint="cs"/>
          <w:sz w:val="22"/>
          <w:rtl/>
        </w:rPr>
        <w:t xml:space="preserve">לידת 4.6.90). </w:t>
      </w:r>
    </w:p>
    <w:p w14:paraId="66FB77DA" w14:textId="77777777" w:rsidR="00BA4D16" w:rsidRDefault="006C29A8">
      <w:pPr>
        <w:spacing w:after="80" w:line="260" w:lineRule="exact"/>
        <w:ind w:firstLine="283"/>
        <w:rPr>
          <w:rFonts w:hint="cs"/>
          <w:sz w:val="22"/>
          <w:rtl/>
        </w:rPr>
      </w:pPr>
      <w:r>
        <w:rPr>
          <w:rFonts w:hint="cs"/>
          <w:sz w:val="22"/>
          <w:rtl/>
        </w:rPr>
        <w:t xml:space="preserve"> </w:t>
      </w:r>
    </w:p>
    <w:p w14:paraId="5831DF34" w14:textId="77777777" w:rsidR="00BA4D16" w:rsidRDefault="00BA4D16">
      <w:pPr>
        <w:spacing w:after="80" w:line="260" w:lineRule="exact"/>
        <w:ind w:firstLine="283"/>
        <w:rPr>
          <w:rFonts w:hint="cs"/>
          <w:sz w:val="22"/>
          <w:rtl/>
        </w:rPr>
      </w:pPr>
      <w:r>
        <w:rPr>
          <w:rFonts w:hint="cs"/>
          <w:sz w:val="22"/>
          <w:rtl/>
        </w:rPr>
        <w:lastRenderedPageBreak/>
        <w:t>2.</w:t>
      </w:r>
      <w:r>
        <w:rPr>
          <w:rFonts w:hint="cs"/>
          <w:sz w:val="22"/>
          <w:rtl/>
        </w:rPr>
        <w:tab/>
        <w:t xml:space="preserve">בישיבת הקראה שהתקיימה ביום 16.4.00, שבה היה הנאשם מיוצג על ידי עו"ד עומרי אלירז, הודה הנאשם בעובדות, ובהסכמת הצדדים נשלח לעריכת תסקיר אצל שירות המבחן עוד בטרם הרשעה. </w:t>
      </w:r>
    </w:p>
    <w:p w14:paraId="0C4CB525" w14:textId="77777777" w:rsidR="00BA4D16" w:rsidRDefault="00BA4D16">
      <w:pPr>
        <w:spacing w:after="80" w:line="260" w:lineRule="exact"/>
        <w:ind w:firstLine="283"/>
        <w:rPr>
          <w:rFonts w:hint="cs"/>
          <w:color w:val="FFFFFF"/>
          <w:sz w:val="4"/>
          <w:szCs w:val="4"/>
          <w:rtl/>
        </w:rPr>
      </w:pPr>
    </w:p>
    <w:p w14:paraId="75CE0B74" w14:textId="77777777" w:rsidR="00BA4D16" w:rsidRDefault="00BA4D16">
      <w:pPr>
        <w:spacing w:after="80" w:line="260" w:lineRule="exact"/>
        <w:ind w:firstLine="283"/>
        <w:rPr>
          <w:rFonts w:hint="cs"/>
          <w:sz w:val="22"/>
          <w:rtl/>
        </w:rPr>
      </w:pPr>
      <w:r>
        <w:rPr>
          <w:color w:val="FFFFFF"/>
          <w:sz w:val="4"/>
          <w:szCs w:val="4"/>
          <w:rtl/>
        </w:rPr>
        <w:t>5129371</w:t>
      </w:r>
      <w:r w:rsidR="006C29A8">
        <w:rPr>
          <w:rFonts w:hint="cs"/>
          <w:sz w:val="22"/>
          <w:rtl/>
        </w:rPr>
        <w:t xml:space="preserve"> </w:t>
      </w:r>
    </w:p>
    <w:p w14:paraId="7C9A5820" w14:textId="77777777" w:rsidR="00BA4D16" w:rsidRDefault="00BA4D16">
      <w:pPr>
        <w:spacing w:after="80" w:line="260" w:lineRule="exact"/>
        <w:ind w:firstLine="283"/>
        <w:rPr>
          <w:rFonts w:hint="cs"/>
          <w:sz w:val="22"/>
          <w:rtl/>
        </w:rPr>
      </w:pPr>
      <w:r>
        <w:rPr>
          <w:rFonts w:hint="cs"/>
          <w:sz w:val="22"/>
          <w:rtl/>
        </w:rPr>
        <w:tab/>
        <w:t xml:space="preserve">כעבור זמן קצר, הודיע שירות המבחן, בתסקיר מיום 21.6.00, כי הנאשם מכחיש את ביצוע העבירה וכי, לדבריו, הודאתו נבעה מ"תקשורת לקויה בינו לבין עורך דינו". </w:t>
      </w:r>
    </w:p>
    <w:p w14:paraId="4833AE8C" w14:textId="77777777" w:rsidR="00BA4D16" w:rsidRDefault="006C29A8">
      <w:pPr>
        <w:spacing w:after="80" w:line="260" w:lineRule="exact"/>
        <w:ind w:firstLine="283"/>
        <w:rPr>
          <w:rFonts w:hint="cs"/>
          <w:sz w:val="22"/>
          <w:rtl/>
        </w:rPr>
      </w:pPr>
      <w:r>
        <w:rPr>
          <w:rFonts w:hint="cs"/>
          <w:sz w:val="22"/>
          <w:rtl/>
        </w:rPr>
        <w:t xml:space="preserve"> </w:t>
      </w:r>
    </w:p>
    <w:p w14:paraId="01BC127F" w14:textId="77777777" w:rsidR="00BA4D16" w:rsidRDefault="00BA4D16">
      <w:pPr>
        <w:spacing w:after="80" w:line="260" w:lineRule="exact"/>
        <w:ind w:firstLine="283"/>
        <w:rPr>
          <w:rFonts w:hint="cs"/>
          <w:sz w:val="22"/>
          <w:rtl/>
        </w:rPr>
      </w:pPr>
      <w:r>
        <w:rPr>
          <w:rFonts w:hint="cs"/>
          <w:sz w:val="22"/>
          <w:rtl/>
        </w:rPr>
        <w:tab/>
        <w:t xml:space="preserve">ואכן, ביום 11.7.00, בהסכמת התביעה, אפשרתי לנאשם לחזור בו מהודאתו, וכן שיחררתי את עו"ד אלירז, לבקשתו, מהמשך יצוגו של הנאשם.  עניינו של הנאשם הועבר לסנגוריה הציבורית, אשר דאגה למנות את עו"ד ליאור כהנא לייצג את הנאשם. התיק נקבע לשמיעת הוכחות. </w:t>
      </w:r>
    </w:p>
    <w:p w14:paraId="271E3940" w14:textId="77777777" w:rsidR="00BA4D16" w:rsidRDefault="00BA4D16">
      <w:pPr>
        <w:spacing w:after="80" w:line="260" w:lineRule="exact"/>
        <w:ind w:firstLine="283"/>
        <w:rPr>
          <w:rFonts w:hint="cs"/>
          <w:sz w:val="22"/>
          <w:rtl/>
        </w:rPr>
      </w:pPr>
      <w:r>
        <w:rPr>
          <w:rFonts w:hint="cs"/>
          <w:sz w:val="22"/>
          <w:rtl/>
        </w:rPr>
        <w:br w:type="page"/>
      </w:r>
      <w:r w:rsidR="006C29A8">
        <w:rPr>
          <w:rFonts w:hint="cs"/>
          <w:sz w:val="22"/>
          <w:rtl/>
        </w:rPr>
        <w:lastRenderedPageBreak/>
        <w:t xml:space="preserve"> </w:t>
      </w:r>
    </w:p>
    <w:p w14:paraId="4D871F0C" w14:textId="77777777" w:rsidR="00BA4D16" w:rsidRDefault="00BA4D16">
      <w:pPr>
        <w:spacing w:after="80" w:line="260" w:lineRule="exact"/>
        <w:ind w:firstLine="283"/>
        <w:rPr>
          <w:rFonts w:hint="cs"/>
          <w:sz w:val="22"/>
          <w:rtl/>
        </w:rPr>
      </w:pPr>
      <w:r>
        <w:rPr>
          <w:rFonts w:hint="cs"/>
          <w:sz w:val="22"/>
          <w:rtl/>
        </w:rPr>
        <w:t>3.</w:t>
      </w:r>
      <w:r>
        <w:rPr>
          <w:rFonts w:hint="cs"/>
          <w:sz w:val="22"/>
          <w:rtl/>
        </w:rPr>
        <w:tab/>
        <w:t xml:space="preserve">שלושת הקטינות לא העידו בבית המשפט, וגירסתן נמסרה באמצעות עדות חוקרת הילדים, לאה דנינו. </w:t>
      </w:r>
    </w:p>
    <w:p w14:paraId="53BEF530" w14:textId="77777777" w:rsidR="00BA4D16" w:rsidRDefault="006C29A8">
      <w:pPr>
        <w:spacing w:after="80" w:line="260" w:lineRule="exact"/>
        <w:ind w:firstLine="283"/>
        <w:rPr>
          <w:rFonts w:hint="cs"/>
          <w:sz w:val="22"/>
          <w:rtl/>
        </w:rPr>
      </w:pPr>
      <w:r>
        <w:rPr>
          <w:rFonts w:hint="cs"/>
          <w:sz w:val="22"/>
          <w:rtl/>
        </w:rPr>
        <w:t xml:space="preserve"> </w:t>
      </w:r>
    </w:p>
    <w:p w14:paraId="5FD10681" w14:textId="77777777" w:rsidR="00BA4D16" w:rsidRDefault="00BA4D16">
      <w:pPr>
        <w:spacing w:after="80" w:line="260" w:lineRule="exact"/>
        <w:ind w:firstLine="283"/>
        <w:rPr>
          <w:rFonts w:hint="cs"/>
          <w:sz w:val="22"/>
          <w:rtl/>
        </w:rPr>
      </w:pPr>
      <w:r>
        <w:rPr>
          <w:rFonts w:hint="cs"/>
          <w:sz w:val="22"/>
          <w:rtl/>
        </w:rPr>
        <w:tab/>
        <w:t>כידוע, נקבע ב</w:t>
      </w:r>
      <w:hyperlink r:id="rId16" w:history="1">
        <w:r w:rsidR="006C29A8" w:rsidRPr="006C29A8">
          <w:rPr>
            <w:rStyle w:val="Hyperlink"/>
            <w:rFonts w:hint="eastAsia"/>
            <w:sz w:val="22"/>
            <w:rtl/>
          </w:rPr>
          <w:t>חוק</w:t>
        </w:r>
        <w:r w:rsidR="006C29A8" w:rsidRPr="006C29A8">
          <w:rPr>
            <w:rStyle w:val="Hyperlink"/>
            <w:sz w:val="22"/>
            <w:rtl/>
          </w:rPr>
          <w:t xml:space="preserve"> לתיקון דיני הראיות (הגנת ילדים)</w:t>
        </w:r>
      </w:hyperlink>
      <w:r w:rsidR="00044923">
        <w:rPr>
          <w:rFonts w:hint="cs"/>
          <w:sz w:val="22"/>
          <w:rtl/>
        </w:rPr>
        <w:t xml:space="preserve">, תשט"ו – 1955, בסעיף </w:t>
      </w:r>
      <w:hyperlink r:id="rId17" w:history="1">
        <w:r w:rsidR="00044923" w:rsidRPr="00044923">
          <w:rPr>
            <w:color w:val="0000FF"/>
            <w:sz w:val="22"/>
            <w:u w:val="single"/>
            <w:rtl/>
          </w:rPr>
          <w:t>9(א),</w:t>
        </w:r>
      </w:hyperlink>
      <w:r>
        <w:rPr>
          <w:rFonts w:hint="cs"/>
          <w:sz w:val="22"/>
          <w:rtl/>
        </w:rPr>
        <w:t xml:space="preserve"> כנוסחו היום, כדלקמן: </w:t>
      </w:r>
    </w:p>
    <w:p w14:paraId="70F37B6C" w14:textId="77777777" w:rsidR="00BA4D16" w:rsidRDefault="006C29A8">
      <w:pPr>
        <w:spacing w:after="80" w:line="260" w:lineRule="exact"/>
        <w:ind w:firstLine="283"/>
        <w:rPr>
          <w:rFonts w:hint="cs"/>
          <w:sz w:val="22"/>
          <w:rtl/>
        </w:rPr>
      </w:pPr>
      <w:r>
        <w:rPr>
          <w:rFonts w:hint="cs"/>
          <w:sz w:val="22"/>
          <w:rtl/>
        </w:rPr>
        <w:t xml:space="preserve"> </w:t>
      </w:r>
    </w:p>
    <w:p w14:paraId="47D2C20A"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”עדות בעבירה המנויה בתוספת, שתועדה בידי חוקר ילדים בהתאם להוראות חוק זה, וכן זכרון דברים או דין וחשבון לעניין חקירה שתועדה כאמור, שנרשמו בידי חוקר ילדים בשעת החקירה או אחריה – כשרים להתקבל כראיה בבית המשפט". </w:t>
      </w:r>
    </w:p>
    <w:p w14:paraId="7B6AD15F" w14:textId="77777777" w:rsidR="00BA4D16" w:rsidRDefault="006C29A8">
      <w:pPr>
        <w:pStyle w:val="a4"/>
        <w:spacing w:after="80" w:line="260" w:lineRule="exact"/>
        <w:ind w:left="0" w:right="0" w:firstLine="283"/>
        <w:rPr>
          <w:rFonts w:hint="cs"/>
          <w:sz w:val="22"/>
          <w:szCs w:val="24"/>
          <w:rtl/>
        </w:rPr>
      </w:pPr>
      <w:r>
        <w:rPr>
          <w:rFonts w:hint="cs"/>
          <w:sz w:val="22"/>
          <w:szCs w:val="24"/>
          <w:rtl/>
        </w:rPr>
        <w:t xml:space="preserve"> </w:t>
      </w:r>
    </w:p>
    <w:p w14:paraId="4BEF1E40" w14:textId="77777777" w:rsidR="00BA4D16" w:rsidRDefault="006C29A8">
      <w:pPr>
        <w:spacing w:after="80" w:line="260" w:lineRule="exact"/>
        <w:ind w:firstLine="283"/>
        <w:rPr>
          <w:rFonts w:hint="cs"/>
          <w:sz w:val="22"/>
          <w:rtl/>
        </w:rPr>
      </w:pPr>
      <w:r>
        <w:rPr>
          <w:rFonts w:hint="cs"/>
          <w:sz w:val="22"/>
          <w:rtl/>
        </w:rPr>
        <w:t xml:space="preserve"> </w:t>
      </w:r>
    </w:p>
    <w:p w14:paraId="2F685717" w14:textId="77777777" w:rsidR="00BA4D16" w:rsidRDefault="00BA4D16">
      <w:pPr>
        <w:spacing w:after="80" w:line="260" w:lineRule="exact"/>
        <w:ind w:firstLine="283"/>
        <w:rPr>
          <w:rFonts w:hint="cs"/>
          <w:sz w:val="22"/>
          <w:rtl/>
        </w:rPr>
      </w:pPr>
      <w:r>
        <w:rPr>
          <w:rFonts w:hint="cs"/>
          <w:sz w:val="22"/>
          <w:rtl/>
        </w:rPr>
        <w:tab/>
        <w:t xml:space="preserve">בהתאם, הוגשו ונתקבלו קלטת חקירתה של ר.ע. – ת/11, תמליל הקלטת – ת/8, טופס הערכת העדות – ת/5, קלטת חקירתה של ח.ע. – ת/12, תמליל הקלטת – ת/9, טופס הערכת העדות – ת/6, קלטת חקירתה של ל.ג. – ת/13,  תמליל הקלטת – ת/10, טופס הערכת העדות – ת/7. </w:t>
      </w:r>
    </w:p>
    <w:p w14:paraId="50E1DF07" w14:textId="77777777" w:rsidR="00BA4D16" w:rsidRDefault="006C29A8">
      <w:pPr>
        <w:spacing w:after="80" w:line="260" w:lineRule="exact"/>
        <w:ind w:firstLine="283"/>
        <w:rPr>
          <w:rFonts w:hint="cs"/>
          <w:sz w:val="22"/>
          <w:rtl/>
        </w:rPr>
      </w:pPr>
      <w:r>
        <w:rPr>
          <w:rFonts w:hint="cs"/>
          <w:sz w:val="22"/>
          <w:rtl/>
        </w:rPr>
        <w:t xml:space="preserve"> </w:t>
      </w:r>
    </w:p>
    <w:p w14:paraId="0435E8F0" w14:textId="77777777" w:rsidR="00BA4D16" w:rsidRDefault="00BA4D16">
      <w:pPr>
        <w:spacing w:after="80" w:line="260" w:lineRule="exact"/>
        <w:ind w:firstLine="283"/>
        <w:rPr>
          <w:rFonts w:hint="cs"/>
          <w:sz w:val="22"/>
          <w:rtl/>
        </w:rPr>
      </w:pPr>
      <w:r>
        <w:rPr>
          <w:rFonts w:hint="cs"/>
          <w:sz w:val="22"/>
          <w:rtl/>
        </w:rPr>
        <w:tab/>
        <w:t xml:space="preserve">עוד קובע החוק הנ"ל </w:t>
      </w:r>
      <w:hyperlink r:id="rId18" w:history="1">
        <w:r w:rsidR="00044923" w:rsidRPr="00044923">
          <w:rPr>
            <w:color w:val="0000FF"/>
            <w:sz w:val="22"/>
            <w:u w:val="single"/>
            <w:rtl/>
          </w:rPr>
          <w:t>בסעיף 11</w:t>
        </w:r>
      </w:hyperlink>
      <w:r>
        <w:rPr>
          <w:rFonts w:hint="cs"/>
          <w:sz w:val="22"/>
          <w:rtl/>
        </w:rPr>
        <w:t xml:space="preserve">, כי: </w:t>
      </w:r>
    </w:p>
    <w:p w14:paraId="2335E70D" w14:textId="77777777" w:rsidR="00BA4D16" w:rsidRDefault="006C29A8">
      <w:pPr>
        <w:pStyle w:val="a4"/>
        <w:spacing w:after="80" w:line="260" w:lineRule="exact"/>
        <w:ind w:left="0" w:right="0" w:firstLine="283"/>
        <w:rPr>
          <w:rFonts w:hint="cs"/>
          <w:sz w:val="22"/>
          <w:szCs w:val="24"/>
          <w:rtl/>
        </w:rPr>
      </w:pPr>
      <w:r>
        <w:rPr>
          <w:rFonts w:hint="cs"/>
          <w:sz w:val="22"/>
          <w:szCs w:val="24"/>
          <w:rtl/>
        </w:rPr>
        <w:t xml:space="preserve"> </w:t>
      </w:r>
    </w:p>
    <w:p w14:paraId="65EDA979"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”לא יורשע אדם על סמך ראיה לפי סעיף 9 אלא אם יש לה סיוע בראיה אחרת". </w:t>
      </w:r>
    </w:p>
    <w:p w14:paraId="698B794C" w14:textId="77777777" w:rsidR="00BA4D16" w:rsidRDefault="006C29A8">
      <w:pPr>
        <w:pStyle w:val="a4"/>
        <w:spacing w:after="80" w:line="260" w:lineRule="exact"/>
        <w:ind w:left="0" w:right="0" w:firstLine="283"/>
        <w:rPr>
          <w:rFonts w:hint="cs"/>
          <w:sz w:val="22"/>
          <w:szCs w:val="24"/>
          <w:rtl/>
        </w:rPr>
      </w:pPr>
      <w:r>
        <w:rPr>
          <w:rFonts w:hint="cs"/>
          <w:sz w:val="22"/>
          <w:szCs w:val="24"/>
          <w:rtl/>
        </w:rPr>
        <w:t xml:space="preserve"> </w:t>
      </w:r>
    </w:p>
    <w:p w14:paraId="26B9397E" w14:textId="77777777" w:rsidR="00BA4D16" w:rsidRDefault="006C29A8">
      <w:pPr>
        <w:spacing w:after="80" w:line="260" w:lineRule="exact"/>
        <w:ind w:firstLine="283"/>
        <w:rPr>
          <w:rFonts w:hint="cs"/>
          <w:sz w:val="22"/>
          <w:rtl/>
        </w:rPr>
      </w:pPr>
      <w:r>
        <w:rPr>
          <w:rFonts w:hint="cs"/>
          <w:sz w:val="22"/>
          <w:rtl/>
        </w:rPr>
        <w:t xml:space="preserve"> </w:t>
      </w:r>
    </w:p>
    <w:p w14:paraId="2ADF6B4B" w14:textId="77777777" w:rsidR="00BA4D16" w:rsidRDefault="00BA4D16">
      <w:pPr>
        <w:spacing w:after="80" w:line="260" w:lineRule="exact"/>
        <w:ind w:firstLine="283"/>
        <w:rPr>
          <w:rFonts w:hint="cs"/>
          <w:sz w:val="22"/>
          <w:rtl/>
        </w:rPr>
      </w:pPr>
      <w:r>
        <w:rPr>
          <w:rFonts w:hint="cs"/>
          <w:sz w:val="22"/>
          <w:rtl/>
        </w:rPr>
        <w:tab/>
        <w:t xml:space="preserve">בפסיקה נקבע, כי תוספת ראייתית בדרגה של סיוע, צריכה להיות ראיה עצמאית, אשר קושרת את הנאשם לביצוע העבירה  ואשר מתייחסת לעניין מהותי השנוי במחלוקת בין הצדדים (ראו, למשל, </w:t>
      </w:r>
      <w:hyperlink r:id="rId19" w:history="1">
        <w:r w:rsidR="006C29A8" w:rsidRPr="006C29A8">
          <w:rPr>
            <w:rStyle w:val="Hyperlink"/>
            <w:rFonts w:hint="eastAsia"/>
            <w:sz w:val="22"/>
            <w:rtl/>
          </w:rPr>
          <w:t>ע</w:t>
        </w:r>
        <w:r w:rsidR="006C29A8" w:rsidRPr="006C29A8">
          <w:rPr>
            <w:rStyle w:val="Hyperlink"/>
            <w:sz w:val="22"/>
            <w:rtl/>
          </w:rPr>
          <w:t>.פ 1121/96 פלוני נ' מדינת ישראל, פ"ד נ</w:t>
        </w:r>
      </w:hyperlink>
      <w:r>
        <w:rPr>
          <w:rFonts w:hint="cs"/>
          <w:sz w:val="22"/>
          <w:rtl/>
        </w:rPr>
        <w:t xml:space="preserve"> (3) 353, 359). לצד זאת נפסק גם, כי אין צורך שראיית הסיוע תתייחס לכל פרט ופרט מפרטי המעשה, כי מצב נפשי של מתלונן יכול להוות ראיה עצמאית אם הוכח הקשר בינו לבין העבירה הנטענת, וכי עדויות קטינים בפני חוקר ילדים, גם בנוגע למקרים שלא התרחשו בנוכחות כולם יחד, יכולות לסייע זו לזו (ראו, למשל, </w:t>
      </w:r>
      <w:hyperlink r:id="rId20" w:history="1">
        <w:r w:rsidR="006C29A8" w:rsidRPr="006C29A8">
          <w:rPr>
            <w:rStyle w:val="Hyperlink"/>
            <w:rFonts w:hint="eastAsia"/>
            <w:sz w:val="22"/>
            <w:rtl/>
          </w:rPr>
          <w:t>ע</w:t>
        </w:r>
        <w:r w:rsidR="006C29A8" w:rsidRPr="006C29A8">
          <w:rPr>
            <w:rStyle w:val="Hyperlink"/>
            <w:sz w:val="22"/>
            <w:rtl/>
          </w:rPr>
          <w:t>.פ. 4009/90 מדינת ישראל נ' פלוני, פ"ד מז</w:t>
        </w:r>
      </w:hyperlink>
      <w:r>
        <w:rPr>
          <w:rFonts w:hint="cs"/>
          <w:sz w:val="22"/>
          <w:rtl/>
        </w:rPr>
        <w:t xml:space="preserve"> (1) 292, 304 –305;  </w:t>
      </w:r>
      <w:hyperlink r:id="rId21" w:history="1">
        <w:r w:rsidR="006C29A8" w:rsidRPr="006C29A8">
          <w:rPr>
            <w:rStyle w:val="Hyperlink"/>
            <w:rFonts w:hint="eastAsia"/>
            <w:sz w:val="22"/>
            <w:rtl/>
          </w:rPr>
          <w:t>ע</w:t>
        </w:r>
        <w:r w:rsidR="006C29A8" w:rsidRPr="006C29A8">
          <w:rPr>
            <w:rStyle w:val="Hyperlink"/>
            <w:sz w:val="22"/>
            <w:rtl/>
          </w:rPr>
          <w:t>.פ. 4596/98 פלונית נ' מדינת ישראל, פ"ד נד</w:t>
        </w:r>
      </w:hyperlink>
      <w:r>
        <w:rPr>
          <w:rFonts w:hint="cs"/>
          <w:sz w:val="22"/>
          <w:rtl/>
        </w:rPr>
        <w:t xml:space="preserve"> (1) 145, 165). בנוסף לכך, מובן שניתן למצוא ראייה מסייעת בדברי הנאשם עצמו וכן בהתנהגותו, לאחר מועד ביצוע העבירה. </w:t>
      </w:r>
    </w:p>
    <w:p w14:paraId="5823F1E3" w14:textId="77777777" w:rsidR="00BA4D16" w:rsidRDefault="006C29A8">
      <w:pPr>
        <w:spacing w:after="80" w:line="260" w:lineRule="exact"/>
        <w:ind w:firstLine="283"/>
        <w:rPr>
          <w:rFonts w:hint="cs"/>
          <w:sz w:val="22"/>
          <w:rtl/>
        </w:rPr>
      </w:pPr>
      <w:r>
        <w:rPr>
          <w:rFonts w:hint="cs"/>
          <w:sz w:val="22"/>
          <w:rtl/>
        </w:rPr>
        <w:t xml:space="preserve"> </w:t>
      </w:r>
    </w:p>
    <w:p w14:paraId="760382E7" w14:textId="77777777" w:rsidR="00BA4D16" w:rsidRDefault="00BA4D16">
      <w:pPr>
        <w:spacing w:after="80" w:line="260" w:lineRule="exact"/>
        <w:ind w:firstLine="283"/>
        <w:rPr>
          <w:rFonts w:hint="cs"/>
          <w:sz w:val="22"/>
          <w:rtl/>
        </w:rPr>
      </w:pPr>
      <w:r>
        <w:rPr>
          <w:rFonts w:hint="cs"/>
          <w:sz w:val="22"/>
          <w:rtl/>
        </w:rPr>
        <w:tab/>
        <w:t xml:space="preserve">עם זאת ברור, שמאחר ובית המשפט אינו יכול להתרשם באופן בלתי אמצעי מעדויות הקטינים עצמם, יש לבחון את העדויות, כפי שהן מובאות על ידי חוקר הילדים בזהירות מירבית. </w:t>
      </w:r>
    </w:p>
    <w:p w14:paraId="7FC1D844" w14:textId="77777777" w:rsidR="00BA4D16" w:rsidRDefault="006C29A8">
      <w:pPr>
        <w:spacing w:after="80" w:line="260" w:lineRule="exact"/>
        <w:ind w:firstLine="283"/>
        <w:rPr>
          <w:rFonts w:hint="cs"/>
          <w:sz w:val="22"/>
          <w:rtl/>
        </w:rPr>
      </w:pPr>
      <w:r>
        <w:rPr>
          <w:rFonts w:hint="cs"/>
          <w:sz w:val="22"/>
          <w:rtl/>
        </w:rPr>
        <w:t xml:space="preserve"> </w:t>
      </w:r>
    </w:p>
    <w:p w14:paraId="4A92AEC0" w14:textId="77777777" w:rsidR="00BA4D16" w:rsidRDefault="00BA4D16">
      <w:pPr>
        <w:spacing w:after="80" w:line="260" w:lineRule="exact"/>
        <w:ind w:firstLine="283"/>
        <w:rPr>
          <w:rFonts w:hint="cs"/>
          <w:sz w:val="22"/>
          <w:rtl/>
        </w:rPr>
      </w:pPr>
      <w:r>
        <w:rPr>
          <w:rFonts w:hint="cs"/>
          <w:sz w:val="22"/>
          <w:rtl/>
        </w:rPr>
        <w:t>4.</w:t>
      </w:r>
      <w:r>
        <w:rPr>
          <w:rFonts w:hint="cs"/>
          <w:sz w:val="22"/>
          <w:rtl/>
        </w:rPr>
        <w:tab/>
        <w:t xml:space="preserve">ניתן לחלק את האירועים הנטענים על ידי הקטינות או מי מהן לשני חלקים עיקריים: אירוע של חשיפה מחוץ לבית ומספר אירועים של חשיפה מתוך ביתו של הנאשם (חלון או מרפסת). </w:t>
      </w:r>
    </w:p>
    <w:p w14:paraId="7846D3F0" w14:textId="77777777" w:rsidR="00BA4D16" w:rsidRDefault="006C29A8">
      <w:pPr>
        <w:spacing w:after="80" w:line="260" w:lineRule="exact"/>
        <w:ind w:firstLine="283"/>
        <w:rPr>
          <w:rFonts w:hint="cs"/>
          <w:sz w:val="22"/>
          <w:rtl/>
        </w:rPr>
      </w:pPr>
      <w:r>
        <w:rPr>
          <w:rFonts w:hint="cs"/>
          <w:sz w:val="22"/>
          <w:rtl/>
        </w:rPr>
        <w:t xml:space="preserve"> </w:t>
      </w:r>
    </w:p>
    <w:p w14:paraId="503D965F" w14:textId="77777777" w:rsidR="00BA4D16" w:rsidRDefault="00BA4D16">
      <w:pPr>
        <w:spacing w:after="80" w:line="260" w:lineRule="exact"/>
        <w:ind w:firstLine="283"/>
        <w:rPr>
          <w:rFonts w:hint="cs"/>
          <w:sz w:val="22"/>
          <w:rtl/>
        </w:rPr>
      </w:pPr>
      <w:r>
        <w:rPr>
          <w:rFonts w:hint="cs"/>
          <w:sz w:val="22"/>
          <w:rtl/>
        </w:rPr>
        <w:tab/>
        <w:t>הקטינה ר.ע. סיפרה בחקירתה לחוקרת הילדים (ת/8), בנוגע לאירוע החשיפה שמחוץ לבית (שלו לא  היו שותפות הקטינות האחרות), כדלקמן:</w:t>
      </w:r>
    </w:p>
    <w:p w14:paraId="65BEA1D6" w14:textId="77777777" w:rsidR="00BA4D16" w:rsidRDefault="006C29A8">
      <w:pPr>
        <w:spacing w:after="80" w:line="260" w:lineRule="exact"/>
        <w:ind w:firstLine="283"/>
        <w:rPr>
          <w:rFonts w:hint="cs"/>
          <w:sz w:val="22"/>
          <w:rtl/>
        </w:rPr>
      </w:pPr>
      <w:r>
        <w:rPr>
          <w:rFonts w:hint="cs"/>
          <w:sz w:val="22"/>
          <w:rtl/>
        </w:rPr>
        <w:t xml:space="preserve"> </w:t>
      </w:r>
    </w:p>
    <w:p w14:paraId="5D537B16"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”ח. (חוקר).  כשהלכת למכולת? אז אני רוצה עכשיו שתחשבי טוב על </w:t>
      </w:r>
    </w:p>
    <w:p w14:paraId="66A5EDDB"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הפעם הזאתי שהלכת למכולת וספרי לי כל מה שקרה מהרגע שהלכת למכולת, הכל הכל. </w:t>
      </w:r>
    </w:p>
    <w:p w14:paraId="06A2D5DC" w14:textId="77777777" w:rsidR="00BA4D16" w:rsidRDefault="006C29A8">
      <w:pPr>
        <w:pStyle w:val="a4"/>
        <w:spacing w:after="80" w:line="260" w:lineRule="exact"/>
        <w:ind w:left="0" w:right="0" w:firstLine="283"/>
        <w:rPr>
          <w:rFonts w:hint="cs"/>
          <w:sz w:val="22"/>
          <w:szCs w:val="24"/>
          <w:rtl/>
        </w:rPr>
      </w:pPr>
      <w:r>
        <w:rPr>
          <w:rFonts w:hint="cs"/>
          <w:sz w:val="22"/>
          <w:szCs w:val="24"/>
          <w:rtl/>
        </w:rPr>
        <w:t xml:space="preserve"> </w:t>
      </w:r>
    </w:p>
    <w:p w14:paraId="2FF31098" w14:textId="77777777" w:rsidR="00BA4D16" w:rsidRDefault="00BA4D16">
      <w:pPr>
        <w:pStyle w:val="a4"/>
        <w:spacing w:after="80" w:line="260" w:lineRule="exact"/>
        <w:ind w:left="0" w:right="0" w:firstLine="283"/>
        <w:rPr>
          <w:rFonts w:hint="cs"/>
          <w:sz w:val="22"/>
          <w:szCs w:val="24"/>
          <w:rtl/>
        </w:rPr>
      </w:pPr>
      <w:r>
        <w:rPr>
          <w:rFonts w:hint="cs"/>
          <w:sz w:val="22"/>
          <w:szCs w:val="24"/>
          <w:rtl/>
        </w:rPr>
        <w:tab/>
        <w:t xml:space="preserve"> י. (ילדה).      הוא השמיע קול חזק... והוא ישר הוריד את המכנסיים... </w:t>
      </w:r>
    </w:p>
    <w:p w14:paraId="1AD06F7D" w14:textId="77777777" w:rsidR="00BA4D16" w:rsidRDefault="00BA4D16">
      <w:pPr>
        <w:pStyle w:val="a4"/>
        <w:spacing w:after="80" w:line="260" w:lineRule="exact"/>
        <w:ind w:left="0" w:right="0" w:firstLine="283"/>
        <w:rPr>
          <w:rFonts w:hint="cs"/>
          <w:bCs w:val="0"/>
          <w:sz w:val="22"/>
          <w:szCs w:val="24"/>
          <w:rtl/>
        </w:rPr>
      </w:pPr>
      <w:r>
        <w:rPr>
          <w:rFonts w:hint="cs"/>
          <w:sz w:val="22"/>
          <w:szCs w:val="24"/>
          <w:rtl/>
        </w:rPr>
        <w:t xml:space="preserve">הסתובבתי וראיתי שהוא מוריד את המכנסיים שלו... הוא השתין. הוא לא הלך לצד... כאילו הוא היה באמצע זה והוא הלך והשתין" </w:t>
      </w:r>
      <w:r>
        <w:rPr>
          <w:rFonts w:hint="cs"/>
          <w:bCs w:val="0"/>
          <w:sz w:val="22"/>
          <w:szCs w:val="24"/>
          <w:rtl/>
        </w:rPr>
        <w:t xml:space="preserve">(שורות 153 – 169). </w:t>
      </w:r>
    </w:p>
    <w:p w14:paraId="4951C0D6" w14:textId="77777777" w:rsidR="00BA4D16" w:rsidRDefault="006C29A8">
      <w:pPr>
        <w:pStyle w:val="a4"/>
        <w:spacing w:after="80" w:line="260" w:lineRule="exact"/>
        <w:ind w:left="0" w:right="0" w:firstLine="283"/>
        <w:rPr>
          <w:rFonts w:hint="cs"/>
          <w:bCs w:val="0"/>
          <w:sz w:val="22"/>
          <w:szCs w:val="24"/>
          <w:rtl/>
        </w:rPr>
      </w:pPr>
      <w:r>
        <w:rPr>
          <w:rFonts w:hint="cs"/>
          <w:bCs w:val="0"/>
          <w:sz w:val="22"/>
          <w:szCs w:val="24"/>
          <w:rtl/>
        </w:rPr>
        <w:lastRenderedPageBreak/>
        <w:t xml:space="preserve"> </w:t>
      </w:r>
    </w:p>
    <w:p w14:paraId="605FB4F2" w14:textId="77777777" w:rsidR="00BA4D16" w:rsidRDefault="00BA4D16">
      <w:pPr>
        <w:spacing w:after="80" w:line="260" w:lineRule="exact"/>
        <w:ind w:firstLine="283"/>
        <w:rPr>
          <w:rFonts w:hint="cs"/>
          <w:sz w:val="22"/>
          <w:rtl/>
        </w:rPr>
      </w:pPr>
      <w:r>
        <w:rPr>
          <w:rFonts w:hint="cs"/>
          <w:sz w:val="22"/>
          <w:rtl/>
        </w:rPr>
        <w:tab/>
        <w:t xml:space="preserve">וכן: </w:t>
      </w:r>
    </w:p>
    <w:p w14:paraId="52AD94A2" w14:textId="77777777" w:rsidR="00BA4D16" w:rsidRDefault="00BA4D16">
      <w:pPr>
        <w:pStyle w:val="a4"/>
        <w:spacing w:after="80" w:line="260" w:lineRule="exact"/>
        <w:ind w:left="0" w:right="0" w:firstLine="283"/>
        <w:rPr>
          <w:rFonts w:hint="cs"/>
          <w:bCs w:val="0"/>
          <w:sz w:val="22"/>
          <w:szCs w:val="24"/>
          <w:rtl/>
        </w:rPr>
      </w:pPr>
      <w:r>
        <w:rPr>
          <w:rFonts w:hint="cs"/>
          <w:sz w:val="22"/>
          <w:szCs w:val="24"/>
          <w:rtl/>
        </w:rPr>
        <w:t>”</w:t>
      </w:r>
      <w:r>
        <w:rPr>
          <w:rFonts w:hint="cs"/>
          <w:b/>
          <w:sz w:val="22"/>
          <w:szCs w:val="24"/>
          <w:rtl/>
        </w:rPr>
        <w:t>י.</w:t>
      </w:r>
      <w:r>
        <w:rPr>
          <w:rFonts w:hint="cs"/>
          <w:b/>
          <w:sz w:val="22"/>
          <w:szCs w:val="24"/>
          <w:rtl/>
        </w:rPr>
        <w:tab/>
        <w:t xml:space="preserve">כשהלכתי למכולת... הוא לא הלך לצד אלא עשה את זה, הוא הלך לאמצע, לאמצע איך קוראים לזה? המעבר, והוא הוא עשה... השתין. וראיתי את זה... ראיתי את איבר המין שלו..." </w:t>
      </w:r>
      <w:r>
        <w:rPr>
          <w:rFonts w:hint="cs"/>
          <w:bCs w:val="0"/>
          <w:sz w:val="22"/>
          <w:szCs w:val="24"/>
          <w:rtl/>
        </w:rPr>
        <w:t xml:space="preserve">(שורות  480 – 487). </w:t>
      </w:r>
    </w:p>
    <w:p w14:paraId="682BFA31" w14:textId="77777777" w:rsidR="00BA4D16" w:rsidRDefault="006C29A8">
      <w:pPr>
        <w:spacing w:after="80" w:line="260" w:lineRule="exact"/>
        <w:ind w:firstLine="283"/>
        <w:rPr>
          <w:rFonts w:hint="cs"/>
          <w:sz w:val="22"/>
          <w:rtl/>
        </w:rPr>
      </w:pPr>
      <w:r>
        <w:rPr>
          <w:rFonts w:hint="cs"/>
          <w:sz w:val="22"/>
          <w:rtl/>
        </w:rPr>
        <w:t xml:space="preserve"> </w:t>
      </w:r>
    </w:p>
    <w:p w14:paraId="7A2A26DA" w14:textId="77777777" w:rsidR="00BA4D16" w:rsidRDefault="00BA4D16">
      <w:pPr>
        <w:spacing w:after="80" w:line="260" w:lineRule="exact"/>
        <w:ind w:firstLine="283"/>
        <w:rPr>
          <w:rFonts w:hint="cs"/>
          <w:sz w:val="22"/>
          <w:rtl/>
        </w:rPr>
      </w:pPr>
      <w:r>
        <w:rPr>
          <w:rFonts w:hint="cs"/>
          <w:sz w:val="22"/>
          <w:rtl/>
        </w:rPr>
        <w:tab/>
        <w:t>חוקרת הילדים רשמה בת/5, כי מדובר בילדה כבת 7, מפותחת לגילה, אשר שיתפה עמה פעולה באופן מלא. החוקרת התרשמה, כי הילדה נחשפה לחשיפה מינית ואף הצליחה להבדיל בין האירוע "</w:t>
      </w:r>
      <w:r>
        <w:rPr>
          <w:sz w:val="22"/>
        </w:rPr>
        <w:t>ב</w:t>
      </w:r>
      <w:r>
        <w:rPr>
          <w:rFonts w:hint="cs"/>
          <w:sz w:val="22"/>
          <w:rtl/>
        </w:rPr>
        <w:t xml:space="preserve">אמצע המעבר" לבין החשיפה במרפסת. </w:t>
      </w:r>
    </w:p>
    <w:p w14:paraId="3E217F78" w14:textId="77777777" w:rsidR="00BA4D16" w:rsidRDefault="006C29A8">
      <w:pPr>
        <w:spacing w:after="80" w:line="260" w:lineRule="exact"/>
        <w:ind w:firstLine="283"/>
        <w:rPr>
          <w:rFonts w:hint="cs"/>
          <w:sz w:val="22"/>
          <w:rtl/>
        </w:rPr>
      </w:pPr>
      <w:r>
        <w:rPr>
          <w:rFonts w:hint="cs"/>
          <w:sz w:val="22"/>
          <w:rtl/>
        </w:rPr>
        <w:t xml:space="preserve"> </w:t>
      </w:r>
    </w:p>
    <w:p w14:paraId="2623E541" w14:textId="77777777" w:rsidR="00BA4D16" w:rsidRDefault="00BA4D16">
      <w:pPr>
        <w:spacing w:after="80" w:line="260" w:lineRule="exact"/>
        <w:ind w:firstLine="283"/>
        <w:rPr>
          <w:rFonts w:hint="cs"/>
          <w:sz w:val="22"/>
          <w:rtl/>
        </w:rPr>
      </w:pPr>
      <w:r>
        <w:rPr>
          <w:rFonts w:hint="cs"/>
          <w:sz w:val="22"/>
          <w:rtl/>
        </w:rPr>
        <w:tab/>
        <w:t xml:space="preserve">בחקירתה הנגדית בבית המשפט ציינה חוקרת הילדים, בתשובה לשאלה האם הצליחה לעשות הפרדה בין האירועים, כי לפחות באירוע אחד, האירוע הנ"ל בדרך למכולת, הצליחה להפריד קטע זה בעדותה של הקטינה, ולהבין ממנה שהנאשם השתין "שלא במקום פרטי וצנוע", אלא במעבר (עמ' 43 לפרוטוקול). </w:t>
      </w:r>
    </w:p>
    <w:p w14:paraId="4A1EAD1A" w14:textId="77777777" w:rsidR="00BA4D16" w:rsidRDefault="006C29A8">
      <w:pPr>
        <w:spacing w:after="80" w:line="260" w:lineRule="exact"/>
        <w:ind w:firstLine="283"/>
        <w:rPr>
          <w:rFonts w:hint="cs"/>
          <w:sz w:val="22"/>
          <w:rtl/>
        </w:rPr>
      </w:pPr>
      <w:r>
        <w:rPr>
          <w:rFonts w:hint="cs"/>
          <w:sz w:val="22"/>
          <w:rtl/>
        </w:rPr>
        <w:t xml:space="preserve"> </w:t>
      </w:r>
    </w:p>
    <w:p w14:paraId="15E3AB05" w14:textId="77777777" w:rsidR="00BA4D16" w:rsidRDefault="00BA4D16">
      <w:pPr>
        <w:spacing w:after="80" w:line="260" w:lineRule="exact"/>
        <w:ind w:firstLine="283"/>
        <w:rPr>
          <w:rFonts w:hint="cs"/>
          <w:sz w:val="22"/>
          <w:rtl/>
        </w:rPr>
      </w:pPr>
      <w:r>
        <w:rPr>
          <w:rFonts w:hint="cs"/>
          <w:sz w:val="22"/>
          <w:rtl/>
        </w:rPr>
        <w:tab/>
        <w:t xml:space="preserve">התרשמותי היא, לפחות באשר לאירוע זה, כי עדות הקטינה אמינה ומתקבלת על הדעת ואין בשמיעת הקלטת ובשמיעת התרשמותה של חוקרת הילדים, כמו גם בתמיהות שניסה הסנגור להעלות, כדי לערער זאת. </w:t>
      </w:r>
    </w:p>
    <w:p w14:paraId="5A2499DC" w14:textId="77777777" w:rsidR="00BA4D16" w:rsidRDefault="006C29A8">
      <w:pPr>
        <w:spacing w:after="80" w:line="260" w:lineRule="exact"/>
        <w:ind w:firstLine="283"/>
        <w:rPr>
          <w:rFonts w:hint="cs"/>
          <w:sz w:val="22"/>
          <w:rtl/>
        </w:rPr>
      </w:pPr>
      <w:r>
        <w:rPr>
          <w:rFonts w:hint="cs"/>
          <w:sz w:val="22"/>
          <w:rtl/>
        </w:rPr>
        <w:t xml:space="preserve"> </w:t>
      </w:r>
    </w:p>
    <w:p w14:paraId="492F6BDB" w14:textId="77777777" w:rsidR="00BA4D16" w:rsidRDefault="00BA4D16">
      <w:pPr>
        <w:spacing w:after="80" w:line="260" w:lineRule="exact"/>
        <w:ind w:firstLine="283"/>
        <w:rPr>
          <w:rFonts w:hint="cs"/>
          <w:sz w:val="22"/>
          <w:rtl/>
        </w:rPr>
      </w:pPr>
      <w:r>
        <w:rPr>
          <w:rFonts w:hint="cs"/>
          <w:sz w:val="22"/>
          <w:rtl/>
        </w:rPr>
        <w:tab/>
        <w:t xml:space="preserve">סיוע לכך ניתן למצוא בעדותה של האם, נ.ע.; זו סיפרה בבית המשפט כי בסביבות חודש אוקטובר 1999, הגיעה בתה, ר.ע., נסערת הביתה, וסיפרה לה כי ראתה אדם שהשתין מולה ועשה תנועות משונות; הילדה ידעה לומר במי מדובר (עמ' 32 לפרוטוקול). מסתבר, כי בעקבות דברים אלו של הילדה, ולאחר לבטים וחששות, ניגשה האם לתחנת המשטרה ביום 11.11.99 והתלוננה במשטרה; בהודעתה רשום סיפור דומה (צילום הודעת האם צורף לבקשה להוספת ראיה, אשר הוגשה ביחד עם סיכומי הסנגור; אני נעתר לבקשה ומסמן מסמך זה כנ/3; אין בעובדה שבהודעה לא נרשם מפי האם כי בתה הגיעה נסערת הביתה, אלא רק התיאור העובדתי של מה שסיפרה הילדה, כדי לערער את עיקר הדברים). </w:t>
      </w:r>
    </w:p>
    <w:p w14:paraId="3B498FB8" w14:textId="77777777" w:rsidR="00BA4D16" w:rsidRDefault="006C29A8">
      <w:pPr>
        <w:spacing w:after="80" w:line="260" w:lineRule="exact"/>
        <w:ind w:firstLine="283"/>
        <w:rPr>
          <w:rFonts w:hint="cs"/>
          <w:sz w:val="22"/>
          <w:rtl/>
        </w:rPr>
      </w:pPr>
      <w:r>
        <w:rPr>
          <w:rFonts w:hint="cs"/>
          <w:sz w:val="22"/>
          <w:rtl/>
        </w:rPr>
        <w:t xml:space="preserve"> </w:t>
      </w:r>
    </w:p>
    <w:p w14:paraId="101B538C" w14:textId="77777777" w:rsidR="00BA4D16" w:rsidRDefault="00BA4D16">
      <w:pPr>
        <w:spacing w:after="80" w:line="260" w:lineRule="exact"/>
        <w:ind w:firstLine="283"/>
        <w:rPr>
          <w:rFonts w:hint="cs"/>
          <w:sz w:val="22"/>
          <w:rtl/>
        </w:rPr>
      </w:pPr>
      <w:r>
        <w:rPr>
          <w:rFonts w:hint="cs"/>
          <w:sz w:val="22"/>
          <w:rtl/>
        </w:rPr>
        <w:tab/>
        <w:t>סיוע מסוים נוסף ניתן למצוא בדברי הנאשם עצמו. בחקירתו במשטרה ביום 12.12.99 (ת/1) מספר הנאשם, כי שלושה שבועות קודם לכן חזר מעבודתו והלך לעשות קניות; ליד בית הספר הוא נכנס בין העצים כדי להשתין ושתי בנות הלכו אחריו וראו אותו עושה זאת, ואילו הוא אפילו אמר להן ללכת מהמקום (עמ' 1, ש' 10 – 15).</w:t>
      </w:r>
      <w:r>
        <w:rPr>
          <w:color w:val="FFFFFF"/>
          <w:sz w:val="4"/>
          <w:szCs w:val="4"/>
          <w:rtl/>
        </w:rPr>
        <w:t>נ</w:t>
      </w:r>
    </w:p>
    <w:p w14:paraId="0360E333" w14:textId="77777777" w:rsidR="00BA4D16" w:rsidRDefault="006C29A8">
      <w:pPr>
        <w:spacing w:after="80" w:line="260" w:lineRule="exact"/>
        <w:ind w:firstLine="283"/>
        <w:rPr>
          <w:rFonts w:hint="cs"/>
          <w:sz w:val="22"/>
          <w:rtl/>
        </w:rPr>
      </w:pPr>
      <w:r>
        <w:rPr>
          <w:rFonts w:hint="cs"/>
          <w:sz w:val="22"/>
          <w:rtl/>
        </w:rPr>
        <w:t xml:space="preserve"> </w:t>
      </w:r>
    </w:p>
    <w:p w14:paraId="36F8DDFD" w14:textId="77777777" w:rsidR="00BA4D16" w:rsidRDefault="00BA4D16">
      <w:pPr>
        <w:spacing w:after="80" w:line="260" w:lineRule="exact"/>
        <w:ind w:firstLine="283"/>
        <w:rPr>
          <w:rFonts w:hint="cs"/>
          <w:sz w:val="22"/>
          <w:rtl/>
        </w:rPr>
      </w:pPr>
      <w:r>
        <w:rPr>
          <w:rFonts w:hint="cs"/>
          <w:sz w:val="22"/>
          <w:rtl/>
        </w:rPr>
        <w:tab/>
        <w:t xml:space="preserve">בחקירה נוספת מייד לאחר מכן (ת/2), שנערכה לאחר שהמשטרה חקרה גם את אישתו של הנאשם, נשאל הנאשם שוב, על רקע תשובתו הקודמת שהאירוע קרה שעה שחזר מהעבודה, האם בתקופה הרלוונטית אכן הלך כל יום לעבודתו בצבא, והנאשם השיב על כך בחיוב (עמ' 1, ש' 6 – 8).  לאחר שהוטח בפניו שאישתו מסרה בעדותה, שבמהלך החודשים האחרונים לא הלך כלל לעבודתו, שינה הנאשם את גירסתו ואמר, כי יש לו "בעיות בעבודה", אך הלך לעבודה וחזר כל יום בשעות הערב (שם, ש' 15 – 16).  החוקר הוסיף והיקשה ושאל האם אישתו משקרת, ואז אמר הנאשם כי היא לא משקרת וכי הוא לא הלך לעבודה בחודשים האחרונים, מאמצע החודש העשירי בערך, למעט "יום פה יום שם" (שם, ש' 18 – 22). </w:t>
      </w:r>
    </w:p>
    <w:p w14:paraId="0469112D" w14:textId="77777777" w:rsidR="00BA4D16" w:rsidRDefault="00BA4D16">
      <w:pPr>
        <w:spacing w:after="80" w:line="260" w:lineRule="exact"/>
        <w:ind w:firstLine="283"/>
        <w:rPr>
          <w:rFonts w:hint="cs"/>
          <w:sz w:val="22"/>
          <w:rtl/>
        </w:rPr>
      </w:pPr>
      <w:r>
        <w:rPr>
          <w:rFonts w:hint="cs"/>
          <w:sz w:val="22"/>
          <w:rtl/>
        </w:rPr>
        <w:br w:type="page"/>
      </w:r>
      <w:r w:rsidR="006C29A8">
        <w:rPr>
          <w:rFonts w:hint="cs"/>
          <w:sz w:val="22"/>
          <w:rtl/>
        </w:rPr>
        <w:t xml:space="preserve"> </w:t>
      </w:r>
    </w:p>
    <w:p w14:paraId="4DC48BCB" w14:textId="77777777" w:rsidR="00BA4D16" w:rsidRDefault="00BA4D16">
      <w:pPr>
        <w:spacing w:after="80" w:line="260" w:lineRule="exact"/>
        <w:ind w:firstLine="283"/>
        <w:rPr>
          <w:rFonts w:hint="cs"/>
          <w:sz w:val="22"/>
          <w:rtl/>
        </w:rPr>
      </w:pPr>
      <w:r>
        <w:rPr>
          <w:rFonts w:hint="cs"/>
          <w:sz w:val="22"/>
          <w:rtl/>
        </w:rPr>
        <w:t>5.</w:t>
      </w:r>
      <w:r>
        <w:rPr>
          <w:rFonts w:hint="cs"/>
          <w:sz w:val="22"/>
          <w:rtl/>
        </w:rPr>
        <w:tab/>
        <w:t xml:space="preserve">ניתן, על כן, לקבוע כי הנאשם, כגירסת ר.ע., חשף את איבר מינו שלא במקום מוצנע, אלא באמצע המעבר והטיל את מימיו בפניה. גירסתה מקבלת סיוע בעצם הלך נפשה לאחר האירוע, כמתואר על ידי האם, בחלק מדברי הנאשם עצמו ובשקריו, ובמידה מסוימת  גם בעדויות הקטינות האחרות באשר לאירועים אחרים. די במשקל המצטבר של כל אלה, כדי להקים את התשתית הראייתית המספיקה. </w:t>
      </w:r>
    </w:p>
    <w:p w14:paraId="0833B72D" w14:textId="77777777" w:rsidR="00BA4D16" w:rsidRDefault="006C29A8">
      <w:pPr>
        <w:spacing w:after="80" w:line="260" w:lineRule="exact"/>
        <w:ind w:firstLine="283"/>
        <w:rPr>
          <w:rFonts w:hint="cs"/>
          <w:sz w:val="22"/>
          <w:rtl/>
        </w:rPr>
      </w:pPr>
      <w:r>
        <w:rPr>
          <w:rFonts w:hint="cs"/>
          <w:sz w:val="22"/>
          <w:rtl/>
        </w:rPr>
        <w:t xml:space="preserve"> </w:t>
      </w:r>
    </w:p>
    <w:p w14:paraId="4306F750" w14:textId="77777777" w:rsidR="00BA4D16" w:rsidRDefault="00BA4D16">
      <w:pPr>
        <w:spacing w:after="80" w:line="260" w:lineRule="exact"/>
        <w:ind w:firstLine="283"/>
        <w:rPr>
          <w:rFonts w:hint="cs"/>
          <w:sz w:val="22"/>
          <w:rtl/>
        </w:rPr>
      </w:pPr>
      <w:r>
        <w:rPr>
          <w:rFonts w:hint="cs"/>
          <w:sz w:val="22"/>
          <w:rtl/>
        </w:rPr>
        <w:t>6.</w:t>
      </w:r>
      <w:r>
        <w:rPr>
          <w:rFonts w:hint="cs"/>
          <w:sz w:val="22"/>
          <w:rtl/>
        </w:rPr>
        <w:tab/>
        <w:t xml:space="preserve">כאמור, החלק השני של עדויות הקטינות נוגע במספר אירועים שבהם הוציא, כביכול, הנאשם את איבר מינו שעה שעמד במרפסת ביתו. </w:t>
      </w:r>
    </w:p>
    <w:p w14:paraId="7D4A9A37" w14:textId="77777777" w:rsidR="00BA4D16" w:rsidRDefault="006C29A8">
      <w:pPr>
        <w:spacing w:after="80" w:line="260" w:lineRule="exact"/>
        <w:ind w:firstLine="283"/>
        <w:rPr>
          <w:rFonts w:hint="cs"/>
          <w:sz w:val="22"/>
          <w:rtl/>
        </w:rPr>
      </w:pPr>
      <w:r>
        <w:rPr>
          <w:rFonts w:hint="cs"/>
          <w:sz w:val="22"/>
          <w:rtl/>
        </w:rPr>
        <w:t xml:space="preserve"> </w:t>
      </w:r>
    </w:p>
    <w:p w14:paraId="320B2E3C" w14:textId="77777777" w:rsidR="00BA4D16" w:rsidRDefault="00BA4D16">
      <w:pPr>
        <w:spacing w:after="80" w:line="260" w:lineRule="exact"/>
        <w:ind w:firstLine="283"/>
        <w:rPr>
          <w:rFonts w:hint="cs"/>
          <w:sz w:val="22"/>
          <w:rtl/>
        </w:rPr>
      </w:pPr>
      <w:r>
        <w:rPr>
          <w:rFonts w:hint="cs"/>
          <w:sz w:val="22"/>
          <w:rtl/>
        </w:rPr>
        <w:tab/>
        <w:t xml:space="preserve">ר.ע. (בת/8 הנ"ל), מייד בתחילת חקירתה מפרידה בין אירוע "המכולת" לבין אירוע של חשיפת איבר מין מן המרפסת "בין הבגדים" (שורות 108 – 118). בהמשך, מוסרת הקטינה תיאור מפורט בנוגע לדרך החשיפה במרפסת (שורות 275 -  305). </w:t>
      </w:r>
    </w:p>
    <w:p w14:paraId="71F9902E" w14:textId="77777777" w:rsidR="00BA4D16" w:rsidRDefault="006C29A8">
      <w:pPr>
        <w:spacing w:after="80" w:line="260" w:lineRule="exact"/>
        <w:ind w:firstLine="283"/>
        <w:rPr>
          <w:rFonts w:hint="cs"/>
          <w:sz w:val="22"/>
          <w:rtl/>
        </w:rPr>
      </w:pPr>
      <w:r>
        <w:rPr>
          <w:rFonts w:hint="cs"/>
          <w:sz w:val="22"/>
          <w:rtl/>
        </w:rPr>
        <w:t xml:space="preserve"> </w:t>
      </w:r>
    </w:p>
    <w:p w14:paraId="0E1D337E" w14:textId="77777777" w:rsidR="00BA4D16" w:rsidRDefault="00BA4D16">
      <w:pPr>
        <w:spacing w:after="80" w:line="260" w:lineRule="exact"/>
        <w:ind w:firstLine="283"/>
        <w:rPr>
          <w:rFonts w:hint="cs"/>
          <w:sz w:val="22"/>
          <w:rtl/>
        </w:rPr>
      </w:pPr>
      <w:r>
        <w:rPr>
          <w:rFonts w:hint="cs"/>
          <w:sz w:val="22"/>
          <w:rtl/>
        </w:rPr>
        <w:tab/>
        <w:t xml:space="preserve">כאמור, חוקרת הילדים התרשמה (ת/5), כי הילדה השתמשה בתיאורים אותנטיים כדי לתאר את חשיפת איבר המין במרפסת, לרבות המיקום המדוייק והפרטים במקום. המוטיב החוזר של הקולות שהשמיע הנאשם, מחזק את התרשמות החוקרת כי הקטינה שמעה זאת. </w:t>
      </w:r>
    </w:p>
    <w:p w14:paraId="114D2924" w14:textId="77777777" w:rsidR="00BA4D16" w:rsidRDefault="006C29A8">
      <w:pPr>
        <w:spacing w:after="80" w:line="260" w:lineRule="exact"/>
        <w:ind w:firstLine="283"/>
        <w:rPr>
          <w:rFonts w:hint="cs"/>
          <w:sz w:val="22"/>
          <w:rtl/>
        </w:rPr>
      </w:pPr>
      <w:r>
        <w:rPr>
          <w:rFonts w:hint="cs"/>
          <w:sz w:val="22"/>
          <w:rtl/>
        </w:rPr>
        <w:t xml:space="preserve"> </w:t>
      </w:r>
    </w:p>
    <w:p w14:paraId="582FFEAD" w14:textId="77777777" w:rsidR="00BA4D16" w:rsidRDefault="00BA4D16">
      <w:pPr>
        <w:spacing w:after="80" w:line="260" w:lineRule="exact"/>
        <w:ind w:firstLine="283"/>
        <w:rPr>
          <w:rFonts w:hint="cs"/>
          <w:sz w:val="22"/>
          <w:rtl/>
        </w:rPr>
      </w:pPr>
      <w:r>
        <w:rPr>
          <w:rFonts w:hint="cs"/>
          <w:sz w:val="22"/>
          <w:rtl/>
        </w:rPr>
        <w:tab/>
        <w:t xml:space="preserve">ח.ע., אחותה של ר.ע. מסרה לחוקרת הילדים, במכלול הדברים והתיאורים, כי ראתה את הנאשם מחלון החדר כשהוא ערום ומתנגב במגבת ועומד על המיטה. היא לא ראתה אמנם את החלק התחתון של הגוף, הואיל והחלון הסתיר זאת (שורות 237 – 240). מאוחר יותר, מאחר והמיטה צמודה לחלון, היא הבחינה באיבר המין של הנאשם כאשר עלה על המיטה (שורות 311 – 317). לדבריה, היא "רואה הרבה פעמים" גם כאשר היא עוברת במקום לבד והנאשם נמצא במרפסת (עמ' 462 – 465). </w:t>
      </w:r>
    </w:p>
    <w:p w14:paraId="444A2051" w14:textId="77777777" w:rsidR="00BA4D16" w:rsidRDefault="006C29A8">
      <w:pPr>
        <w:spacing w:after="80" w:line="260" w:lineRule="exact"/>
        <w:ind w:firstLine="283"/>
        <w:rPr>
          <w:rFonts w:hint="cs"/>
          <w:sz w:val="22"/>
          <w:rtl/>
        </w:rPr>
      </w:pPr>
      <w:r>
        <w:rPr>
          <w:rFonts w:hint="cs"/>
          <w:sz w:val="22"/>
          <w:rtl/>
        </w:rPr>
        <w:t xml:space="preserve"> </w:t>
      </w:r>
    </w:p>
    <w:p w14:paraId="6AC6ABB9" w14:textId="77777777" w:rsidR="00BA4D16" w:rsidRDefault="00BA4D16">
      <w:pPr>
        <w:spacing w:after="80" w:line="260" w:lineRule="exact"/>
        <w:ind w:firstLine="283"/>
        <w:rPr>
          <w:rFonts w:hint="cs"/>
          <w:sz w:val="22"/>
          <w:rtl/>
        </w:rPr>
      </w:pPr>
      <w:r>
        <w:rPr>
          <w:rFonts w:hint="cs"/>
          <w:sz w:val="22"/>
          <w:rtl/>
        </w:rPr>
        <w:tab/>
        <w:t xml:space="preserve">גירסה זו, של ח.ע., בעייתית בעיניי; עיקר העדות מתייחס לאירוע "החלון" ולא השתכנעתי במידת הוודאות המספקת, כי הקטינה אכן הצליחה להבחין ממש באיבר מינו של הנאשם דרך חלון חדר השינה, שבוודאי איננו בעל מיפתח כשל מרפסת (ראו נ/1). </w:t>
      </w:r>
    </w:p>
    <w:p w14:paraId="62B6D26A" w14:textId="77777777" w:rsidR="00BA4D16" w:rsidRDefault="006C29A8">
      <w:pPr>
        <w:spacing w:after="80" w:line="260" w:lineRule="exact"/>
        <w:ind w:firstLine="283"/>
        <w:rPr>
          <w:rFonts w:hint="cs"/>
          <w:sz w:val="22"/>
          <w:rtl/>
        </w:rPr>
      </w:pPr>
      <w:r>
        <w:rPr>
          <w:rFonts w:hint="cs"/>
          <w:sz w:val="22"/>
          <w:rtl/>
        </w:rPr>
        <w:t xml:space="preserve"> </w:t>
      </w:r>
    </w:p>
    <w:p w14:paraId="1AB3103D" w14:textId="77777777" w:rsidR="00BA4D16" w:rsidRDefault="00BA4D16">
      <w:pPr>
        <w:spacing w:after="80" w:line="260" w:lineRule="exact"/>
        <w:ind w:firstLine="283"/>
        <w:rPr>
          <w:rFonts w:hint="cs"/>
          <w:sz w:val="22"/>
          <w:rtl/>
        </w:rPr>
      </w:pPr>
      <w:r>
        <w:rPr>
          <w:rFonts w:hint="cs"/>
          <w:sz w:val="22"/>
          <w:rtl/>
        </w:rPr>
        <w:tab/>
        <w:t xml:space="preserve">עדותה חסרה גם סיוע ברמה מספקת. </w:t>
      </w:r>
    </w:p>
    <w:p w14:paraId="6282C4EE" w14:textId="77777777" w:rsidR="00BA4D16" w:rsidRDefault="006C29A8">
      <w:pPr>
        <w:spacing w:after="80" w:line="260" w:lineRule="exact"/>
        <w:ind w:firstLine="283"/>
        <w:rPr>
          <w:rFonts w:hint="cs"/>
          <w:sz w:val="22"/>
          <w:rtl/>
        </w:rPr>
      </w:pPr>
      <w:r>
        <w:rPr>
          <w:rFonts w:hint="cs"/>
          <w:sz w:val="22"/>
          <w:rtl/>
        </w:rPr>
        <w:t xml:space="preserve"> </w:t>
      </w:r>
    </w:p>
    <w:p w14:paraId="4DC9D752" w14:textId="77777777" w:rsidR="00BA4D16" w:rsidRDefault="00BA4D16">
      <w:pPr>
        <w:spacing w:after="80" w:line="260" w:lineRule="exact"/>
        <w:ind w:firstLine="283"/>
        <w:rPr>
          <w:rFonts w:hint="cs"/>
          <w:sz w:val="22"/>
          <w:rtl/>
        </w:rPr>
      </w:pPr>
      <w:r>
        <w:rPr>
          <w:rFonts w:hint="cs"/>
          <w:sz w:val="22"/>
          <w:rtl/>
        </w:rPr>
        <w:t>7.</w:t>
      </w:r>
      <w:r>
        <w:rPr>
          <w:rFonts w:hint="cs"/>
          <w:sz w:val="22"/>
          <w:rtl/>
        </w:rPr>
        <w:tab/>
        <w:t xml:space="preserve">הקטינה ל.ג. מספרת לחוקרת הילדים (ת/10), כי מספר פעמים ראתה את הנאשם מוציא את איבר מינו דרך "גדר המרפסת" שלו (עמ' 5 – 8). בהמשך החקירה חזרה הקטינה שוב ושוב על גירסתה וענתה על כל שאלות חוקרת הילדים. </w:t>
      </w:r>
    </w:p>
    <w:p w14:paraId="53563E1A" w14:textId="77777777" w:rsidR="00BA4D16" w:rsidRDefault="006C29A8">
      <w:pPr>
        <w:spacing w:after="80" w:line="260" w:lineRule="exact"/>
        <w:ind w:firstLine="283"/>
        <w:rPr>
          <w:rFonts w:hint="cs"/>
          <w:sz w:val="22"/>
          <w:rtl/>
        </w:rPr>
      </w:pPr>
      <w:r>
        <w:rPr>
          <w:rFonts w:hint="cs"/>
          <w:sz w:val="22"/>
          <w:rtl/>
        </w:rPr>
        <w:t xml:space="preserve"> </w:t>
      </w:r>
    </w:p>
    <w:p w14:paraId="2E995911" w14:textId="77777777" w:rsidR="00BA4D16" w:rsidRDefault="00BA4D16">
      <w:pPr>
        <w:spacing w:after="80" w:line="260" w:lineRule="exact"/>
        <w:ind w:firstLine="283"/>
        <w:rPr>
          <w:rFonts w:hint="cs"/>
          <w:sz w:val="22"/>
          <w:rtl/>
        </w:rPr>
      </w:pPr>
      <w:r>
        <w:rPr>
          <w:rFonts w:hint="cs"/>
          <w:sz w:val="22"/>
          <w:rtl/>
        </w:rPr>
        <w:tab/>
        <w:t xml:space="preserve">החוקרת ציינה בטופס ההתרשמות (ת/7), כי מדובר בילדה כבת 11, מפותחת לגילה, ביישנית, אשר שיתפה פעולה ולא היה צורך לדובבה. להערכת החוקרת, מדובר בילדה אשר חוותה את האירועים והיתה עדה לאירועים אלו מספר פעמים, שאודותיהן אף דיווחה לאמה. הילדה מסרה בעדותה זמן, מקום ותיאור מפורט של האירוע וניכר, כי הילדה מצויה בחרדה וחוששת לשוב ולעבור באותה דרך. </w:t>
      </w:r>
    </w:p>
    <w:p w14:paraId="4BFAB10D" w14:textId="77777777" w:rsidR="00BA4D16" w:rsidRDefault="006C29A8">
      <w:pPr>
        <w:spacing w:after="80" w:line="260" w:lineRule="exact"/>
        <w:ind w:firstLine="283"/>
        <w:rPr>
          <w:rFonts w:hint="cs"/>
          <w:sz w:val="22"/>
          <w:rtl/>
        </w:rPr>
      </w:pPr>
      <w:r>
        <w:rPr>
          <w:rFonts w:hint="cs"/>
          <w:sz w:val="22"/>
          <w:rtl/>
        </w:rPr>
        <w:t xml:space="preserve"> </w:t>
      </w:r>
    </w:p>
    <w:p w14:paraId="6B670B53" w14:textId="77777777" w:rsidR="00BA4D16" w:rsidRDefault="00BA4D16">
      <w:pPr>
        <w:spacing w:after="80" w:line="260" w:lineRule="exact"/>
        <w:ind w:firstLine="283"/>
        <w:rPr>
          <w:rFonts w:hint="cs"/>
          <w:sz w:val="22"/>
          <w:rtl/>
        </w:rPr>
      </w:pPr>
      <w:r>
        <w:rPr>
          <w:rFonts w:hint="cs"/>
          <w:sz w:val="22"/>
          <w:rtl/>
        </w:rPr>
        <w:tab/>
        <w:t xml:space="preserve">עיון בעדות, שמיעת הקלטת ובחינת עדותה של חוקרת הילדים, יוצרים תמונה של גירסה אמינה. </w:t>
      </w:r>
    </w:p>
    <w:p w14:paraId="6B2A538E" w14:textId="77777777" w:rsidR="00BA4D16" w:rsidRDefault="006C29A8">
      <w:pPr>
        <w:spacing w:after="80" w:line="260" w:lineRule="exact"/>
        <w:ind w:firstLine="283"/>
        <w:rPr>
          <w:rFonts w:hint="cs"/>
          <w:sz w:val="22"/>
          <w:rtl/>
        </w:rPr>
      </w:pPr>
      <w:r>
        <w:rPr>
          <w:rFonts w:hint="cs"/>
          <w:sz w:val="22"/>
          <w:rtl/>
        </w:rPr>
        <w:t xml:space="preserve"> </w:t>
      </w:r>
    </w:p>
    <w:p w14:paraId="51D457B6" w14:textId="77777777" w:rsidR="00BA4D16" w:rsidRDefault="00BA4D16">
      <w:pPr>
        <w:spacing w:after="80" w:line="260" w:lineRule="exact"/>
        <w:ind w:firstLine="283"/>
        <w:rPr>
          <w:rFonts w:hint="cs"/>
          <w:sz w:val="22"/>
          <w:rtl/>
        </w:rPr>
      </w:pPr>
      <w:r>
        <w:rPr>
          <w:rFonts w:hint="cs"/>
          <w:sz w:val="22"/>
          <w:rtl/>
        </w:rPr>
        <w:tab/>
        <w:t xml:space="preserve">סיוע לכך ניתן למצוא לא רק בעדות המקבילה של ר.ע., בנוגע לאירוע של חשיפת איבר מין במרפסת, אלא גם בעדות האם ב.ג., אשר סיפרה כי בתה הגיעה אליה ואמרה לה שראתה אדם עומד במרפסת ומוציא את איבר מינו וכי דבר זה קרה לה מספר פעמים; באחת הפעמים הגיעה הילדה הביתה בוכייה ולא רצתה ללכת לבית הספר; בעקבות זאת, ולאחר שיחות עם שכנות נוספות, החליטה האם להתלונן (עמ' 48 לפרוטוקול). </w:t>
      </w:r>
    </w:p>
    <w:p w14:paraId="5A35B4F6" w14:textId="77777777" w:rsidR="00BA4D16" w:rsidRDefault="006C29A8">
      <w:pPr>
        <w:spacing w:after="80" w:line="260" w:lineRule="exact"/>
        <w:ind w:firstLine="283"/>
        <w:rPr>
          <w:rFonts w:hint="cs"/>
          <w:sz w:val="22"/>
          <w:rtl/>
        </w:rPr>
      </w:pPr>
      <w:r>
        <w:rPr>
          <w:rFonts w:hint="cs"/>
          <w:sz w:val="22"/>
          <w:rtl/>
        </w:rPr>
        <w:t xml:space="preserve"> </w:t>
      </w:r>
    </w:p>
    <w:p w14:paraId="596C2505" w14:textId="77777777" w:rsidR="00BA4D16" w:rsidRDefault="00BA4D16">
      <w:pPr>
        <w:spacing w:after="80" w:line="260" w:lineRule="exact"/>
        <w:ind w:firstLine="283"/>
        <w:rPr>
          <w:rFonts w:hint="cs"/>
          <w:sz w:val="22"/>
          <w:rtl/>
        </w:rPr>
      </w:pPr>
      <w:r>
        <w:rPr>
          <w:rFonts w:hint="cs"/>
          <w:sz w:val="22"/>
          <w:rtl/>
        </w:rPr>
        <w:tab/>
        <w:t xml:space="preserve">בחקירתה הנגדית סיפרה האם, כי ניסתה לפתור את העניין שלא באמצעות המשטרה וביקשה מהילדה לעבור בדרך אחרת, אבל כאשר ראתה שהדבר חוזר על עצמו, החליטה להגיש תלונה (עמ' 49 לפרוטוקול). </w:t>
      </w:r>
    </w:p>
    <w:p w14:paraId="24D520FC" w14:textId="77777777" w:rsidR="00BA4D16" w:rsidRDefault="006C29A8">
      <w:pPr>
        <w:spacing w:after="80" w:line="260" w:lineRule="exact"/>
        <w:ind w:firstLine="283"/>
        <w:rPr>
          <w:rFonts w:hint="cs"/>
          <w:sz w:val="22"/>
          <w:rtl/>
        </w:rPr>
      </w:pPr>
      <w:r>
        <w:rPr>
          <w:rFonts w:hint="cs"/>
          <w:sz w:val="22"/>
          <w:rtl/>
        </w:rPr>
        <w:t xml:space="preserve"> </w:t>
      </w:r>
    </w:p>
    <w:p w14:paraId="1F5F3A2B" w14:textId="77777777" w:rsidR="00BA4D16" w:rsidRDefault="00BA4D16">
      <w:pPr>
        <w:spacing w:after="80" w:line="260" w:lineRule="exact"/>
        <w:ind w:firstLine="283"/>
        <w:rPr>
          <w:rFonts w:hint="cs"/>
          <w:sz w:val="22"/>
          <w:rtl/>
        </w:rPr>
      </w:pPr>
      <w:r>
        <w:rPr>
          <w:rFonts w:hint="cs"/>
          <w:sz w:val="22"/>
          <w:rtl/>
        </w:rPr>
        <w:tab/>
        <w:t xml:space="preserve">כאמור, יש בראיות אלו כדי לחזק את האישום בדבר חשיפת איבר המין מהמרפסת, במספר הזדמנויות. </w:t>
      </w:r>
    </w:p>
    <w:p w14:paraId="23473633" w14:textId="77777777" w:rsidR="00BA4D16" w:rsidRDefault="006C29A8">
      <w:pPr>
        <w:spacing w:after="80" w:line="260" w:lineRule="exact"/>
        <w:ind w:firstLine="283"/>
        <w:rPr>
          <w:rFonts w:hint="cs"/>
          <w:sz w:val="22"/>
          <w:rtl/>
        </w:rPr>
      </w:pPr>
      <w:r>
        <w:rPr>
          <w:rFonts w:hint="cs"/>
          <w:sz w:val="22"/>
          <w:rtl/>
        </w:rPr>
        <w:t xml:space="preserve"> </w:t>
      </w:r>
    </w:p>
    <w:p w14:paraId="7DF70D4D" w14:textId="77777777" w:rsidR="00BA4D16" w:rsidRDefault="00BA4D16">
      <w:pPr>
        <w:spacing w:after="80" w:line="260" w:lineRule="exact"/>
        <w:ind w:firstLine="283"/>
        <w:rPr>
          <w:rFonts w:hint="cs"/>
          <w:sz w:val="22"/>
          <w:rtl/>
        </w:rPr>
      </w:pPr>
      <w:r>
        <w:rPr>
          <w:rFonts w:hint="cs"/>
          <w:sz w:val="22"/>
          <w:rtl/>
        </w:rPr>
        <w:tab/>
        <w:t xml:space="preserve">(במהלך המשפט, לאחר גמר ראיות התביעה, ביקש הסנגור לזמן את ל.ג. לעדות, הואיל ובינתיים מלאו לה 14 שנה; בקשה זו נדחתה בהחלטה מיום 1.8.02). </w:t>
      </w:r>
    </w:p>
    <w:p w14:paraId="09C64DD2" w14:textId="77777777" w:rsidR="00BA4D16" w:rsidRDefault="006C29A8">
      <w:pPr>
        <w:spacing w:after="80" w:line="260" w:lineRule="exact"/>
        <w:ind w:firstLine="283"/>
        <w:rPr>
          <w:rFonts w:hint="cs"/>
          <w:sz w:val="22"/>
          <w:rtl/>
        </w:rPr>
      </w:pPr>
      <w:r>
        <w:rPr>
          <w:rFonts w:hint="cs"/>
          <w:sz w:val="22"/>
          <w:rtl/>
        </w:rPr>
        <w:t xml:space="preserve"> </w:t>
      </w:r>
    </w:p>
    <w:p w14:paraId="17A414BC" w14:textId="77777777" w:rsidR="00BA4D16" w:rsidRDefault="00BA4D16">
      <w:pPr>
        <w:spacing w:after="80" w:line="260" w:lineRule="exact"/>
        <w:ind w:firstLine="283"/>
        <w:rPr>
          <w:rFonts w:hint="cs"/>
          <w:sz w:val="22"/>
          <w:rtl/>
        </w:rPr>
      </w:pPr>
      <w:r>
        <w:rPr>
          <w:rFonts w:hint="cs"/>
          <w:sz w:val="22"/>
          <w:rtl/>
        </w:rPr>
        <w:t>8.</w:t>
      </w:r>
      <w:r>
        <w:rPr>
          <w:rFonts w:hint="cs"/>
          <w:sz w:val="22"/>
          <w:rtl/>
        </w:rPr>
        <w:tab/>
        <w:t xml:space="preserve">יצויין, כי כאשר שאל הסנגור, כללית, מדוע לא ייתכן שמדובר בסיפור שהומצא על ידי הבנות, השיבה חוקרת הילדים, כי מדובר בחקירות ספציפיות, עם אירועים שונים ובהם עושר של פרטים אצל כל אחת מהבנות. לדבריה, ישנה מודעות לנושא "ההיסטריה של ההמון", הואיל והבנות משוחחות ביניהן, אך אין בכך כדי לערער את עיקר גירסאותיהן (עמ' 39 לפרוטוקול). </w:t>
      </w:r>
    </w:p>
    <w:p w14:paraId="0CBC208E" w14:textId="77777777" w:rsidR="00BA4D16" w:rsidRDefault="006C29A8">
      <w:pPr>
        <w:spacing w:after="80" w:line="260" w:lineRule="exact"/>
        <w:ind w:firstLine="283"/>
        <w:rPr>
          <w:rFonts w:hint="cs"/>
          <w:sz w:val="22"/>
          <w:rtl/>
        </w:rPr>
      </w:pPr>
      <w:r>
        <w:rPr>
          <w:rFonts w:hint="cs"/>
          <w:sz w:val="22"/>
          <w:rtl/>
        </w:rPr>
        <w:t xml:space="preserve"> </w:t>
      </w:r>
    </w:p>
    <w:p w14:paraId="28399A2A" w14:textId="77777777" w:rsidR="00BA4D16" w:rsidRDefault="00BA4D16">
      <w:pPr>
        <w:spacing w:after="80" w:line="260" w:lineRule="exact"/>
        <w:ind w:firstLine="283"/>
        <w:rPr>
          <w:rFonts w:hint="cs"/>
          <w:sz w:val="22"/>
          <w:rtl/>
        </w:rPr>
      </w:pPr>
      <w:r>
        <w:rPr>
          <w:rFonts w:hint="cs"/>
          <w:sz w:val="22"/>
          <w:rtl/>
        </w:rPr>
        <w:tab/>
        <w:t xml:space="preserve">בהקשר זה מעניין להפנות לעדות הנאשם עצמו, בעמ' 60 לפרוטוקול, בקטע, המדבר בעד עצמו: </w:t>
      </w:r>
    </w:p>
    <w:p w14:paraId="44DC0809" w14:textId="77777777" w:rsidR="00BA4D16" w:rsidRDefault="006C29A8">
      <w:pPr>
        <w:spacing w:after="80" w:line="260" w:lineRule="exact"/>
        <w:ind w:firstLine="283"/>
        <w:rPr>
          <w:rFonts w:hint="cs"/>
          <w:sz w:val="22"/>
          <w:rtl/>
        </w:rPr>
      </w:pPr>
      <w:r>
        <w:rPr>
          <w:rFonts w:hint="cs"/>
          <w:sz w:val="22"/>
          <w:rtl/>
        </w:rPr>
        <w:t xml:space="preserve"> </w:t>
      </w:r>
    </w:p>
    <w:p w14:paraId="482D25C0"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”ש. </w:t>
      </w:r>
      <w:r>
        <w:rPr>
          <w:rFonts w:hint="cs"/>
          <w:sz w:val="22"/>
          <w:szCs w:val="24"/>
          <w:rtl/>
        </w:rPr>
        <w:tab/>
        <w:t>אתה נוהג לעמוד במרפסת מדי פעם.</w:t>
      </w:r>
      <w:r>
        <w:rPr>
          <w:color w:val="FFFFFF"/>
          <w:sz w:val="4"/>
          <w:szCs w:val="4"/>
          <w:rtl/>
        </w:rPr>
        <w:t>ב</w:t>
      </w:r>
    </w:p>
    <w:p w14:paraId="070E007C"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r>
      <w:r>
        <w:rPr>
          <w:rFonts w:hint="cs"/>
          <w:sz w:val="22"/>
          <w:szCs w:val="24"/>
          <w:rtl/>
        </w:rPr>
        <w:tab/>
        <w:t>מה זה נוהג?</w:t>
      </w:r>
    </w:p>
    <w:p w14:paraId="3F353E55"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ש.</w:t>
      </w:r>
      <w:r>
        <w:rPr>
          <w:rFonts w:hint="cs"/>
          <w:sz w:val="22"/>
          <w:szCs w:val="24"/>
          <w:rtl/>
        </w:rPr>
        <w:tab/>
      </w:r>
      <w:r>
        <w:rPr>
          <w:rFonts w:hint="cs"/>
          <w:sz w:val="22"/>
          <w:szCs w:val="24"/>
          <w:rtl/>
        </w:rPr>
        <w:tab/>
        <w:t>אתה עומד במרפסת ורואה כל מי שעובר ברחוב.</w:t>
      </w:r>
      <w:r>
        <w:rPr>
          <w:color w:val="FFFFFF"/>
          <w:sz w:val="4"/>
          <w:szCs w:val="4"/>
          <w:rtl/>
        </w:rPr>
        <w:t>ו</w:t>
      </w:r>
    </w:p>
    <w:p w14:paraId="78A51FF0"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r>
      <w:r>
        <w:rPr>
          <w:rFonts w:hint="cs"/>
          <w:sz w:val="22"/>
          <w:szCs w:val="24"/>
          <w:rtl/>
        </w:rPr>
        <w:tab/>
        <w:t xml:space="preserve">עומד ביחד עם הילדים, אישתי ובזמנו גם חמותי. </w:t>
      </w:r>
    </w:p>
    <w:p w14:paraId="71C72AF4"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ש.</w:t>
      </w:r>
      <w:r>
        <w:rPr>
          <w:rFonts w:hint="cs"/>
          <w:sz w:val="22"/>
          <w:szCs w:val="24"/>
          <w:rtl/>
        </w:rPr>
        <w:tab/>
      </w:r>
      <w:r>
        <w:rPr>
          <w:rFonts w:hint="cs"/>
          <w:sz w:val="22"/>
          <w:szCs w:val="24"/>
          <w:rtl/>
        </w:rPr>
        <w:tab/>
        <w:t xml:space="preserve">למה אתה מזכיר גם אותם. </w:t>
      </w:r>
    </w:p>
    <w:p w14:paraId="00C7BAB8"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r>
      <w:r>
        <w:rPr>
          <w:rFonts w:hint="cs"/>
          <w:sz w:val="22"/>
          <w:szCs w:val="24"/>
          <w:rtl/>
        </w:rPr>
        <w:tab/>
        <w:t xml:space="preserve">ברור שאני עומד במרפסת. </w:t>
      </w:r>
    </w:p>
    <w:p w14:paraId="0952E3DD"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ש.</w:t>
      </w:r>
      <w:r>
        <w:rPr>
          <w:rFonts w:hint="cs"/>
          <w:sz w:val="22"/>
          <w:szCs w:val="24"/>
          <w:rtl/>
        </w:rPr>
        <w:tab/>
        <w:t xml:space="preserve">האם אתה רואה את האנשים שעוברים בחוץ כשאתה עומד במרפסת. </w:t>
      </w:r>
    </w:p>
    <w:p w14:paraId="4BFC3F8C"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t xml:space="preserve">כן. אין לי מה לפחד לומר שעמדתי במרפסת גם לבד. </w:t>
      </w:r>
    </w:p>
    <w:p w14:paraId="271EADEC"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ש.</w:t>
      </w:r>
      <w:r>
        <w:rPr>
          <w:rFonts w:hint="cs"/>
          <w:sz w:val="22"/>
          <w:szCs w:val="24"/>
          <w:rtl/>
        </w:rPr>
        <w:tab/>
        <w:t xml:space="preserve">אף פעם לא הוצאת את איבר המין כדי שיראו. </w:t>
      </w:r>
    </w:p>
    <w:p w14:paraId="5F03009D"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t xml:space="preserve">לא. עובדה שאף אחד מהשכנים לא אמר כלום. </w:t>
      </w:r>
    </w:p>
    <w:p w14:paraId="113B64A0"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ש.</w:t>
      </w:r>
      <w:r>
        <w:rPr>
          <w:rFonts w:hint="cs"/>
          <w:sz w:val="22"/>
          <w:szCs w:val="24"/>
          <w:rtl/>
        </w:rPr>
        <w:tab/>
        <w:t xml:space="preserve">אולי השכנים לא ראו ורק הילדות ראו. </w:t>
      </w:r>
    </w:p>
    <w:p w14:paraId="2E8FFC95"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t xml:space="preserve">עובדה שאלפי תלמידות עוברות שם. </w:t>
      </w:r>
    </w:p>
    <w:p w14:paraId="64D9AB48"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ש.</w:t>
      </w:r>
      <w:r>
        <w:rPr>
          <w:rFonts w:hint="cs"/>
          <w:sz w:val="22"/>
          <w:szCs w:val="24"/>
          <w:rtl/>
        </w:rPr>
        <w:tab/>
        <w:t xml:space="preserve">אם רק שתיים התלוננו אז הן משקרות. </w:t>
      </w:r>
    </w:p>
    <w:p w14:paraId="0D8CCA1E"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ת.</w:t>
      </w:r>
      <w:r>
        <w:rPr>
          <w:rFonts w:hint="cs"/>
          <w:sz w:val="22"/>
          <w:szCs w:val="24"/>
          <w:rtl/>
        </w:rPr>
        <w:tab/>
        <w:t xml:space="preserve">לא יודע אם הן משקרות, אבל יכול להיות שהן משקרות, לא יודע". </w:t>
      </w:r>
    </w:p>
    <w:p w14:paraId="6D329605" w14:textId="77777777" w:rsidR="00BA4D16" w:rsidRDefault="006C29A8">
      <w:pPr>
        <w:pStyle w:val="a4"/>
        <w:spacing w:after="80" w:line="260" w:lineRule="exact"/>
        <w:ind w:left="0" w:right="0" w:firstLine="283"/>
        <w:rPr>
          <w:rFonts w:hint="cs"/>
          <w:sz w:val="22"/>
          <w:szCs w:val="24"/>
          <w:rtl/>
        </w:rPr>
      </w:pPr>
      <w:r>
        <w:rPr>
          <w:rFonts w:hint="cs"/>
          <w:sz w:val="22"/>
          <w:szCs w:val="24"/>
          <w:rtl/>
        </w:rPr>
        <w:t xml:space="preserve"> </w:t>
      </w:r>
    </w:p>
    <w:p w14:paraId="48B235B4" w14:textId="77777777" w:rsidR="00BA4D16" w:rsidRDefault="00BA4D16">
      <w:pPr>
        <w:pStyle w:val="a4"/>
        <w:spacing w:after="80" w:line="260" w:lineRule="exact"/>
        <w:ind w:left="0" w:right="0" w:firstLine="283"/>
        <w:rPr>
          <w:rFonts w:hint="cs"/>
          <w:sz w:val="22"/>
          <w:szCs w:val="24"/>
          <w:rtl/>
        </w:rPr>
      </w:pPr>
      <w:r>
        <w:rPr>
          <w:rFonts w:hint="cs"/>
          <w:sz w:val="22"/>
          <w:szCs w:val="24"/>
          <w:rtl/>
        </w:rPr>
        <w:t xml:space="preserve"> </w:t>
      </w:r>
    </w:p>
    <w:p w14:paraId="77C305D7" w14:textId="77777777" w:rsidR="00BA4D16" w:rsidRDefault="00BA4D16">
      <w:pPr>
        <w:spacing w:after="80" w:line="260" w:lineRule="exact"/>
        <w:ind w:firstLine="283"/>
        <w:rPr>
          <w:rFonts w:hint="cs"/>
          <w:sz w:val="22"/>
          <w:rtl/>
        </w:rPr>
      </w:pPr>
      <w:r>
        <w:rPr>
          <w:rFonts w:hint="cs"/>
          <w:sz w:val="22"/>
          <w:rtl/>
        </w:rPr>
        <w:tab/>
        <w:t xml:space="preserve">הרושם המתקבל מעדות הססנית ופתלתלה זו, רק מחזק את הראיות שהובאו על ידי התביעה, וגם אם לא נעשו כל פעולות החקירה האפשריות בתיק זה, עמדה התביעה בנטל שהוטל עליה, לפחות לעניין חלק מהאירועים, כמתואר לעיל. </w:t>
      </w:r>
    </w:p>
    <w:p w14:paraId="0FC405F0" w14:textId="77777777" w:rsidR="00BA4D16" w:rsidRDefault="006C29A8">
      <w:pPr>
        <w:spacing w:after="80" w:line="260" w:lineRule="exact"/>
        <w:ind w:firstLine="283"/>
        <w:rPr>
          <w:rFonts w:hint="cs"/>
          <w:sz w:val="22"/>
          <w:rtl/>
        </w:rPr>
      </w:pPr>
      <w:r>
        <w:rPr>
          <w:rFonts w:hint="cs"/>
          <w:sz w:val="22"/>
          <w:rtl/>
        </w:rPr>
        <w:t xml:space="preserve"> </w:t>
      </w:r>
    </w:p>
    <w:p w14:paraId="6E249357" w14:textId="77777777" w:rsidR="00BA4D16" w:rsidRDefault="00BA4D16">
      <w:pPr>
        <w:spacing w:after="80" w:line="260" w:lineRule="exact"/>
        <w:ind w:firstLine="283"/>
        <w:rPr>
          <w:rFonts w:hint="cs"/>
          <w:sz w:val="22"/>
          <w:rtl/>
        </w:rPr>
      </w:pPr>
      <w:r>
        <w:rPr>
          <w:rFonts w:hint="cs"/>
          <w:sz w:val="22"/>
          <w:rtl/>
        </w:rPr>
        <w:t>9.</w:t>
      </w:r>
      <w:r>
        <w:rPr>
          <w:rFonts w:hint="cs"/>
          <w:sz w:val="22"/>
          <w:rtl/>
        </w:rPr>
        <w:tab/>
        <w:t xml:space="preserve">אין לקבל את טענות הנאשם בדבר "הגנה מן הצדק"; אכן, חלק מן העבירות יוחסו לנאשם ללא תיאור מדוייק של יום ושעה, אך לא היה בכך משום לפגוע אנושות בהגנתו. גם איזכורים שונים בנוגע לעבר כביכול, אינם מעלים ואינם מורידים, במיוחד בהתחשב בכך שהחלטתי להתעלם מהם לחלוטין (ראו גם החלטת ביניים, עמ' 10 לפרוטוקול), ובכך שלא התבקשה פסילתי. </w:t>
      </w:r>
    </w:p>
    <w:p w14:paraId="0C355191" w14:textId="77777777" w:rsidR="00BA4D16" w:rsidRDefault="006C29A8">
      <w:pPr>
        <w:spacing w:after="80" w:line="260" w:lineRule="exact"/>
        <w:ind w:firstLine="283"/>
        <w:rPr>
          <w:rFonts w:hint="cs"/>
          <w:sz w:val="22"/>
          <w:rtl/>
        </w:rPr>
      </w:pPr>
      <w:r>
        <w:rPr>
          <w:rFonts w:hint="cs"/>
          <w:sz w:val="22"/>
          <w:rtl/>
        </w:rPr>
        <w:t xml:space="preserve"> </w:t>
      </w:r>
    </w:p>
    <w:p w14:paraId="7486DCF2" w14:textId="77777777" w:rsidR="00BA4D16" w:rsidRDefault="00BA4D16">
      <w:pPr>
        <w:spacing w:after="80" w:line="260" w:lineRule="exact"/>
        <w:ind w:firstLine="283"/>
        <w:rPr>
          <w:rFonts w:hint="cs"/>
          <w:sz w:val="22"/>
          <w:rtl/>
        </w:rPr>
      </w:pPr>
      <w:r>
        <w:rPr>
          <w:rFonts w:hint="cs"/>
          <w:sz w:val="22"/>
          <w:rtl/>
        </w:rPr>
        <w:tab/>
        <w:t xml:space="preserve">עוד אעיר לסיום, כי היה מקום לחייב את הנאשם להשיב לאשמה, שהרי עם תום ראיות התביעה בוודאי שנמצאו לפחות "ראיות קלושות", אשר סיבכו וקשרו את הנאשם לעבירות שיוחסו לו. </w:t>
      </w:r>
    </w:p>
    <w:p w14:paraId="74D735BC" w14:textId="77777777" w:rsidR="00BA4D16" w:rsidRDefault="006C29A8">
      <w:pPr>
        <w:spacing w:after="80" w:line="260" w:lineRule="exact"/>
        <w:ind w:firstLine="283"/>
        <w:rPr>
          <w:rFonts w:hint="cs"/>
          <w:sz w:val="22"/>
          <w:rtl/>
        </w:rPr>
      </w:pPr>
      <w:r>
        <w:rPr>
          <w:rFonts w:hint="cs"/>
          <w:sz w:val="22"/>
          <w:rtl/>
        </w:rPr>
        <w:t xml:space="preserve"> </w:t>
      </w:r>
    </w:p>
    <w:p w14:paraId="7F355704" w14:textId="77777777" w:rsidR="00BA4D16" w:rsidRDefault="00BA4D16">
      <w:pPr>
        <w:spacing w:after="80" w:line="260" w:lineRule="exact"/>
        <w:ind w:firstLine="283"/>
        <w:rPr>
          <w:rFonts w:hint="cs"/>
          <w:sz w:val="22"/>
          <w:rtl/>
        </w:rPr>
      </w:pPr>
      <w:r>
        <w:rPr>
          <w:rFonts w:hint="cs"/>
          <w:sz w:val="22"/>
          <w:rtl/>
        </w:rPr>
        <w:t>10.</w:t>
      </w:r>
      <w:r>
        <w:rPr>
          <w:rFonts w:hint="cs"/>
          <w:sz w:val="22"/>
          <w:rtl/>
        </w:rPr>
        <w:tab/>
        <w:t xml:space="preserve">יש לדחות גם את טענת ההגנה, בדבר העדר כוונה פלילית. </w:t>
      </w:r>
    </w:p>
    <w:p w14:paraId="3C58400C" w14:textId="77777777" w:rsidR="00BA4D16" w:rsidRDefault="006C29A8">
      <w:pPr>
        <w:spacing w:after="80" w:line="260" w:lineRule="exact"/>
        <w:ind w:firstLine="283"/>
        <w:rPr>
          <w:rFonts w:hint="cs"/>
          <w:sz w:val="22"/>
          <w:rtl/>
        </w:rPr>
      </w:pPr>
      <w:r>
        <w:rPr>
          <w:rFonts w:hint="cs"/>
          <w:sz w:val="22"/>
          <w:rtl/>
        </w:rPr>
        <w:t xml:space="preserve"> </w:t>
      </w:r>
    </w:p>
    <w:p w14:paraId="209DCF1F" w14:textId="77777777" w:rsidR="00BA4D16" w:rsidRDefault="00044923">
      <w:pPr>
        <w:spacing w:after="80" w:line="260" w:lineRule="exact"/>
        <w:ind w:firstLine="283"/>
        <w:rPr>
          <w:rFonts w:hint="cs"/>
          <w:sz w:val="22"/>
          <w:rtl/>
        </w:rPr>
      </w:pPr>
      <w:r>
        <w:rPr>
          <w:rFonts w:hint="cs"/>
          <w:sz w:val="22"/>
          <w:rtl/>
        </w:rPr>
        <w:tab/>
        <w:t xml:space="preserve">אמנם, סעיף </w:t>
      </w:r>
      <w:hyperlink r:id="rId22" w:history="1">
        <w:r w:rsidRPr="00044923">
          <w:rPr>
            <w:color w:val="0000FF"/>
            <w:sz w:val="22"/>
            <w:u w:val="single"/>
            <w:rtl/>
          </w:rPr>
          <w:t>349(ב)</w:t>
        </w:r>
      </w:hyperlink>
      <w:r w:rsidR="00BA4D16">
        <w:rPr>
          <w:rFonts w:hint="cs"/>
          <w:sz w:val="22"/>
          <w:rtl/>
        </w:rPr>
        <w:t xml:space="preserve"> מבוסס על הגדרת הב</w:t>
      </w:r>
      <w:r>
        <w:rPr>
          <w:rFonts w:hint="cs"/>
          <w:sz w:val="22"/>
          <w:rtl/>
        </w:rPr>
        <w:t xml:space="preserve">יטוי "מעשה מגונה" אשר בסעיף </w:t>
      </w:r>
      <w:hyperlink r:id="rId23" w:history="1">
        <w:r w:rsidRPr="00044923">
          <w:rPr>
            <w:color w:val="0000FF"/>
            <w:sz w:val="22"/>
            <w:u w:val="single"/>
            <w:rtl/>
          </w:rPr>
          <w:t>348(ו)</w:t>
        </w:r>
      </w:hyperlink>
      <w:r w:rsidR="00BA4D16">
        <w:rPr>
          <w:rFonts w:hint="cs"/>
          <w:sz w:val="22"/>
          <w:rtl/>
        </w:rPr>
        <w:t xml:space="preserve"> לחוק ולפיה מדובר במעשה אשר נעשה "</w:t>
      </w:r>
      <w:r w:rsidR="00BA4D16">
        <w:rPr>
          <w:rFonts w:hint="cs"/>
          <w:b/>
          <w:bCs/>
          <w:sz w:val="22"/>
          <w:rtl/>
        </w:rPr>
        <w:t>לשם גירוי, סיפוק או ביזוי מיניים"</w:t>
      </w:r>
      <w:r w:rsidR="00BA4D16">
        <w:rPr>
          <w:rFonts w:hint="cs"/>
          <w:sz w:val="22"/>
          <w:rtl/>
        </w:rPr>
        <w:t>. מספר האירועים שמדובר בהם, וכן המקום, האופן ו"קהל היעד" שבפניו ארעו, מלמדים מתוכם על כוונה כזו. יתרה מכך, נפסק לאחרונה, כי לצורך גיבוש היסוד הנפשי הנדרש בעבירות מקבוצה זו, די בכך כי בלב נאשם תהיה מודעות, בדרגת הסתברות הקרובה לוודאי, כי מעשיו יסבו ביזוי מיני, גם אם לא חפץ בכך כמטרה העומדת לעצמה (</w:t>
      </w:r>
      <w:hyperlink r:id="rId24" w:history="1">
        <w:r w:rsidR="006C29A8" w:rsidRPr="006C29A8">
          <w:rPr>
            <w:rStyle w:val="Hyperlink"/>
            <w:rFonts w:hint="eastAsia"/>
            <w:sz w:val="22"/>
            <w:rtl/>
          </w:rPr>
          <w:t>ע</w:t>
        </w:r>
        <w:r w:rsidR="006C29A8" w:rsidRPr="006C29A8">
          <w:rPr>
            <w:rStyle w:val="Hyperlink"/>
            <w:sz w:val="22"/>
            <w:rtl/>
          </w:rPr>
          <w:t>.פ. 6269/99 כהן נ' מדינת ישראל, פ"ד נה</w:t>
        </w:r>
      </w:hyperlink>
      <w:r w:rsidR="00BA4D16">
        <w:rPr>
          <w:rFonts w:hint="cs"/>
          <w:sz w:val="22"/>
          <w:rtl/>
        </w:rPr>
        <w:t xml:space="preserve"> (2) 496). </w:t>
      </w:r>
    </w:p>
    <w:p w14:paraId="611FAC08" w14:textId="77777777" w:rsidR="00BA4D16" w:rsidRDefault="006C29A8">
      <w:pPr>
        <w:spacing w:after="80" w:line="260" w:lineRule="exact"/>
        <w:ind w:firstLine="283"/>
        <w:rPr>
          <w:rFonts w:hint="cs"/>
          <w:sz w:val="22"/>
          <w:rtl/>
        </w:rPr>
      </w:pPr>
      <w:r>
        <w:rPr>
          <w:rFonts w:hint="cs"/>
          <w:sz w:val="22"/>
          <w:rtl/>
        </w:rPr>
        <w:t xml:space="preserve"> </w:t>
      </w:r>
    </w:p>
    <w:p w14:paraId="17178B98" w14:textId="77777777" w:rsidR="00BA4D16" w:rsidRDefault="00BA4D16">
      <w:pPr>
        <w:spacing w:after="80" w:line="260" w:lineRule="exact"/>
        <w:ind w:firstLine="283"/>
        <w:rPr>
          <w:rFonts w:hint="cs"/>
          <w:sz w:val="22"/>
          <w:rtl/>
        </w:rPr>
      </w:pPr>
      <w:r>
        <w:rPr>
          <w:rFonts w:hint="cs"/>
          <w:sz w:val="22"/>
          <w:rtl/>
        </w:rPr>
        <w:t>11.</w:t>
      </w:r>
      <w:r>
        <w:rPr>
          <w:rFonts w:hint="cs"/>
          <w:sz w:val="22"/>
          <w:rtl/>
        </w:rPr>
        <w:tab/>
        <w:t>לאור כל זאת, ראיתי לנכון להרשיע את הנאשם בביצוע מע</w:t>
      </w:r>
      <w:r w:rsidR="00044923">
        <w:rPr>
          <w:rFonts w:hint="cs"/>
          <w:sz w:val="22"/>
          <w:rtl/>
        </w:rPr>
        <w:t xml:space="preserve">שים מגונים בפומבי, לפי סעיף </w:t>
      </w:r>
      <w:hyperlink r:id="rId25" w:history="1">
        <w:r w:rsidR="00044923" w:rsidRPr="00044923">
          <w:rPr>
            <w:color w:val="0000FF"/>
            <w:sz w:val="22"/>
            <w:u w:val="single"/>
            <w:rtl/>
          </w:rPr>
          <w:t>349(ב)</w:t>
        </w:r>
      </w:hyperlink>
      <w:r>
        <w:rPr>
          <w:rFonts w:hint="cs"/>
          <w:sz w:val="22"/>
          <w:rtl/>
        </w:rPr>
        <w:t xml:space="preserve"> ל</w:t>
      </w:r>
      <w:hyperlink r:id="rId26" w:history="1">
        <w:r w:rsidR="006C29A8" w:rsidRPr="006C29A8">
          <w:rPr>
            <w:rStyle w:val="Hyperlink"/>
            <w:rFonts w:hint="eastAsia"/>
            <w:sz w:val="22"/>
            <w:rtl/>
          </w:rPr>
          <w:t>חוק</w:t>
        </w:r>
        <w:r w:rsidR="006C29A8" w:rsidRPr="006C29A8">
          <w:rPr>
            <w:rStyle w:val="Hyperlink"/>
            <w:sz w:val="22"/>
            <w:rtl/>
          </w:rPr>
          <w:t xml:space="preserve"> העונשין</w:t>
        </w:r>
      </w:hyperlink>
      <w:r>
        <w:rPr>
          <w:rFonts w:hint="cs"/>
          <w:sz w:val="22"/>
          <w:rtl/>
        </w:rPr>
        <w:t xml:space="preserve">, וזאת בפני הקטינות ל.ג. ו- ר.ע. , ולזכות את הנאשם, מחמת הספק, מביצועה של אותה עבירה לפני הקטינה ח.ע. </w:t>
      </w:r>
    </w:p>
    <w:p w14:paraId="7D531424" w14:textId="77777777" w:rsidR="00BA4D16" w:rsidRDefault="006C29A8">
      <w:pPr>
        <w:spacing w:after="80" w:line="260" w:lineRule="exact"/>
        <w:ind w:firstLine="283"/>
        <w:rPr>
          <w:rFonts w:hint="cs"/>
          <w:sz w:val="22"/>
          <w:rtl/>
        </w:rPr>
      </w:pPr>
      <w:r>
        <w:rPr>
          <w:rFonts w:hint="cs"/>
          <w:sz w:val="22"/>
          <w:rtl/>
        </w:rPr>
        <w:t xml:space="preserve"> </w:t>
      </w:r>
    </w:p>
    <w:p w14:paraId="7738A5AE" w14:textId="77777777" w:rsidR="00BA4D16" w:rsidRDefault="006C29A8">
      <w:pPr>
        <w:spacing w:after="80" w:line="260" w:lineRule="exact"/>
        <w:ind w:firstLine="283"/>
        <w:rPr>
          <w:rFonts w:hint="cs"/>
          <w:sz w:val="22"/>
          <w:rtl/>
        </w:rPr>
      </w:pPr>
      <w:r>
        <w:rPr>
          <w:rFonts w:hint="cs"/>
          <w:sz w:val="22"/>
          <w:rtl/>
        </w:rPr>
        <w:t xml:space="preserve"> </w:t>
      </w:r>
    </w:p>
    <w:p w14:paraId="5339071C" w14:textId="77777777" w:rsidR="00BA4D16" w:rsidRDefault="00BA4D16">
      <w:pPr>
        <w:spacing w:after="80" w:line="260" w:lineRule="exact"/>
        <w:ind w:firstLine="283"/>
        <w:rPr>
          <w:rFonts w:hint="cs"/>
          <w:b/>
          <w:bCs/>
          <w:sz w:val="22"/>
          <w:rtl/>
        </w:rPr>
      </w:pPr>
      <w:r>
        <w:rPr>
          <w:rFonts w:hint="cs"/>
          <w:b/>
          <w:bCs/>
          <w:sz w:val="22"/>
          <w:rtl/>
        </w:rPr>
        <w:t xml:space="preserve">ניתנה היום כ"ז בטבת, תשס"ג (1 בינואר 2003) במעמד הנוכחים. </w:t>
      </w:r>
    </w:p>
    <w:p w14:paraId="4DD2A399" w14:textId="77777777" w:rsidR="00BA4D16" w:rsidRDefault="00BA4D16">
      <w:pPr>
        <w:spacing w:after="80" w:line="260" w:lineRule="exact"/>
        <w:ind w:firstLine="283"/>
        <w:rPr>
          <w:rFonts w:hint="cs"/>
          <w:b/>
          <w:bCs/>
          <w:sz w:val="22"/>
          <w:rtl/>
        </w:rPr>
      </w:pPr>
      <w:r>
        <w:rPr>
          <w:rFonts w:hint="cs"/>
          <w:b/>
          <w:bCs/>
          <w:sz w:val="22"/>
          <w:rtl/>
        </w:rPr>
        <w:t>מותר לפרסום מהיום.</w:t>
      </w:r>
      <w:r>
        <w:rPr>
          <w:b/>
          <w:bCs/>
          <w:color w:val="FFFFFF"/>
          <w:sz w:val="4"/>
          <w:szCs w:val="4"/>
          <w:rtl/>
        </w:rPr>
        <w:t>נ</w:t>
      </w:r>
    </w:p>
    <w:p w14:paraId="24DB0A09" w14:textId="77777777" w:rsidR="00BA4D16" w:rsidRDefault="006C29A8">
      <w:pPr>
        <w:spacing w:after="80" w:line="260" w:lineRule="exact"/>
        <w:ind w:firstLine="283"/>
        <w:rPr>
          <w:rFonts w:hint="cs"/>
          <w:b/>
          <w:bCs/>
          <w:color w:val="000080"/>
          <w:sz w:val="22"/>
          <w:rtl/>
        </w:rPr>
      </w:pPr>
      <w:r>
        <w:rPr>
          <w:rFonts w:hint="cs"/>
          <w:b/>
          <w:bCs/>
          <w:color w:val="000080"/>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BA4D16" w14:paraId="26D228BA" w14:textId="77777777">
        <w:tc>
          <w:tcPr>
            <w:tcW w:w="2235" w:type="dxa"/>
            <w:tcBorders>
              <w:top w:val="single" w:sz="4" w:space="0" w:color="auto"/>
              <w:left w:val="nil"/>
              <w:bottom w:val="nil"/>
              <w:right w:val="nil"/>
            </w:tcBorders>
          </w:tcPr>
          <w:p w14:paraId="021CD2DD" w14:textId="77777777" w:rsidR="00BA4D16" w:rsidRDefault="00BA4D16">
            <w:pPr>
              <w:spacing w:after="80" w:line="260" w:lineRule="exact"/>
              <w:ind w:firstLine="283"/>
              <w:rPr>
                <w:b/>
                <w:bCs/>
                <w:sz w:val="22"/>
              </w:rPr>
            </w:pPr>
            <w:r>
              <w:rPr>
                <w:rFonts w:hint="cs"/>
                <w:b/>
                <w:bCs/>
                <w:sz w:val="22"/>
                <w:rtl/>
              </w:rPr>
              <w:t>אבי זמיר, שופט</w:t>
            </w:r>
          </w:p>
        </w:tc>
      </w:tr>
    </w:tbl>
    <w:p w14:paraId="67712323" w14:textId="77777777" w:rsidR="00BA4D16" w:rsidRDefault="006C29A8">
      <w:pPr>
        <w:spacing w:after="80" w:line="260" w:lineRule="exact"/>
        <w:ind w:firstLine="283"/>
        <w:rPr>
          <w:rFonts w:hint="cs"/>
          <w:sz w:val="22"/>
          <w:rtl/>
        </w:rPr>
      </w:pPr>
      <w:r>
        <w:rPr>
          <w:sz w:val="22"/>
          <w:rtl/>
        </w:rPr>
        <w:t xml:space="preserve"> </w:t>
      </w:r>
    </w:p>
    <w:p w14:paraId="7A5DF610" w14:textId="77777777" w:rsidR="00BA4D16" w:rsidRDefault="006C29A8">
      <w:pPr>
        <w:spacing w:after="80" w:line="260" w:lineRule="exact"/>
        <w:ind w:firstLine="283"/>
        <w:rPr>
          <w:sz w:val="22"/>
          <w:rtl/>
        </w:rPr>
      </w:pPr>
      <w:r>
        <w:rPr>
          <w:sz w:val="22"/>
          <w:rtl/>
        </w:rPr>
        <w:t xml:space="preserve"> </w:t>
      </w:r>
    </w:p>
    <w:p w14:paraId="01B5C9CA" w14:textId="77777777" w:rsidR="00BA4D16" w:rsidRDefault="00BA4D16">
      <w:pPr>
        <w:spacing w:after="80" w:line="260" w:lineRule="exact"/>
        <w:ind w:firstLine="283"/>
        <w:rPr>
          <w:sz w:val="22"/>
          <w:rtl/>
        </w:rPr>
      </w:pPr>
      <w:r>
        <w:rPr>
          <w:rFonts w:hint="cs"/>
          <w:sz w:val="22"/>
          <w:rtl/>
        </w:rPr>
        <w:tab/>
      </w:r>
    </w:p>
    <w:p w14:paraId="360AF52B" w14:textId="77777777" w:rsidR="00BA4D16" w:rsidRDefault="00BA4D16">
      <w:pPr>
        <w:spacing w:after="80" w:line="260" w:lineRule="exact"/>
        <w:ind w:firstLine="283"/>
        <w:rPr>
          <w:rFonts w:hint="cs"/>
          <w:sz w:val="22"/>
          <w:rtl/>
        </w:rPr>
      </w:pPr>
      <w:r>
        <w:rPr>
          <w:rFonts w:hint="cs"/>
          <w:sz w:val="22"/>
          <w:rtl/>
        </w:rPr>
        <w:t xml:space="preserve">000585/00פ  140 גילה </w:t>
      </w:r>
    </w:p>
    <w:p w14:paraId="5D6C4199" w14:textId="77777777" w:rsidR="00BA4D16" w:rsidRDefault="00BA4D16">
      <w:pPr>
        <w:spacing w:after="80" w:line="260" w:lineRule="exact"/>
        <w:ind w:firstLine="283"/>
        <w:rPr>
          <w:rFonts w:hint="cs"/>
          <w:sz w:val="22"/>
          <w:rtl/>
        </w:rPr>
      </w:pPr>
      <w:r>
        <w:rPr>
          <w:sz w:val="22"/>
          <w:rtl/>
        </w:rPr>
        <w:t>נוסח זה כפוף לשינויי עריכה וניסוח</w:t>
      </w:r>
    </w:p>
    <w:sectPr w:rsidR="00BA4D16">
      <w:headerReference w:type="even" r:id="rId27"/>
      <w:headerReference w:type="default" r:id="rId28"/>
      <w:footerReference w:type="even" r:id="rId29"/>
      <w:footerReference w:type="default" r:id="rId3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C718" w14:textId="77777777" w:rsidR="00774A4B" w:rsidRDefault="00774A4B">
      <w:pPr>
        <w:spacing w:line="240" w:lineRule="auto"/>
      </w:pPr>
      <w:r>
        <w:separator/>
      </w:r>
    </w:p>
  </w:endnote>
  <w:endnote w:type="continuationSeparator" w:id="0">
    <w:p w14:paraId="266C5AA8" w14:textId="77777777" w:rsidR="00774A4B" w:rsidRDefault="00774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CED4" w14:textId="77777777" w:rsidR="00104AFC" w:rsidRDefault="00104AF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1D2F9587" w14:textId="77777777" w:rsidR="00104AFC" w:rsidRDefault="00104AF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880EEB" w14:textId="77777777" w:rsidR="00104AFC" w:rsidRDefault="00104AF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M:\000-shay\3-shalom\03-01-02\OutDoc\s00585.doc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9E2D" w14:textId="77777777" w:rsidR="00104AFC" w:rsidRDefault="00104AF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A316A">
      <w:rPr>
        <w:rFonts w:hAnsi="FrankRuehl" w:cs="FrankRuehl"/>
        <w:noProof/>
        <w:sz w:val="24"/>
        <w:rtl/>
      </w:rPr>
      <w:t>1</w:t>
    </w:r>
    <w:r>
      <w:rPr>
        <w:rFonts w:hAnsi="FrankRuehl" w:cs="FrankRuehl"/>
        <w:sz w:val="24"/>
        <w:rtl/>
      </w:rPr>
      <w:fldChar w:fldCharType="end"/>
    </w:r>
  </w:p>
  <w:p w14:paraId="6A31EF93" w14:textId="77777777" w:rsidR="00104AFC" w:rsidRDefault="00104AF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C0C255" w14:textId="77777777" w:rsidR="00104AFC" w:rsidRDefault="00104AF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M:\000-shay\3-shalom\03-01-02\OutDoc\s00585.doc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664C" w14:textId="77777777" w:rsidR="00774A4B" w:rsidRDefault="00774A4B">
      <w:pPr>
        <w:spacing w:line="240" w:lineRule="auto"/>
      </w:pPr>
      <w:r>
        <w:separator/>
      </w:r>
    </w:p>
  </w:footnote>
  <w:footnote w:type="continuationSeparator" w:id="0">
    <w:p w14:paraId="328078F0" w14:textId="77777777" w:rsidR="00774A4B" w:rsidRDefault="00774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07D4A" w14:textId="77777777" w:rsidR="00104AFC" w:rsidRDefault="00104AF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(ק"ג) 585/00</w:t>
    </w:r>
    <w:r>
      <w:rPr>
        <w:rFonts w:hAnsi="David"/>
        <w:color w:val="000000"/>
        <w:sz w:val="22"/>
        <w:szCs w:val="22"/>
        <w:rtl/>
      </w:rPr>
      <w:tab/>
      <w:t xml:space="preserve"> מדינת ישראל נ' מלינקר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B049" w14:textId="77777777" w:rsidR="00104AFC" w:rsidRDefault="00104AF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(ק"ג) 585/00</w:t>
    </w:r>
    <w:r>
      <w:rPr>
        <w:rFonts w:hAnsi="David"/>
        <w:color w:val="000000"/>
        <w:sz w:val="22"/>
        <w:szCs w:val="22"/>
        <w:rtl/>
      </w:rPr>
      <w:tab/>
      <w:t xml:space="preserve"> מדינת ישראל נ' מלינקר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2AD2"/>
    <w:multiLevelType w:val="multilevel"/>
    <w:tmpl w:val="EBD26BCA"/>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abstractNum w:abstractNumId="1" w15:restartNumberingAfterBreak="0">
    <w:nsid w:val="5DC648AE"/>
    <w:multiLevelType w:val="multilevel"/>
    <w:tmpl w:val="FCC489B0"/>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num w:numId="1" w16cid:durableId="1142774558">
    <w:abstractNumId w:val="0"/>
  </w:num>
  <w:num w:numId="2" w16cid:durableId="1661616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3036113">
    <w:abstractNumId w:val="1"/>
  </w:num>
  <w:num w:numId="4" w16cid:durableId="10526522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D721E5"/>
    <w:rsid w:val="00044923"/>
    <w:rsid w:val="00104AFC"/>
    <w:rsid w:val="005A316A"/>
    <w:rsid w:val="006C29A8"/>
    <w:rsid w:val="00774A4B"/>
    <w:rsid w:val="008F50FD"/>
    <w:rsid w:val="00BA4D16"/>
    <w:rsid w:val="00C12E54"/>
    <w:rsid w:val="00D721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0A90B0"/>
  <w15:chartTrackingRefBased/>
  <w15:docId w15:val="{95D41FB7-9FD8-44F9-AA60-6000970B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Cs/>
      <w:sz w:val="24"/>
      <w:szCs w:val="28"/>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sz w:val="24"/>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11">
    <w:name w:val="סגנון1"/>
    <w:basedOn w:val="Normal"/>
    <w:rPr>
      <w:bCs/>
    </w:rPr>
  </w:style>
  <w:style w:type="paragraph" w:customStyle="1" w:styleId="a2">
    <w:name w:val="תשובה"/>
    <w:basedOn w:val="Normal"/>
    <w:next w:val="a3"/>
    <w:pPr>
      <w:tabs>
        <w:tab w:val="num" w:pos="737"/>
      </w:tabs>
      <w:ind w:left="737" w:hanging="737"/>
    </w:pPr>
  </w:style>
  <w:style w:type="paragraph" w:customStyle="1" w:styleId="a3">
    <w:name w:val="שאלה"/>
    <w:basedOn w:val="11"/>
    <w:next w:val="a2"/>
    <w:autoRedefine/>
    <w:pPr>
      <w:tabs>
        <w:tab w:val="num" w:pos="737"/>
      </w:tabs>
      <w:ind w:left="737" w:hanging="737"/>
    </w:pPr>
    <w:rPr>
      <w:szCs w:val="22"/>
    </w:rPr>
  </w:style>
  <w:style w:type="paragraph" w:customStyle="1" w:styleId="a4">
    <w:name w:val="צטוט"/>
    <w:basedOn w:val="Normal"/>
    <w:pPr>
      <w:spacing w:line="240" w:lineRule="auto"/>
      <w:ind w:left="1134" w:right="1134"/>
    </w:pPr>
    <w:rPr>
      <w:bCs/>
      <w:szCs w:val="22"/>
    </w:rPr>
  </w:style>
  <w:style w:type="character" w:styleId="PageNumber">
    <w:name w:val="page number"/>
    <w:semiHidden/>
    <w:rPr>
      <w:rFonts w:cs="David"/>
    </w:rPr>
  </w:style>
  <w:style w:type="character" w:styleId="Hyperlink">
    <w:name w:val="Hyperlink"/>
    <w:rsid w:val="006C29A8"/>
    <w:rPr>
      <w:color w:val="0000FF"/>
      <w:u w:val="single"/>
    </w:rPr>
  </w:style>
  <w:style w:type="character" w:customStyle="1" w:styleId="a5">
    <w:name w:val="אזכור לא מזוהה"/>
    <w:uiPriority w:val="99"/>
    <w:semiHidden/>
    <w:unhideWhenUsed/>
    <w:rsid w:val="000449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f"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87/1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601546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87/11" TargetMode="External"/><Relationship Id="rId17" Type="http://schemas.openxmlformats.org/officeDocument/2006/relationships/hyperlink" Target="http://www.nevo.co.il/law/70387/9.a" TargetMode="External"/><Relationship Id="rId25" Type="http://schemas.openxmlformats.org/officeDocument/2006/relationships/hyperlink" Target="http://www.nevo.co.il/law/70301/349.b" TargetMode="External"/><Relationship Id="rId2" Type="http://schemas.openxmlformats.org/officeDocument/2006/relationships/styles" Target="styles.xml"/><Relationship Id="rId16" Type="http://schemas.openxmlformats.org/officeDocument/2006/relationships/hyperlink" Target="http://www.nevo.co.il/law/70387" TargetMode="External"/><Relationship Id="rId20" Type="http://schemas.openxmlformats.org/officeDocument/2006/relationships/hyperlink" Target="http://www.nevo.co.il/case/1792174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9.a" TargetMode="External"/><Relationship Id="rId24" Type="http://schemas.openxmlformats.org/officeDocument/2006/relationships/hyperlink" Target="http://www.nevo.co.il/case/567692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348.f" TargetMode="External"/><Relationship Id="rId28" Type="http://schemas.openxmlformats.org/officeDocument/2006/relationships/header" Target="header2.xml"/><Relationship Id="rId10" Type="http://schemas.openxmlformats.org/officeDocument/2006/relationships/hyperlink" Target="http://www.nevo.co.il/law/70387" TargetMode="External"/><Relationship Id="rId19" Type="http://schemas.openxmlformats.org/officeDocument/2006/relationships/hyperlink" Target="http://www.nevo.co.il/case/179106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9.b" TargetMode="External"/><Relationship Id="rId14" Type="http://schemas.openxmlformats.org/officeDocument/2006/relationships/hyperlink" Target="http://www.nevo.co.il/law/70301/349.b" TargetMode="External"/><Relationship Id="rId22" Type="http://schemas.openxmlformats.org/officeDocument/2006/relationships/hyperlink" Target="http://www.nevo.co.il/law/70301/349.b"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1915</Words>
  <Characters>10919</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12809</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5177439</vt:i4>
      </vt:variant>
      <vt:variant>
        <vt:i4>54</vt:i4>
      </vt:variant>
      <vt:variant>
        <vt:i4>0</vt:i4>
      </vt:variant>
      <vt:variant>
        <vt:i4>5</vt:i4>
      </vt:variant>
      <vt:variant>
        <vt:lpwstr>http://www.nevo.co.il/law/70301/349.b</vt:lpwstr>
      </vt:variant>
      <vt:variant>
        <vt:lpwstr/>
      </vt:variant>
      <vt:variant>
        <vt:i4>3866742</vt:i4>
      </vt:variant>
      <vt:variant>
        <vt:i4>51</vt:i4>
      </vt:variant>
      <vt:variant>
        <vt:i4>0</vt:i4>
      </vt:variant>
      <vt:variant>
        <vt:i4>5</vt:i4>
      </vt:variant>
      <vt:variant>
        <vt:lpwstr>http://www.nevo.co.il/case/5676920</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5177439</vt:i4>
      </vt:variant>
      <vt:variant>
        <vt:i4>45</vt:i4>
      </vt:variant>
      <vt:variant>
        <vt:i4>0</vt:i4>
      </vt:variant>
      <vt:variant>
        <vt:i4>5</vt:i4>
      </vt:variant>
      <vt:variant>
        <vt:lpwstr>http://www.nevo.co.il/law/70301/349.b</vt:lpwstr>
      </vt:variant>
      <vt:variant>
        <vt:lpwstr/>
      </vt:variant>
      <vt:variant>
        <vt:i4>3539063</vt:i4>
      </vt:variant>
      <vt:variant>
        <vt:i4>42</vt:i4>
      </vt:variant>
      <vt:variant>
        <vt:i4>0</vt:i4>
      </vt:variant>
      <vt:variant>
        <vt:i4>5</vt:i4>
      </vt:variant>
      <vt:variant>
        <vt:lpwstr>http://www.nevo.co.il/case/6015465</vt:lpwstr>
      </vt:variant>
      <vt:variant>
        <vt:lpwstr/>
      </vt:variant>
      <vt:variant>
        <vt:i4>3997814</vt:i4>
      </vt:variant>
      <vt:variant>
        <vt:i4>39</vt:i4>
      </vt:variant>
      <vt:variant>
        <vt:i4>0</vt:i4>
      </vt:variant>
      <vt:variant>
        <vt:i4>5</vt:i4>
      </vt:variant>
      <vt:variant>
        <vt:lpwstr>http://www.nevo.co.il/case/17921747</vt:lpwstr>
      </vt:variant>
      <vt:variant>
        <vt:lpwstr/>
      </vt:variant>
      <vt:variant>
        <vt:i4>4063348</vt:i4>
      </vt:variant>
      <vt:variant>
        <vt:i4>36</vt:i4>
      </vt:variant>
      <vt:variant>
        <vt:i4>0</vt:i4>
      </vt:variant>
      <vt:variant>
        <vt:i4>5</vt:i4>
      </vt:variant>
      <vt:variant>
        <vt:lpwstr>http://www.nevo.co.il/case/17910663</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7536746</vt:i4>
      </vt:variant>
      <vt:variant>
        <vt:i4>30</vt:i4>
      </vt:variant>
      <vt:variant>
        <vt:i4>0</vt:i4>
      </vt:variant>
      <vt:variant>
        <vt:i4>5</vt:i4>
      </vt:variant>
      <vt:variant>
        <vt:lpwstr>http://www.nevo.co.il/law/70387/9.a</vt:lpwstr>
      </vt:variant>
      <vt:variant>
        <vt:lpwstr/>
      </vt:variant>
      <vt:variant>
        <vt:i4>7471204</vt:i4>
      </vt:variant>
      <vt:variant>
        <vt:i4>27</vt:i4>
      </vt:variant>
      <vt:variant>
        <vt:i4>0</vt:i4>
      </vt:variant>
      <vt:variant>
        <vt:i4>5</vt:i4>
      </vt:variant>
      <vt:variant>
        <vt:lpwstr>http://www.nevo.co.il/law/70387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7077986</vt:i4>
      </vt:variant>
      <vt:variant>
        <vt:i4>15</vt:i4>
      </vt:variant>
      <vt:variant>
        <vt:i4>0</vt:i4>
      </vt:variant>
      <vt:variant>
        <vt:i4>5</vt:i4>
      </vt:variant>
      <vt:variant>
        <vt:lpwstr>http://www.nevo.co.il/law/70387/11</vt:lpwstr>
      </vt:variant>
      <vt:variant>
        <vt:lpwstr/>
      </vt:variant>
      <vt:variant>
        <vt:i4>7536746</vt:i4>
      </vt:variant>
      <vt:variant>
        <vt:i4>12</vt:i4>
      </vt:variant>
      <vt:variant>
        <vt:i4>0</vt:i4>
      </vt:variant>
      <vt:variant>
        <vt:i4>5</vt:i4>
      </vt:variant>
      <vt:variant>
        <vt:lpwstr>http://www.nevo.co.il/law/70387/9.a</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5177439</vt:i4>
      </vt:variant>
      <vt:variant>
        <vt:i4>6</vt:i4>
      </vt:variant>
      <vt:variant>
        <vt:i4>0</vt:i4>
      </vt:variant>
      <vt:variant>
        <vt:i4>5</vt:i4>
      </vt:variant>
      <vt:variant>
        <vt:lpwstr>http://www.nevo.co.il/law/70301/349.b</vt:lpwstr>
      </vt:variant>
      <vt:variant>
        <vt:lpwstr/>
      </vt:variant>
      <vt:variant>
        <vt:i4>5177438</vt:i4>
      </vt:variant>
      <vt:variant>
        <vt:i4>3</vt:i4>
      </vt:variant>
      <vt:variant>
        <vt:i4>0</vt:i4>
      </vt:variant>
      <vt:variant>
        <vt:i4>5</vt:i4>
      </vt:variant>
      <vt:variant>
        <vt:lpwstr>http://www.nevo.co.il/law/70301/348.f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2003-01-01T11:22:00Z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585</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מלינקר שלמה</vt:lpwstr>
  </property>
  <property fmtid="{D5CDD505-2E9C-101B-9397-08002B2CF9AE}" pid="9" name="LAWYER">
    <vt:lpwstr>אוזיזק;כהנא ליאור</vt:lpwstr>
  </property>
  <property fmtid="{D5CDD505-2E9C-101B-9397-08002B2CF9AE}" pid="10" name="JUDGE">
    <vt:lpwstr>אבי זמיר</vt:lpwstr>
  </property>
  <property fmtid="{D5CDD505-2E9C-101B-9397-08002B2CF9AE}" pid="11" name="CITY">
    <vt:lpwstr>ק"ג</vt:lpwstr>
  </property>
  <property fmtid="{D5CDD505-2E9C-101B-9397-08002B2CF9AE}" pid="12" name="DATE">
    <vt:lpwstr>20030101</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ISABSTRACT">
    <vt:lpwstr>Y</vt:lpwstr>
  </property>
  <property fmtid="{D5CDD505-2E9C-101B-9397-08002B2CF9AE}" pid="18" name="CASESLISTTMP1">
    <vt:lpwstr>17910663;17921747;6015465;5676920</vt:lpwstr>
  </property>
  <property fmtid="{D5CDD505-2E9C-101B-9397-08002B2CF9AE}" pid="19" name="LAWLISTTMP1">
    <vt:lpwstr>70301/349.b:3;348.f</vt:lpwstr>
  </property>
  <property fmtid="{D5CDD505-2E9C-101B-9397-08002B2CF9AE}" pid="20" name="LAWLISTTMP2">
    <vt:lpwstr>70387/009.a;011</vt:lpwstr>
  </property>
</Properties>
</file>