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A52A6" w14:textId="77777777" w:rsidR="002322F5" w:rsidRDefault="002322F5">
      <w:pPr>
        <w:pStyle w:val="Header"/>
        <w:framePr w:wrap="auto" w:vAnchor="text" w:hAnchor="margin" w:xAlign="center" w:y="1"/>
        <w:rPr>
          <w:rtl/>
        </w:rPr>
      </w:pPr>
      <w:bookmarkStart w:id="0" w:name="LastJudge"/>
    </w:p>
    <w:p w14:paraId="4B0176F5" w14:textId="77777777" w:rsidR="002322F5" w:rsidRDefault="002322F5">
      <w:pPr>
        <w:jc w:val="center"/>
        <w:rPr>
          <w:rFonts w:hint="cs"/>
          <w:rtl/>
        </w:rPr>
      </w:pPr>
    </w:p>
    <w:p w14:paraId="123D67E1" w14:textId="77777777" w:rsidR="002322F5" w:rsidRDefault="002322F5">
      <w:pPr>
        <w:jc w:val="center"/>
        <w:rPr>
          <w:rFonts w:hint="cs"/>
          <w:rtl/>
        </w:rPr>
      </w:pPr>
      <w:r>
        <w:t xml:space="preserve">    </w:t>
      </w:r>
    </w:p>
    <w:p w14:paraId="58C6D22B" w14:textId="77777777" w:rsidR="002322F5" w:rsidRDefault="002322F5">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14434F" w14:paraId="5AA677B9" w14:textId="77777777" w:rsidTr="0014434F">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5E7994A2" w14:textId="77777777" w:rsidR="0014434F" w:rsidRDefault="0014434F">
            <w:pPr>
              <w:rPr>
                <w:b/>
                <w:bCs/>
                <w:sz w:val="28"/>
                <w:szCs w:val="28"/>
              </w:rPr>
            </w:pPr>
            <w:r>
              <w:rPr>
                <w:rFonts w:hint="cs"/>
                <w:b/>
                <w:bCs/>
                <w:sz w:val="28"/>
                <w:szCs w:val="28"/>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794802F5" w14:textId="77777777" w:rsidR="0014434F" w:rsidRDefault="0014434F">
            <w:pPr>
              <w:rPr>
                <w:b/>
                <w:bCs/>
                <w:sz w:val="28"/>
                <w:szCs w:val="28"/>
              </w:rPr>
            </w:pPr>
            <w:r>
              <w:rPr>
                <w:rFonts w:hint="cs"/>
                <w:b/>
                <w:bCs/>
                <w:sz w:val="28"/>
                <w:szCs w:val="28"/>
                <w:rtl/>
              </w:rPr>
              <w:t>פ  002248/01</w:t>
            </w:r>
          </w:p>
        </w:tc>
      </w:tr>
      <w:tr w:rsidR="0014434F" w14:paraId="6A09EF0E" w14:textId="77777777" w:rsidTr="0014434F">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F4BE4D3" w14:textId="77777777" w:rsidR="0014434F" w:rsidRDefault="0014434F">
            <w:pPr>
              <w:bidi w:val="0"/>
              <w:spacing w:line="240" w:lineRule="auto"/>
              <w:jc w:val="left"/>
              <w:rPr>
                <w:b/>
                <w:bCs/>
                <w:sz w:val="28"/>
                <w:szCs w:val="28"/>
              </w:rPr>
            </w:pPr>
          </w:p>
        </w:tc>
        <w:tc>
          <w:tcPr>
            <w:tcW w:w="2915" w:type="dxa"/>
            <w:gridSpan w:val="2"/>
            <w:tcBorders>
              <w:top w:val="single" w:sz="4" w:space="0" w:color="auto"/>
              <w:left w:val="single" w:sz="4" w:space="0" w:color="auto"/>
              <w:bottom w:val="single" w:sz="4" w:space="0" w:color="auto"/>
              <w:right w:val="single" w:sz="4" w:space="0" w:color="auto"/>
            </w:tcBorders>
          </w:tcPr>
          <w:p w14:paraId="5D964CB7" w14:textId="77777777" w:rsidR="0014434F" w:rsidRDefault="0014434F">
            <w:pPr>
              <w:rPr>
                <w:b/>
                <w:bCs/>
                <w:sz w:val="28"/>
                <w:szCs w:val="28"/>
              </w:rPr>
            </w:pPr>
          </w:p>
        </w:tc>
      </w:tr>
      <w:tr w:rsidR="0014434F" w14:paraId="370E5C83" w14:textId="77777777" w:rsidTr="0014434F">
        <w:trPr>
          <w:trHeight w:val="286"/>
        </w:trPr>
        <w:tc>
          <w:tcPr>
            <w:tcW w:w="908" w:type="dxa"/>
            <w:tcBorders>
              <w:top w:val="single" w:sz="4" w:space="0" w:color="auto"/>
              <w:left w:val="single" w:sz="4" w:space="0" w:color="auto"/>
              <w:bottom w:val="single" w:sz="4" w:space="0" w:color="auto"/>
              <w:right w:val="single" w:sz="4" w:space="0" w:color="auto"/>
            </w:tcBorders>
          </w:tcPr>
          <w:p w14:paraId="1A24DF7A" w14:textId="77777777" w:rsidR="0014434F" w:rsidRDefault="0014434F">
            <w:pPr>
              <w:rPr>
                <w:b/>
                <w:bCs/>
                <w:sz w:val="28"/>
                <w:szCs w:val="28"/>
              </w:rPr>
            </w:pPr>
            <w:r>
              <w:rPr>
                <w:rFonts w:hint="cs"/>
                <w:b/>
                <w:bCs/>
                <w:sz w:val="28"/>
                <w:szCs w:val="28"/>
                <w:rtl/>
              </w:rPr>
              <w:t>בפני:</w:t>
            </w:r>
          </w:p>
        </w:tc>
        <w:tc>
          <w:tcPr>
            <w:tcW w:w="4706" w:type="dxa"/>
            <w:tcBorders>
              <w:top w:val="single" w:sz="4" w:space="0" w:color="auto"/>
              <w:left w:val="single" w:sz="4" w:space="0" w:color="auto"/>
              <w:bottom w:val="single" w:sz="4" w:space="0" w:color="auto"/>
              <w:right w:val="single" w:sz="4" w:space="0" w:color="auto"/>
            </w:tcBorders>
          </w:tcPr>
          <w:p w14:paraId="139E1AAC" w14:textId="77777777" w:rsidR="0014434F" w:rsidRDefault="0014434F">
            <w:pPr>
              <w:rPr>
                <w:b/>
                <w:bCs/>
                <w:sz w:val="28"/>
                <w:szCs w:val="28"/>
              </w:rPr>
            </w:pPr>
            <w:r>
              <w:rPr>
                <w:rFonts w:hint="cs"/>
                <w:b/>
                <w:bCs/>
                <w:sz w:val="28"/>
                <w:szCs w:val="28"/>
                <w:rtl/>
              </w:rPr>
              <w:t>כב' השופט דניאל בארי</w:t>
            </w:r>
          </w:p>
          <w:p w14:paraId="3371F9AC" w14:textId="77777777" w:rsidR="0014434F" w:rsidRDefault="0014434F">
            <w:pPr>
              <w:rPr>
                <w:b/>
                <w:bCs/>
                <w:sz w:val="28"/>
                <w:szCs w:val="28"/>
              </w:rPr>
            </w:pP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6841660" w14:textId="77777777" w:rsidR="0014434F" w:rsidRDefault="0014434F">
            <w:pPr>
              <w:rPr>
                <w:b/>
                <w:bCs/>
                <w:sz w:val="28"/>
                <w:szCs w:val="28"/>
              </w:rPr>
            </w:pPr>
            <w:r>
              <w:rPr>
                <w:rFonts w:hint="cs"/>
                <w:b/>
                <w:bCs/>
                <w:sz w:val="28"/>
                <w:szCs w:val="28"/>
                <w:rtl/>
              </w:rPr>
              <w:t>תאריך:</w:t>
            </w:r>
          </w:p>
        </w:tc>
        <w:tc>
          <w:tcPr>
            <w:tcW w:w="1951" w:type="dxa"/>
            <w:tcBorders>
              <w:top w:val="single" w:sz="4" w:space="0" w:color="auto"/>
              <w:left w:val="single" w:sz="4" w:space="0" w:color="auto"/>
              <w:bottom w:val="single" w:sz="4" w:space="0" w:color="auto"/>
              <w:right w:val="single" w:sz="4" w:space="0" w:color="auto"/>
            </w:tcBorders>
          </w:tcPr>
          <w:p w14:paraId="045B2105" w14:textId="77777777" w:rsidR="0014434F" w:rsidRDefault="0014434F">
            <w:pPr>
              <w:rPr>
                <w:b/>
                <w:bCs/>
                <w:sz w:val="28"/>
                <w:szCs w:val="28"/>
              </w:rPr>
            </w:pPr>
            <w:r>
              <w:rPr>
                <w:rFonts w:hint="cs"/>
                <w:b/>
                <w:bCs/>
                <w:sz w:val="28"/>
                <w:szCs w:val="28"/>
                <w:rtl/>
              </w:rPr>
              <w:t>20/11/2001</w:t>
            </w:r>
          </w:p>
        </w:tc>
      </w:tr>
    </w:tbl>
    <w:p w14:paraId="3CFFE10F" w14:textId="77777777" w:rsidR="002322F5" w:rsidRDefault="002322F5">
      <w:pPr>
        <w:rPr>
          <w:rFonts w:hint="cs"/>
          <w:b/>
          <w:bCs/>
          <w:sz w:val="28"/>
          <w:szCs w:val="28"/>
          <w:rtl/>
        </w:rPr>
      </w:pPr>
    </w:p>
    <w:p w14:paraId="3F69E3A0" w14:textId="77777777" w:rsidR="002322F5" w:rsidRDefault="002322F5">
      <w:pPr>
        <w:pStyle w:val="Header"/>
        <w:jc w:val="left"/>
        <w:rPr>
          <w:rFonts w:hint="cs"/>
          <w:szCs w:val="20"/>
          <w:rtl/>
        </w:rPr>
      </w:pPr>
    </w:p>
    <w:p w14:paraId="5C4E4F89" w14:textId="77777777" w:rsidR="002322F5" w:rsidRDefault="002322F5">
      <w:pPr>
        <w:pStyle w:val="a"/>
        <w:ind w:left="720"/>
        <w:rPr>
          <w:rFonts w:hint="cs"/>
          <w:b w:val="0"/>
          <w:bCs w:val="0"/>
          <w:sz w:val="28"/>
          <w:szCs w:val="28"/>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14434F" w14:paraId="131C34DD" w14:textId="77777777" w:rsidTr="0014434F">
        <w:tc>
          <w:tcPr>
            <w:tcW w:w="1362" w:type="dxa"/>
          </w:tcPr>
          <w:p w14:paraId="434E0F83" w14:textId="77777777" w:rsidR="0014434F" w:rsidRDefault="0014434F">
            <w:pPr>
              <w:rPr>
                <w:b/>
                <w:bCs/>
                <w:sz w:val="28"/>
                <w:szCs w:val="28"/>
              </w:rPr>
            </w:pPr>
            <w:bookmarkStart w:id="1" w:name="FirstAppellant"/>
            <w:r>
              <w:rPr>
                <w:rFonts w:hint="cs"/>
                <w:b/>
                <w:bCs/>
                <w:sz w:val="28"/>
                <w:szCs w:val="28"/>
                <w:rtl/>
              </w:rPr>
              <w:t>בעניין:</w:t>
            </w:r>
          </w:p>
        </w:tc>
        <w:tc>
          <w:tcPr>
            <w:tcW w:w="4820" w:type="dxa"/>
            <w:gridSpan w:val="2"/>
          </w:tcPr>
          <w:p w14:paraId="24B5FF24" w14:textId="77777777" w:rsidR="0014434F" w:rsidRDefault="0014434F">
            <w:pPr>
              <w:pStyle w:val="a"/>
              <w:rPr>
                <w:sz w:val="28"/>
                <w:szCs w:val="28"/>
              </w:rPr>
            </w:pPr>
            <w:r>
              <w:rPr>
                <w:rFonts w:hint="cs"/>
                <w:sz w:val="28"/>
                <w:szCs w:val="28"/>
                <w:rtl/>
              </w:rPr>
              <w:t>מדינת ישראל/פמת"א</w:t>
            </w:r>
          </w:p>
        </w:tc>
        <w:tc>
          <w:tcPr>
            <w:tcW w:w="2409" w:type="dxa"/>
          </w:tcPr>
          <w:p w14:paraId="7509C6CA" w14:textId="77777777" w:rsidR="0014434F" w:rsidRDefault="0014434F">
            <w:pPr>
              <w:pStyle w:val="a"/>
              <w:rPr>
                <w:sz w:val="28"/>
                <w:szCs w:val="28"/>
              </w:rPr>
            </w:pPr>
          </w:p>
        </w:tc>
      </w:tr>
      <w:tr w:rsidR="0014434F" w14:paraId="39185049" w14:textId="77777777" w:rsidTr="0014434F">
        <w:tc>
          <w:tcPr>
            <w:tcW w:w="1362" w:type="dxa"/>
          </w:tcPr>
          <w:p w14:paraId="3C24B0F7" w14:textId="77777777" w:rsidR="0014434F" w:rsidRDefault="0014434F">
            <w:pPr>
              <w:pStyle w:val="a"/>
              <w:rPr>
                <w:sz w:val="28"/>
                <w:szCs w:val="28"/>
              </w:rPr>
            </w:pPr>
            <w:bookmarkStart w:id="2" w:name="בא_כוח_א" w:colFirst="2" w:colLast="2"/>
            <w:bookmarkStart w:id="3" w:name="FirstLawyer"/>
            <w:bookmarkEnd w:id="1"/>
          </w:p>
        </w:tc>
        <w:tc>
          <w:tcPr>
            <w:tcW w:w="1757" w:type="dxa"/>
          </w:tcPr>
          <w:p w14:paraId="66A5D3C9" w14:textId="77777777" w:rsidR="0014434F" w:rsidRDefault="0014434F">
            <w:pPr>
              <w:pStyle w:val="a"/>
              <w:rPr>
                <w:sz w:val="28"/>
                <w:szCs w:val="28"/>
              </w:rPr>
            </w:pPr>
            <w:r>
              <w:rPr>
                <w:rFonts w:hint="cs"/>
                <w:sz w:val="28"/>
                <w:szCs w:val="28"/>
                <w:rtl/>
              </w:rPr>
              <w:t>ע"י ב"כ עו"ד</w:t>
            </w:r>
          </w:p>
        </w:tc>
        <w:tc>
          <w:tcPr>
            <w:tcW w:w="3063" w:type="dxa"/>
          </w:tcPr>
          <w:p w14:paraId="02BAC0FB" w14:textId="77777777" w:rsidR="0014434F" w:rsidRDefault="0014434F">
            <w:pPr>
              <w:pStyle w:val="a"/>
              <w:rPr>
                <w:sz w:val="28"/>
                <w:szCs w:val="28"/>
              </w:rPr>
            </w:pPr>
            <w:r>
              <w:rPr>
                <w:rFonts w:hint="cs"/>
                <w:sz w:val="28"/>
                <w:szCs w:val="28"/>
                <w:rtl/>
              </w:rPr>
              <w:t>דבוש אורלי</w:t>
            </w:r>
          </w:p>
        </w:tc>
        <w:tc>
          <w:tcPr>
            <w:tcW w:w="2409" w:type="dxa"/>
          </w:tcPr>
          <w:p w14:paraId="518A136E" w14:textId="77777777" w:rsidR="0014434F" w:rsidRDefault="0014434F">
            <w:pPr>
              <w:pStyle w:val="a"/>
              <w:rPr>
                <w:sz w:val="28"/>
                <w:szCs w:val="28"/>
              </w:rPr>
            </w:pPr>
            <w:r>
              <w:rPr>
                <w:rFonts w:hint="cs"/>
                <w:sz w:val="28"/>
                <w:szCs w:val="28"/>
                <w:rtl/>
              </w:rPr>
              <w:t>המאשימה</w:t>
            </w:r>
          </w:p>
        </w:tc>
      </w:tr>
      <w:bookmarkEnd w:id="2"/>
      <w:bookmarkEnd w:id="3"/>
      <w:tr w:rsidR="0014434F" w14:paraId="65935752" w14:textId="77777777" w:rsidTr="0014434F">
        <w:tc>
          <w:tcPr>
            <w:tcW w:w="1362" w:type="dxa"/>
          </w:tcPr>
          <w:p w14:paraId="74CCCB85" w14:textId="77777777" w:rsidR="0014434F" w:rsidRDefault="0014434F">
            <w:pPr>
              <w:pStyle w:val="a"/>
              <w:rPr>
                <w:sz w:val="28"/>
                <w:szCs w:val="28"/>
              </w:rPr>
            </w:pPr>
          </w:p>
        </w:tc>
        <w:tc>
          <w:tcPr>
            <w:tcW w:w="4820" w:type="dxa"/>
            <w:gridSpan w:val="2"/>
          </w:tcPr>
          <w:p w14:paraId="6FA8A6B3" w14:textId="77777777" w:rsidR="0014434F" w:rsidRDefault="0014434F">
            <w:pPr>
              <w:pStyle w:val="a"/>
              <w:jc w:val="center"/>
              <w:rPr>
                <w:sz w:val="28"/>
                <w:szCs w:val="28"/>
              </w:rPr>
            </w:pPr>
            <w:r>
              <w:rPr>
                <w:rFonts w:hint="cs"/>
                <w:sz w:val="28"/>
                <w:szCs w:val="28"/>
                <w:rtl/>
              </w:rPr>
              <w:t>נ  ג  ד</w:t>
            </w:r>
          </w:p>
        </w:tc>
        <w:tc>
          <w:tcPr>
            <w:tcW w:w="2409" w:type="dxa"/>
          </w:tcPr>
          <w:p w14:paraId="341004C2" w14:textId="77777777" w:rsidR="0014434F" w:rsidRDefault="0014434F">
            <w:pPr>
              <w:pStyle w:val="a"/>
              <w:rPr>
                <w:sz w:val="28"/>
                <w:szCs w:val="28"/>
              </w:rPr>
            </w:pPr>
          </w:p>
        </w:tc>
      </w:tr>
      <w:tr w:rsidR="0014434F" w14:paraId="08A1938D" w14:textId="77777777" w:rsidTr="0014434F">
        <w:tc>
          <w:tcPr>
            <w:tcW w:w="1362" w:type="dxa"/>
          </w:tcPr>
          <w:p w14:paraId="6089E49D" w14:textId="77777777" w:rsidR="0014434F" w:rsidRDefault="0014434F">
            <w:pPr>
              <w:pStyle w:val="a"/>
              <w:rPr>
                <w:sz w:val="28"/>
                <w:szCs w:val="28"/>
              </w:rPr>
            </w:pPr>
            <w:bookmarkStart w:id="4" w:name="שם_ב" w:colFirst="1" w:colLast="1"/>
          </w:p>
        </w:tc>
        <w:tc>
          <w:tcPr>
            <w:tcW w:w="4820" w:type="dxa"/>
            <w:gridSpan w:val="2"/>
          </w:tcPr>
          <w:p w14:paraId="25145698" w14:textId="77777777" w:rsidR="0014434F" w:rsidRDefault="0014434F">
            <w:pPr>
              <w:pStyle w:val="a"/>
              <w:rPr>
                <w:sz w:val="28"/>
                <w:szCs w:val="28"/>
              </w:rPr>
            </w:pPr>
            <w:r>
              <w:rPr>
                <w:rFonts w:hint="cs"/>
                <w:sz w:val="28"/>
                <w:szCs w:val="28"/>
                <w:rtl/>
              </w:rPr>
              <w:t>עלי חאלד</w:t>
            </w:r>
          </w:p>
        </w:tc>
        <w:tc>
          <w:tcPr>
            <w:tcW w:w="2409" w:type="dxa"/>
          </w:tcPr>
          <w:p w14:paraId="184ACCDA" w14:textId="77777777" w:rsidR="0014434F" w:rsidRDefault="0014434F">
            <w:pPr>
              <w:pStyle w:val="a"/>
              <w:rPr>
                <w:sz w:val="28"/>
                <w:szCs w:val="28"/>
              </w:rPr>
            </w:pPr>
          </w:p>
        </w:tc>
      </w:tr>
      <w:tr w:rsidR="0014434F" w14:paraId="62779B2D" w14:textId="77777777" w:rsidTr="0014434F">
        <w:tc>
          <w:tcPr>
            <w:tcW w:w="1362" w:type="dxa"/>
          </w:tcPr>
          <w:p w14:paraId="39A63F39" w14:textId="77777777" w:rsidR="0014434F" w:rsidRDefault="0014434F">
            <w:pPr>
              <w:pStyle w:val="a"/>
              <w:rPr>
                <w:sz w:val="28"/>
                <w:szCs w:val="28"/>
              </w:rPr>
            </w:pPr>
            <w:bookmarkStart w:id="5" w:name="בא_כוח_ב" w:colFirst="2" w:colLast="2"/>
            <w:bookmarkEnd w:id="4"/>
          </w:p>
        </w:tc>
        <w:tc>
          <w:tcPr>
            <w:tcW w:w="1757" w:type="dxa"/>
          </w:tcPr>
          <w:p w14:paraId="39D42D9F" w14:textId="77777777" w:rsidR="0014434F" w:rsidRDefault="0014434F">
            <w:pPr>
              <w:pStyle w:val="a"/>
              <w:rPr>
                <w:sz w:val="28"/>
                <w:szCs w:val="28"/>
              </w:rPr>
            </w:pPr>
            <w:r>
              <w:rPr>
                <w:rFonts w:hint="cs"/>
                <w:sz w:val="28"/>
                <w:szCs w:val="28"/>
                <w:rtl/>
              </w:rPr>
              <w:t>ע"י ב"כ עו"ד</w:t>
            </w:r>
          </w:p>
        </w:tc>
        <w:tc>
          <w:tcPr>
            <w:tcW w:w="3063" w:type="dxa"/>
          </w:tcPr>
          <w:p w14:paraId="1BE70448" w14:textId="77777777" w:rsidR="0014434F" w:rsidRDefault="0014434F">
            <w:pPr>
              <w:pStyle w:val="a"/>
              <w:rPr>
                <w:sz w:val="28"/>
                <w:szCs w:val="28"/>
              </w:rPr>
            </w:pPr>
            <w:r>
              <w:rPr>
                <w:rFonts w:hint="cs"/>
                <w:sz w:val="28"/>
                <w:szCs w:val="28"/>
                <w:rtl/>
              </w:rPr>
              <w:t>עו"ד מורה מרואן</w:t>
            </w:r>
          </w:p>
        </w:tc>
        <w:tc>
          <w:tcPr>
            <w:tcW w:w="2409" w:type="dxa"/>
          </w:tcPr>
          <w:p w14:paraId="089BF7A1" w14:textId="77777777" w:rsidR="0014434F" w:rsidRDefault="0014434F">
            <w:pPr>
              <w:pStyle w:val="a"/>
              <w:rPr>
                <w:sz w:val="28"/>
                <w:szCs w:val="28"/>
              </w:rPr>
            </w:pPr>
            <w:r>
              <w:rPr>
                <w:rFonts w:hint="cs"/>
                <w:sz w:val="28"/>
                <w:szCs w:val="28"/>
                <w:rtl/>
              </w:rPr>
              <w:t>הנאשם</w:t>
            </w:r>
          </w:p>
        </w:tc>
      </w:tr>
    </w:tbl>
    <w:p w14:paraId="2188F653" w14:textId="77777777" w:rsidR="009912C3" w:rsidRDefault="009912C3">
      <w:pPr>
        <w:pStyle w:val="a"/>
        <w:ind w:left="720"/>
        <w:rPr>
          <w:b w:val="0"/>
          <w:bCs w:val="0"/>
          <w:sz w:val="28"/>
          <w:szCs w:val="28"/>
          <w:rtl/>
        </w:rPr>
      </w:pPr>
      <w:bookmarkStart w:id="6" w:name="LawTable"/>
      <w:bookmarkEnd w:id="5"/>
      <w:bookmarkEnd w:id="6"/>
    </w:p>
    <w:p w14:paraId="1E5E93FD" w14:textId="77777777" w:rsidR="009912C3" w:rsidRPr="009912C3" w:rsidRDefault="009912C3" w:rsidP="009912C3">
      <w:pPr>
        <w:pStyle w:val="a"/>
        <w:spacing w:after="120" w:line="240" w:lineRule="exact"/>
        <w:ind w:left="283" w:hanging="283"/>
        <w:rPr>
          <w:rFonts w:ascii="FrankRuehl" w:hAnsi="FrankRuehl" w:cs="FrankRuehl"/>
          <w:b w:val="0"/>
          <w:bCs w:val="0"/>
          <w:sz w:val="24"/>
          <w:rtl/>
        </w:rPr>
      </w:pPr>
    </w:p>
    <w:p w14:paraId="2D600F7A" w14:textId="77777777" w:rsidR="009912C3" w:rsidRPr="009912C3" w:rsidRDefault="009912C3" w:rsidP="009912C3">
      <w:pPr>
        <w:pStyle w:val="a"/>
        <w:spacing w:after="120" w:line="240" w:lineRule="exact"/>
        <w:ind w:left="283" w:hanging="283"/>
        <w:rPr>
          <w:rFonts w:ascii="FrankRuehl" w:hAnsi="FrankRuehl" w:cs="FrankRuehl"/>
          <w:b w:val="0"/>
          <w:bCs w:val="0"/>
          <w:sz w:val="24"/>
          <w:rtl/>
        </w:rPr>
      </w:pPr>
      <w:r w:rsidRPr="009912C3">
        <w:rPr>
          <w:rFonts w:ascii="FrankRuehl" w:hAnsi="FrankRuehl" w:cs="FrankRuehl"/>
          <w:b w:val="0"/>
          <w:bCs w:val="0"/>
          <w:sz w:val="24"/>
          <w:rtl/>
        </w:rPr>
        <w:t xml:space="preserve">חקיקה שאוזכרה: </w:t>
      </w:r>
    </w:p>
    <w:p w14:paraId="593E887F" w14:textId="77777777" w:rsidR="009912C3" w:rsidRPr="009912C3" w:rsidRDefault="009912C3" w:rsidP="009912C3">
      <w:pPr>
        <w:pStyle w:val="a"/>
        <w:spacing w:after="120" w:line="240" w:lineRule="exact"/>
        <w:ind w:left="283" w:hanging="283"/>
        <w:rPr>
          <w:rFonts w:ascii="FrankRuehl" w:hAnsi="FrankRuehl" w:cs="FrankRuehl"/>
          <w:b w:val="0"/>
          <w:bCs w:val="0"/>
          <w:sz w:val="24"/>
          <w:rtl/>
        </w:rPr>
      </w:pPr>
      <w:hyperlink r:id="rId7" w:history="1">
        <w:r w:rsidRPr="009912C3">
          <w:rPr>
            <w:rFonts w:ascii="FrankRuehl" w:hAnsi="FrankRuehl" w:cs="FrankRuehl"/>
            <w:b w:val="0"/>
            <w:bCs w:val="0"/>
            <w:color w:val="0000FF"/>
            <w:sz w:val="24"/>
            <w:u w:val="single"/>
            <w:rtl/>
          </w:rPr>
          <w:t>חוק העונשין, תשל"ז-1977</w:t>
        </w:r>
      </w:hyperlink>
      <w:r w:rsidRPr="009912C3">
        <w:rPr>
          <w:rFonts w:ascii="FrankRuehl" w:hAnsi="FrankRuehl" w:cs="FrankRuehl"/>
          <w:b w:val="0"/>
          <w:bCs w:val="0"/>
          <w:sz w:val="24"/>
          <w:rtl/>
        </w:rPr>
        <w:t xml:space="preserve">: סע'  </w:t>
      </w:r>
      <w:hyperlink r:id="rId8" w:history="1">
        <w:r w:rsidRPr="009912C3">
          <w:rPr>
            <w:rFonts w:ascii="FrankRuehl" w:hAnsi="FrankRuehl" w:cs="FrankRuehl"/>
            <w:b w:val="0"/>
            <w:bCs w:val="0"/>
            <w:color w:val="0000FF"/>
            <w:sz w:val="24"/>
            <w:u w:val="single"/>
            <w:rtl/>
          </w:rPr>
          <w:t>348 (ג)</w:t>
        </w:r>
      </w:hyperlink>
    </w:p>
    <w:p w14:paraId="4F074D6C" w14:textId="77777777" w:rsidR="009912C3" w:rsidRPr="009912C3" w:rsidRDefault="009912C3" w:rsidP="009912C3">
      <w:pPr>
        <w:pStyle w:val="a"/>
        <w:spacing w:after="120" w:line="240" w:lineRule="exact"/>
        <w:ind w:left="283" w:hanging="283"/>
        <w:rPr>
          <w:rFonts w:ascii="FrankRuehl" w:hAnsi="FrankRuehl" w:cs="FrankRuehl"/>
          <w:b w:val="0"/>
          <w:bCs w:val="0"/>
          <w:sz w:val="24"/>
          <w:rtl/>
        </w:rPr>
      </w:pPr>
    </w:p>
    <w:p w14:paraId="6632078B" w14:textId="77777777" w:rsidR="009912C3" w:rsidRPr="009912C3" w:rsidRDefault="009912C3">
      <w:pPr>
        <w:pStyle w:val="a"/>
        <w:ind w:left="720"/>
        <w:rPr>
          <w:b w:val="0"/>
          <w:bCs w:val="0"/>
          <w:sz w:val="28"/>
          <w:szCs w:val="28"/>
          <w:rtl/>
        </w:rPr>
      </w:pPr>
      <w:bookmarkStart w:id="7" w:name="LawTable_End"/>
      <w:bookmarkEnd w:id="7"/>
    </w:p>
    <w:p w14:paraId="28583B23" w14:textId="77777777" w:rsidR="009912C3" w:rsidRPr="009912C3" w:rsidRDefault="009912C3">
      <w:pPr>
        <w:pStyle w:val="a"/>
        <w:ind w:left="720"/>
        <w:rPr>
          <w:b w:val="0"/>
          <w:bCs w:val="0"/>
          <w:sz w:val="28"/>
          <w:szCs w:val="28"/>
          <w:rtl/>
        </w:rPr>
      </w:pPr>
    </w:p>
    <w:p w14:paraId="5BE166CF" w14:textId="77777777" w:rsidR="009912C3" w:rsidRPr="009912C3" w:rsidRDefault="009912C3">
      <w:pPr>
        <w:pStyle w:val="a"/>
        <w:ind w:left="720"/>
        <w:rPr>
          <w:b w:val="0"/>
          <w:bCs w:val="0"/>
          <w:sz w:val="28"/>
          <w:szCs w:val="28"/>
          <w:rtl/>
        </w:rPr>
      </w:pPr>
    </w:p>
    <w:p w14:paraId="7131FCC5" w14:textId="77777777" w:rsidR="002322F5" w:rsidRPr="009912C3" w:rsidRDefault="002322F5">
      <w:pPr>
        <w:pStyle w:val="a"/>
        <w:ind w:left="720"/>
        <w:rPr>
          <w:rFonts w:hint="cs"/>
          <w:b w:val="0"/>
          <w:bCs w:val="0"/>
          <w:sz w:val="28"/>
          <w:szCs w:val="28"/>
          <w:rtl/>
        </w:rPr>
      </w:pPr>
    </w:p>
    <w:p w14:paraId="25BB0F26" w14:textId="77777777" w:rsidR="009912C3" w:rsidRPr="009912C3" w:rsidRDefault="009912C3">
      <w:pPr>
        <w:pStyle w:val="a"/>
        <w:ind w:left="720"/>
        <w:rPr>
          <w:b w:val="0"/>
          <w:bCs w:val="0"/>
          <w:sz w:val="28"/>
          <w:szCs w:val="28"/>
          <w:rtl/>
        </w:rPr>
      </w:pPr>
    </w:p>
    <w:p w14:paraId="1440E8C5" w14:textId="77777777" w:rsidR="009912C3" w:rsidRPr="009912C3" w:rsidRDefault="009912C3">
      <w:pPr>
        <w:pStyle w:val="a"/>
        <w:ind w:left="720"/>
        <w:rPr>
          <w:b w:val="0"/>
          <w:bCs w:val="0"/>
          <w:sz w:val="28"/>
          <w:szCs w:val="28"/>
          <w:rtl/>
        </w:rPr>
      </w:pPr>
    </w:p>
    <w:p w14:paraId="192E7761" w14:textId="77777777" w:rsidR="002322F5" w:rsidRPr="009912C3" w:rsidRDefault="002322F5">
      <w:pPr>
        <w:pStyle w:val="a"/>
        <w:ind w:left="720"/>
        <w:rPr>
          <w:rFonts w:hint="cs"/>
          <w:b w:val="0"/>
          <w:bCs w:val="0"/>
          <w:sz w:val="28"/>
          <w:szCs w:val="28"/>
          <w:rtl/>
        </w:rPr>
      </w:pPr>
    </w:p>
    <w:p w14:paraId="26A6855A" w14:textId="77777777" w:rsidR="00511563" w:rsidRPr="00511563" w:rsidRDefault="00511563">
      <w:pPr>
        <w:ind w:left="720"/>
        <w:jc w:val="center"/>
        <w:rPr>
          <w:sz w:val="28"/>
          <w:szCs w:val="28"/>
          <w:rtl/>
        </w:rPr>
      </w:pPr>
      <w:bookmarkStart w:id="8" w:name="סוג_מסמך"/>
      <w:bookmarkEnd w:id="8"/>
    </w:p>
    <w:p w14:paraId="5D56A19D" w14:textId="77777777" w:rsidR="00511563" w:rsidRPr="00511563" w:rsidRDefault="00511563">
      <w:pPr>
        <w:ind w:left="720"/>
        <w:jc w:val="center"/>
        <w:rPr>
          <w:b/>
          <w:bCs/>
          <w:sz w:val="28"/>
          <w:szCs w:val="28"/>
          <w:rtl/>
        </w:rPr>
      </w:pPr>
    </w:p>
    <w:p w14:paraId="5F82EEA8" w14:textId="77777777" w:rsidR="002322F5" w:rsidRPr="00511563" w:rsidRDefault="002322F5">
      <w:pPr>
        <w:ind w:left="720"/>
        <w:jc w:val="center"/>
        <w:rPr>
          <w:b/>
          <w:bCs/>
          <w:sz w:val="28"/>
          <w:szCs w:val="28"/>
          <w:rtl/>
        </w:rPr>
      </w:pPr>
    </w:p>
    <w:p w14:paraId="3D0A8F14" w14:textId="77777777" w:rsidR="002322F5" w:rsidRDefault="002322F5">
      <w:pPr>
        <w:jc w:val="center"/>
        <w:rPr>
          <w:b/>
          <w:bCs/>
          <w:sz w:val="28"/>
          <w:szCs w:val="28"/>
          <w:u w:val="single"/>
          <w:rtl/>
        </w:rPr>
      </w:pPr>
      <w:bookmarkStart w:id="9" w:name="PsakDin"/>
      <w:bookmarkEnd w:id="0"/>
      <w:r>
        <w:rPr>
          <w:b/>
          <w:bCs/>
          <w:sz w:val="28"/>
          <w:szCs w:val="28"/>
          <w:u w:val="single"/>
          <w:rtl/>
        </w:rPr>
        <w:lastRenderedPageBreak/>
        <w:t>הכרעת דין</w:t>
      </w:r>
    </w:p>
    <w:bookmarkEnd w:id="9"/>
    <w:p w14:paraId="591FC942" w14:textId="77777777" w:rsidR="002322F5" w:rsidRDefault="002322F5">
      <w:pPr>
        <w:jc w:val="center"/>
        <w:rPr>
          <w:rFonts w:hint="cs"/>
          <w:b/>
          <w:bCs/>
          <w:sz w:val="28"/>
          <w:szCs w:val="28"/>
          <w:u w:val="single"/>
          <w:rtl/>
        </w:rPr>
      </w:pPr>
    </w:p>
    <w:p w14:paraId="3378BE65" w14:textId="77777777" w:rsidR="002322F5" w:rsidRDefault="002322F5">
      <w:pPr>
        <w:pStyle w:val="Heading4"/>
        <w:rPr>
          <w:rFonts w:hint="cs"/>
          <w:rtl/>
        </w:rPr>
      </w:pPr>
      <w:r>
        <w:rPr>
          <w:rFonts w:hint="cs"/>
          <w:rtl/>
        </w:rPr>
        <w:t>כ ל ל י</w:t>
      </w:r>
    </w:p>
    <w:p w14:paraId="3A2D053B" w14:textId="77777777" w:rsidR="002322F5" w:rsidRDefault="002322F5">
      <w:pPr>
        <w:numPr>
          <w:ilvl w:val="0"/>
          <w:numId w:val="2"/>
        </w:numPr>
        <w:ind w:right="0"/>
        <w:rPr>
          <w:rFonts w:hint="cs"/>
          <w:b/>
          <w:bCs/>
          <w:sz w:val="28"/>
          <w:szCs w:val="28"/>
        </w:rPr>
      </w:pPr>
      <w:bookmarkStart w:id="10" w:name="ABSTRACT_START"/>
      <w:bookmarkEnd w:id="10"/>
      <w:r>
        <w:rPr>
          <w:rFonts w:hint="cs"/>
          <w:b/>
          <w:bCs/>
          <w:sz w:val="28"/>
          <w:szCs w:val="28"/>
          <w:rtl/>
        </w:rPr>
        <w:t xml:space="preserve">הנאשם מואשם בביצוע מעשה מגונה לפי סעיף </w:t>
      </w:r>
      <w:hyperlink r:id="rId9" w:history="1">
        <w:r w:rsidR="009912C3" w:rsidRPr="009912C3">
          <w:rPr>
            <w:b/>
            <w:bCs/>
            <w:color w:val="0000FF"/>
            <w:sz w:val="28"/>
            <w:szCs w:val="28"/>
            <w:u w:val="single"/>
            <w:rtl/>
          </w:rPr>
          <w:t>348 (ג)</w:t>
        </w:r>
      </w:hyperlink>
      <w:r>
        <w:rPr>
          <w:rFonts w:hint="cs"/>
          <w:b/>
          <w:bCs/>
          <w:sz w:val="28"/>
          <w:szCs w:val="28"/>
          <w:rtl/>
        </w:rPr>
        <w:t xml:space="preserve"> ל</w:t>
      </w:r>
      <w:hyperlink r:id="rId10" w:history="1">
        <w:r w:rsidR="00511563" w:rsidRPr="00511563">
          <w:rPr>
            <w:rStyle w:val="Hyperlink"/>
            <w:rFonts w:hint="eastAsia"/>
            <w:b/>
            <w:bCs/>
            <w:sz w:val="28"/>
            <w:szCs w:val="28"/>
            <w:rtl/>
          </w:rPr>
          <w:t>חוק</w:t>
        </w:r>
        <w:r w:rsidR="00511563" w:rsidRPr="00511563">
          <w:rPr>
            <w:rStyle w:val="Hyperlink"/>
            <w:b/>
            <w:bCs/>
            <w:sz w:val="28"/>
            <w:szCs w:val="28"/>
            <w:rtl/>
          </w:rPr>
          <w:t xml:space="preserve"> העונשין</w:t>
        </w:r>
      </w:hyperlink>
      <w:r>
        <w:rPr>
          <w:rFonts w:hint="cs"/>
          <w:b/>
          <w:bCs/>
          <w:sz w:val="28"/>
          <w:szCs w:val="28"/>
          <w:rtl/>
        </w:rPr>
        <w:t>, תשל"ז-1977 (להלן: "החוק"). לפי גירסת התביעה ביום 23/09/00 שעה ש-ת.ב. עבדה כמלצרית בגן אורנים בתל-אביב, חיבק אותה הנאשם, ליטף את גופה ואת אחוריה ותפס בה בחזה מעל לבגדיה ללא הסכמתה, לשם גירוי סיפוק או ביזוי מיניים.</w:t>
      </w:r>
    </w:p>
    <w:p w14:paraId="6C2E686C" w14:textId="77777777" w:rsidR="002322F5" w:rsidRDefault="002322F5">
      <w:pPr>
        <w:numPr>
          <w:ilvl w:val="0"/>
          <w:numId w:val="2"/>
        </w:numPr>
        <w:ind w:right="0"/>
        <w:rPr>
          <w:rFonts w:hint="cs"/>
          <w:b/>
          <w:bCs/>
          <w:sz w:val="28"/>
          <w:szCs w:val="28"/>
          <w:rtl/>
        </w:rPr>
      </w:pPr>
      <w:r>
        <w:rPr>
          <w:rFonts w:hint="cs"/>
          <w:b/>
          <w:bCs/>
          <w:sz w:val="28"/>
          <w:szCs w:val="28"/>
          <w:rtl/>
        </w:rPr>
        <w:t>הנאשם כפר במיוחס לו וטען שגם אם בוצעו המעשים המתוארים ע"י ת.ב. (להלן: "המתלוננת") זיהויה של המתלוננת אינו זיהוי ודאי ועל כן יש מקום לזכותו מכל אשמה</w:t>
      </w:r>
      <w:bookmarkStart w:id="11" w:name="ABSTRACT_END"/>
      <w:bookmarkEnd w:id="11"/>
      <w:r>
        <w:rPr>
          <w:rFonts w:hint="cs"/>
          <w:b/>
          <w:bCs/>
          <w:sz w:val="28"/>
          <w:szCs w:val="28"/>
          <w:rtl/>
        </w:rPr>
        <w:t>.</w:t>
      </w:r>
      <w:r>
        <w:rPr>
          <w:b/>
          <w:bCs/>
          <w:color w:val="FFFFFF"/>
          <w:sz w:val="4"/>
          <w:szCs w:val="4"/>
          <w:rtl/>
        </w:rPr>
        <w:t>נ</w:t>
      </w:r>
    </w:p>
    <w:p w14:paraId="4B68D5B8" w14:textId="77777777" w:rsidR="002322F5" w:rsidRDefault="002322F5">
      <w:pPr>
        <w:rPr>
          <w:rFonts w:hint="cs"/>
          <w:b/>
          <w:bCs/>
          <w:sz w:val="28"/>
          <w:szCs w:val="28"/>
          <w:u w:val="single"/>
          <w:rtl/>
        </w:rPr>
      </w:pPr>
    </w:p>
    <w:p w14:paraId="0FDBCFA2" w14:textId="77777777" w:rsidR="002322F5" w:rsidRDefault="002322F5">
      <w:pPr>
        <w:pStyle w:val="Heading4"/>
        <w:rPr>
          <w:rFonts w:hint="cs"/>
          <w:u w:val="none"/>
          <w:rtl/>
        </w:rPr>
      </w:pPr>
      <w:r>
        <w:rPr>
          <w:rFonts w:hint="cs"/>
          <w:rtl/>
        </w:rPr>
        <w:t>פרשת התביעה</w:t>
      </w:r>
    </w:p>
    <w:p w14:paraId="7EB940E1" w14:textId="77777777" w:rsidR="002322F5" w:rsidRDefault="002322F5">
      <w:pPr>
        <w:numPr>
          <w:ilvl w:val="0"/>
          <w:numId w:val="2"/>
        </w:numPr>
        <w:ind w:right="0"/>
        <w:rPr>
          <w:rFonts w:hint="cs"/>
          <w:b/>
          <w:bCs/>
          <w:sz w:val="28"/>
          <w:szCs w:val="28"/>
          <w:rtl/>
        </w:rPr>
      </w:pPr>
      <w:r>
        <w:rPr>
          <w:rFonts w:hint="cs"/>
          <w:b/>
          <w:bCs/>
          <w:sz w:val="28"/>
          <w:szCs w:val="28"/>
          <w:rtl/>
        </w:rPr>
        <w:t>מעדותה של המתלוננת בבית-המשפט עולים הפרטים הבאים:</w:t>
      </w:r>
    </w:p>
    <w:p w14:paraId="23FAFF6F" w14:textId="77777777" w:rsidR="002322F5" w:rsidRDefault="002322F5">
      <w:pPr>
        <w:numPr>
          <w:ilvl w:val="1"/>
          <w:numId w:val="2"/>
        </w:numPr>
        <w:ind w:right="0"/>
        <w:rPr>
          <w:rFonts w:hint="cs"/>
          <w:b/>
          <w:bCs/>
          <w:sz w:val="28"/>
          <w:szCs w:val="28"/>
          <w:rtl/>
        </w:rPr>
      </w:pPr>
      <w:r>
        <w:rPr>
          <w:rFonts w:hint="cs"/>
          <w:b/>
          <w:bCs/>
          <w:sz w:val="28"/>
          <w:szCs w:val="28"/>
          <w:rtl/>
        </w:rPr>
        <w:t>ביום 23/09/00 עבדה המתלוננת כמלצרית בגן אורנים. באותו יום היה תגבור לצוות הקבוע.  במהלך הערב, לקראת סופו, העדה ניגשה למראה כדי לאסוף את שערה.  המראה ממוקמת בין המטבח לחדר המנהל.</w:t>
      </w:r>
      <w:r>
        <w:rPr>
          <w:b/>
          <w:bCs/>
          <w:color w:val="FFFFFF"/>
          <w:sz w:val="4"/>
          <w:szCs w:val="4"/>
          <w:rtl/>
        </w:rPr>
        <w:t>ב</w:t>
      </w:r>
    </w:p>
    <w:p w14:paraId="6F261D5D" w14:textId="77777777" w:rsidR="002322F5" w:rsidRDefault="002322F5">
      <w:pPr>
        <w:rPr>
          <w:b/>
          <w:bCs/>
          <w:sz w:val="28"/>
          <w:szCs w:val="28"/>
          <w:rtl/>
        </w:rPr>
      </w:pPr>
    </w:p>
    <w:p w14:paraId="24416309" w14:textId="77777777" w:rsidR="002322F5" w:rsidRDefault="002322F5">
      <w:pPr>
        <w:numPr>
          <w:ilvl w:val="1"/>
          <w:numId w:val="2"/>
        </w:numPr>
        <w:ind w:right="0"/>
        <w:rPr>
          <w:rFonts w:hint="cs"/>
          <w:rtl/>
        </w:rPr>
      </w:pPr>
      <w:r>
        <w:rPr>
          <w:rFonts w:hint="cs"/>
          <w:b/>
          <w:bCs/>
          <w:sz w:val="28"/>
          <w:szCs w:val="28"/>
          <w:rtl/>
        </w:rPr>
        <w:t xml:space="preserve">לדברי המתלוננת, הנאשם עבר במקום וליטף אותה בגב ובישבן ולפני כן העביר ידו על חזה. היא ציינה כי זה היה מעין צביטה. העדה הוסיפה כי הפרוזדור ברוחב של יותר ממטר. לשאלת ביהמ"ש ציינה העדה "אני לא חושבת שהנגיעה היתה מקרית, לא היה מדובר בנגיעה אחת". </w:t>
      </w:r>
    </w:p>
    <w:p w14:paraId="7B81199F" w14:textId="77777777" w:rsidR="002322F5" w:rsidRDefault="002322F5">
      <w:pPr>
        <w:rPr>
          <w:b/>
          <w:bCs/>
          <w:sz w:val="28"/>
          <w:szCs w:val="28"/>
          <w:rtl/>
        </w:rPr>
      </w:pPr>
    </w:p>
    <w:p w14:paraId="22C0E24C" w14:textId="77777777" w:rsidR="002322F5" w:rsidRDefault="002322F5">
      <w:pPr>
        <w:numPr>
          <w:ilvl w:val="1"/>
          <w:numId w:val="2"/>
        </w:numPr>
        <w:ind w:right="0"/>
        <w:rPr>
          <w:rFonts w:hint="cs"/>
          <w:rtl/>
        </w:rPr>
      </w:pPr>
      <w:r>
        <w:rPr>
          <w:rFonts w:hint="cs"/>
          <w:b/>
          <w:bCs/>
          <w:sz w:val="28"/>
          <w:szCs w:val="28"/>
          <w:rtl/>
        </w:rPr>
        <w:t xml:space="preserve">בהמשך מסרה העדה כי היא צעקה "מה אתה עושה". האדם שנגע בה לא הגיב וחזר למטבח. העדה נכנסה לחדר המנהל ולא מצאה אותו בחדרו. היא סיפרה את מה שהתרחש לחברתה יעל,  בכתה </w:t>
      </w:r>
      <w:r>
        <w:rPr>
          <w:rFonts w:hint="cs"/>
          <w:b/>
          <w:bCs/>
          <w:sz w:val="28"/>
          <w:szCs w:val="28"/>
          <w:rtl/>
        </w:rPr>
        <w:lastRenderedPageBreak/>
        <w:t>והיתה בהלם. חברתה יעל ואחיה שעבד אף הוא במקום, שכנעו אותה להגיש תלונה.</w:t>
      </w:r>
      <w:r>
        <w:rPr>
          <w:b/>
          <w:bCs/>
          <w:color w:val="FFFFFF"/>
          <w:sz w:val="4"/>
          <w:szCs w:val="4"/>
          <w:rtl/>
        </w:rPr>
        <w:t>ו</w:t>
      </w:r>
    </w:p>
    <w:p w14:paraId="5CB64910" w14:textId="77777777" w:rsidR="002322F5" w:rsidRDefault="002322F5">
      <w:pPr>
        <w:rPr>
          <w:rtl/>
        </w:rPr>
      </w:pPr>
    </w:p>
    <w:p w14:paraId="581DC147" w14:textId="77777777" w:rsidR="002322F5" w:rsidRDefault="002322F5">
      <w:pPr>
        <w:numPr>
          <w:ilvl w:val="1"/>
          <w:numId w:val="2"/>
        </w:numPr>
        <w:ind w:right="0"/>
        <w:rPr>
          <w:rFonts w:hint="cs"/>
          <w:rtl/>
        </w:rPr>
      </w:pPr>
      <w:r>
        <w:rPr>
          <w:rFonts w:hint="cs"/>
          <w:b/>
          <w:bCs/>
          <w:sz w:val="28"/>
          <w:szCs w:val="28"/>
          <w:rtl/>
        </w:rPr>
        <w:t>העדה הוסיפה כי נערך עימות בינה לבין הנאשם. הוא הכחיש כי עשה את המעשה. העדה הוסיפה כי היא בטוחה שהאיש שהתעמתה עמו עשה את המעשה.</w:t>
      </w:r>
      <w:r>
        <w:rPr>
          <w:b/>
          <w:bCs/>
          <w:color w:val="FFFFFF"/>
          <w:sz w:val="4"/>
          <w:szCs w:val="4"/>
          <w:rtl/>
        </w:rPr>
        <w:t>נ</w:t>
      </w:r>
    </w:p>
    <w:p w14:paraId="088CB22A" w14:textId="77777777" w:rsidR="002322F5" w:rsidRDefault="002322F5">
      <w:pPr>
        <w:rPr>
          <w:rtl/>
        </w:rPr>
      </w:pPr>
    </w:p>
    <w:p w14:paraId="189BA1EB" w14:textId="77777777" w:rsidR="002322F5" w:rsidRDefault="002322F5">
      <w:pPr>
        <w:numPr>
          <w:ilvl w:val="1"/>
          <w:numId w:val="2"/>
        </w:numPr>
        <w:ind w:right="0"/>
        <w:rPr>
          <w:rFonts w:hint="cs"/>
          <w:rtl/>
        </w:rPr>
      </w:pPr>
      <w:r>
        <w:rPr>
          <w:rFonts w:hint="cs"/>
          <w:b/>
          <w:bCs/>
          <w:sz w:val="28"/>
          <w:szCs w:val="28"/>
          <w:rtl/>
        </w:rPr>
        <w:t xml:space="preserve">בחקירתה הנגדית ציינה המתלוננת כי הפרוזדור הוא מעבר בין שני אולמות שנמצאים במקום. באותו ערב דלת אחת האולמות היתה נעולה. </w:t>
      </w:r>
    </w:p>
    <w:p w14:paraId="259F71BD" w14:textId="77777777" w:rsidR="002322F5" w:rsidRDefault="002322F5">
      <w:pPr>
        <w:rPr>
          <w:b/>
          <w:bCs/>
          <w:sz w:val="28"/>
          <w:szCs w:val="28"/>
          <w:rtl/>
        </w:rPr>
      </w:pPr>
    </w:p>
    <w:p w14:paraId="70DB306E" w14:textId="77777777" w:rsidR="002322F5" w:rsidRDefault="002322F5">
      <w:pPr>
        <w:numPr>
          <w:ilvl w:val="1"/>
          <w:numId w:val="2"/>
        </w:numPr>
        <w:ind w:right="0"/>
        <w:rPr>
          <w:rFonts w:hint="cs"/>
          <w:rtl/>
        </w:rPr>
      </w:pPr>
      <w:r>
        <w:rPr>
          <w:rFonts w:hint="cs"/>
          <w:b/>
          <w:bCs/>
          <w:sz w:val="28"/>
          <w:szCs w:val="28"/>
          <w:rtl/>
        </w:rPr>
        <w:t xml:space="preserve">המתלוננת הוסיפה כי אין סיבה למלצר  לעבור במסדרון לכיוון אולם לא פעיל, אלא אם כן הוא הולך לחדר המנהל. לדבריה, הנאשם בא מהצד, קודם אחז בחזה ואח"כ ליטף אותה. לדבריה היא הלכה אחריו וצעקה "מה אתה עושה". הנאשם לא הגיב וחזר לעבודה. </w:t>
      </w:r>
    </w:p>
    <w:p w14:paraId="23DDE4D3" w14:textId="77777777" w:rsidR="002322F5" w:rsidRDefault="002322F5">
      <w:pPr>
        <w:rPr>
          <w:rtl/>
        </w:rPr>
      </w:pPr>
    </w:p>
    <w:p w14:paraId="12A025AE" w14:textId="77777777" w:rsidR="002322F5" w:rsidRDefault="002322F5">
      <w:pPr>
        <w:numPr>
          <w:ilvl w:val="1"/>
          <w:numId w:val="2"/>
        </w:numPr>
        <w:ind w:right="0"/>
        <w:rPr>
          <w:rFonts w:hint="cs"/>
          <w:rtl/>
        </w:rPr>
      </w:pPr>
      <w:r>
        <w:rPr>
          <w:rFonts w:hint="cs"/>
          <w:b/>
          <w:bCs/>
          <w:sz w:val="28"/>
          <w:szCs w:val="28"/>
          <w:rtl/>
        </w:rPr>
        <w:t xml:space="preserve">בחקירה הנגדית הוסיפה המתלוננת "בנגיעה ראיתי אותו מעורפל ומיד אחרי זה הלכתי אחריו וראיתי מי זה". העדה ציינה כי לא היו אנשים נוספים במסדרון. העדה ציינה כי לאחר שהתלוננה אצל המנהל, היא הצביעה לאיש הבטחון מי האדם שנגע בה. </w:t>
      </w:r>
    </w:p>
    <w:p w14:paraId="24D25270" w14:textId="77777777" w:rsidR="002322F5" w:rsidRDefault="002322F5">
      <w:pPr>
        <w:rPr>
          <w:rtl/>
        </w:rPr>
      </w:pPr>
    </w:p>
    <w:p w14:paraId="33B15E71" w14:textId="77777777" w:rsidR="002322F5" w:rsidRDefault="002322F5">
      <w:pPr>
        <w:numPr>
          <w:ilvl w:val="0"/>
          <w:numId w:val="2"/>
        </w:numPr>
        <w:ind w:right="0"/>
        <w:rPr>
          <w:rFonts w:hint="cs"/>
          <w:b/>
          <w:bCs/>
          <w:sz w:val="28"/>
          <w:szCs w:val="28"/>
          <w:rtl/>
        </w:rPr>
      </w:pPr>
      <w:r>
        <w:rPr>
          <w:rFonts w:hint="cs"/>
          <w:b/>
          <w:bCs/>
          <w:sz w:val="28"/>
          <w:szCs w:val="28"/>
          <w:rtl/>
        </w:rPr>
        <w:t>מעדותה של יעל שירין, חברתה של המתלוננת, עולים הפרטים הבאים:</w:t>
      </w:r>
    </w:p>
    <w:p w14:paraId="3680E107" w14:textId="77777777" w:rsidR="002322F5" w:rsidRDefault="002322F5">
      <w:pPr>
        <w:numPr>
          <w:ilvl w:val="1"/>
          <w:numId w:val="2"/>
        </w:numPr>
        <w:ind w:right="0"/>
        <w:rPr>
          <w:b/>
          <w:bCs/>
          <w:sz w:val="28"/>
          <w:szCs w:val="28"/>
          <w:rtl/>
        </w:rPr>
      </w:pPr>
      <w:r>
        <w:rPr>
          <w:rFonts w:hint="cs"/>
          <w:b/>
          <w:bCs/>
          <w:sz w:val="28"/>
          <w:szCs w:val="28"/>
          <w:rtl/>
        </w:rPr>
        <w:t xml:space="preserve">העדה ציינה כי חברתה עמדה ליד מראה וסידרה שערותיה. לאחר המקרה היא ראתה את המתלוננת בוכה. היא סיפרה לה כי אחד העובדים שמנקה את הצלחות עבר לידה בזמן שעשתה קוקו, העביר את ידו על ישבנה ולאחר-מכן תפס בחזה. </w:t>
      </w:r>
    </w:p>
    <w:p w14:paraId="0945AA6E" w14:textId="77777777" w:rsidR="002322F5" w:rsidRDefault="002322F5">
      <w:pPr>
        <w:numPr>
          <w:ilvl w:val="1"/>
          <w:numId w:val="2"/>
        </w:numPr>
        <w:ind w:right="0"/>
        <w:rPr>
          <w:rFonts w:hint="cs"/>
          <w:b/>
          <w:bCs/>
          <w:sz w:val="28"/>
          <w:szCs w:val="28"/>
          <w:rtl/>
        </w:rPr>
      </w:pPr>
      <w:r>
        <w:rPr>
          <w:rFonts w:hint="cs"/>
          <w:b/>
          <w:bCs/>
          <w:sz w:val="28"/>
          <w:szCs w:val="28"/>
          <w:rtl/>
        </w:rPr>
        <w:t>לאחר האירוע היא והמתלוננת ניגשו למנהל בליווי אחיה של המתלוננת שאף הוא עבד במקום, וסיפרו על האירועים. העדה הוסיפה עוד כי המתלוננת צעקה על העובד ואמרה לו כי אין לו זכות לגעת בה.</w:t>
      </w:r>
      <w:r>
        <w:rPr>
          <w:b/>
          <w:bCs/>
          <w:color w:val="FFFFFF"/>
          <w:sz w:val="4"/>
          <w:szCs w:val="4"/>
          <w:rtl/>
        </w:rPr>
        <w:t>ב</w:t>
      </w:r>
    </w:p>
    <w:p w14:paraId="50A7EC1E" w14:textId="77777777" w:rsidR="002322F5" w:rsidRDefault="002322F5">
      <w:pPr>
        <w:numPr>
          <w:ilvl w:val="1"/>
          <w:numId w:val="2"/>
        </w:numPr>
        <w:ind w:right="0"/>
        <w:rPr>
          <w:b/>
          <w:bCs/>
          <w:sz w:val="28"/>
          <w:szCs w:val="28"/>
          <w:rtl/>
        </w:rPr>
      </w:pPr>
      <w:r>
        <w:rPr>
          <w:rFonts w:hint="cs"/>
          <w:b/>
          <w:bCs/>
          <w:sz w:val="28"/>
          <w:szCs w:val="28"/>
          <w:rtl/>
        </w:rPr>
        <w:lastRenderedPageBreak/>
        <w:t xml:space="preserve">בחקירתה הנגדית אישרה העדה כי לא ראתה האירוע. היא הוסיפה כי המסדרון הוא רחב וכי המרחק בין המטבח למראה הוא 5-4 מטר. </w:t>
      </w:r>
    </w:p>
    <w:p w14:paraId="551A108A" w14:textId="77777777" w:rsidR="002322F5" w:rsidRDefault="002322F5">
      <w:pPr>
        <w:rPr>
          <w:b/>
          <w:bCs/>
          <w:sz w:val="28"/>
          <w:szCs w:val="28"/>
          <w:rtl/>
        </w:rPr>
      </w:pPr>
    </w:p>
    <w:p w14:paraId="63F96F93" w14:textId="77777777" w:rsidR="002322F5" w:rsidRDefault="002322F5">
      <w:pPr>
        <w:numPr>
          <w:ilvl w:val="0"/>
          <w:numId w:val="2"/>
        </w:numPr>
        <w:ind w:right="0"/>
        <w:rPr>
          <w:rFonts w:hint="cs"/>
          <w:b/>
          <w:bCs/>
          <w:sz w:val="28"/>
          <w:szCs w:val="28"/>
          <w:rtl/>
        </w:rPr>
      </w:pPr>
      <w:r>
        <w:rPr>
          <w:rFonts w:hint="cs"/>
          <w:b/>
          <w:bCs/>
          <w:sz w:val="28"/>
          <w:szCs w:val="28"/>
          <w:rtl/>
        </w:rPr>
        <w:t xml:space="preserve">מדו"ח הפעולה שערך רס"ל טובייביץ יורי עולה כי ביום 23/09/01 בשעה 23.36 בגן-אורנים המתלוננת הצביעה על הנאשם כמי שביצע בה מעשה מגונה. הנאשם הגיב לדברים ואמר "כי הוא עבד בנקיון יום ראשון נשלח ע"י חברת כח-אדם, לא יודע על מה מדובר, יש הרבה עובדים במקום". </w:t>
      </w:r>
    </w:p>
    <w:p w14:paraId="733A3463" w14:textId="77777777" w:rsidR="002322F5" w:rsidRDefault="002322F5">
      <w:pPr>
        <w:rPr>
          <w:rFonts w:hint="cs"/>
          <w:b/>
          <w:bCs/>
          <w:sz w:val="28"/>
          <w:szCs w:val="28"/>
          <w:rtl/>
        </w:rPr>
      </w:pPr>
    </w:p>
    <w:p w14:paraId="1AF8BFF0" w14:textId="77777777" w:rsidR="002322F5" w:rsidRDefault="002322F5">
      <w:pPr>
        <w:numPr>
          <w:ilvl w:val="0"/>
          <w:numId w:val="2"/>
        </w:numPr>
        <w:ind w:right="0"/>
        <w:rPr>
          <w:rFonts w:hint="cs"/>
          <w:b/>
          <w:bCs/>
          <w:sz w:val="28"/>
          <w:szCs w:val="28"/>
          <w:rtl/>
        </w:rPr>
      </w:pPr>
      <w:r>
        <w:rPr>
          <w:rFonts w:hint="cs"/>
          <w:b/>
          <w:bCs/>
          <w:sz w:val="28"/>
          <w:szCs w:val="28"/>
          <w:rtl/>
        </w:rPr>
        <w:t>בעימות שנערך בין המתלוננת לנאשם, כל צד עמד על גירסתו. לדברי המתלוננת שציינה שהיו שתי נגיעות הגיב החשוד "היא אומרת פעמיים, אני לא זוכר בכלל שנגעתי בה". לכך מגיבה המתלוננת</w:t>
      </w:r>
      <w:r>
        <w:rPr>
          <w:rFonts w:hint="cs"/>
          <w:b/>
          <w:bCs/>
          <w:sz w:val="28"/>
          <w:szCs w:val="28"/>
        </w:rPr>
        <w:t xml:space="preserve"> </w:t>
      </w:r>
      <w:r>
        <w:rPr>
          <w:rFonts w:hint="cs"/>
          <w:b/>
          <w:bCs/>
          <w:sz w:val="28"/>
          <w:szCs w:val="28"/>
          <w:rtl/>
        </w:rPr>
        <w:t>אתה לא זוכר שצרחתי  עליך ואמרת לי "חלאס לא לצעוק".</w:t>
      </w:r>
      <w:r>
        <w:rPr>
          <w:b/>
          <w:bCs/>
          <w:color w:val="FFFFFF"/>
          <w:sz w:val="4"/>
          <w:szCs w:val="4"/>
          <w:rtl/>
        </w:rPr>
        <w:t>ו</w:t>
      </w:r>
    </w:p>
    <w:p w14:paraId="53E82B55" w14:textId="77777777" w:rsidR="002322F5" w:rsidRDefault="002322F5">
      <w:pPr>
        <w:rPr>
          <w:rFonts w:hint="cs"/>
          <w:b/>
          <w:bCs/>
          <w:sz w:val="28"/>
          <w:szCs w:val="28"/>
          <w:u w:val="single"/>
          <w:rtl/>
        </w:rPr>
      </w:pPr>
    </w:p>
    <w:p w14:paraId="0CD35138" w14:textId="77777777" w:rsidR="002322F5" w:rsidRDefault="002322F5">
      <w:pPr>
        <w:pStyle w:val="Heading4"/>
        <w:rPr>
          <w:rFonts w:hint="cs"/>
          <w:u w:val="none"/>
          <w:rtl/>
        </w:rPr>
      </w:pPr>
      <w:r>
        <w:rPr>
          <w:rFonts w:hint="cs"/>
          <w:rtl/>
        </w:rPr>
        <w:t>גירסת הנאשם</w:t>
      </w:r>
    </w:p>
    <w:p w14:paraId="21DF960E" w14:textId="77777777" w:rsidR="002322F5" w:rsidRDefault="002322F5">
      <w:pPr>
        <w:numPr>
          <w:ilvl w:val="0"/>
          <w:numId w:val="2"/>
        </w:numPr>
        <w:ind w:right="0"/>
        <w:rPr>
          <w:rFonts w:hint="cs"/>
          <w:b/>
          <w:bCs/>
          <w:sz w:val="28"/>
          <w:szCs w:val="28"/>
          <w:rtl/>
        </w:rPr>
      </w:pPr>
      <w:r>
        <w:rPr>
          <w:rFonts w:hint="cs"/>
          <w:b/>
          <w:bCs/>
          <w:sz w:val="28"/>
          <w:szCs w:val="28"/>
          <w:rtl/>
        </w:rPr>
        <w:t>בהודעתו במשטרה שנמסרה ביום 24/09/00 בשעה 01.15 מסר הנאשם את הפרטים הבאים:</w:t>
      </w:r>
    </w:p>
    <w:p w14:paraId="198C6038" w14:textId="77777777" w:rsidR="002322F5" w:rsidRDefault="002322F5">
      <w:pPr>
        <w:numPr>
          <w:ilvl w:val="1"/>
          <w:numId w:val="2"/>
        </w:numPr>
        <w:ind w:right="0"/>
        <w:rPr>
          <w:b/>
          <w:bCs/>
          <w:sz w:val="28"/>
          <w:szCs w:val="28"/>
          <w:rtl/>
        </w:rPr>
      </w:pPr>
      <w:r>
        <w:rPr>
          <w:rFonts w:hint="cs"/>
          <w:b/>
          <w:bCs/>
          <w:sz w:val="28"/>
          <w:szCs w:val="28"/>
          <w:rtl/>
        </w:rPr>
        <w:t xml:space="preserve">הנאשם ציין כי הוא עבד בשטיפת כלים במטבח. המתלוננת טענה שהוא נגע בה. לדבריו, הוא היה במטבח ואולי הוא נגע לה ביד כשלקח צלחות. </w:t>
      </w:r>
    </w:p>
    <w:p w14:paraId="3954029C" w14:textId="77777777" w:rsidR="002322F5" w:rsidRDefault="002322F5">
      <w:pPr>
        <w:numPr>
          <w:ilvl w:val="1"/>
          <w:numId w:val="2"/>
        </w:numPr>
        <w:ind w:right="0"/>
        <w:rPr>
          <w:rFonts w:hint="cs"/>
          <w:b/>
          <w:bCs/>
          <w:sz w:val="28"/>
          <w:szCs w:val="28"/>
          <w:rtl/>
        </w:rPr>
      </w:pPr>
      <w:r>
        <w:rPr>
          <w:rFonts w:hint="cs"/>
          <w:b/>
          <w:bCs/>
          <w:sz w:val="28"/>
          <w:szCs w:val="28"/>
          <w:rtl/>
        </w:rPr>
        <w:t>הנאשם הכחיש כי נגע בחזה או בישבנה של המתלוננת וכאשר נשאל מדוע המתלוננת צעקה עליו הגיב "לא יודע למה צעקה, הייתי עובד, לקחתי את הצלחות וצעקה  לעברי "אל תיגע בי". לא יודע מה היא אמרה וזה הכל. "איך אני אגיע אליה, אני במטבח והיא בחוץ".</w:t>
      </w:r>
      <w:r>
        <w:rPr>
          <w:b/>
          <w:bCs/>
          <w:color w:val="FFFFFF"/>
          <w:sz w:val="4"/>
          <w:szCs w:val="4"/>
          <w:rtl/>
        </w:rPr>
        <w:t>נ</w:t>
      </w:r>
    </w:p>
    <w:p w14:paraId="66F4F256" w14:textId="77777777" w:rsidR="002322F5" w:rsidRDefault="002322F5">
      <w:pPr>
        <w:numPr>
          <w:ilvl w:val="1"/>
          <w:numId w:val="2"/>
        </w:numPr>
        <w:ind w:right="0"/>
        <w:rPr>
          <w:b/>
          <w:bCs/>
          <w:sz w:val="28"/>
          <w:szCs w:val="28"/>
          <w:rtl/>
        </w:rPr>
      </w:pPr>
      <w:r>
        <w:rPr>
          <w:rFonts w:hint="cs"/>
          <w:b/>
          <w:bCs/>
          <w:sz w:val="28"/>
          <w:szCs w:val="28"/>
          <w:rtl/>
        </w:rPr>
        <w:t>גם בעת העימות שנערך מספר דקות מאוחר יותר דבק הנאשם באותה גירסה. בסוף הודעתו במשטרה וכן בסוף העימות מסר הנאשם "אני לא נגעתי בך, את יכולה להגיד מה שאת רוצה. למה היא לא אמרה בהתחלה המתלוננת אתה נגעת בי"...</w:t>
      </w:r>
      <w:r>
        <w:rPr>
          <w:b/>
          <w:bCs/>
          <w:color w:val="FFFFFF"/>
          <w:sz w:val="4"/>
          <w:szCs w:val="4"/>
          <w:rtl/>
        </w:rPr>
        <w:t>ב</w:t>
      </w:r>
    </w:p>
    <w:p w14:paraId="5E01BB03" w14:textId="77777777" w:rsidR="002322F5" w:rsidRDefault="002322F5">
      <w:pPr>
        <w:rPr>
          <w:b/>
          <w:bCs/>
          <w:sz w:val="28"/>
          <w:szCs w:val="28"/>
          <w:u w:val="single"/>
          <w:rtl/>
        </w:rPr>
      </w:pPr>
    </w:p>
    <w:p w14:paraId="03703FE7" w14:textId="77777777" w:rsidR="002322F5" w:rsidRDefault="002322F5">
      <w:pPr>
        <w:numPr>
          <w:ilvl w:val="0"/>
          <w:numId w:val="2"/>
        </w:numPr>
        <w:ind w:right="0"/>
        <w:rPr>
          <w:rFonts w:hint="cs"/>
          <w:b/>
          <w:bCs/>
          <w:sz w:val="28"/>
          <w:szCs w:val="28"/>
          <w:rtl/>
        </w:rPr>
      </w:pPr>
      <w:r>
        <w:rPr>
          <w:rFonts w:hint="cs"/>
          <w:b/>
          <w:bCs/>
          <w:sz w:val="28"/>
          <w:szCs w:val="28"/>
          <w:rtl/>
        </w:rPr>
        <w:t>בעדותו בבית-המשפט מסר הנאשם את הפרטים הבאים:</w:t>
      </w:r>
    </w:p>
    <w:p w14:paraId="04504448" w14:textId="77777777" w:rsidR="002322F5" w:rsidRDefault="002322F5">
      <w:pPr>
        <w:numPr>
          <w:ilvl w:val="1"/>
          <w:numId w:val="2"/>
        </w:numPr>
        <w:ind w:right="0"/>
        <w:rPr>
          <w:b/>
          <w:bCs/>
          <w:sz w:val="28"/>
          <w:szCs w:val="28"/>
          <w:rtl/>
        </w:rPr>
      </w:pPr>
      <w:r>
        <w:rPr>
          <w:rFonts w:hint="cs"/>
          <w:b/>
          <w:bCs/>
          <w:sz w:val="28"/>
          <w:szCs w:val="28"/>
          <w:rtl/>
        </w:rPr>
        <w:t xml:space="preserve">הנאשם מסר כי זה היה היום הראשון שעבד במקום. הוא כלל לא יצא מהמטבח ושם לב למתלוננת רק כאשר צעקה עליו. </w:t>
      </w:r>
    </w:p>
    <w:p w14:paraId="16583CF3" w14:textId="77777777" w:rsidR="002322F5" w:rsidRDefault="002322F5">
      <w:pPr>
        <w:rPr>
          <w:b/>
          <w:bCs/>
          <w:sz w:val="28"/>
          <w:szCs w:val="28"/>
          <w:rtl/>
        </w:rPr>
      </w:pPr>
    </w:p>
    <w:p w14:paraId="5226F1FF" w14:textId="77777777" w:rsidR="002322F5" w:rsidRDefault="002322F5">
      <w:pPr>
        <w:numPr>
          <w:ilvl w:val="1"/>
          <w:numId w:val="2"/>
        </w:numPr>
        <w:ind w:right="0"/>
        <w:rPr>
          <w:rFonts w:hint="cs"/>
          <w:b/>
          <w:bCs/>
          <w:sz w:val="28"/>
          <w:szCs w:val="28"/>
          <w:rtl/>
        </w:rPr>
      </w:pPr>
      <w:r>
        <w:rPr>
          <w:rFonts w:hint="cs"/>
          <w:b/>
          <w:bCs/>
          <w:sz w:val="28"/>
          <w:szCs w:val="28"/>
          <w:rtl/>
        </w:rPr>
        <w:t xml:space="preserve">לדבריו, המשטרה הגיעה כחצי-שעה לאחר שהמתלוננת צעקה. הוא לא עזב את המקום והמשיך בעבודתו עד בוא המשטרה. </w:t>
      </w:r>
    </w:p>
    <w:p w14:paraId="3B1E948F" w14:textId="77777777" w:rsidR="002322F5" w:rsidRDefault="002322F5">
      <w:pPr>
        <w:rPr>
          <w:b/>
          <w:bCs/>
          <w:sz w:val="28"/>
          <w:szCs w:val="28"/>
          <w:rtl/>
        </w:rPr>
      </w:pPr>
    </w:p>
    <w:p w14:paraId="1F361262" w14:textId="77777777" w:rsidR="002322F5" w:rsidRDefault="002322F5">
      <w:pPr>
        <w:numPr>
          <w:ilvl w:val="1"/>
          <w:numId w:val="2"/>
        </w:numPr>
        <w:ind w:right="0"/>
        <w:rPr>
          <w:rFonts w:hint="cs"/>
          <w:b/>
          <w:bCs/>
          <w:sz w:val="28"/>
          <w:szCs w:val="28"/>
          <w:rtl/>
        </w:rPr>
      </w:pPr>
      <w:r>
        <w:rPr>
          <w:rFonts w:hint="cs"/>
          <w:b/>
          <w:bCs/>
          <w:sz w:val="28"/>
          <w:szCs w:val="28"/>
          <w:rtl/>
        </w:rPr>
        <w:t xml:space="preserve">בחקירתו הנגדית טען הנאשם כי לא הבין את  תוכן צעקותיה של המתלוננת. לשאלת ביהמ"ש מדוע לא ביקש מהעובדים האחרים לאשר שכלל לא יצא מהמטבח, תחילה לא השיב הנאשם ובהמשך מסר כי המנהל שהגיע למקום לא איפשר לו להתבטא, דחף אותו והושיב אותו. </w:t>
      </w:r>
    </w:p>
    <w:p w14:paraId="786C0AAC" w14:textId="77777777" w:rsidR="002322F5" w:rsidRDefault="002322F5">
      <w:pPr>
        <w:rPr>
          <w:b/>
          <w:bCs/>
          <w:sz w:val="28"/>
          <w:szCs w:val="28"/>
          <w:rtl/>
        </w:rPr>
      </w:pPr>
    </w:p>
    <w:p w14:paraId="63E256DA" w14:textId="77777777" w:rsidR="002322F5" w:rsidRDefault="002322F5">
      <w:pPr>
        <w:numPr>
          <w:ilvl w:val="1"/>
          <w:numId w:val="2"/>
        </w:numPr>
        <w:ind w:right="0"/>
        <w:rPr>
          <w:rFonts w:hint="cs"/>
          <w:b/>
          <w:bCs/>
          <w:sz w:val="28"/>
          <w:szCs w:val="28"/>
          <w:rtl/>
        </w:rPr>
      </w:pPr>
      <w:r>
        <w:rPr>
          <w:rFonts w:hint="cs"/>
          <w:b/>
          <w:bCs/>
          <w:sz w:val="28"/>
          <w:szCs w:val="28"/>
          <w:rtl/>
        </w:rPr>
        <w:t>הנאשם הוסיף כי אמר את הדברים האלה לשוטרת שחקרה אותו.</w:t>
      </w:r>
      <w:r>
        <w:rPr>
          <w:b/>
          <w:bCs/>
          <w:color w:val="FFFFFF"/>
          <w:sz w:val="4"/>
          <w:szCs w:val="4"/>
          <w:rtl/>
        </w:rPr>
        <w:t>ו</w:t>
      </w:r>
    </w:p>
    <w:p w14:paraId="7D2AD876" w14:textId="77777777" w:rsidR="002322F5" w:rsidRDefault="002322F5">
      <w:pPr>
        <w:pStyle w:val="Heading4"/>
        <w:rPr>
          <w:rtl/>
        </w:rPr>
      </w:pPr>
      <w:r>
        <w:rPr>
          <w:rFonts w:hint="cs"/>
          <w:rtl/>
        </w:rPr>
        <w:t>הערכת העדויות</w:t>
      </w:r>
    </w:p>
    <w:p w14:paraId="6FBF1CF4" w14:textId="77777777" w:rsidR="002322F5" w:rsidRDefault="002322F5">
      <w:pPr>
        <w:numPr>
          <w:ilvl w:val="0"/>
          <w:numId w:val="2"/>
        </w:numPr>
        <w:ind w:right="0"/>
        <w:rPr>
          <w:rFonts w:hint="cs"/>
          <w:b/>
          <w:bCs/>
          <w:sz w:val="28"/>
          <w:szCs w:val="28"/>
          <w:rtl/>
        </w:rPr>
      </w:pPr>
      <w:r>
        <w:rPr>
          <w:rFonts w:hint="cs"/>
          <w:b/>
          <w:bCs/>
          <w:sz w:val="28"/>
          <w:szCs w:val="28"/>
          <w:rtl/>
        </w:rPr>
        <w:t xml:space="preserve">המתלוננת עשתה עלי רושם אמין ביותר. נתתי דעתי לאי-התאמות עליהן הצביעה הסניגורית והגעתי לידי מסקנה כי אינן מהותיות ואינן פוגעות במהימנות העדה. השאלה היחידה הצריכה הכרעה הינה האם נתן לסמוך על זהויו של הנאשם כמי שביצע את המעשים שתיארה המתלוננת. </w:t>
      </w:r>
    </w:p>
    <w:p w14:paraId="11C6A0AC" w14:textId="77777777" w:rsidR="002322F5" w:rsidRDefault="002322F5">
      <w:pPr>
        <w:rPr>
          <w:b/>
          <w:bCs/>
          <w:sz w:val="28"/>
          <w:szCs w:val="28"/>
          <w:rtl/>
        </w:rPr>
      </w:pPr>
    </w:p>
    <w:p w14:paraId="0C0EACD8" w14:textId="77777777" w:rsidR="002322F5" w:rsidRDefault="002322F5">
      <w:pPr>
        <w:numPr>
          <w:ilvl w:val="0"/>
          <w:numId w:val="2"/>
        </w:numPr>
        <w:ind w:right="0"/>
        <w:rPr>
          <w:rFonts w:hint="cs"/>
          <w:b/>
          <w:bCs/>
          <w:sz w:val="28"/>
          <w:szCs w:val="28"/>
          <w:rtl/>
        </w:rPr>
      </w:pPr>
      <w:r>
        <w:rPr>
          <w:rFonts w:hint="cs"/>
          <w:b/>
          <w:bCs/>
          <w:sz w:val="28"/>
          <w:szCs w:val="28"/>
          <w:rtl/>
        </w:rPr>
        <w:t xml:space="preserve">לענין זה מסרה המתלוננת כי הספיקה לראות את הנאשם במהלך האירוע ואף הלכה אחריו וצעקה עליו מדוע הוא נגע בה. הנאשם אישר את העובדה כי המתלוננת צעקה עליו, אולם טען כי הוא היה בתוך המטבח כשהמתלוננת צעקה עליו. דבריו בפני כאילו לא הבין את תוכן צעקות המתלוננת הינם שיקריים. בעימות, בהודעה וכן בעת הגעת השוטרים למקום, הנאשם לא טען כלל שלא הבין את דברי המתלוננת. </w:t>
      </w:r>
    </w:p>
    <w:p w14:paraId="2A09A373" w14:textId="77777777" w:rsidR="002322F5" w:rsidRDefault="002322F5">
      <w:pPr>
        <w:ind w:left="360"/>
        <w:rPr>
          <w:b/>
          <w:bCs/>
          <w:sz w:val="28"/>
          <w:szCs w:val="28"/>
          <w:rtl/>
        </w:rPr>
      </w:pPr>
      <w:r>
        <w:rPr>
          <w:rFonts w:hint="cs"/>
          <w:b/>
          <w:bCs/>
          <w:sz w:val="28"/>
          <w:szCs w:val="28"/>
          <w:rtl/>
        </w:rPr>
        <w:t xml:space="preserve">      כאן המקום לציין כי הנאשם הבין היטב את שאלות החוקרים והשיב                                             </w:t>
      </w:r>
    </w:p>
    <w:p w14:paraId="4ED04978" w14:textId="77777777" w:rsidR="002322F5" w:rsidRDefault="002322F5">
      <w:pPr>
        <w:ind w:left="360"/>
        <w:rPr>
          <w:rFonts w:hint="cs"/>
          <w:b/>
          <w:bCs/>
          <w:sz w:val="28"/>
          <w:szCs w:val="28"/>
          <w:rtl/>
        </w:rPr>
      </w:pPr>
      <w:r>
        <w:rPr>
          <w:rFonts w:hint="cs"/>
          <w:b/>
          <w:bCs/>
          <w:sz w:val="28"/>
          <w:szCs w:val="28"/>
          <w:rtl/>
        </w:rPr>
        <w:t xml:space="preserve">     תשובות עקביות לחוקרים שונים.</w:t>
      </w:r>
      <w:r>
        <w:rPr>
          <w:b/>
          <w:bCs/>
          <w:color w:val="FFFFFF"/>
          <w:sz w:val="4"/>
          <w:szCs w:val="4"/>
          <w:rtl/>
        </w:rPr>
        <w:t>נ</w:t>
      </w:r>
    </w:p>
    <w:p w14:paraId="279F6081" w14:textId="77777777" w:rsidR="002322F5" w:rsidRDefault="002322F5">
      <w:pPr>
        <w:ind w:left="360"/>
        <w:rPr>
          <w:rFonts w:hint="cs"/>
          <w:b/>
          <w:bCs/>
          <w:sz w:val="28"/>
          <w:szCs w:val="28"/>
          <w:rtl/>
        </w:rPr>
      </w:pPr>
    </w:p>
    <w:p w14:paraId="2845FB86" w14:textId="77777777" w:rsidR="002322F5" w:rsidRDefault="002322F5">
      <w:pPr>
        <w:numPr>
          <w:ilvl w:val="0"/>
          <w:numId w:val="2"/>
        </w:numPr>
        <w:ind w:right="0"/>
        <w:rPr>
          <w:rFonts w:hint="cs"/>
          <w:b/>
          <w:bCs/>
          <w:sz w:val="28"/>
          <w:szCs w:val="28"/>
          <w:rtl/>
        </w:rPr>
      </w:pPr>
      <w:r>
        <w:rPr>
          <w:rFonts w:hint="cs"/>
          <w:b/>
          <w:bCs/>
          <w:sz w:val="28"/>
          <w:szCs w:val="28"/>
          <w:rtl/>
        </w:rPr>
        <w:t xml:space="preserve">בעדותה בפני ציינה העדה כי היא דיברה עם הנאשם במסדרון לפני כניסתו למטבח. לאור האמון שאני נותן לדברי המתלוננת, די באמירה זו כדי לקבוע כי המתלוננת זיהתה את הנאשם בוודאות, עובר לאירוע. </w:t>
      </w:r>
    </w:p>
    <w:p w14:paraId="1FCF022C" w14:textId="77777777" w:rsidR="002322F5" w:rsidRDefault="002322F5">
      <w:pPr>
        <w:ind w:left="810"/>
        <w:rPr>
          <w:rFonts w:hint="cs"/>
          <w:b/>
          <w:bCs/>
          <w:sz w:val="28"/>
          <w:szCs w:val="28"/>
          <w:rtl/>
        </w:rPr>
      </w:pPr>
      <w:r>
        <w:rPr>
          <w:rFonts w:hint="cs"/>
          <w:b/>
          <w:bCs/>
          <w:sz w:val="28"/>
          <w:szCs w:val="28"/>
          <w:rtl/>
        </w:rPr>
        <w:t xml:space="preserve">לזה ניתן להוסיף כי היה קל מאד להפריך את דברי המתלוננת לו הנאשם פנה לאלה שעבדו עמו במטבח וביקש מהם לאשר כי לא יצא את המטבח. הוא לא עשה כן, כיוון שהיה מחוץ למטבח בשעת המעשה. </w:t>
      </w:r>
    </w:p>
    <w:p w14:paraId="63931831" w14:textId="77777777" w:rsidR="002322F5" w:rsidRDefault="002322F5">
      <w:pPr>
        <w:ind w:left="810"/>
        <w:rPr>
          <w:rFonts w:hint="cs"/>
          <w:b/>
          <w:bCs/>
          <w:sz w:val="28"/>
          <w:szCs w:val="28"/>
          <w:rtl/>
        </w:rPr>
      </w:pPr>
    </w:p>
    <w:p w14:paraId="1D13F136" w14:textId="77777777" w:rsidR="002322F5" w:rsidRDefault="002322F5">
      <w:pPr>
        <w:numPr>
          <w:ilvl w:val="0"/>
          <w:numId w:val="2"/>
        </w:numPr>
        <w:ind w:right="0"/>
        <w:rPr>
          <w:rFonts w:hint="cs"/>
          <w:b/>
          <w:bCs/>
          <w:sz w:val="28"/>
          <w:szCs w:val="28"/>
          <w:rtl/>
        </w:rPr>
      </w:pPr>
      <w:r>
        <w:rPr>
          <w:rFonts w:hint="cs"/>
          <w:b/>
          <w:bCs/>
          <w:sz w:val="28"/>
          <w:szCs w:val="28"/>
          <w:rtl/>
        </w:rPr>
        <w:t xml:space="preserve">לסיכום, לאור כל האמור לעיל, הגעתי לידי מסקנה כי התביעה הוכיחה מעל לכל ספק סביר את עובדות כתב האישום. הגעתי למסקנה זו לאחר שנתתי דעתי לעובדה כי הראיות מבוססות בעיקרן  על עדותה של המתלוננת בלבד. </w:t>
      </w:r>
    </w:p>
    <w:p w14:paraId="21195D31" w14:textId="77777777" w:rsidR="002322F5" w:rsidRDefault="002322F5">
      <w:pPr>
        <w:ind w:left="360"/>
        <w:rPr>
          <w:rFonts w:hint="cs"/>
          <w:b/>
          <w:bCs/>
          <w:sz w:val="28"/>
          <w:szCs w:val="28"/>
          <w:rtl/>
        </w:rPr>
      </w:pPr>
      <w:r>
        <w:rPr>
          <w:rFonts w:hint="cs"/>
          <w:b/>
          <w:bCs/>
          <w:sz w:val="28"/>
          <w:szCs w:val="28"/>
          <w:rtl/>
        </w:rPr>
        <w:t xml:space="preserve">       התוצאה הינה כי הנאשם מורשע בעבירה המיוחסת לו בכתב האישום.</w:t>
      </w:r>
      <w:r>
        <w:rPr>
          <w:b/>
          <w:bCs/>
          <w:color w:val="FFFFFF"/>
          <w:sz w:val="4"/>
          <w:szCs w:val="4"/>
          <w:rtl/>
        </w:rPr>
        <w:t>ב</w:t>
      </w:r>
    </w:p>
    <w:p w14:paraId="6518D998" w14:textId="77777777" w:rsidR="002322F5" w:rsidRDefault="002322F5">
      <w:pPr>
        <w:rPr>
          <w:rFonts w:hint="cs"/>
          <w:sz w:val="24"/>
          <w:rtl/>
        </w:rPr>
      </w:pPr>
      <w:bookmarkStart w:id="12" w:name="Decision1"/>
    </w:p>
    <w:p w14:paraId="05609049" w14:textId="77777777" w:rsidR="002322F5" w:rsidRDefault="002322F5">
      <w:pPr>
        <w:rPr>
          <w:rFonts w:hint="cs"/>
          <w:b/>
          <w:bCs/>
          <w:sz w:val="28"/>
          <w:szCs w:val="28"/>
          <w:rtl/>
        </w:rPr>
      </w:pPr>
    </w:p>
    <w:p w14:paraId="648C01DB" w14:textId="77777777" w:rsidR="002322F5" w:rsidRDefault="002322F5">
      <w:pPr>
        <w:rPr>
          <w:rFonts w:hint="cs"/>
          <w:b/>
          <w:bCs/>
          <w:sz w:val="28"/>
          <w:szCs w:val="28"/>
          <w:rtl/>
        </w:rPr>
      </w:pPr>
      <w:r>
        <w:rPr>
          <w:rFonts w:hint="cs"/>
          <w:b/>
          <w:bCs/>
          <w:sz w:val="28"/>
          <w:szCs w:val="28"/>
          <w:rtl/>
        </w:rPr>
        <w:t>ניתנה היום ה' בכסלו, תשס"ב (20 בנובמבר 2001) במעמד הצדדים.</w:t>
      </w:r>
      <w:r>
        <w:rPr>
          <w:b/>
          <w:bCs/>
          <w:color w:val="FFFFFF"/>
          <w:sz w:val="4"/>
          <w:szCs w:val="4"/>
          <w:rtl/>
        </w:rPr>
        <w:t>ו</w:t>
      </w:r>
    </w:p>
    <w:p w14:paraId="6A301762" w14:textId="77777777" w:rsidR="002322F5" w:rsidRDefault="002322F5">
      <w:pPr>
        <w:rPr>
          <w:rFonts w:hint="cs"/>
          <w:sz w:val="28"/>
          <w:szCs w:val="28"/>
          <w:rtl/>
        </w:rPr>
      </w:pPr>
    </w:p>
    <w:p w14:paraId="51FDE8DC" w14:textId="77777777" w:rsidR="002322F5" w:rsidRDefault="002322F5">
      <w:pPr>
        <w:rPr>
          <w:rFonts w:hint="cs"/>
          <w:rtl/>
        </w:rPr>
      </w:pPr>
      <w:r>
        <w:rPr>
          <w:rFonts w:hint="cs"/>
          <w:rtl/>
        </w:rPr>
        <w:t xml:space="preserve">                                                                                </w:t>
      </w:r>
    </w:p>
    <w:tbl>
      <w:tblPr>
        <w:tblW w:w="0" w:type="auto"/>
        <w:tblInd w:w="6153" w:type="dxa"/>
        <w:tblBorders>
          <w:top w:val="single" w:sz="4" w:space="0" w:color="auto"/>
        </w:tblBorders>
        <w:tblLook w:val="0000" w:firstRow="0" w:lastRow="0" w:firstColumn="0" w:lastColumn="0" w:noHBand="0" w:noVBand="0"/>
      </w:tblPr>
      <w:tblGrid>
        <w:gridCol w:w="2376"/>
      </w:tblGrid>
      <w:tr w:rsidR="002322F5" w14:paraId="375DBE25" w14:textId="77777777">
        <w:tc>
          <w:tcPr>
            <w:tcW w:w="2376" w:type="dxa"/>
            <w:tcBorders>
              <w:top w:val="single" w:sz="4" w:space="0" w:color="auto"/>
              <w:left w:val="nil"/>
              <w:bottom w:val="nil"/>
              <w:right w:val="nil"/>
            </w:tcBorders>
          </w:tcPr>
          <w:p w14:paraId="14DB2D18" w14:textId="77777777" w:rsidR="002322F5" w:rsidRDefault="002322F5">
            <w:pPr>
              <w:jc w:val="center"/>
              <w:rPr>
                <w:b/>
                <w:bCs/>
                <w:sz w:val="28"/>
                <w:szCs w:val="28"/>
              </w:rPr>
            </w:pPr>
            <w:r>
              <w:rPr>
                <w:rFonts w:hint="cs"/>
                <w:b/>
                <w:bCs/>
                <w:sz w:val="28"/>
                <w:szCs w:val="28"/>
                <w:rtl/>
              </w:rPr>
              <w:t>דניאל בארי, שופט</w:t>
            </w:r>
          </w:p>
        </w:tc>
      </w:tr>
    </w:tbl>
    <w:p w14:paraId="225475C6" w14:textId="77777777" w:rsidR="002322F5" w:rsidRDefault="002322F5">
      <w:pPr>
        <w:jc w:val="right"/>
        <w:rPr>
          <w:rFonts w:hint="cs"/>
          <w:b/>
          <w:bCs/>
          <w:color w:val="FF0000"/>
          <w:rtl/>
        </w:rPr>
      </w:pPr>
    </w:p>
    <w:p w14:paraId="1D36E8BA" w14:textId="77777777" w:rsidR="002322F5" w:rsidRDefault="002322F5">
      <w:pPr>
        <w:rPr>
          <w:rtl/>
        </w:rPr>
      </w:pPr>
    </w:p>
    <w:p w14:paraId="5E8AD919" w14:textId="77777777" w:rsidR="002322F5" w:rsidRDefault="002322F5">
      <w:pPr>
        <w:rPr>
          <w:rFonts w:hint="cs"/>
          <w:rtl/>
        </w:rPr>
      </w:pPr>
    </w:p>
    <w:bookmarkEnd w:id="12"/>
    <w:p w14:paraId="0FB77066" w14:textId="77777777" w:rsidR="002322F5" w:rsidRDefault="002322F5">
      <w:pPr>
        <w:ind w:left="360"/>
        <w:rPr>
          <w:b/>
          <w:bCs/>
          <w:sz w:val="28"/>
          <w:szCs w:val="28"/>
          <w:rtl/>
        </w:rPr>
      </w:pPr>
    </w:p>
    <w:p w14:paraId="0B5FA424" w14:textId="77777777" w:rsidR="002322F5" w:rsidRDefault="002322F5">
      <w:pPr>
        <w:pStyle w:val="Heading5"/>
        <w:rPr>
          <w:rFonts w:hint="cs"/>
          <w:rtl/>
        </w:rPr>
      </w:pPr>
      <w:r>
        <w:rPr>
          <w:rFonts w:hint="cs"/>
          <w:rtl/>
        </w:rPr>
        <w:t>קלדנית: חנה</w:t>
      </w:r>
    </w:p>
    <w:p w14:paraId="6F28BD8F" w14:textId="77777777" w:rsidR="002322F5" w:rsidRDefault="002322F5">
      <w:pPr>
        <w:rPr>
          <w:rFonts w:hint="cs"/>
          <w:rtl/>
        </w:rPr>
      </w:pPr>
      <w:r>
        <w:rPr>
          <w:rtl/>
        </w:rPr>
        <w:t>נוסח מסמך זה כפוף לשינויי ניסוח ועריכה</w:t>
      </w:r>
    </w:p>
    <w:sectPr w:rsidR="002322F5">
      <w:headerReference w:type="even" r:id="rId11"/>
      <w:headerReference w:type="default" r:id="rId12"/>
      <w:footerReference w:type="even" r:id="rId13"/>
      <w:footerReference w:type="default" r:id="rId14"/>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9A06E" w14:textId="77777777" w:rsidR="007A37C9" w:rsidRDefault="007A37C9">
      <w:pPr>
        <w:spacing w:line="240" w:lineRule="auto"/>
      </w:pPr>
      <w:r>
        <w:separator/>
      </w:r>
    </w:p>
  </w:endnote>
  <w:endnote w:type="continuationSeparator" w:id="0">
    <w:p w14:paraId="61D2BF81" w14:textId="77777777" w:rsidR="007A37C9" w:rsidRDefault="007A37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85B4" w14:textId="77777777" w:rsidR="006A31B6" w:rsidRDefault="006A31B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6</w:t>
    </w:r>
    <w:r>
      <w:rPr>
        <w:rFonts w:hAnsi="FrankRuehl" w:cs="FrankRuehl"/>
        <w:sz w:val="24"/>
        <w:rtl/>
      </w:rPr>
      <w:fldChar w:fldCharType="end"/>
    </w:r>
  </w:p>
  <w:p w14:paraId="21354AE5" w14:textId="77777777" w:rsidR="006A31B6" w:rsidRDefault="006A31B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486FA74" w14:textId="77777777" w:rsidR="006A31B6" w:rsidRDefault="006A31B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E:\nevo\OutDoc-2001-11-total-05-orly\s01002248-196.doc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E1B46" w14:textId="77777777" w:rsidR="006A31B6" w:rsidRDefault="006A31B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1439BB">
      <w:rPr>
        <w:rFonts w:hAnsi="FrankRuehl" w:cs="FrankRuehl"/>
        <w:noProof/>
        <w:sz w:val="24"/>
        <w:rtl/>
      </w:rPr>
      <w:t>1</w:t>
    </w:r>
    <w:r>
      <w:rPr>
        <w:rFonts w:hAnsi="FrankRuehl" w:cs="FrankRuehl"/>
        <w:sz w:val="24"/>
        <w:rtl/>
      </w:rPr>
      <w:fldChar w:fldCharType="end"/>
    </w:r>
  </w:p>
  <w:p w14:paraId="2AA90A79" w14:textId="77777777" w:rsidR="006A31B6" w:rsidRDefault="006A31B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20386B8" w14:textId="77777777" w:rsidR="006A31B6" w:rsidRDefault="006A31B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E:\nevo\OutDoc-2001-11-total-05-orly\s01002248-196.doc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D17E8" w14:textId="77777777" w:rsidR="007A37C9" w:rsidRDefault="007A37C9">
      <w:pPr>
        <w:spacing w:line="240" w:lineRule="auto"/>
      </w:pPr>
      <w:r>
        <w:separator/>
      </w:r>
    </w:p>
  </w:footnote>
  <w:footnote w:type="continuationSeparator" w:id="0">
    <w:p w14:paraId="167F8846" w14:textId="77777777" w:rsidR="007A37C9" w:rsidRDefault="007A37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E2DB" w14:textId="77777777" w:rsidR="006A31B6" w:rsidRDefault="006A31B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2248/01</w:t>
    </w:r>
    <w:r>
      <w:rPr>
        <w:rFonts w:hAnsi="David"/>
        <w:color w:val="000000"/>
        <w:sz w:val="22"/>
        <w:szCs w:val="22"/>
        <w:rtl/>
      </w:rPr>
      <w:tab/>
      <w:t xml:space="preserve"> מדינת ישראל/פמת"א נ' עלי חאלד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6D51D" w14:textId="77777777" w:rsidR="006A31B6" w:rsidRDefault="006A31B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2248/01</w:t>
    </w:r>
    <w:r>
      <w:rPr>
        <w:rFonts w:hAnsi="David"/>
        <w:color w:val="000000"/>
        <w:sz w:val="22"/>
        <w:szCs w:val="22"/>
        <w:rtl/>
      </w:rPr>
      <w:tab/>
      <w:t xml:space="preserve"> מדינת ישראל/פמת"א נ' עלי חאלד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53695"/>
    <w:multiLevelType w:val="hybridMultilevel"/>
    <w:tmpl w:val="95DE00EE"/>
    <w:lvl w:ilvl="0" w:tplc="6776926A">
      <w:start w:val="1"/>
      <w:numFmt w:val="decimal"/>
      <w:lvlText w:val="%1."/>
      <w:lvlJc w:val="left"/>
      <w:pPr>
        <w:tabs>
          <w:tab w:val="num" w:pos="810"/>
        </w:tabs>
        <w:ind w:left="810" w:right="810" w:hanging="450"/>
      </w:pPr>
    </w:lvl>
    <w:lvl w:ilvl="1" w:tplc="0B704D08">
      <w:start w:val="1"/>
      <w:numFmt w:val="hebrew1"/>
      <w:lvlText w:val="%2."/>
      <w:lvlJc w:val="left"/>
      <w:pPr>
        <w:tabs>
          <w:tab w:val="num" w:pos="1740"/>
        </w:tabs>
        <w:ind w:left="1740" w:right="1740" w:hanging="6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729620291">
    <w:abstractNumId w:val="0"/>
  </w:num>
  <w:num w:numId="2" w16cid:durableId="21191306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14434F"/>
    <w:rsid w:val="001439BB"/>
    <w:rsid w:val="0014434F"/>
    <w:rsid w:val="002322F5"/>
    <w:rsid w:val="00511563"/>
    <w:rsid w:val="006A31B6"/>
    <w:rsid w:val="007A37C9"/>
    <w:rsid w:val="009912C3"/>
    <w:rsid w:val="00D50CDE"/>
    <w:rsid w:val="00FE64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FC21898"/>
  <w15:chartTrackingRefBased/>
  <w15:docId w15:val="{287786EC-875C-437D-A297-D426B7CF0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8"/>
      <w:szCs w:val="28"/>
      <w:u w:val="single"/>
    </w:rPr>
  </w:style>
  <w:style w:type="paragraph" w:styleId="Heading5">
    <w:name w:val="heading 5"/>
    <w:basedOn w:val="Normal"/>
    <w:next w:val="Normal"/>
    <w:qFormat/>
    <w:pPr>
      <w:keepNext/>
      <w:ind w:left="360"/>
      <w:outlineLvl w:val="4"/>
    </w:pPr>
    <w:rPr>
      <w:b/>
      <w:bCs/>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Title">
    <w:name w:val="Title"/>
    <w:basedOn w:val="Normal"/>
    <w:qFormat/>
    <w:pPr>
      <w:spacing w:line="240" w:lineRule="auto"/>
      <w:jc w:val="center"/>
    </w:pPr>
    <w:rPr>
      <w:b/>
      <w:bCs/>
      <w:sz w:val="28"/>
      <w:szCs w:val="28"/>
      <w:u w:val="single"/>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Hyperlink">
    <w:name w:val="Hyperlink"/>
    <w:rsid w:val="005115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348.c"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920</Words>
  <Characters>5244</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6152</CharactersWithSpaces>
  <SharedDoc>false</SharedDoc>
  <HLinks>
    <vt:vector size="24" baseType="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2001-11-06T06:15:00Z</cp:lastPrinted>
  <dcterms:created xsi:type="dcterms:W3CDTF">2022-05-24T10:10:00Z</dcterms:created>
  <dcterms:modified xsi:type="dcterms:W3CDTF">2022-05-24T10:10:00Z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2248</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עלי חאלד</vt:lpwstr>
  </property>
  <property fmtid="{D5CDD505-2E9C-101B-9397-08002B2CF9AE}" pid="9" name="LAWYER">
    <vt:lpwstr>דבוש אורלי;מורה מרואן</vt:lpwstr>
  </property>
  <property fmtid="{D5CDD505-2E9C-101B-9397-08002B2CF9AE}" pid="10" name="JUDGE">
    <vt:lpwstr>דניאל בארי</vt:lpwstr>
  </property>
  <property fmtid="{D5CDD505-2E9C-101B-9397-08002B2CF9AE}" pid="11" name="CITY">
    <vt:lpwstr>ת"א</vt:lpwstr>
  </property>
  <property fmtid="{D5CDD505-2E9C-101B-9397-08002B2CF9AE}" pid="12" name="DATE">
    <vt:lpwstr>20011120</vt:lpwstr>
  </property>
  <property fmtid="{D5CDD505-2E9C-101B-9397-08002B2CF9AE}" pid="13" name="WORDNUMPAGES">
    <vt:lpwstr>6</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LAWLISTTMP1">
    <vt:lpwstr>70301/348.c</vt:lpwstr>
  </property>
</Properties>
</file>