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C8CC" w14:textId="77777777" w:rsidR="002F50AE" w:rsidRDefault="002F50AE">
      <w:pPr>
        <w:spacing w:after="80" w:line="320" w:lineRule="exact"/>
        <w:ind w:firstLine="283"/>
        <w:jc w:val="center"/>
        <w:rPr>
          <w:rFonts w:hint="cs"/>
          <w:sz w:val="22"/>
          <w:rtl/>
        </w:rPr>
      </w:pPr>
    </w:p>
    <w:p w14:paraId="08EA1753" w14:textId="77777777" w:rsidR="002F50AE" w:rsidRDefault="002F50AE">
      <w:pPr>
        <w:spacing w:after="80" w:line="320" w:lineRule="exact"/>
        <w:ind w:firstLine="283"/>
        <w:jc w:val="center"/>
        <w:rPr>
          <w:rFonts w:hint="cs"/>
          <w:sz w:val="22"/>
          <w:rtl/>
        </w:rPr>
      </w:pPr>
    </w:p>
    <w:p w14:paraId="178D7D22" w14:textId="77777777" w:rsidR="002F50AE" w:rsidRDefault="002F50AE">
      <w:pPr>
        <w:spacing w:after="80" w:line="320" w:lineRule="exact"/>
        <w:ind w:firstLine="283"/>
        <w:jc w:val="center"/>
        <w:rPr>
          <w:rFonts w:hint="cs"/>
          <w:sz w:val="22"/>
          <w:rtl/>
        </w:rPr>
      </w:pPr>
      <w:r>
        <w:rPr>
          <w:rFonts w:hint="cs"/>
          <w:b/>
          <w:bCs/>
          <w:sz w:val="22"/>
          <w:rtl/>
        </w:rPr>
        <w:t>מדינת ישראל</w:t>
      </w:r>
      <w:r w:rsidR="00DA31F0">
        <w:rPr>
          <w:rFonts w:hint="cs"/>
          <w:sz w:val="22"/>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FC138E" w14:paraId="00DAA3C3"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A063AC0" w14:textId="77777777" w:rsidR="00FC138E" w:rsidRDefault="00FC138E">
            <w:pPr>
              <w:spacing w:after="80" w:line="320" w:lineRule="exact"/>
              <w:ind w:hanging="3"/>
              <w:rPr>
                <w:b/>
                <w:bCs/>
                <w:sz w:val="22"/>
              </w:rPr>
            </w:pPr>
            <w:r>
              <w:rPr>
                <w:rFonts w:hint="cs"/>
                <w:b/>
                <w:bCs/>
                <w:sz w:val="22"/>
                <w:rtl/>
              </w:rPr>
              <w:t>בית משפט השלום</w:t>
            </w:r>
          </w:p>
          <w:p w14:paraId="4C089078" w14:textId="77777777" w:rsidR="00FC138E" w:rsidRDefault="00FC138E">
            <w:pPr>
              <w:pStyle w:val="Heading4"/>
              <w:spacing w:after="80" w:line="320" w:lineRule="exact"/>
              <w:ind w:hanging="3"/>
              <w:rPr>
                <w:rFonts w:cs="David"/>
                <w:sz w:val="22"/>
                <w:szCs w:val="24"/>
                <w:u w:val="none"/>
              </w:rPr>
            </w:pPr>
            <w:r>
              <w:rPr>
                <w:rFonts w:cs="David" w:hint="cs"/>
                <w:sz w:val="22"/>
                <w:szCs w:val="24"/>
                <w:u w:val="none"/>
                <w:rtl/>
              </w:rPr>
              <w:t>ב  א  י  ל  ת</w:t>
            </w:r>
          </w:p>
        </w:tc>
        <w:tc>
          <w:tcPr>
            <w:tcW w:w="2915" w:type="dxa"/>
            <w:gridSpan w:val="2"/>
            <w:tcBorders>
              <w:top w:val="single" w:sz="4" w:space="0" w:color="auto"/>
              <w:left w:val="single" w:sz="4" w:space="0" w:color="auto"/>
              <w:bottom w:val="single" w:sz="4" w:space="0" w:color="auto"/>
              <w:right w:val="single" w:sz="4" w:space="0" w:color="auto"/>
            </w:tcBorders>
          </w:tcPr>
          <w:p w14:paraId="7F9B38B0" w14:textId="77777777" w:rsidR="00FC138E" w:rsidRDefault="00FC138E">
            <w:pPr>
              <w:spacing w:after="80" w:line="320" w:lineRule="exact"/>
              <w:ind w:hanging="3"/>
              <w:rPr>
                <w:b/>
                <w:bCs/>
                <w:sz w:val="22"/>
              </w:rPr>
            </w:pPr>
            <w:r>
              <w:rPr>
                <w:rFonts w:hint="cs"/>
                <w:b/>
                <w:bCs/>
                <w:sz w:val="22"/>
                <w:rtl/>
              </w:rPr>
              <w:t>פ  001042/01</w:t>
            </w:r>
          </w:p>
        </w:tc>
      </w:tr>
      <w:tr w:rsidR="00FC138E" w14:paraId="1D2C3282" w14:textId="77777777">
        <w:trPr>
          <w:cantSplit/>
          <w:trHeight w:val="863"/>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EC93200" w14:textId="77777777" w:rsidR="00FC138E" w:rsidRDefault="00FC138E">
            <w:pPr>
              <w:spacing w:after="80" w:line="320" w:lineRule="exact"/>
              <w:ind w:hanging="3"/>
              <w:rPr>
                <w:b/>
                <w:bCs/>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679012C0" w14:textId="77777777" w:rsidR="00FC138E" w:rsidRDefault="00FC138E">
            <w:pPr>
              <w:spacing w:after="80" w:line="320" w:lineRule="exact"/>
              <w:ind w:hanging="3"/>
              <w:rPr>
                <w:sz w:val="22"/>
              </w:rPr>
            </w:pPr>
          </w:p>
        </w:tc>
      </w:tr>
      <w:tr w:rsidR="00FC138E" w14:paraId="10F473AB"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39A6823" w14:textId="77777777" w:rsidR="00FC138E" w:rsidRDefault="00FC138E">
            <w:pPr>
              <w:spacing w:after="80" w:line="320" w:lineRule="exact"/>
              <w:ind w:hanging="3"/>
              <w:rPr>
                <w:sz w:val="22"/>
              </w:rPr>
            </w:pPr>
            <w:bookmarkStart w:id="0" w:name="LastJudge"/>
            <w:r>
              <w:rPr>
                <w:rFonts w:hint="cs"/>
                <w:sz w:val="22"/>
                <w:rtl/>
              </w:rPr>
              <w:t>בפני:</w:t>
            </w:r>
          </w:p>
        </w:tc>
        <w:tc>
          <w:tcPr>
            <w:tcW w:w="4706" w:type="dxa"/>
            <w:tcBorders>
              <w:top w:val="single" w:sz="4" w:space="0" w:color="auto"/>
              <w:left w:val="single" w:sz="4" w:space="0" w:color="auto"/>
              <w:bottom w:val="single" w:sz="4" w:space="0" w:color="auto"/>
              <w:right w:val="single" w:sz="4" w:space="0" w:color="auto"/>
            </w:tcBorders>
          </w:tcPr>
          <w:p w14:paraId="1599E86D" w14:textId="77777777" w:rsidR="00FC138E" w:rsidRDefault="00FC138E">
            <w:pPr>
              <w:spacing w:after="80" w:line="320" w:lineRule="exact"/>
              <w:ind w:hanging="3"/>
              <w:rPr>
                <w:sz w:val="22"/>
              </w:rPr>
            </w:pPr>
            <w:r>
              <w:rPr>
                <w:rFonts w:hint="cs"/>
                <w:sz w:val="22"/>
                <w:rtl/>
              </w:rPr>
              <w:t>כב' השופטת ד.בלטמן-קדראי-סגן נשיא</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C764BAE" w14:textId="77777777" w:rsidR="00FC138E" w:rsidRDefault="00FC138E">
            <w:pPr>
              <w:spacing w:after="80" w:line="320" w:lineRule="exact"/>
              <w:ind w:hanging="3"/>
              <w:rPr>
                <w:sz w:val="22"/>
              </w:rPr>
            </w:pPr>
            <w:r>
              <w:rPr>
                <w:rFonts w:hint="cs"/>
                <w:sz w:val="22"/>
                <w:rtl/>
              </w:rPr>
              <w:t>תאריך:</w:t>
            </w:r>
          </w:p>
        </w:tc>
        <w:tc>
          <w:tcPr>
            <w:tcW w:w="1951" w:type="dxa"/>
            <w:tcBorders>
              <w:top w:val="single" w:sz="4" w:space="0" w:color="auto"/>
              <w:left w:val="single" w:sz="4" w:space="0" w:color="auto"/>
              <w:bottom w:val="single" w:sz="4" w:space="0" w:color="auto"/>
              <w:right w:val="single" w:sz="4" w:space="0" w:color="auto"/>
            </w:tcBorders>
          </w:tcPr>
          <w:p w14:paraId="714220E2" w14:textId="77777777" w:rsidR="00FC138E" w:rsidRDefault="00FC138E">
            <w:pPr>
              <w:spacing w:after="80" w:line="320" w:lineRule="exact"/>
              <w:ind w:hanging="3"/>
              <w:rPr>
                <w:sz w:val="22"/>
              </w:rPr>
            </w:pPr>
            <w:r>
              <w:rPr>
                <w:rFonts w:hint="cs"/>
                <w:sz w:val="22"/>
                <w:rtl/>
              </w:rPr>
              <w:t>31/03/2003</w:t>
            </w:r>
          </w:p>
        </w:tc>
      </w:tr>
    </w:tbl>
    <w:bookmarkEnd w:id="0"/>
    <w:p w14:paraId="0D061A73" w14:textId="77777777" w:rsidR="002F50AE" w:rsidRDefault="00DA31F0">
      <w:pPr>
        <w:pStyle w:val="a"/>
        <w:suppressLineNumbers w:val="0"/>
        <w:spacing w:after="80" w:line="320" w:lineRule="exact"/>
        <w:ind w:hanging="3"/>
        <w:rPr>
          <w:rFonts w:hint="cs"/>
          <w:b w:val="0"/>
          <w:bCs w:val="0"/>
          <w:rtl/>
        </w:rPr>
      </w:pPr>
      <w:r>
        <w:rPr>
          <w:rFonts w:hint="cs"/>
          <w:b w:val="0"/>
          <w:bCs w:val="0"/>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134"/>
        <w:gridCol w:w="1701"/>
        <w:gridCol w:w="3347"/>
        <w:gridCol w:w="2409"/>
      </w:tblGrid>
      <w:tr w:rsidR="00FC138E" w14:paraId="2161E5DF" w14:textId="77777777">
        <w:tc>
          <w:tcPr>
            <w:tcW w:w="1134" w:type="dxa"/>
          </w:tcPr>
          <w:p w14:paraId="3E317183" w14:textId="77777777" w:rsidR="00FC138E" w:rsidRDefault="00FC138E">
            <w:pPr>
              <w:spacing w:after="80" w:line="320" w:lineRule="exact"/>
              <w:ind w:hanging="3"/>
              <w:rPr>
                <w:b/>
                <w:bCs/>
                <w:sz w:val="22"/>
              </w:rPr>
            </w:pPr>
            <w:bookmarkStart w:id="1" w:name="FirstAppellant"/>
            <w:r>
              <w:rPr>
                <w:rFonts w:hint="cs"/>
                <w:b/>
                <w:bCs/>
                <w:sz w:val="22"/>
                <w:rtl/>
              </w:rPr>
              <w:t>בעניין:</w:t>
            </w:r>
          </w:p>
        </w:tc>
        <w:tc>
          <w:tcPr>
            <w:tcW w:w="5048" w:type="dxa"/>
            <w:gridSpan w:val="2"/>
          </w:tcPr>
          <w:p w14:paraId="09DC903A" w14:textId="77777777" w:rsidR="00FC138E" w:rsidRDefault="00FC138E">
            <w:pPr>
              <w:pStyle w:val="a"/>
              <w:suppressLineNumbers w:val="0"/>
              <w:spacing w:after="80" w:line="320" w:lineRule="exact"/>
              <w:ind w:hanging="3"/>
            </w:pPr>
            <w:r>
              <w:rPr>
                <w:rFonts w:hint="cs"/>
                <w:rtl/>
              </w:rPr>
              <w:t>מדינת ישראל</w:t>
            </w:r>
          </w:p>
        </w:tc>
        <w:tc>
          <w:tcPr>
            <w:tcW w:w="2409" w:type="dxa"/>
          </w:tcPr>
          <w:p w14:paraId="6D95A82E" w14:textId="77777777" w:rsidR="00FC138E" w:rsidRDefault="00DA31F0">
            <w:pPr>
              <w:pStyle w:val="a"/>
              <w:suppressLineNumbers w:val="0"/>
              <w:spacing w:after="80" w:line="320" w:lineRule="exact"/>
              <w:ind w:hanging="3"/>
            </w:pPr>
            <w:r>
              <w:rPr>
                <w:rtl/>
              </w:rPr>
              <w:t xml:space="preserve"> </w:t>
            </w:r>
          </w:p>
        </w:tc>
      </w:tr>
      <w:tr w:rsidR="00FC138E" w14:paraId="112067F4" w14:textId="77777777">
        <w:tc>
          <w:tcPr>
            <w:tcW w:w="1134" w:type="dxa"/>
          </w:tcPr>
          <w:p w14:paraId="43BC6AE9" w14:textId="77777777" w:rsidR="00FC138E" w:rsidRDefault="00DA31F0">
            <w:pPr>
              <w:pStyle w:val="a"/>
              <w:suppressLineNumbers w:val="0"/>
              <w:spacing w:after="80" w:line="320" w:lineRule="exact"/>
              <w:ind w:hanging="3"/>
            </w:pPr>
            <w:bookmarkStart w:id="2" w:name="בא_כוח_א" w:colFirst="2" w:colLast="2"/>
            <w:bookmarkStart w:id="3" w:name="FirstLawyer"/>
            <w:bookmarkEnd w:id="1"/>
            <w:r>
              <w:rPr>
                <w:rtl/>
              </w:rPr>
              <w:t xml:space="preserve"> </w:t>
            </w:r>
          </w:p>
        </w:tc>
        <w:tc>
          <w:tcPr>
            <w:tcW w:w="1701" w:type="dxa"/>
          </w:tcPr>
          <w:p w14:paraId="2E5E50C0" w14:textId="77777777" w:rsidR="00FC138E" w:rsidRDefault="00FC138E">
            <w:pPr>
              <w:pStyle w:val="a"/>
              <w:suppressLineNumbers w:val="0"/>
              <w:spacing w:after="80" w:line="320" w:lineRule="exact"/>
              <w:ind w:hanging="3"/>
              <w:rPr>
                <w:b w:val="0"/>
                <w:bCs w:val="0"/>
              </w:rPr>
            </w:pPr>
            <w:r>
              <w:rPr>
                <w:rFonts w:hint="cs"/>
                <w:b w:val="0"/>
                <w:bCs w:val="0"/>
                <w:rtl/>
              </w:rPr>
              <w:t>ע"י ב"כ עוה"ד:</w:t>
            </w:r>
          </w:p>
        </w:tc>
        <w:tc>
          <w:tcPr>
            <w:tcW w:w="3347" w:type="dxa"/>
          </w:tcPr>
          <w:p w14:paraId="734CA300" w14:textId="77777777" w:rsidR="00FC138E" w:rsidRDefault="00FC138E">
            <w:pPr>
              <w:pStyle w:val="a"/>
              <w:suppressLineNumbers w:val="0"/>
              <w:spacing w:after="80" w:line="320" w:lineRule="exact"/>
              <w:ind w:hanging="3"/>
              <w:rPr>
                <w:b w:val="0"/>
                <w:bCs w:val="0"/>
              </w:rPr>
            </w:pPr>
            <w:r>
              <w:rPr>
                <w:rFonts w:hint="cs"/>
                <w:b w:val="0"/>
                <w:bCs w:val="0"/>
                <w:rtl/>
              </w:rPr>
              <w:t>שי ניוסטד</w:t>
            </w:r>
          </w:p>
        </w:tc>
        <w:tc>
          <w:tcPr>
            <w:tcW w:w="2409" w:type="dxa"/>
          </w:tcPr>
          <w:p w14:paraId="5E161B41" w14:textId="77777777" w:rsidR="00FC138E" w:rsidRDefault="00FC138E">
            <w:pPr>
              <w:pStyle w:val="a"/>
              <w:suppressLineNumbers w:val="0"/>
              <w:spacing w:after="80" w:line="320" w:lineRule="exact"/>
              <w:ind w:hanging="3"/>
            </w:pPr>
            <w:r>
              <w:rPr>
                <w:rFonts w:hint="cs"/>
                <w:rtl/>
              </w:rPr>
              <w:t>המאשימה</w:t>
            </w:r>
          </w:p>
        </w:tc>
      </w:tr>
      <w:bookmarkEnd w:id="2"/>
      <w:bookmarkEnd w:id="3"/>
      <w:tr w:rsidR="00FC138E" w14:paraId="121172C9" w14:textId="77777777">
        <w:tc>
          <w:tcPr>
            <w:tcW w:w="1134" w:type="dxa"/>
          </w:tcPr>
          <w:p w14:paraId="2340BF3A" w14:textId="77777777" w:rsidR="00FC138E" w:rsidRDefault="00DA31F0">
            <w:pPr>
              <w:pStyle w:val="a"/>
              <w:suppressLineNumbers w:val="0"/>
              <w:spacing w:after="80" w:line="320" w:lineRule="exact"/>
              <w:ind w:hanging="3"/>
            </w:pPr>
            <w:r>
              <w:rPr>
                <w:rtl/>
              </w:rPr>
              <w:t xml:space="preserve"> </w:t>
            </w:r>
          </w:p>
        </w:tc>
        <w:tc>
          <w:tcPr>
            <w:tcW w:w="5048" w:type="dxa"/>
            <w:gridSpan w:val="2"/>
          </w:tcPr>
          <w:p w14:paraId="05F4E7C5" w14:textId="77777777" w:rsidR="00FC138E" w:rsidRDefault="00FC138E">
            <w:pPr>
              <w:pStyle w:val="a"/>
              <w:suppressLineNumbers w:val="0"/>
              <w:spacing w:after="80" w:line="320" w:lineRule="exact"/>
              <w:ind w:hanging="3"/>
            </w:pPr>
            <w:r>
              <w:rPr>
                <w:rFonts w:hint="cs"/>
                <w:rtl/>
              </w:rPr>
              <w:t>נ  ג  ד</w:t>
            </w:r>
            <w:r w:rsidR="00DA31F0">
              <w:rPr>
                <w:rtl/>
              </w:rPr>
              <w:t xml:space="preserve"> </w:t>
            </w:r>
          </w:p>
        </w:tc>
        <w:tc>
          <w:tcPr>
            <w:tcW w:w="2409" w:type="dxa"/>
          </w:tcPr>
          <w:p w14:paraId="1F6C1FEC" w14:textId="77777777" w:rsidR="00FC138E" w:rsidRDefault="00DA31F0">
            <w:pPr>
              <w:pStyle w:val="a"/>
              <w:suppressLineNumbers w:val="0"/>
              <w:spacing w:after="80" w:line="320" w:lineRule="exact"/>
              <w:ind w:hanging="3"/>
            </w:pPr>
            <w:r>
              <w:rPr>
                <w:rtl/>
              </w:rPr>
              <w:t xml:space="preserve"> </w:t>
            </w:r>
          </w:p>
        </w:tc>
      </w:tr>
      <w:tr w:rsidR="00FC138E" w14:paraId="7E9AC259" w14:textId="77777777">
        <w:tc>
          <w:tcPr>
            <w:tcW w:w="1134" w:type="dxa"/>
          </w:tcPr>
          <w:p w14:paraId="426D3886" w14:textId="77777777" w:rsidR="00FC138E" w:rsidRDefault="00DA31F0">
            <w:pPr>
              <w:pStyle w:val="a"/>
              <w:suppressLineNumbers w:val="0"/>
              <w:spacing w:after="80" w:line="320" w:lineRule="exact"/>
              <w:ind w:hanging="3"/>
            </w:pPr>
            <w:bookmarkStart w:id="4" w:name="שם_ב" w:colFirst="1" w:colLast="1"/>
            <w:r>
              <w:rPr>
                <w:rtl/>
              </w:rPr>
              <w:t xml:space="preserve"> </w:t>
            </w:r>
          </w:p>
        </w:tc>
        <w:tc>
          <w:tcPr>
            <w:tcW w:w="5048" w:type="dxa"/>
            <w:gridSpan w:val="2"/>
          </w:tcPr>
          <w:p w14:paraId="731E4CA9" w14:textId="77777777" w:rsidR="00FC138E" w:rsidRDefault="00FC138E">
            <w:pPr>
              <w:pStyle w:val="a"/>
              <w:suppressLineNumbers w:val="0"/>
              <w:spacing w:after="80" w:line="320" w:lineRule="exact"/>
              <w:ind w:hanging="3"/>
            </w:pPr>
            <w:r>
              <w:rPr>
                <w:rFonts w:hint="cs"/>
                <w:rtl/>
              </w:rPr>
              <w:t>1. הגנזאר אהרון דוד</w:t>
            </w:r>
          </w:p>
          <w:p w14:paraId="6C6FE362" w14:textId="77777777" w:rsidR="00FC138E" w:rsidRDefault="00FC138E">
            <w:pPr>
              <w:pStyle w:val="a"/>
              <w:suppressLineNumbers w:val="0"/>
              <w:spacing w:after="80" w:line="320" w:lineRule="exact"/>
              <w:ind w:hanging="3"/>
              <w:rPr>
                <w:rFonts w:hint="cs"/>
                <w:b w:val="0"/>
                <w:bCs w:val="0"/>
                <w:rtl/>
              </w:rPr>
            </w:pPr>
            <w:r>
              <w:rPr>
                <w:rFonts w:hint="cs"/>
                <w:b w:val="0"/>
                <w:bCs w:val="0"/>
                <w:rtl/>
              </w:rPr>
              <w:t>ע"י ב"כ עוה"ד:   אורית שלכט</w:t>
            </w:r>
          </w:p>
          <w:p w14:paraId="1B730756" w14:textId="77777777" w:rsidR="00FC138E" w:rsidRDefault="00FC138E">
            <w:pPr>
              <w:pStyle w:val="a"/>
              <w:suppressLineNumbers w:val="0"/>
              <w:spacing w:after="80" w:line="320" w:lineRule="exact"/>
              <w:ind w:hanging="3"/>
              <w:rPr>
                <w:rFonts w:hint="cs"/>
                <w:rtl/>
              </w:rPr>
            </w:pPr>
            <w:r>
              <w:rPr>
                <w:rFonts w:hint="cs"/>
                <w:b w:val="0"/>
                <w:bCs w:val="0"/>
                <w:rtl/>
              </w:rPr>
              <w:t xml:space="preserve">                      מהסניגוריה הציבורית</w:t>
            </w:r>
            <w:r>
              <w:rPr>
                <w:rFonts w:hint="cs"/>
                <w:rtl/>
              </w:rPr>
              <w:t xml:space="preserve">                    </w:t>
            </w:r>
          </w:p>
          <w:p w14:paraId="26ED34E7" w14:textId="77777777" w:rsidR="00FC138E" w:rsidRDefault="00FC138E">
            <w:pPr>
              <w:pStyle w:val="a"/>
              <w:suppressLineNumbers w:val="0"/>
              <w:spacing w:after="80" w:line="320" w:lineRule="exact"/>
              <w:ind w:hanging="3"/>
            </w:pPr>
            <w:r>
              <w:rPr>
                <w:rFonts w:hint="cs"/>
                <w:rtl/>
              </w:rPr>
              <w:t>2. הגנזאר אילנית</w:t>
            </w:r>
          </w:p>
        </w:tc>
        <w:tc>
          <w:tcPr>
            <w:tcW w:w="2409" w:type="dxa"/>
          </w:tcPr>
          <w:p w14:paraId="75134068" w14:textId="77777777" w:rsidR="00FC138E" w:rsidRDefault="00DA31F0">
            <w:pPr>
              <w:pStyle w:val="a"/>
              <w:suppressLineNumbers w:val="0"/>
              <w:spacing w:after="80" w:line="320" w:lineRule="exact"/>
              <w:ind w:hanging="3"/>
            </w:pPr>
            <w:r>
              <w:rPr>
                <w:rtl/>
              </w:rPr>
              <w:t xml:space="preserve"> </w:t>
            </w:r>
          </w:p>
        </w:tc>
      </w:tr>
      <w:tr w:rsidR="00FC138E" w14:paraId="538F0095" w14:textId="77777777">
        <w:tc>
          <w:tcPr>
            <w:tcW w:w="1134" w:type="dxa"/>
          </w:tcPr>
          <w:p w14:paraId="121ED82E" w14:textId="77777777" w:rsidR="00FC138E" w:rsidRDefault="00DA31F0">
            <w:pPr>
              <w:pStyle w:val="a"/>
              <w:suppressLineNumbers w:val="0"/>
              <w:spacing w:after="80" w:line="320" w:lineRule="exact"/>
              <w:ind w:hanging="3"/>
            </w:pPr>
            <w:bookmarkStart w:id="5" w:name="בא_כוח_ב" w:colFirst="2" w:colLast="2"/>
            <w:bookmarkEnd w:id="4"/>
            <w:r>
              <w:rPr>
                <w:rtl/>
              </w:rPr>
              <w:t xml:space="preserve"> </w:t>
            </w:r>
          </w:p>
        </w:tc>
        <w:tc>
          <w:tcPr>
            <w:tcW w:w="1701" w:type="dxa"/>
          </w:tcPr>
          <w:p w14:paraId="44581C53" w14:textId="77777777" w:rsidR="00FC138E" w:rsidRDefault="00FC138E">
            <w:pPr>
              <w:pStyle w:val="a"/>
              <w:suppressLineNumbers w:val="0"/>
              <w:spacing w:after="80" w:line="320" w:lineRule="exact"/>
              <w:ind w:hanging="3"/>
              <w:rPr>
                <w:b w:val="0"/>
                <w:bCs w:val="0"/>
              </w:rPr>
            </w:pPr>
            <w:r>
              <w:rPr>
                <w:rFonts w:hint="cs"/>
                <w:b w:val="0"/>
                <w:bCs w:val="0"/>
                <w:rtl/>
              </w:rPr>
              <w:t>ע"י ב"כ עוה"ד:</w:t>
            </w:r>
          </w:p>
        </w:tc>
        <w:tc>
          <w:tcPr>
            <w:tcW w:w="3347" w:type="dxa"/>
          </w:tcPr>
          <w:p w14:paraId="03437E2A" w14:textId="77777777" w:rsidR="00FC138E" w:rsidRDefault="00FC138E">
            <w:pPr>
              <w:pStyle w:val="a"/>
              <w:suppressLineNumbers w:val="0"/>
              <w:spacing w:after="80" w:line="320" w:lineRule="exact"/>
              <w:ind w:hanging="3"/>
              <w:rPr>
                <w:b w:val="0"/>
                <w:bCs w:val="0"/>
              </w:rPr>
            </w:pPr>
            <w:r>
              <w:rPr>
                <w:rFonts w:hint="cs"/>
                <w:b w:val="0"/>
                <w:bCs w:val="0"/>
                <w:rtl/>
              </w:rPr>
              <w:t>יעל דראבי</w:t>
            </w:r>
          </w:p>
          <w:p w14:paraId="4F4BB4D9" w14:textId="77777777" w:rsidR="00FC138E" w:rsidRDefault="00FC138E">
            <w:pPr>
              <w:pStyle w:val="a"/>
              <w:suppressLineNumbers w:val="0"/>
              <w:spacing w:after="80" w:line="320" w:lineRule="exact"/>
              <w:ind w:hanging="3"/>
              <w:rPr>
                <w:b w:val="0"/>
                <w:bCs w:val="0"/>
              </w:rPr>
            </w:pPr>
            <w:r>
              <w:rPr>
                <w:rFonts w:hint="cs"/>
                <w:b w:val="0"/>
                <w:bCs w:val="0"/>
                <w:rtl/>
              </w:rPr>
              <w:t>מהסניגוריה הציבורית</w:t>
            </w:r>
          </w:p>
        </w:tc>
        <w:tc>
          <w:tcPr>
            <w:tcW w:w="2409" w:type="dxa"/>
          </w:tcPr>
          <w:p w14:paraId="2665CD64" w14:textId="77777777" w:rsidR="00FC138E" w:rsidRDefault="00DA31F0">
            <w:pPr>
              <w:pStyle w:val="a"/>
              <w:suppressLineNumbers w:val="0"/>
              <w:spacing w:after="80" w:line="320" w:lineRule="exact"/>
              <w:ind w:hanging="3"/>
            </w:pPr>
            <w:r>
              <w:rPr>
                <w:rFonts w:hint="cs"/>
                <w:rtl/>
              </w:rPr>
              <w:t xml:space="preserve"> </w:t>
            </w:r>
          </w:p>
          <w:p w14:paraId="2A8536AB" w14:textId="77777777" w:rsidR="00FC138E" w:rsidRDefault="00FC138E">
            <w:pPr>
              <w:pStyle w:val="a"/>
              <w:suppressLineNumbers w:val="0"/>
              <w:spacing w:after="80" w:line="320" w:lineRule="exact"/>
              <w:ind w:hanging="3"/>
            </w:pPr>
            <w:r>
              <w:rPr>
                <w:rFonts w:hint="cs"/>
                <w:rtl/>
              </w:rPr>
              <w:t>ה</w:t>
            </w:r>
            <w:bookmarkStart w:id="6" w:name="כינוי_ב"/>
            <w:bookmarkEnd w:id="6"/>
            <w:r>
              <w:rPr>
                <w:rFonts w:hint="cs"/>
                <w:rtl/>
              </w:rPr>
              <w:t>נאשמים</w:t>
            </w:r>
          </w:p>
        </w:tc>
      </w:tr>
    </w:tbl>
    <w:bookmarkEnd w:id="5"/>
    <w:p w14:paraId="30163264" w14:textId="77777777" w:rsidR="002F50AE" w:rsidRDefault="00DA31F0">
      <w:pPr>
        <w:pStyle w:val="a"/>
        <w:suppressLineNumbers w:val="0"/>
        <w:spacing w:after="80" w:line="320" w:lineRule="exact"/>
        <w:ind w:firstLine="283"/>
        <w:rPr>
          <w:rFonts w:hint="cs"/>
          <w:b w:val="0"/>
          <w:bCs w:val="0"/>
          <w:rtl/>
        </w:rPr>
      </w:pPr>
      <w:r>
        <w:rPr>
          <w:rFonts w:hint="cs"/>
          <w:b w:val="0"/>
          <w:bCs w:val="0"/>
          <w:rtl/>
        </w:rPr>
        <w:t xml:space="preserve"> </w:t>
      </w:r>
    </w:p>
    <w:tbl>
      <w:tblPr>
        <w:bidiVisual/>
        <w:tblW w:w="8562" w:type="dxa"/>
        <w:tblCellMar>
          <w:left w:w="107" w:type="dxa"/>
          <w:right w:w="107" w:type="dxa"/>
        </w:tblCellMar>
        <w:tblLook w:val="0000" w:firstRow="0" w:lastRow="0" w:firstColumn="0" w:lastColumn="0" w:noHBand="0" w:noVBand="0"/>
      </w:tblPr>
      <w:tblGrid>
        <w:gridCol w:w="1190"/>
        <w:gridCol w:w="7372"/>
      </w:tblGrid>
      <w:tr w:rsidR="00FC138E" w14:paraId="510040F0" w14:textId="77777777">
        <w:tc>
          <w:tcPr>
            <w:tcW w:w="1190" w:type="dxa"/>
          </w:tcPr>
          <w:p w14:paraId="5E97ED22" w14:textId="77777777" w:rsidR="00FC138E" w:rsidRDefault="00FC138E">
            <w:pPr>
              <w:pStyle w:val="a"/>
              <w:suppressLineNumbers w:val="0"/>
              <w:spacing w:after="80" w:line="320" w:lineRule="exact"/>
              <w:ind w:firstLine="283"/>
            </w:pPr>
            <w:r>
              <w:rPr>
                <w:rFonts w:hint="cs"/>
                <w:rtl/>
              </w:rPr>
              <w:t>נוכחים:</w:t>
            </w:r>
          </w:p>
        </w:tc>
        <w:tc>
          <w:tcPr>
            <w:tcW w:w="7372" w:type="dxa"/>
          </w:tcPr>
          <w:p w14:paraId="05712425" w14:textId="77777777" w:rsidR="00FC138E" w:rsidRDefault="00FC138E">
            <w:pPr>
              <w:pStyle w:val="a"/>
              <w:suppressLineNumbers w:val="0"/>
              <w:spacing w:after="80" w:line="320" w:lineRule="exact"/>
              <w:ind w:firstLine="283"/>
              <w:rPr>
                <w:b w:val="0"/>
                <w:bCs w:val="0"/>
              </w:rPr>
            </w:pPr>
            <w:r>
              <w:rPr>
                <w:rFonts w:hint="cs"/>
                <w:b w:val="0"/>
                <w:bCs w:val="0"/>
                <w:rtl/>
              </w:rPr>
              <w:t>ב"כ המאשימה</w:t>
            </w:r>
          </w:p>
          <w:p w14:paraId="60845D68" w14:textId="77777777" w:rsidR="00FC138E" w:rsidRDefault="00FC138E">
            <w:pPr>
              <w:pStyle w:val="a"/>
              <w:suppressLineNumbers w:val="0"/>
              <w:spacing w:after="80" w:line="320" w:lineRule="exact"/>
              <w:ind w:firstLine="283"/>
              <w:rPr>
                <w:b w:val="0"/>
                <w:bCs w:val="0"/>
              </w:rPr>
            </w:pPr>
            <w:r>
              <w:rPr>
                <w:rFonts w:hint="cs"/>
                <w:b w:val="0"/>
                <w:bCs w:val="0"/>
                <w:rtl/>
              </w:rPr>
              <w:t>הנאשמים ובאות-כוחם</w:t>
            </w:r>
          </w:p>
        </w:tc>
      </w:tr>
    </w:tbl>
    <w:p w14:paraId="11C80F15" w14:textId="77777777" w:rsidR="00F07D4D" w:rsidRDefault="00F07D4D">
      <w:pPr>
        <w:spacing w:after="80" w:line="320" w:lineRule="exact"/>
        <w:ind w:firstLine="283"/>
        <w:rPr>
          <w:sz w:val="22"/>
          <w:rtl/>
        </w:rPr>
      </w:pPr>
      <w:bookmarkStart w:id="7" w:name="סוג_מסמך"/>
      <w:bookmarkStart w:id="8" w:name="LawTable"/>
      <w:bookmarkEnd w:id="7"/>
      <w:bookmarkEnd w:id="8"/>
    </w:p>
    <w:p w14:paraId="42F74E94" w14:textId="77777777" w:rsidR="00F07D4D" w:rsidRPr="00F07D4D" w:rsidRDefault="00F07D4D" w:rsidP="00F07D4D">
      <w:pPr>
        <w:spacing w:after="120" w:line="240" w:lineRule="exact"/>
        <w:ind w:left="283" w:hanging="283"/>
        <w:rPr>
          <w:rFonts w:ascii="FrankRuehl" w:hAnsi="FrankRuehl" w:cs="FrankRuehl"/>
          <w:sz w:val="24"/>
          <w:rtl/>
        </w:rPr>
      </w:pPr>
    </w:p>
    <w:p w14:paraId="248E5537" w14:textId="77777777" w:rsidR="00F07D4D" w:rsidRPr="00F07D4D" w:rsidRDefault="00F07D4D" w:rsidP="00F07D4D">
      <w:pPr>
        <w:spacing w:after="120" w:line="240" w:lineRule="exact"/>
        <w:ind w:left="283" w:hanging="283"/>
        <w:rPr>
          <w:rFonts w:ascii="FrankRuehl" w:hAnsi="FrankRuehl" w:cs="FrankRuehl"/>
          <w:sz w:val="24"/>
          <w:rtl/>
        </w:rPr>
      </w:pPr>
      <w:r w:rsidRPr="00F07D4D">
        <w:rPr>
          <w:rFonts w:ascii="FrankRuehl" w:hAnsi="FrankRuehl" w:cs="FrankRuehl"/>
          <w:sz w:val="24"/>
          <w:rtl/>
        </w:rPr>
        <w:t xml:space="preserve">חקיקה שאוזכרה: </w:t>
      </w:r>
    </w:p>
    <w:p w14:paraId="0367E378" w14:textId="77777777" w:rsidR="00F07D4D" w:rsidRPr="00F07D4D" w:rsidRDefault="00F07D4D" w:rsidP="00F07D4D">
      <w:pPr>
        <w:spacing w:after="120" w:line="240" w:lineRule="exact"/>
        <w:ind w:left="283" w:hanging="283"/>
        <w:rPr>
          <w:rFonts w:ascii="FrankRuehl" w:hAnsi="FrankRuehl" w:cs="FrankRuehl"/>
          <w:sz w:val="24"/>
          <w:rtl/>
        </w:rPr>
      </w:pPr>
      <w:hyperlink r:id="rId6" w:history="1">
        <w:r w:rsidRPr="00F07D4D">
          <w:rPr>
            <w:rFonts w:ascii="FrankRuehl" w:hAnsi="FrankRuehl" w:cs="FrankRuehl"/>
            <w:color w:val="0000FF"/>
            <w:sz w:val="24"/>
            <w:u w:val="single"/>
            <w:rtl/>
          </w:rPr>
          <w:t>חוק העונשין, תשל"ז-1977</w:t>
        </w:r>
      </w:hyperlink>
      <w:r w:rsidRPr="00F07D4D">
        <w:rPr>
          <w:rFonts w:ascii="FrankRuehl" w:hAnsi="FrankRuehl" w:cs="FrankRuehl"/>
          <w:sz w:val="24"/>
          <w:rtl/>
        </w:rPr>
        <w:t xml:space="preserve">: סע'  </w:t>
      </w:r>
      <w:hyperlink r:id="rId7" w:history="1">
        <w:r w:rsidRPr="00F07D4D">
          <w:rPr>
            <w:rFonts w:ascii="FrankRuehl" w:hAnsi="FrankRuehl" w:cs="FrankRuehl"/>
            <w:color w:val="0000FF"/>
            <w:sz w:val="24"/>
            <w:u w:val="single"/>
            <w:rtl/>
          </w:rPr>
          <w:t>348</w:t>
        </w:r>
      </w:hyperlink>
      <w:r w:rsidRPr="00F07D4D">
        <w:rPr>
          <w:rFonts w:ascii="FrankRuehl" w:hAnsi="FrankRuehl" w:cs="FrankRuehl"/>
          <w:sz w:val="24"/>
          <w:rtl/>
        </w:rPr>
        <w:t xml:space="preserve">, </w:t>
      </w:r>
      <w:hyperlink r:id="rId8" w:history="1">
        <w:r w:rsidRPr="00F07D4D">
          <w:rPr>
            <w:rFonts w:ascii="FrankRuehl" w:hAnsi="FrankRuehl" w:cs="FrankRuehl"/>
            <w:color w:val="0000FF"/>
            <w:sz w:val="24"/>
            <w:u w:val="single"/>
            <w:rtl/>
          </w:rPr>
          <w:t>349(א)</w:t>
        </w:r>
      </w:hyperlink>
      <w:r w:rsidRPr="00F07D4D">
        <w:rPr>
          <w:rFonts w:ascii="FrankRuehl" w:hAnsi="FrankRuehl" w:cs="FrankRuehl"/>
          <w:sz w:val="24"/>
          <w:rtl/>
        </w:rPr>
        <w:t xml:space="preserve">, </w:t>
      </w:r>
      <w:hyperlink r:id="rId9" w:history="1">
        <w:r w:rsidRPr="00F07D4D">
          <w:rPr>
            <w:rFonts w:ascii="FrankRuehl" w:hAnsi="FrankRuehl" w:cs="FrankRuehl"/>
            <w:color w:val="0000FF"/>
            <w:sz w:val="24"/>
            <w:u w:val="single"/>
            <w:rtl/>
          </w:rPr>
          <w:t>34כד</w:t>
        </w:r>
      </w:hyperlink>
      <w:r w:rsidRPr="00F07D4D">
        <w:rPr>
          <w:rFonts w:ascii="FrankRuehl" w:hAnsi="FrankRuehl" w:cs="FrankRuehl"/>
          <w:sz w:val="24"/>
          <w:rtl/>
        </w:rPr>
        <w:t xml:space="preserve">, </w:t>
      </w:r>
      <w:hyperlink r:id="rId10" w:history="1">
        <w:r w:rsidRPr="00F07D4D">
          <w:rPr>
            <w:rFonts w:ascii="FrankRuehl" w:hAnsi="FrankRuehl" w:cs="FrankRuehl"/>
            <w:color w:val="0000FF"/>
            <w:sz w:val="24"/>
            <w:u w:val="single"/>
            <w:rtl/>
          </w:rPr>
          <w:t>350</w:t>
        </w:r>
      </w:hyperlink>
    </w:p>
    <w:p w14:paraId="438E26D2" w14:textId="77777777" w:rsidR="00F07D4D" w:rsidRPr="00F07D4D" w:rsidRDefault="00F07D4D" w:rsidP="00F07D4D">
      <w:pPr>
        <w:spacing w:after="120" w:line="240" w:lineRule="exact"/>
        <w:ind w:left="283" w:hanging="283"/>
        <w:rPr>
          <w:rFonts w:ascii="FrankRuehl" w:hAnsi="FrankRuehl" w:cs="FrankRuehl"/>
          <w:sz w:val="24"/>
          <w:rtl/>
        </w:rPr>
      </w:pPr>
      <w:hyperlink r:id="rId11" w:history="1">
        <w:r w:rsidRPr="00F07D4D">
          <w:rPr>
            <w:rFonts w:ascii="FrankRuehl" w:hAnsi="FrankRuehl" w:cs="FrankRuehl"/>
            <w:color w:val="0000FF"/>
            <w:sz w:val="24"/>
            <w:u w:val="single"/>
            <w:rtl/>
          </w:rPr>
          <w:t>פקודת הראיות [נוסח חדש], תשל"א-1971</w:t>
        </w:r>
      </w:hyperlink>
      <w:r w:rsidRPr="00F07D4D">
        <w:rPr>
          <w:rFonts w:ascii="FrankRuehl" w:hAnsi="FrankRuehl" w:cs="FrankRuehl"/>
          <w:sz w:val="24"/>
          <w:rtl/>
        </w:rPr>
        <w:t xml:space="preserve">: סע'  </w:t>
      </w:r>
      <w:hyperlink r:id="rId12" w:history="1">
        <w:r w:rsidRPr="00F07D4D">
          <w:rPr>
            <w:rFonts w:ascii="FrankRuehl" w:hAnsi="FrankRuehl" w:cs="FrankRuehl"/>
            <w:color w:val="0000FF"/>
            <w:sz w:val="24"/>
            <w:u w:val="single"/>
            <w:rtl/>
          </w:rPr>
          <w:t>54א'</w:t>
        </w:r>
      </w:hyperlink>
      <w:r w:rsidRPr="00F07D4D">
        <w:rPr>
          <w:rFonts w:ascii="FrankRuehl" w:hAnsi="FrankRuehl" w:cs="FrankRuehl"/>
          <w:sz w:val="24"/>
          <w:rtl/>
        </w:rPr>
        <w:t xml:space="preserve">, </w:t>
      </w:r>
      <w:hyperlink r:id="rId13" w:history="1">
        <w:r w:rsidRPr="00F07D4D">
          <w:rPr>
            <w:rFonts w:ascii="FrankRuehl" w:hAnsi="FrankRuehl" w:cs="FrankRuehl"/>
            <w:color w:val="0000FF"/>
            <w:sz w:val="24"/>
            <w:u w:val="single"/>
            <w:rtl/>
          </w:rPr>
          <w:t>54א(ב)</w:t>
        </w:r>
      </w:hyperlink>
    </w:p>
    <w:p w14:paraId="3F7410EB" w14:textId="77777777" w:rsidR="00F07D4D" w:rsidRPr="00F07D4D" w:rsidRDefault="00F07D4D" w:rsidP="00F07D4D">
      <w:pPr>
        <w:spacing w:after="120" w:line="240" w:lineRule="exact"/>
        <w:ind w:left="283" w:hanging="283"/>
        <w:rPr>
          <w:rFonts w:ascii="FrankRuehl" w:hAnsi="FrankRuehl" w:cs="FrankRuehl"/>
          <w:sz w:val="24"/>
          <w:rtl/>
        </w:rPr>
      </w:pPr>
    </w:p>
    <w:p w14:paraId="62B9DDE9" w14:textId="77777777" w:rsidR="00F07D4D" w:rsidRPr="00F07D4D" w:rsidRDefault="00F07D4D">
      <w:pPr>
        <w:spacing w:after="80" w:line="320" w:lineRule="exact"/>
        <w:ind w:firstLine="283"/>
        <w:rPr>
          <w:sz w:val="22"/>
          <w:rtl/>
        </w:rPr>
      </w:pPr>
      <w:bookmarkStart w:id="9" w:name="LawTable_End"/>
      <w:bookmarkEnd w:id="9"/>
    </w:p>
    <w:p w14:paraId="0F832BFC" w14:textId="77777777" w:rsidR="00DA31F0" w:rsidRPr="00DA31F0" w:rsidRDefault="00DA31F0">
      <w:pPr>
        <w:spacing w:after="80" w:line="320" w:lineRule="exact"/>
        <w:ind w:firstLine="283"/>
        <w:rPr>
          <w:sz w:val="22"/>
          <w:rtl/>
        </w:rPr>
      </w:pPr>
    </w:p>
    <w:p w14:paraId="363B0B16" w14:textId="77777777" w:rsidR="00DA31F0" w:rsidRPr="00DA31F0" w:rsidRDefault="00DA31F0">
      <w:pPr>
        <w:spacing w:after="80" w:line="320" w:lineRule="exact"/>
        <w:ind w:firstLine="283"/>
        <w:rPr>
          <w:b/>
          <w:bCs/>
          <w:sz w:val="22"/>
          <w:rtl/>
        </w:rPr>
      </w:pPr>
    </w:p>
    <w:p w14:paraId="122508BC" w14:textId="77777777" w:rsidR="002F50AE" w:rsidRPr="00DA31F0" w:rsidRDefault="002F50AE">
      <w:pPr>
        <w:spacing w:after="80" w:line="320" w:lineRule="exact"/>
        <w:ind w:firstLine="283"/>
        <w:rPr>
          <w:rFonts w:hint="cs"/>
          <w:b/>
          <w:bCs/>
          <w:sz w:val="22"/>
          <w:rtl/>
        </w:rPr>
      </w:pPr>
    </w:p>
    <w:p w14:paraId="31CCE18D" w14:textId="77777777" w:rsidR="002F50AE" w:rsidRDefault="002F50AE">
      <w:pPr>
        <w:pBdr>
          <w:top w:val="single" w:sz="4" w:space="1" w:color="auto"/>
          <w:bottom w:val="single" w:sz="4" w:space="1" w:color="auto"/>
        </w:pBdr>
        <w:spacing w:after="80" w:line="320" w:lineRule="exact"/>
        <w:rPr>
          <w:rFonts w:cs="FrankRuehl" w:hint="cs"/>
          <w:color w:val="FFFFFF"/>
          <w:sz w:val="26"/>
          <w:szCs w:val="26"/>
          <w:rtl/>
        </w:rPr>
      </w:pPr>
      <w:bookmarkStart w:id="10" w:name="ABSTRACT_START"/>
      <w:bookmarkEnd w:id="10"/>
      <w:r>
        <w:rPr>
          <w:rFonts w:cs="FrankRuehl" w:hint="cs"/>
          <w:sz w:val="26"/>
          <w:szCs w:val="26"/>
          <w:rtl/>
        </w:rPr>
        <w:t xml:space="preserve">שני הנאשמים, בני זוג, הועמדו לדין בגין מעשה מגונה בפומבי – הנאשמת 2 לפי </w:t>
      </w:r>
      <w:r w:rsidR="00F07D4D" w:rsidRPr="00F07D4D">
        <w:rPr>
          <w:rFonts w:cs="FrankRuehl"/>
          <w:sz w:val="26"/>
          <w:szCs w:val="26"/>
          <w:rtl/>
        </w:rPr>
        <w:t>סעיף 349(א)</w:t>
      </w:r>
      <w:r>
        <w:rPr>
          <w:rFonts w:cs="FrankRuehl" w:hint="cs"/>
          <w:sz w:val="26"/>
          <w:szCs w:val="26"/>
          <w:rtl/>
        </w:rPr>
        <w:t xml:space="preserve"> + 350 ל</w:t>
      </w:r>
      <w:hyperlink r:id="rId14" w:history="1">
        <w:r w:rsidR="00DA31F0" w:rsidRPr="00DA31F0">
          <w:rPr>
            <w:rStyle w:val="Hyperlink"/>
            <w:rFonts w:cs="FrankRuehl" w:hint="eastAsia"/>
            <w:sz w:val="26"/>
            <w:szCs w:val="26"/>
            <w:rtl/>
          </w:rPr>
          <w:t>חוק</w:t>
        </w:r>
        <w:r w:rsidR="00DA31F0" w:rsidRPr="00DA31F0">
          <w:rPr>
            <w:rStyle w:val="Hyperlink"/>
            <w:rFonts w:cs="FrankRuehl"/>
            <w:sz w:val="26"/>
            <w:szCs w:val="26"/>
            <w:rtl/>
          </w:rPr>
          <w:t xml:space="preserve"> העונשין</w:t>
        </w:r>
      </w:hyperlink>
      <w:r>
        <w:rPr>
          <w:rFonts w:cs="FrankRuehl" w:hint="cs"/>
          <w:sz w:val="26"/>
          <w:szCs w:val="26"/>
          <w:rtl/>
        </w:rPr>
        <w:t>, והנאשם 1 בגין גרם מעשה כאמור לפי סעיפים 350 + 348 + 349(א) לחוק, וזאת בגין מעשה אוננות שביצעה הנאשמת 2 בנאשם 1 ואחר כך חשיפתה את איבר מינו, מעשים שביצעו בסלון דירתם באילת במהלך חודש אוקטובר 1999, ובפני המתלוננת</w:t>
      </w:r>
      <w:bookmarkStart w:id="11" w:name="ABSTRACT_END"/>
      <w:bookmarkEnd w:id="11"/>
      <w:r>
        <w:rPr>
          <w:rFonts w:cs="FrankRuehl" w:hint="cs"/>
          <w:sz w:val="26"/>
          <w:szCs w:val="26"/>
          <w:rtl/>
        </w:rPr>
        <w:t>.</w:t>
      </w:r>
    </w:p>
    <w:p w14:paraId="1BF59C1E" w14:textId="77777777" w:rsidR="002F50AE" w:rsidRDefault="002F50AE">
      <w:pPr>
        <w:spacing w:after="80" w:line="320" w:lineRule="exact"/>
        <w:ind w:firstLine="283"/>
        <w:rPr>
          <w:rFonts w:hint="cs"/>
          <w:b/>
          <w:bCs/>
          <w:sz w:val="22"/>
          <w:rtl/>
        </w:rPr>
      </w:pPr>
    </w:p>
    <w:p w14:paraId="3872DFB9" w14:textId="77777777" w:rsidR="002F50AE" w:rsidRDefault="002F50AE">
      <w:pPr>
        <w:spacing w:after="80" w:line="320" w:lineRule="exact"/>
        <w:ind w:firstLine="283"/>
        <w:jc w:val="center"/>
        <w:rPr>
          <w:b/>
          <w:bCs/>
          <w:sz w:val="22"/>
          <w:u w:val="single"/>
          <w:rtl/>
        </w:rPr>
      </w:pPr>
      <w:bookmarkStart w:id="12" w:name="PsakDin"/>
      <w:r>
        <w:rPr>
          <w:b/>
          <w:bCs/>
          <w:sz w:val="22"/>
          <w:u w:val="single"/>
          <w:rtl/>
        </w:rPr>
        <w:t>הכרעת דין</w:t>
      </w:r>
    </w:p>
    <w:bookmarkEnd w:id="12"/>
    <w:p w14:paraId="29FD9838" w14:textId="77777777" w:rsidR="002F50AE" w:rsidRDefault="002F50AE">
      <w:pPr>
        <w:spacing w:after="80" w:line="320" w:lineRule="exact"/>
        <w:ind w:firstLine="283"/>
        <w:rPr>
          <w:rFonts w:hint="cs"/>
          <w:b/>
          <w:bCs/>
          <w:i/>
          <w:iCs/>
          <w:sz w:val="22"/>
          <w:rtl/>
        </w:rPr>
      </w:pPr>
      <w:r>
        <w:rPr>
          <w:b/>
          <w:bCs/>
          <w:sz w:val="22"/>
          <w:rtl/>
        </w:rPr>
        <w:lastRenderedPageBreak/>
        <w:t>1</w:t>
      </w:r>
      <w:r>
        <w:rPr>
          <w:rFonts w:hint="cs"/>
          <w:b/>
          <w:bCs/>
          <w:i/>
          <w:iCs/>
          <w:sz w:val="22"/>
          <w:rtl/>
        </w:rPr>
        <w:t>.</w:t>
      </w:r>
      <w:r>
        <w:rPr>
          <w:rFonts w:hint="cs"/>
          <w:b/>
          <w:bCs/>
          <w:i/>
          <w:iCs/>
          <w:sz w:val="22"/>
          <w:rtl/>
        </w:rPr>
        <w:tab/>
        <w:t>זיכיתי את הנאשמים מהאישומים על פי הוראת חיקוק 2 ו- 3 שבכתב האישום, וזיכיתי הנאשם מיתרת האישומים מטעמים ראייתיים.</w:t>
      </w:r>
    </w:p>
    <w:p w14:paraId="00C57849" w14:textId="77777777" w:rsidR="002F50AE" w:rsidRDefault="00DA31F0">
      <w:pPr>
        <w:pStyle w:val="Heading3"/>
        <w:spacing w:after="80" w:line="320" w:lineRule="exact"/>
        <w:ind w:firstLine="283"/>
        <w:rPr>
          <w:rFonts w:hint="cs"/>
          <w:sz w:val="22"/>
          <w:rtl/>
        </w:rPr>
      </w:pPr>
      <w:r>
        <w:rPr>
          <w:rFonts w:hint="cs"/>
          <w:sz w:val="22"/>
          <w:rtl/>
        </w:rPr>
        <w:t xml:space="preserve"> </w:t>
      </w:r>
    </w:p>
    <w:p w14:paraId="32A43720" w14:textId="77777777" w:rsidR="002F50AE" w:rsidRDefault="002F50AE">
      <w:pPr>
        <w:spacing w:after="80" w:line="320" w:lineRule="exact"/>
        <w:ind w:firstLine="283"/>
        <w:rPr>
          <w:rFonts w:hint="cs"/>
          <w:b/>
          <w:bCs/>
          <w:sz w:val="22"/>
          <w:u w:val="single"/>
          <w:rtl/>
        </w:rPr>
      </w:pPr>
      <w:r>
        <w:rPr>
          <w:rFonts w:hint="cs"/>
          <w:b/>
          <w:bCs/>
          <w:sz w:val="22"/>
          <w:u w:val="single"/>
          <w:rtl/>
        </w:rPr>
        <w:t>האישומים:</w:t>
      </w:r>
    </w:p>
    <w:p w14:paraId="60E39FB7" w14:textId="77777777" w:rsidR="002F50AE" w:rsidRDefault="002F50AE">
      <w:pPr>
        <w:spacing w:after="80" w:line="320" w:lineRule="exact"/>
        <w:ind w:firstLine="283"/>
        <w:rPr>
          <w:rFonts w:hint="cs"/>
          <w:b/>
          <w:bCs/>
          <w:i/>
          <w:iCs/>
          <w:color w:val="FFFFFF"/>
          <w:sz w:val="4"/>
          <w:szCs w:val="4"/>
          <w:rtl/>
        </w:rPr>
      </w:pPr>
      <w:r>
        <w:rPr>
          <w:b/>
          <w:bCs/>
          <w:sz w:val="22"/>
          <w:rtl/>
        </w:rPr>
        <w:t>2</w:t>
      </w:r>
      <w:r>
        <w:rPr>
          <w:rFonts w:hint="cs"/>
          <w:b/>
          <w:bCs/>
          <w:i/>
          <w:iCs/>
          <w:sz w:val="22"/>
          <w:rtl/>
        </w:rPr>
        <w:t>.</w:t>
      </w:r>
      <w:r>
        <w:rPr>
          <w:rFonts w:hint="cs"/>
          <w:b/>
          <w:bCs/>
          <w:i/>
          <w:iCs/>
          <w:sz w:val="22"/>
          <w:rtl/>
        </w:rPr>
        <w:tab/>
        <w:t xml:space="preserve">שני הנאשמים, בני זוג, הועמדו לדין בגין מעשה מגונה בפומבי – הנאשמת 2 לפי </w:t>
      </w:r>
      <w:hyperlink r:id="rId15" w:history="1">
        <w:r w:rsidR="00F07D4D" w:rsidRPr="00F07D4D">
          <w:rPr>
            <w:b/>
            <w:bCs/>
            <w:i/>
            <w:iCs/>
            <w:color w:val="0000FF"/>
            <w:sz w:val="22"/>
            <w:u w:val="single"/>
            <w:rtl/>
          </w:rPr>
          <w:t>סעיף 349(א)</w:t>
        </w:r>
      </w:hyperlink>
      <w:r>
        <w:rPr>
          <w:rFonts w:hint="cs"/>
          <w:b/>
          <w:bCs/>
          <w:i/>
          <w:iCs/>
          <w:sz w:val="22"/>
          <w:rtl/>
        </w:rPr>
        <w:t xml:space="preserve"> + </w:t>
      </w:r>
      <w:r w:rsidR="00F07D4D">
        <w:rPr>
          <w:rFonts w:hint="cs"/>
          <w:b/>
          <w:bCs/>
          <w:i/>
          <w:iCs/>
          <w:sz w:val="22"/>
          <w:rtl/>
        </w:rPr>
        <w:t>א</w:t>
      </w:r>
      <w:r>
        <w:rPr>
          <w:rFonts w:hint="cs"/>
          <w:b/>
          <w:bCs/>
          <w:i/>
          <w:iCs/>
          <w:sz w:val="22"/>
          <w:rtl/>
        </w:rPr>
        <w:t>ל</w:t>
      </w:r>
      <w:hyperlink r:id="rId16" w:history="1">
        <w:r w:rsidR="00DA31F0" w:rsidRPr="00DA31F0">
          <w:rPr>
            <w:rStyle w:val="Hyperlink"/>
            <w:rFonts w:hint="eastAsia"/>
            <w:b/>
            <w:bCs/>
            <w:i/>
            <w:iCs/>
            <w:sz w:val="22"/>
            <w:rtl/>
          </w:rPr>
          <w:t>חוק</w:t>
        </w:r>
        <w:r w:rsidR="00DA31F0" w:rsidRPr="00DA31F0">
          <w:rPr>
            <w:rStyle w:val="Hyperlink"/>
            <w:b/>
            <w:bCs/>
            <w:i/>
            <w:iCs/>
            <w:sz w:val="22"/>
            <w:rtl/>
          </w:rPr>
          <w:t xml:space="preserve"> העונשין</w:t>
        </w:r>
      </w:hyperlink>
      <w:r>
        <w:rPr>
          <w:rFonts w:hint="cs"/>
          <w:b/>
          <w:bCs/>
          <w:i/>
          <w:iCs/>
          <w:sz w:val="22"/>
          <w:rtl/>
        </w:rPr>
        <w:t>, התשל"ז-1977 [להלן: "</w:t>
      </w:r>
      <w:r>
        <w:rPr>
          <w:rFonts w:hint="cs"/>
          <w:i/>
          <w:iCs/>
          <w:sz w:val="22"/>
          <w:rtl/>
        </w:rPr>
        <w:t>החוק</w:t>
      </w:r>
      <w:r>
        <w:rPr>
          <w:rFonts w:hint="cs"/>
          <w:b/>
          <w:bCs/>
          <w:i/>
          <w:iCs/>
          <w:sz w:val="22"/>
          <w:rtl/>
        </w:rPr>
        <w:t xml:space="preserve">"], והנאשם 1 בגין גרם מעשה כאמור לפי </w:t>
      </w:r>
      <w:hyperlink r:id="rId17" w:history="1">
        <w:r w:rsidR="00F07D4D" w:rsidRPr="00F07D4D">
          <w:rPr>
            <w:b/>
            <w:bCs/>
            <w:i/>
            <w:iCs/>
            <w:color w:val="0000FF"/>
            <w:sz w:val="22"/>
            <w:u w:val="single"/>
            <w:rtl/>
          </w:rPr>
          <w:t>סעיפים 350</w:t>
        </w:r>
      </w:hyperlink>
      <w:r>
        <w:rPr>
          <w:rFonts w:hint="cs"/>
          <w:b/>
          <w:bCs/>
          <w:i/>
          <w:iCs/>
          <w:sz w:val="22"/>
          <w:rtl/>
        </w:rPr>
        <w:t xml:space="preserve"> + </w:t>
      </w:r>
      <w:hyperlink r:id="rId18" w:history="1">
        <w:r w:rsidR="00F07D4D" w:rsidRPr="00F07D4D">
          <w:rPr>
            <w:b/>
            <w:bCs/>
            <w:i/>
            <w:iCs/>
            <w:color w:val="0000FF"/>
            <w:sz w:val="22"/>
            <w:u w:val="single"/>
            <w:rtl/>
          </w:rPr>
          <w:t>348</w:t>
        </w:r>
      </w:hyperlink>
      <w:r>
        <w:rPr>
          <w:rFonts w:hint="cs"/>
          <w:b/>
          <w:bCs/>
          <w:i/>
          <w:iCs/>
          <w:sz w:val="22"/>
          <w:rtl/>
        </w:rPr>
        <w:t xml:space="preserve"> + </w:t>
      </w:r>
      <w:hyperlink r:id="rId19" w:history="1">
        <w:r w:rsidR="00F07D4D" w:rsidRPr="00F07D4D">
          <w:rPr>
            <w:b/>
            <w:bCs/>
            <w:i/>
            <w:iCs/>
            <w:color w:val="0000FF"/>
            <w:sz w:val="22"/>
            <w:u w:val="single"/>
            <w:rtl/>
          </w:rPr>
          <w:t>349(א)</w:t>
        </w:r>
      </w:hyperlink>
      <w:r>
        <w:rPr>
          <w:rFonts w:hint="cs"/>
          <w:b/>
          <w:bCs/>
          <w:i/>
          <w:iCs/>
          <w:sz w:val="22"/>
          <w:rtl/>
        </w:rPr>
        <w:t xml:space="preserve"> לחוק, וזאת בגין מעשה אוננות שביצעה הנאשמת 2 בנאשם 1 ואחר כך חשיפתה את איבר מינו, מעשים שביצעו בסלון דירתם באילת במהלך חודש אוקטובר 1999, ובפני המתלוננת.</w:t>
      </w:r>
    </w:p>
    <w:p w14:paraId="177313B3" w14:textId="77777777" w:rsidR="002F50AE" w:rsidRDefault="002F50AE">
      <w:pPr>
        <w:spacing w:after="80" w:line="320" w:lineRule="exact"/>
        <w:ind w:firstLine="283"/>
        <w:rPr>
          <w:rFonts w:hint="cs"/>
          <w:b/>
          <w:bCs/>
          <w:i/>
          <w:iCs/>
          <w:sz w:val="22"/>
          <w:rtl/>
        </w:rPr>
      </w:pPr>
      <w:r>
        <w:rPr>
          <w:b/>
          <w:bCs/>
          <w:i/>
          <w:iCs/>
          <w:color w:val="FFFFFF"/>
          <w:sz w:val="4"/>
          <w:szCs w:val="4"/>
          <w:rtl/>
        </w:rPr>
        <w:t>5129371</w:t>
      </w:r>
      <w:r w:rsidR="00DA31F0">
        <w:rPr>
          <w:rFonts w:hint="cs"/>
          <w:b/>
          <w:bCs/>
          <w:i/>
          <w:iCs/>
          <w:sz w:val="24"/>
          <w:rtl/>
        </w:rPr>
        <w:t xml:space="preserve"> </w:t>
      </w:r>
    </w:p>
    <w:p w14:paraId="34C77E83" w14:textId="77777777" w:rsidR="002F50AE" w:rsidRDefault="002F50AE">
      <w:pPr>
        <w:pStyle w:val="BodyTextIndent"/>
        <w:spacing w:after="80" w:line="320" w:lineRule="exact"/>
        <w:ind w:left="0" w:firstLine="283"/>
        <w:rPr>
          <w:rFonts w:hint="cs"/>
          <w:sz w:val="22"/>
          <w:rtl/>
        </w:rPr>
      </w:pPr>
      <w:r>
        <w:rPr>
          <w:rFonts w:hint="cs"/>
          <w:sz w:val="22"/>
          <w:rtl/>
        </w:rPr>
        <w:tab/>
        <w:t xml:space="preserve">הנאשם 1 אף נאשם בנוסף במעשים מגונים שביצע במתלוננת בלא הסכמתה, בכך שליטף רגלה ואף הכניס ידו למפשעתה בסוף שנת 1999 (עובדה ראשונה בכתב האישום), וכן במספר הזדמנויות נוספות ליטף רגלה (עובדה שניה בכתב האישום), הכל תוך כדי כך שהסיע אותה ברכבו. </w:t>
      </w:r>
    </w:p>
    <w:p w14:paraId="644D422D" w14:textId="77777777" w:rsidR="002F50AE" w:rsidRDefault="002F50AE">
      <w:pPr>
        <w:spacing w:after="80" w:line="320" w:lineRule="exact"/>
        <w:ind w:firstLine="283"/>
        <w:rPr>
          <w:rFonts w:hint="cs"/>
          <w:b/>
          <w:bCs/>
          <w:i/>
          <w:iCs/>
          <w:sz w:val="22"/>
          <w:rtl/>
        </w:rPr>
      </w:pPr>
      <w:r>
        <w:rPr>
          <w:rFonts w:hint="cs"/>
          <w:b/>
          <w:bCs/>
          <w:i/>
          <w:iCs/>
          <w:sz w:val="22"/>
          <w:rtl/>
        </w:rPr>
        <w:tab/>
        <w:t xml:space="preserve">כן הינו נאשם כי בסוף שנת 1999 משך את חולצת המתלוננת, ללא הסכמתה, והציץ לתוך החזה שלה. </w:t>
      </w:r>
    </w:p>
    <w:p w14:paraId="02F0A958" w14:textId="77777777" w:rsidR="002F50AE" w:rsidRDefault="002F50AE">
      <w:pPr>
        <w:spacing w:after="80" w:line="320" w:lineRule="exact"/>
        <w:ind w:firstLine="283"/>
        <w:rPr>
          <w:rFonts w:hint="cs"/>
          <w:b/>
          <w:bCs/>
          <w:i/>
          <w:iCs/>
          <w:sz w:val="22"/>
          <w:rtl/>
        </w:rPr>
      </w:pPr>
      <w:r>
        <w:rPr>
          <w:rFonts w:hint="cs"/>
          <w:b/>
          <w:bCs/>
          <w:i/>
          <w:iCs/>
          <w:sz w:val="22"/>
          <w:rtl/>
        </w:rPr>
        <w:tab/>
        <w:t>על פי כתב האישום נעשו מעשים אלו כולם לשם גירוי, סיפוק או ביזוי מיני.</w:t>
      </w:r>
      <w:r>
        <w:rPr>
          <w:b/>
          <w:bCs/>
          <w:i/>
          <w:iCs/>
          <w:color w:val="FFFFFF"/>
          <w:sz w:val="4"/>
          <w:szCs w:val="4"/>
          <w:rtl/>
        </w:rPr>
        <w:t>נ</w:t>
      </w:r>
    </w:p>
    <w:p w14:paraId="659D4525"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5D7294C7" w14:textId="77777777" w:rsidR="002F50AE" w:rsidRDefault="002F50AE">
      <w:pPr>
        <w:spacing w:after="80" w:line="320" w:lineRule="exact"/>
        <w:ind w:firstLine="283"/>
        <w:rPr>
          <w:rFonts w:hint="cs"/>
          <w:b/>
          <w:bCs/>
          <w:i/>
          <w:iCs/>
          <w:sz w:val="22"/>
          <w:rtl/>
        </w:rPr>
      </w:pPr>
      <w:r>
        <w:rPr>
          <w:rFonts w:hint="cs"/>
          <w:b/>
          <w:bCs/>
          <w:i/>
          <w:iCs/>
          <w:sz w:val="22"/>
          <w:rtl/>
        </w:rPr>
        <w:tab/>
        <w:t xml:space="preserve">המתלוננת היתה בעת ביצוע העבירות נשוא האישום בת 16 ומספר חודשים. </w:t>
      </w:r>
    </w:p>
    <w:p w14:paraId="0FC27C33" w14:textId="77777777" w:rsidR="002F50AE" w:rsidRDefault="00DA31F0">
      <w:pPr>
        <w:pStyle w:val="Heading5"/>
        <w:spacing w:after="80" w:line="320" w:lineRule="exact"/>
        <w:ind w:firstLine="283"/>
        <w:jc w:val="both"/>
        <w:rPr>
          <w:rFonts w:hint="cs"/>
          <w:sz w:val="22"/>
          <w:rtl/>
        </w:rPr>
      </w:pPr>
      <w:r>
        <w:rPr>
          <w:rFonts w:hint="cs"/>
          <w:sz w:val="22"/>
          <w:rtl/>
        </w:rPr>
        <w:t xml:space="preserve"> </w:t>
      </w:r>
    </w:p>
    <w:p w14:paraId="33236534" w14:textId="77777777" w:rsidR="002F50AE" w:rsidRDefault="002F50AE">
      <w:pPr>
        <w:spacing w:after="80" w:line="320" w:lineRule="exact"/>
        <w:ind w:firstLine="283"/>
        <w:rPr>
          <w:rFonts w:hint="cs"/>
          <w:b/>
          <w:bCs/>
          <w:i/>
          <w:iCs/>
          <w:sz w:val="22"/>
          <w:rtl/>
        </w:rPr>
      </w:pPr>
      <w:r>
        <w:rPr>
          <w:b/>
          <w:bCs/>
          <w:sz w:val="22"/>
          <w:rtl/>
        </w:rPr>
        <w:t>3</w:t>
      </w:r>
      <w:r>
        <w:rPr>
          <w:rFonts w:hint="cs"/>
          <w:b/>
          <w:bCs/>
          <w:i/>
          <w:iCs/>
          <w:sz w:val="22"/>
          <w:rtl/>
        </w:rPr>
        <w:t>.</w:t>
      </w:r>
      <w:r>
        <w:rPr>
          <w:rFonts w:hint="cs"/>
          <w:b/>
          <w:bCs/>
          <w:i/>
          <w:iCs/>
          <w:sz w:val="22"/>
          <w:rtl/>
        </w:rPr>
        <w:tab/>
        <w:t>במהלך הראיות נשמעו המתלוננת - עדת תביעה 1 שהעידה אודות ביצוע העבירות, וכן חברתה, אנג'י, עדת תביעה 2, אשר העידה אודות דיווח שדיווחה לה המתלוננת אודות המעשים המגונים השונים.</w:t>
      </w:r>
      <w:r>
        <w:rPr>
          <w:b/>
          <w:bCs/>
          <w:i/>
          <w:iCs/>
          <w:color w:val="FFFFFF"/>
          <w:sz w:val="4"/>
          <w:szCs w:val="4"/>
          <w:rtl/>
        </w:rPr>
        <w:t>ב</w:t>
      </w:r>
    </w:p>
    <w:p w14:paraId="6FEE49F7"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23986CE9" w14:textId="77777777" w:rsidR="002F50AE" w:rsidRDefault="002F50AE">
      <w:pPr>
        <w:spacing w:after="80" w:line="320" w:lineRule="exact"/>
        <w:ind w:firstLine="283"/>
        <w:rPr>
          <w:rFonts w:hint="cs"/>
          <w:b/>
          <w:bCs/>
          <w:i/>
          <w:iCs/>
          <w:sz w:val="22"/>
          <w:rtl/>
        </w:rPr>
      </w:pPr>
      <w:r>
        <w:rPr>
          <w:rFonts w:hint="cs"/>
          <w:b/>
          <w:bCs/>
          <w:i/>
          <w:iCs/>
          <w:sz w:val="22"/>
          <w:rtl/>
        </w:rPr>
        <w:tab/>
        <w:t>כן נשמעו הנאשמים, שכפרו בכל החשדות המיוחסים להם, וטענו כי הגשת תלונה קשורה לקרע עמוק בחברות שבין המתלוננת לנאשמת ולנקמנות המתלוננת בנאשמת.</w:t>
      </w:r>
      <w:r>
        <w:rPr>
          <w:b/>
          <w:bCs/>
          <w:i/>
          <w:iCs/>
          <w:color w:val="FFFFFF"/>
          <w:sz w:val="4"/>
          <w:szCs w:val="4"/>
          <w:rtl/>
        </w:rPr>
        <w:t>ו</w:t>
      </w:r>
    </w:p>
    <w:p w14:paraId="2996FAF1"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2025B04B" w14:textId="77777777" w:rsidR="002F50AE" w:rsidRDefault="002F50AE">
      <w:pPr>
        <w:spacing w:after="80" w:line="320" w:lineRule="exact"/>
        <w:ind w:firstLine="283"/>
        <w:rPr>
          <w:rFonts w:hint="cs"/>
          <w:b/>
          <w:bCs/>
          <w:i/>
          <w:iCs/>
          <w:sz w:val="22"/>
          <w:rtl/>
        </w:rPr>
      </w:pPr>
      <w:r>
        <w:rPr>
          <w:rFonts w:hint="cs"/>
          <w:b/>
          <w:bCs/>
          <w:sz w:val="22"/>
          <w:u w:val="single"/>
          <w:rtl/>
        </w:rPr>
        <w:t>רקע כללי:</w:t>
      </w:r>
    </w:p>
    <w:p w14:paraId="60E8DE53" w14:textId="77777777" w:rsidR="002F50AE" w:rsidRDefault="002F50AE">
      <w:pPr>
        <w:spacing w:after="80" w:line="320" w:lineRule="exact"/>
        <w:ind w:firstLine="283"/>
        <w:rPr>
          <w:rFonts w:hint="cs"/>
          <w:b/>
          <w:bCs/>
          <w:i/>
          <w:iCs/>
          <w:sz w:val="22"/>
          <w:rtl/>
        </w:rPr>
      </w:pPr>
      <w:r>
        <w:rPr>
          <w:b/>
          <w:bCs/>
          <w:sz w:val="22"/>
          <w:rtl/>
        </w:rPr>
        <w:t>4</w:t>
      </w:r>
      <w:r>
        <w:rPr>
          <w:rFonts w:hint="cs"/>
          <w:b/>
          <w:bCs/>
          <w:i/>
          <w:iCs/>
          <w:sz w:val="22"/>
          <w:rtl/>
        </w:rPr>
        <w:t>.</w:t>
      </w:r>
      <w:r>
        <w:rPr>
          <w:rFonts w:hint="cs"/>
          <w:b/>
          <w:bCs/>
          <w:i/>
          <w:iCs/>
          <w:sz w:val="22"/>
          <w:rtl/>
        </w:rPr>
        <w:tab/>
        <w:t>הנאשם, היום בן 50, נשוי לנאשמת, היום בת 25, ושניהם הורים לילד קטן שהיה תינוק בעת הרלוונטית. מערכת היחסים בין הנאשמים מורכבת וחריגה במידה רבה. לפי עדותם שלהם, לנאשמת, שכבר בגיל 19 נישאה לבעלה, יחס קנאה אובססיבי כלפיו, אשר גורם לה, בין היתר, להתקשר אליו בכל משך שעות היום ולעקוב אחרי שיחות טלפון שהינו מקבל. על פי דברי הנאשם, הנאשמת אף "מפנטזת" ואיננה בוחלת בשקרים (לדבריו: "</w:t>
      </w:r>
      <w:r>
        <w:rPr>
          <w:rFonts w:hint="cs"/>
          <w:i/>
          <w:iCs/>
          <w:sz w:val="22"/>
          <w:rtl/>
        </w:rPr>
        <w:t>אין לה שרירים בלשון</w:t>
      </w:r>
      <w:r>
        <w:rPr>
          <w:rFonts w:hint="cs"/>
          <w:b/>
          <w:bCs/>
          <w:i/>
          <w:iCs/>
          <w:sz w:val="22"/>
          <w:rtl/>
        </w:rPr>
        <w:t xml:space="preserve">" – עמ' 53 שורה 8 לפרוטוקול), ומזגה זה של הנאשמת אף בו יש משום חריגות נוספת בכל הקשור לנאשמים. </w:t>
      </w:r>
    </w:p>
    <w:p w14:paraId="60A5EF04"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58CF56A0" w14:textId="77777777" w:rsidR="002F50AE" w:rsidRDefault="002F50AE">
      <w:pPr>
        <w:spacing w:after="80" w:line="320" w:lineRule="exact"/>
        <w:ind w:firstLine="283"/>
        <w:rPr>
          <w:rFonts w:hint="cs"/>
          <w:b/>
          <w:bCs/>
          <w:i/>
          <w:iCs/>
          <w:sz w:val="22"/>
          <w:rtl/>
        </w:rPr>
      </w:pPr>
      <w:r>
        <w:rPr>
          <w:rFonts w:hint="cs"/>
          <w:b/>
          <w:bCs/>
          <w:i/>
          <w:iCs/>
          <w:sz w:val="22"/>
          <w:rtl/>
        </w:rPr>
        <w:tab/>
        <w:t xml:space="preserve">בזמנים שקדמו לאירועים נשוא האישום עברו הנאשמים לבית חדש בשכנות למתלוננת והוריה, ומיד עם המעבר התפתחה חברות בין הנאשמת למתלוננת, שהיתה אז תלמידת תיכון. </w:t>
      </w:r>
    </w:p>
    <w:p w14:paraId="253B20BA" w14:textId="77777777" w:rsidR="002F50AE" w:rsidRDefault="002F50AE">
      <w:pPr>
        <w:spacing w:after="80" w:line="320" w:lineRule="exact"/>
        <w:ind w:firstLine="283"/>
        <w:rPr>
          <w:rFonts w:hint="cs"/>
          <w:b/>
          <w:bCs/>
          <w:i/>
          <w:iCs/>
          <w:sz w:val="22"/>
          <w:rtl/>
        </w:rPr>
      </w:pPr>
      <w:r>
        <w:rPr>
          <w:rFonts w:hint="cs"/>
          <w:b/>
          <w:bCs/>
          <w:i/>
          <w:iCs/>
          <w:sz w:val="22"/>
          <w:rtl/>
        </w:rPr>
        <w:tab/>
        <w:t xml:space="preserve">חברות זו אף היא איננה שגרתית, נראה כי היתה יזומה וטופחה על ידי הנאשמת והתפתחה לקשר יום-יומי שכלל אירוח המתלוננת בבית הנאשמים, שמירה של המתלוננת על ילדם של הנאשמים ובעיקר הרבה שיחות, לרבות בנושאים מאוד אינטימיים, בין החברות. </w:t>
      </w:r>
    </w:p>
    <w:p w14:paraId="686348EC" w14:textId="77777777" w:rsidR="002F50AE" w:rsidRDefault="002F50AE">
      <w:pPr>
        <w:spacing w:after="80" w:line="320" w:lineRule="exact"/>
        <w:ind w:firstLine="283"/>
        <w:rPr>
          <w:rFonts w:hint="cs"/>
          <w:b/>
          <w:bCs/>
          <w:i/>
          <w:iCs/>
          <w:sz w:val="22"/>
          <w:rtl/>
        </w:rPr>
      </w:pPr>
      <w:r>
        <w:rPr>
          <w:rFonts w:hint="cs"/>
          <w:b/>
          <w:bCs/>
          <w:i/>
          <w:iCs/>
          <w:sz w:val="22"/>
          <w:rtl/>
        </w:rPr>
        <w:lastRenderedPageBreak/>
        <w:tab/>
        <w:t>פגישות החברות היו בחלקן בנוכחות הנאשם, אשר גם בינו לבין המתלוננת התפתחה ידידות. בגדר יחסים אלה אף ביקשה המתלוננת מהנאשם לא אחת להסיעה ברכבו למקומות שונים, ואמנם, כעשר פעמים במספר הסיע אותה לבקשתה כאמור.</w:t>
      </w:r>
      <w:r>
        <w:rPr>
          <w:b/>
          <w:bCs/>
          <w:i/>
          <w:iCs/>
          <w:color w:val="FFFFFF"/>
          <w:sz w:val="4"/>
          <w:szCs w:val="4"/>
          <w:rtl/>
        </w:rPr>
        <w:t>נ</w:t>
      </w:r>
    </w:p>
    <w:p w14:paraId="43F17F45" w14:textId="77777777" w:rsidR="002F50AE" w:rsidRDefault="002F50AE">
      <w:pPr>
        <w:spacing w:after="80" w:line="320" w:lineRule="exact"/>
        <w:ind w:firstLine="283"/>
        <w:rPr>
          <w:rFonts w:hint="cs"/>
          <w:b/>
          <w:bCs/>
          <w:i/>
          <w:iCs/>
          <w:sz w:val="22"/>
          <w:rtl/>
        </w:rPr>
      </w:pPr>
      <w:r>
        <w:rPr>
          <w:rFonts w:hint="cs"/>
          <w:b/>
          <w:bCs/>
          <w:i/>
          <w:iCs/>
          <w:sz w:val="22"/>
          <w:rtl/>
        </w:rPr>
        <w:tab/>
        <w:t>הנאשם, לטענתו, היה מרוצה ביותר מהקשר שנוצר בין אשתו למתלוננת, אשר הפיג במידת מה את בדידותה של הנאשמת ולחצה עליו.</w:t>
      </w:r>
      <w:r>
        <w:rPr>
          <w:b/>
          <w:bCs/>
          <w:i/>
          <w:iCs/>
          <w:color w:val="FFFFFF"/>
          <w:sz w:val="4"/>
          <w:szCs w:val="4"/>
          <w:rtl/>
        </w:rPr>
        <w:t>ב</w:t>
      </w:r>
    </w:p>
    <w:p w14:paraId="22AC455F" w14:textId="77777777" w:rsidR="002F50AE" w:rsidRDefault="002F50AE">
      <w:pPr>
        <w:spacing w:after="80" w:line="320" w:lineRule="exact"/>
        <w:ind w:firstLine="283"/>
        <w:rPr>
          <w:rFonts w:hint="cs"/>
          <w:b/>
          <w:bCs/>
          <w:i/>
          <w:iCs/>
          <w:sz w:val="22"/>
          <w:rtl/>
        </w:rPr>
      </w:pPr>
      <w:r>
        <w:rPr>
          <w:rFonts w:hint="cs"/>
          <w:b/>
          <w:bCs/>
          <w:i/>
          <w:iCs/>
          <w:sz w:val="22"/>
          <w:rtl/>
        </w:rPr>
        <w:tab/>
      </w:r>
    </w:p>
    <w:p w14:paraId="45EE160B" w14:textId="77777777" w:rsidR="002F50AE" w:rsidRDefault="002F50AE">
      <w:pPr>
        <w:spacing w:after="80" w:line="320" w:lineRule="exact"/>
        <w:ind w:firstLine="283"/>
        <w:rPr>
          <w:rFonts w:hint="cs"/>
          <w:b/>
          <w:bCs/>
          <w:i/>
          <w:iCs/>
          <w:sz w:val="22"/>
          <w:rtl/>
        </w:rPr>
      </w:pPr>
      <w:r>
        <w:rPr>
          <w:rFonts w:hint="cs"/>
          <w:b/>
          <w:bCs/>
          <w:i/>
          <w:iCs/>
          <w:sz w:val="22"/>
          <w:rtl/>
        </w:rPr>
        <w:tab/>
        <w:t xml:space="preserve">בין החברות – הנאשמת והמתלוננת, התגלעו אף מריבות, שעל שתיים מהן בעיקר נשמעו עדויות: </w:t>
      </w:r>
    </w:p>
    <w:p w14:paraId="59D0773D" w14:textId="77777777" w:rsidR="002F50AE" w:rsidRDefault="002F50AE">
      <w:pPr>
        <w:spacing w:after="80" w:line="320" w:lineRule="exact"/>
        <w:ind w:firstLine="283"/>
        <w:rPr>
          <w:rFonts w:hint="cs"/>
          <w:b/>
          <w:bCs/>
          <w:i/>
          <w:iCs/>
          <w:sz w:val="22"/>
          <w:rtl/>
        </w:rPr>
      </w:pPr>
      <w:r>
        <w:rPr>
          <w:rFonts w:hint="cs"/>
          <w:b/>
          <w:bCs/>
          <w:i/>
          <w:iCs/>
          <w:sz w:val="22"/>
          <w:rtl/>
        </w:rPr>
        <w:t>האחת, קשורה להתנגדותה של הנאשמת לכך שהנאשם יסיע את המתלוננת ברכבו, על רקע קנאתה לו וחששה מפני יחסה של המתלוננת כלפיו. בגין מחלוקת זו אירעה מריבה ממשית בבית הנאשמים בנוכחות המתלוננת, תוך שבירת כוס על ידי הנאשמת, ואף נגרם סכסוך בין הנאשמים שבעקבותיו עזבה הנאשמת את העיר למספר ימים;</w:t>
      </w:r>
    </w:p>
    <w:p w14:paraId="2D7B57CC" w14:textId="77777777" w:rsidR="002F50AE" w:rsidRDefault="002F50AE">
      <w:pPr>
        <w:spacing w:after="80" w:line="320" w:lineRule="exact"/>
        <w:ind w:firstLine="283"/>
        <w:rPr>
          <w:rFonts w:hint="cs"/>
          <w:b/>
          <w:bCs/>
          <w:i/>
          <w:iCs/>
          <w:sz w:val="22"/>
          <w:rtl/>
        </w:rPr>
      </w:pPr>
      <w:r>
        <w:rPr>
          <w:rFonts w:hint="cs"/>
          <w:b/>
          <w:bCs/>
          <w:i/>
          <w:iCs/>
          <w:sz w:val="22"/>
          <w:rtl/>
        </w:rPr>
        <w:t xml:space="preserve">מריבה שניה, שלא הובררה סמיכות הזמנים בינה לבין הראשונה, אך כנראה קשורה היתה לאותם חששות של הנאשמת בגין פחדיה מהמתלוננת או מהנאשם, נגרמה כתוצאה מהחלטתה של הנאשמת להביא סוף לקשרים עם המתלוננת, וזאת בכך שפנתה לאימה של המתלוננת ומסרה לה דיווח אודות "חטאיה" של ביתה – מעשיה עם חבריה, קשר לסמים, הפסקת הריון ועוד. "חטאים" נטענים אלה, לדעת המתלוננת, בני משפחתה ואף הנאשם, כולם פרי דמיונה של הנאשמת, ובכל זאת, בעת אמירתם גרמה הנאשמת לנזק רב ולסכסוך בין שתי המשפחות בכלל, ובין המתלוננת לנאשמת בפרט. </w:t>
      </w:r>
    </w:p>
    <w:p w14:paraId="6FE3F184" w14:textId="77777777" w:rsidR="002F50AE" w:rsidRDefault="002F50AE">
      <w:pPr>
        <w:spacing w:after="80" w:line="320" w:lineRule="exact"/>
        <w:ind w:firstLine="283"/>
        <w:rPr>
          <w:rFonts w:hint="cs"/>
          <w:b/>
          <w:bCs/>
          <w:i/>
          <w:iCs/>
          <w:sz w:val="22"/>
          <w:rtl/>
        </w:rPr>
      </w:pPr>
      <w:r>
        <w:rPr>
          <w:rFonts w:hint="cs"/>
          <w:b/>
          <w:bCs/>
          <w:i/>
          <w:iCs/>
          <w:sz w:val="22"/>
          <w:rtl/>
        </w:rPr>
        <w:t xml:space="preserve">נראה כי לאחר סכסוך זה פסק הקשר החברי בין המתלוננת לנאשמת, אם לחלוטין ואם באופן חלקי (לפי עדות הנאשמת, לאחר מועד זה עדיין שמרה לה המתלוננת לפחות פעם אחת על הילד, ואילו בעדות המתלוננת לא נשמעו מועדים וקשה לתארך את האירועים אז לא מבחינת סדר התרחשותם). </w:t>
      </w:r>
    </w:p>
    <w:p w14:paraId="16B54EF0"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44A21BF0" w14:textId="77777777" w:rsidR="002F50AE" w:rsidRDefault="002F50AE">
      <w:pPr>
        <w:spacing w:after="80" w:line="320" w:lineRule="exact"/>
        <w:ind w:firstLine="283"/>
        <w:rPr>
          <w:rFonts w:hint="cs"/>
          <w:b/>
          <w:bCs/>
          <w:i/>
          <w:iCs/>
          <w:sz w:val="22"/>
          <w:rtl/>
        </w:rPr>
      </w:pPr>
      <w:r>
        <w:rPr>
          <w:rFonts w:hint="cs"/>
          <w:b/>
          <w:bCs/>
          <w:i/>
          <w:iCs/>
          <w:sz w:val="22"/>
          <w:rtl/>
        </w:rPr>
        <w:t>מכל מקום, כנראה זמן מה, ואפשר שמספר חודשים (לוחות הזמנים לא הובררו דיים), לאחר הפסקת קשר החברות בין המתלוננת לנאשמת ולאחר הכפשותיה של המתלוננת בפי הנאשמת, הגישה המתלוננת למשטרה תלונה, אשר על פיה הוגש כתב האישום שבפני.</w:t>
      </w:r>
      <w:r>
        <w:rPr>
          <w:b/>
          <w:bCs/>
          <w:i/>
          <w:iCs/>
          <w:color w:val="FFFFFF"/>
          <w:sz w:val="4"/>
          <w:szCs w:val="4"/>
          <w:rtl/>
        </w:rPr>
        <w:t>ו</w:t>
      </w:r>
    </w:p>
    <w:p w14:paraId="1A169C5C" w14:textId="77777777" w:rsidR="002F50AE" w:rsidRDefault="002F50AE">
      <w:pPr>
        <w:spacing w:after="80" w:line="320" w:lineRule="exact"/>
        <w:ind w:firstLine="283"/>
        <w:rPr>
          <w:rFonts w:hint="cs"/>
          <w:b/>
          <w:bCs/>
          <w:i/>
          <w:iCs/>
          <w:sz w:val="22"/>
          <w:rtl/>
        </w:rPr>
      </w:pPr>
      <w:r>
        <w:rPr>
          <w:rFonts w:hint="cs"/>
          <w:b/>
          <w:bCs/>
          <w:i/>
          <w:iCs/>
          <w:sz w:val="22"/>
          <w:rtl/>
        </w:rPr>
        <w:t xml:space="preserve">התלונה הוגשה בינואר 2000, באותה עת נחקרו חשדות נוספים, דומים, נגד הנאשמים על פי תלונות של קטינות כבנות 13, אשר בסופו של דבר לא הוגש בגינם אישום כלשהו. רק באוגוסט 2000 נחקרו הנאשמים בקשר לחשדות נשוא התלונות והאישום. </w:t>
      </w:r>
    </w:p>
    <w:p w14:paraId="7079248D" w14:textId="77777777" w:rsidR="002F50AE" w:rsidRDefault="002F50AE">
      <w:pPr>
        <w:spacing w:after="80" w:line="320" w:lineRule="exact"/>
        <w:ind w:firstLine="283"/>
        <w:rPr>
          <w:rFonts w:hint="cs"/>
          <w:sz w:val="22"/>
          <w:rtl/>
        </w:rPr>
      </w:pPr>
      <w:r>
        <w:rPr>
          <w:rFonts w:hint="cs"/>
          <w:sz w:val="22"/>
          <w:rtl/>
        </w:rPr>
        <w:tab/>
      </w:r>
    </w:p>
    <w:p w14:paraId="727C18BA" w14:textId="77777777" w:rsidR="002F50AE" w:rsidRDefault="002F50AE">
      <w:pPr>
        <w:spacing w:after="80" w:line="320" w:lineRule="exact"/>
        <w:ind w:firstLine="283"/>
        <w:rPr>
          <w:rFonts w:hint="cs"/>
          <w:b/>
          <w:bCs/>
          <w:i/>
          <w:iCs/>
          <w:sz w:val="22"/>
          <w:rtl/>
        </w:rPr>
      </w:pPr>
      <w:r>
        <w:rPr>
          <w:b/>
          <w:bCs/>
          <w:sz w:val="22"/>
          <w:rtl/>
        </w:rPr>
        <w:t>5</w:t>
      </w:r>
      <w:r>
        <w:rPr>
          <w:rFonts w:hint="cs"/>
          <w:b/>
          <w:bCs/>
          <w:i/>
          <w:iCs/>
          <w:sz w:val="22"/>
          <w:rtl/>
        </w:rPr>
        <w:t>.</w:t>
      </w:r>
      <w:r>
        <w:rPr>
          <w:rFonts w:hint="cs"/>
          <w:b/>
          <w:bCs/>
          <w:i/>
          <w:iCs/>
          <w:sz w:val="22"/>
          <w:rtl/>
        </w:rPr>
        <w:tab/>
        <w:t xml:space="preserve">על פי הראיות שנשמעו, ביחסים בין המתלוננת לנאשמים היו הקשרים "סקססטים" שונים. </w:t>
      </w:r>
    </w:p>
    <w:p w14:paraId="1DCD79CE" w14:textId="77777777" w:rsidR="002F50AE" w:rsidRDefault="002F50AE">
      <w:pPr>
        <w:spacing w:after="80" w:line="320" w:lineRule="exact"/>
        <w:ind w:firstLine="283"/>
        <w:rPr>
          <w:rFonts w:hint="cs"/>
          <w:b/>
          <w:bCs/>
          <w:i/>
          <w:iCs/>
          <w:sz w:val="22"/>
          <w:rtl/>
        </w:rPr>
      </w:pPr>
      <w:r>
        <w:rPr>
          <w:rFonts w:hint="cs"/>
          <w:b/>
          <w:bCs/>
          <w:i/>
          <w:iCs/>
          <w:sz w:val="22"/>
          <w:rtl/>
        </w:rPr>
        <w:t xml:space="preserve">כבר אקבע כי לא קיבלתי כלל קו ההגנה של הנאשמת ובעלה על פיו הנאשמת שמרנית במיוחד. </w:t>
      </w:r>
    </w:p>
    <w:p w14:paraId="6EC68C67"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520550F0" w14:textId="77777777" w:rsidR="002F50AE" w:rsidRDefault="002F50AE">
      <w:pPr>
        <w:spacing w:after="80" w:line="320" w:lineRule="exact"/>
        <w:ind w:firstLine="283"/>
        <w:rPr>
          <w:rFonts w:hint="cs"/>
          <w:b/>
          <w:bCs/>
          <w:i/>
          <w:iCs/>
          <w:sz w:val="22"/>
          <w:rtl/>
        </w:rPr>
      </w:pPr>
      <w:r>
        <w:rPr>
          <w:rFonts w:hint="cs"/>
          <w:b/>
          <w:bCs/>
          <w:i/>
          <w:iCs/>
          <w:sz w:val="22"/>
          <w:rtl/>
        </w:rPr>
        <w:tab/>
        <w:t xml:space="preserve">הוכח כי השיחות בין הנשים כללו שיחות אינטימיות בנושא יחסיהן ומעשיהן עם גברים. </w:t>
      </w:r>
    </w:p>
    <w:p w14:paraId="30FEFB67" w14:textId="77777777" w:rsidR="002F50AE" w:rsidRDefault="002F50AE">
      <w:pPr>
        <w:spacing w:after="80" w:line="320" w:lineRule="exact"/>
        <w:ind w:firstLine="283"/>
        <w:rPr>
          <w:rFonts w:hint="cs"/>
          <w:b/>
          <w:bCs/>
          <w:i/>
          <w:iCs/>
          <w:sz w:val="22"/>
          <w:rtl/>
        </w:rPr>
      </w:pPr>
      <w:r>
        <w:rPr>
          <w:rFonts w:hint="cs"/>
          <w:b/>
          <w:bCs/>
          <w:i/>
          <w:iCs/>
          <w:sz w:val="22"/>
          <w:rtl/>
        </w:rPr>
        <w:tab/>
        <w:t xml:space="preserve">הוכח, אף לגרסת הנאשמים, כי הנאשמים לא מצאו כל רע בלשכב צמודים או זה על גב זה מכוסים בשמיכה על ספת הסלון מול המתלוננת. </w:t>
      </w:r>
    </w:p>
    <w:p w14:paraId="40FF6DB1" w14:textId="77777777" w:rsidR="002F50AE" w:rsidRDefault="002F50AE">
      <w:pPr>
        <w:spacing w:after="80" w:line="320" w:lineRule="exact"/>
        <w:ind w:firstLine="283"/>
        <w:rPr>
          <w:rFonts w:hint="cs"/>
          <w:b/>
          <w:bCs/>
          <w:i/>
          <w:iCs/>
          <w:sz w:val="22"/>
          <w:rtl/>
        </w:rPr>
      </w:pPr>
      <w:r>
        <w:rPr>
          <w:rFonts w:hint="cs"/>
          <w:b/>
          <w:bCs/>
          <w:i/>
          <w:iCs/>
          <w:sz w:val="22"/>
          <w:rtl/>
        </w:rPr>
        <w:tab/>
        <w:t xml:space="preserve">הוכח כי לבושה ומראה של המתלוננת גרמו להתייחסות של הנאשמים: לטענת המתלוננת - אמירות מיניות של הנאשמים כלפיה ואף משיכת חולצתה, לטענת הנאשמת – בקשות כלפי המתלוננת להימנע מלהיכנס אליה בלבוש פרובוקטיבי. לטענת הנאשמים אף הציגה המתלוננת בפני הנאשמת חזיה חדשה שרכשה, תוך הרמת חולצה, כשהיו כולם בדירה. </w:t>
      </w:r>
    </w:p>
    <w:p w14:paraId="221FFFE3"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40A8601C" w14:textId="77777777" w:rsidR="002F50AE" w:rsidRDefault="002F50AE">
      <w:pPr>
        <w:spacing w:after="80" w:line="320" w:lineRule="exact"/>
        <w:ind w:firstLine="283"/>
        <w:rPr>
          <w:rFonts w:hint="cs"/>
          <w:b/>
          <w:bCs/>
          <w:i/>
          <w:iCs/>
          <w:sz w:val="22"/>
          <w:rtl/>
        </w:rPr>
      </w:pPr>
      <w:r>
        <w:rPr>
          <w:rFonts w:hint="cs"/>
          <w:b/>
          <w:bCs/>
          <w:i/>
          <w:iCs/>
          <w:sz w:val="22"/>
          <w:rtl/>
        </w:rPr>
        <w:lastRenderedPageBreak/>
        <w:tab/>
        <w:t>במשפט זה יש להכריע האם "האווירה המינית" ביחסים שבין הצדדים הגיעה לכדי ביצוע עבירות של הנאשמים, או מי מהם, כלפי המתלוננת.</w:t>
      </w:r>
      <w:r>
        <w:rPr>
          <w:b/>
          <w:bCs/>
          <w:i/>
          <w:iCs/>
          <w:color w:val="FFFFFF"/>
          <w:sz w:val="4"/>
          <w:szCs w:val="4"/>
          <w:rtl/>
        </w:rPr>
        <w:t>נ</w:t>
      </w:r>
    </w:p>
    <w:p w14:paraId="167BF84D"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2CF16B8E" w14:textId="77777777" w:rsidR="002F50AE" w:rsidRDefault="002F50AE">
      <w:pPr>
        <w:spacing w:after="80" w:line="320" w:lineRule="exact"/>
        <w:ind w:firstLine="283"/>
        <w:rPr>
          <w:rFonts w:hint="cs"/>
          <w:b/>
          <w:bCs/>
          <w:i/>
          <w:iCs/>
          <w:sz w:val="22"/>
          <w:rtl/>
        </w:rPr>
      </w:pPr>
      <w:r>
        <w:rPr>
          <w:rFonts w:hint="cs"/>
          <w:b/>
          <w:bCs/>
          <w:sz w:val="22"/>
          <w:u w:val="single"/>
          <w:rtl/>
        </w:rPr>
        <w:t>מעשה מגונה בפומבי:</w:t>
      </w:r>
    </w:p>
    <w:p w14:paraId="44B7E84C" w14:textId="77777777" w:rsidR="002F50AE" w:rsidRDefault="002F50AE">
      <w:pPr>
        <w:spacing w:after="80" w:line="320" w:lineRule="exact"/>
        <w:ind w:firstLine="283"/>
        <w:rPr>
          <w:rFonts w:hint="cs"/>
          <w:b/>
          <w:bCs/>
          <w:i/>
          <w:iCs/>
          <w:sz w:val="22"/>
          <w:rtl/>
        </w:rPr>
      </w:pPr>
      <w:r>
        <w:rPr>
          <w:b/>
          <w:bCs/>
          <w:sz w:val="22"/>
          <w:rtl/>
        </w:rPr>
        <w:t>6</w:t>
      </w:r>
      <w:r>
        <w:rPr>
          <w:rFonts w:hint="cs"/>
          <w:b/>
          <w:bCs/>
          <w:i/>
          <w:iCs/>
          <w:sz w:val="22"/>
          <w:rtl/>
        </w:rPr>
        <w:t>.</w:t>
      </w:r>
      <w:r>
        <w:rPr>
          <w:rFonts w:hint="cs"/>
          <w:b/>
          <w:bCs/>
          <w:i/>
          <w:iCs/>
          <w:sz w:val="22"/>
          <w:rtl/>
        </w:rPr>
        <w:tab/>
        <w:t xml:space="preserve">כבר אקבע כי אף אם אקבל את גרסת המתלוננת לגבי אירוע המעשה המגונה בסלון בית הנאשמים, גרסה אשר נתמכה בעדות מהימנה של המתלוננת ואף במעשים דומים בם הודתה הנאשמת שבוצעו לכאורה כ"ביום" לעיני קטינות אחרות, אזי לא הוכחה אשמת הנאשמים. </w:t>
      </w:r>
    </w:p>
    <w:p w14:paraId="5E5790E9"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605F2AA9" w14:textId="77777777" w:rsidR="002F50AE" w:rsidRDefault="002F50AE">
      <w:pPr>
        <w:spacing w:after="80" w:line="320" w:lineRule="exact"/>
        <w:ind w:firstLine="283"/>
        <w:rPr>
          <w:rFonts w:hint="cs"/>
          <w:b/>
          <w:bCs/>
          <w:i/>
          <w:iCs/>
          <w:sz w:val="22"/>
          <w:rtl/>
        </w:rPr>
      </w:pPr>
      <w:r>
        <w:rPr>
          <w:rFonts w:hint="cs"/>
          <w:b/>
          <w:bCs/>
          <w:i/>
          <w:iCs/>
          <w:sz w:val="22"/>
          <w:rtl/>
        </w:rPr>
        <w:tab/>
        <w:t xml:space="preserve">על פי </w:t>
      </w:r>
      <w:hyperlink r:id="rId20" w:history="1">
        <w:r w:rsidR="00F07D4D" w:rsidRPr="00F07D4D">
          <w:rPr>
            <w:b/>
            <w:bCs/>
            <w:i/>
            <w:iCs/>
            <w:color w:val="0000FF"/>
            <w:sz w:val="22"/>
            <w:u w:val="single"/>
            <w:rtl/>
          </w:rPr>
          <w:t>סעיף 349(א)</w:t>
        </w:r>
      </w:hyperlink>
      <w:r>
        <w:rPr>
          <w:rFonts w:hint="cs"/>
          <w:b/>
          <w:bCs/>
          <w:i/>
          <w:iCs/>
          <w:sz w:val="22"/>
          <w:rtl/>
        </w:rPr>
        <w:t xml:space="preserve"> לחוק, האישום הינו בגין מעשה מגונה "בפומבי". "פומבי", כהגדרתו ב</w:t>
      </w:r>
      <w:hyperlink r:id="rId21" w:history="1">
        <w:r w:rsidR="00F07D4D" w:rsidRPr="00F07D4D">
          <w:rPr>
            <w:b/>
            <w:bCs/>
            <w:i/>
            <w:iCs/>
            <w:color w:val="0000FF"/>
            <w:sz w:val="22"/>
            <w:u w:val="single"/>
            <w:rtl/>
          </w:rPr>
          <w:t>סעיפים 34כ"ד</w:t>
        </w:r>
      </w:hyperlink>
      <w:r>
        <w:rPr>
          <w:rFonts w:hint="cs"/>
          <w:b/>
          <w:bCs/>
          <w:i/>
          <w:iCs/>
          <w:sz w:val="22"/>
          <w:rtl/>
        </w:rPr>
        <w:t xml:space="preserve"> לחוק הינו מקום ציבורי או מקום שאינו ציבורי ובלבד שאדם המצוי במקום ציבור יכול לראות את המעשה.</w:t>
      </w:r>
      <w:r>
        <w:rPr>
          <w:b/>
          <w:bCs/>
          <w:i/>
          <w:iCs/>
          <w:color w:val="FFFFFF"/>
          <w:sz w:val="4"/>
          <w:szCs w:val="4"/>
          <w:rtl/>
        </w:rPr>
        <w:t>ב</w:t>
      </w:r>
    </w:p>
    <w:p w14:paraId="3DF48470"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68899DDE" w14:textId="77777777" w:rsidR="002F50AE" w:rsidRDefault="002F50AE">
      <w:pPr>
        <w:spacing w:after="80" w:line="320" w:lineRule="exact"/>
        <w:ind w:firstLine="283"/>
        <w:rPr>
          <w:rFonts w:hint="cs"/>
          <w:b/>
          <w:bCs/>
          <w:i/>
          <w:iCs/>
          <w:sz w:val="22"/>
          <w:rtl/>
        </w:rPr>
      </w:pPr>
      <w:r>
        <w:rPr>
          <w:rFonts w:hint="cs"/>
          <w:b/>
          <w:bCs/>
          <w:i/>
          <w:iCs/>
          <w:sz w:val="22"/>
          <w:rtl/>
        </w:rPr>
        <w:tab/>
        <w:t xml:space="preserve">סלון ביתו של אדם איננו מקום ציבורי. לא הוכח, ואף לא נטען, כי ניתן היה לראות ממקום ציבורי את הנעשה בסלון בית הנאשמים. </w:t>
      </w:r>
    </w:p>
    <w:p w14:paraId="027A3E0C" w14:textId="77777777" w:rsidR="002F50AE" w:rsidRDefault="002F50AE">
      <w:pPr>
        <w:spacing w:after="80" w:line="320" w:lineRule="exact"/>
        <w:ind w:firstLine="283"/>
        <w:rPr>
          <w:rFonts w:hint="cs"/>
          <w:b/>
          <w:bCs/>
          <w:i/>
          <w:iCs/>
          <w:sz w:val="22"/>
          <w:rtl/>
        </w:rPr>
      </w:pPr>
      <w:r>
        <w:rPr>
          <w:rFonts w:hint="cs"/>
          <w:b/>
          <w:bCs/>
          <w:i/>
          <w:iCs/>
          <w:sz w:val="22"/>
          <w:rtl/>
        </w:rPr>
        <w:tab/>
        <w:t xml:space="preserve">אין מחלוקת כי המעשים נשוא האישום נעשו בסלון ביתם של הנאשמים. ממילא לא הוכח יסוד הפומביות שבעבירה, ולכן – אף אם ביצעו הנאשמים את המעשים המיוחסים להם, ואף אם יש להוקיעם – יש לזכותם מכל אשמה שיוחסה להם בגין מעשים אלה. </w:t>
      </w:r>
    </w:p>
    <w:p w14:paraId="26AAF128"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06F2581D" w14:textId="77777777" w:rsidR="002F50AE" w:rsidRDefault="002F50AE">
      <w:pPr>
        <w:spacing w:after="80" w:line="320" w:lineRule="exact"/>
        <w:ind w:firstLine="283"/>
        <w:rPr>
          <w:rFonts w:hint="cs"/>
          <w:b/>
          <w:bCs/>
          <w:i/>
          <w:iCs/>
          <w:sz w:val="22"/>
          <w:rtl/>
        </w:rPr>
      </w:pPr>
      <w:r>
        <w:rPr>
          <w:rFonts w:hint="cs"/>
          <w:b/>
          <w:bCs/>
          <w:sz w:val="22"/>
          <w:u w:val="single"/>
          <w:rtl/>
        </w:rPr>
        <w:t>מעשים מגונים המיוחסים לנאשם:</w:t>
      </w:r>
    </w:p>
    <w:p w14:paraId="1A2B0D14" w14:textId="77777777" w:rsidR="002F50AE" w:rsidRDefault="002F50AE">
      <w:pPr>
        <w:spacing w:after="80" w:line="320" w:lineRule="exact"/>
        <w:ind w:firstLine="283"/>
        <w:rPr>
          <w:rFonts w:hint="cs"/>
          <w:b/>
          <w:bCs/>
          <w:i/>
          <w:iCs/>
          <w:sz w:val="22"/>
          <w:rtl/>
        </w:rPr>
      </w:pPr>
      <w:r>
        <w:rPr>
          <w:b/>
          <w:bCs/>
          <w:sz w:val="22"/>
          <w:rtl/>
        </w:rPr>
        <w:t>7</w:t>
      </w:r>
      <w:r>
        <w:rPr>
          <w:rFonts w:hint="cs"/>
          <w:b/>
          <w:bCs/>
          <w:i/>
          <w:iCs/>
          <w:sz w:val="22"/>
          <w:rtl/>
        </w:rPr>
        <w:t>.</w:t>
      </w:r>
      <w:r>
        <w:rPr>
          <w:rFonts w:hint="cs"/>
          <w:b/>
          <w:bCs/>
          <w:i/>
          <w:iCs/>
          <w:sz w:val="22"/>
          <w:rtl/>
        </w:rPr>
        <w:tab/>
        <w:t>ההכרעה באישומים האחרים, של עשיית המעשים המגונים מבוססים מחייבת העדפת אחת משתי גרסות סותרות שנשמעו בפני – זו של המתלוננת מול זו של הנאשם, וכן התייחסות לדיותה של עדות המתלוננת – לשאלה באם היתה היא עדות יחידה, האם חוזקה היא בעדות של החברה אנג'י, והאם ניתן לבסס עליה הרשעה אף אם מועדפת גרסת המתלוננת.</w:t>
      </w:r>
      <w:r>
        <w:rPr>
          <w:b/>
          <w:bCs/>
          <w:i/>
          <w:iCs/>
          <w:color w:val="FFFFFF"/>
          <w:sz w:val="4"/>
          <w:szCs w:val="4"/>
          <w:rtl/>
        </w:rPr>
        <w:t>ו</w:t>
      </w:r>
    </w:p>
    <w:p w14:paraId="00A1891E"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5015F700" w14:textId="77777777" w:rsidR="002F50AE" w:rsidRDefault="002F50AE">
      <w:pPr>
        <w:spacing w:after="80" w:line="320" w:lineRule="exact"/>
        <w:ind w:firstLine="283"/>
        <w:rPr>
          <w:rFonts w:hint="cs"/>
          <w:b/>
          <w:bCs/>
          <w:i/>
          <w:iCs/>
          <w:sz w:val="22"/>
          <w:rtl/>
        </w:rPr>
      </w:pPr>
      <w:r>
        <w:rPr>
          <w:rFonts w:hint="cs"/>
          <w:b/>
          <w:bCs/>
          <w:i/>
          <w:iCs/>
          <w:sz w:val="22"/>
          <w:rtl/>
        </w:rPr>
        <w:tab/>
        <w:t xml:space="preserve">לאחר שראיתי טיעוני הצדדים לגבי </w:t>
      </w:r>
      <w:hyperlink r:id="rId22" w:history="1">
        <w:r w:rsidR="00F07D4D" w:rsidRPr="00F07D4D">
          <w:rPr>
            <w:b/>
            <w:bCs/>
            <w:i/>
            <w:iCs/>
            <w:color w:val="0000FF"/>
            <w:sz w:val="22"/>
            <w:u w:val="single"/>
            <w:rtl/>
          </w:rPr>
          <w:t>סעיף 54א'</w:t>
        </w:r>
      </w:hyperlink>
      <w:r>
        <w:rPr>
          <w:rFonts w:hint="cs"/>
          <w:b/>
          <w:bCs/>
          <w:i/>
          <w:iCs/>
          <w:sz w:val="22"/>
          <w:rtl/>
        </w:rPr>
        <w:t xml:space="preserve"> וחלותו, הגעתי לכלל דיעה כי איננו חל כלל בענייננו, בשים לב להוראת </w:t>
      </w:r>
      <w:hyperlink r:id="rId23" w:history="1">
        <w:r w:rsidR="00F07D4D" w:rsidRPr="00F07D4D">
          <w:rPr>
            <w:b/>
            <w:bCs/>
            <w:i/>
            <w:iCs/>
            <w:color w:val="0000FF"/>
            <w:sz w:val="22"/>
            <w:u w:val="single"/>
            <w:rtl/>
          </w:rPr>
          <w:t>סעיף 54א(ב)</w:t>
        </w:r>
      </w:hyperlink>
      <w:r>
        <w:rPr>
          <w:rFonts w:hint="cs"/>
          <w:b/>
          <w:bCs/>
          <w:i/>
          <w:iCs/>
          <w:sz w:val="22"/>
          <w:rtl/>
        </w:rPr>
        <w:t xml:space="preserve"> ל</w:t>
      </w:r>
      <w:hyperlink r:id="rId24" w:history="1">
        <w:r w:rsidR="00DA31F0" w:rsidRPr="00DA31F0">
          <w:rPr>
            <w:rStyle w:val="Hyperlink"/>
            <w:rFonts w:hint="eastAsia"/>
            <w:b/>
            <w:bCs/>
            <w:i/>
            <w:iCs/>
            <w:sz w:val="22"/>
            <w:rtl/>
          </w:rPr>
          <w:t>פקודת</w:t>
        </w:r>
        <w:r w:rsidR="00DA31F0" w:rsidRPr="00DA31F0">
          <w:rPr>
            <w:rStyle w:val="Hyperlink"/>
            <w:b/>
            <w:bCs/>
            <w:i/>
            <w:iCs/>
            <w:sz w:val="22"/>
            <w:rtl/>
          </w:rPr>
          <w:t xml:space="preserve"> הראיות</w:t>
        </w:r>
      </w:hyperlink>
      <w:r>
        <w:rPr>
          <w:rFonts w:hint="cs"/>
          <w:b/>
          <w:bCs/>
          <w:i/>
          <w:iCs/>
          <w:sz w:val="22"/>
          <w:rtl/>
        </w:rPr>
        <w:t xml:space="preserve"> [נוסח חדש], אף אם מועדפת גרסת המתלוננת.</w:t>
      </w:r>
      <w:r>
        <w:rPr>
          <w:b/>
          <w:bCs/>
          <w:i/>
          <w:iCs/>
          <w:color w:val="FFFFFF"/>
          <w:sz w:val="4"/>
          <w:szCs w:val="4"/>
          <w:rtl/>
        </w:rPr>
        <w:t>נ</w:t>
      </w:r>
    </w:p>
    <w:p w14:paraId="75B19031" w14:textId="77777777" w:rsidR="002F50AE" w:rsidRDefault="002F50AE">
      <w:pPr>
        <w:spacing w:after="80" w:line="320" w:lineRule="exact"/>
        <w:ind w:firstLine="283"/>
        <w:rPr>
          <w:rFonts w:hint="cs"/>
          <w:b/>
          <w:bCs/>
          <w:i/>
          <w:iCs/>
          <w:sz w:val="22"/>
          <w:rtl/>
        </w:rPr>
      </w:pPr>
      <w:r>
        <w:rPr>
          <w:rFonts w:hint="cs"/>
          <w:b/>
          <w:bCs/>
          <w:i/>
          <w:iCs/>
          <w:sz w:val="22"/>
          <w:rtl/>
        </w:rPr>
        <w:tab/>
        <w:t xml:space="preserve">אין לומר כי התביעה התבססה על עדות יחידה כמשמעה בסעיף זה. די בכך שנשמעה עדות עדת תביעה 3, אף אם הינה עדות בלתי ישירה בכדי לשלול תחולתו של </w:t>
      </w:r>
      <w:hyperlink r:id="rId25" w:history="1">
        <w:r w:rsidR="00F07D4D" w:rsidRPr="00F07D4D">
          <w:rPr>
            <w:b/>
            <w:bCs/>
            <w:i/>
            <w:iCs/>
            <w:color w:val="0000FF"/>
            <w:sz w:val="22"/>
            <w:u w:val="single"/>
            <w:rtl/>
          </w:rPr>
          <w:t>סעיף 54א'</w:t>
        </w:r>
      </w:hyperlink>
      <w:r>
        <w:rPr>
          <w:rFonts w:hint="cs"/>
          <w:b/>
          <w:bCs/>
          <w:i/>
          <w:iCs/>
          <w:sz w:val="22"/>
          <w:rtl/>
        </w:rPr>
        <w:t xml:space="preserve"> לענייננו. בכל זאת, כמובן, על בית המשפט לבחון התרשמותו מכלל הראיות ומשקלן, ולקבוע האם בסופו של יום הוכח אשמו של הנאשם מעל לכל ספק סביר. </w:t>
      </w:r>
    </w:p>
    <w:p w14:paraId="37F5A143" w14:textId="77777777" w:rsidR="002F50AE" w:rsidRDefault="002F50AE">
      <w:pPr>
        <w:spacing w:after="80" w:line="320" w:lineRule="exact"/>
        <w:ind w:firstLine="283"/>
        <w:rPr>
          <w:rFonts w:hint="cs"/>
          <w:b/>
          <w:bCs/>
          <w:i/>
          <w:iCs/>
          <w:sz w:val="22"/>
          <w:rtl/>
        </w:rPr>
      </w:pPr>
      <w:r>
        <w:rPr>
          <w:rFonts w:hint="cs"/>
          <w:b/>
          <w:bCs/>
          <w:i/>
          <w:iCs/>
          <w:sz w:val="22"/>
          <w:rtl/>
        </w:rPr>
        <w:tab/>
      </w:r>
    </w:p>
    <w:p w14:paraId="65384BBF" w14:textId="77777777" w:rsidR="002F50AE" w:rsidRDefault="002F50AE">
      <w:pPr>
        <w:spacing w:after="80" w:line="320" w:lineRule="exact"/>
        <w:ind w:firstLine="283"/>
        <w:rPr>
          <w:rFonts w:hint="cs"/>
          <w:b/>
          <w:bCs/>
          <w:i/>
          <w:iCs/>
          <w:sz w:val="22"/>
          <w:rtl/>
        </w:rPr>
      </w:pPr>
      <w:r>
        <w:rPr>
          <w:b/>
          <w:bCs/>
          <w:sz w:val="22"/>
          <w:rtl/>
        </w:rPr>
        <w:t>8.</w:t>
      </w:r>
      <w:r>
        <w:rPr>
          <w:rFonts w:hint="cs"/>
          <w:b/>
          <w:bCs/>
          <w:i/>
          <w:iCs/>
          <w:sz w:val="22"/>
          <w:rtl/>
        </w:rPr>
        <w:tab/>
        <w:t xml:space="preserve">עיקר המעשים המגונים הינם, על פי הנטען, נגיעות של הנאשם ברגליה של המתלוננת בעד שנסעה עימו ביחידות ברכבו, בכסא שליד כסא הנהג.  </w:t>
      </w:r>
    </w:p>
    <w:p w14:paraId="3BBED85F" w14:textId="77777777" w:rsidR="002F50AE" w:rsidRDefault="002F50AE">
      <w:pPr>
        <w:spacing w:after="80" w:line="320" w:lineRule="exact"/>
        <w:ind w:firstLine="283"/>
        <w:rPr>
          <w:rFonts w:hint="cs"/>
          <w:b/>
          <w:bCs/>
          <w:i/>
          <w:iCs/>
          <w:sz w:val="22"/>
          <w:rtl/>
        </w:rPr>
      </w:pPr>
      <w:r>
        <w:rPr>
          <w:rFonts w:hint="cs"/>
          <w:b/>
          <w:bCs/>
          <w:i/>
          <w:iCs/>
          <w:sz w:val="22"/>
          <w:rtl/>
        </w:rPr>
        <w:tab/>
        <w:t>המתלוננת העידה על נגיעות כאמור (אם כי בעדותה הבהירה שהנאשם לא נגע במפשעתה אלא בסמוך לה).</w:t>
      </w:r>
      <w:r>
        <w:rPr>
          <w:b/>
          <w:bCs/>
          <w:i/>
          <w:iCs/>
          <w:color w:val="FFFFFF"/>
          <w:sz w:val="4"/>
          <w:szCs w:val="4"/>
          <w:rtl/>
        </w:rPr>
        <w:t>ב</w:t>
      </w:r>
    </w:p>
    <w:p w14:paraId="237F8343" w14:textId="77777777" w:rsidR="002F50AE" w:rsidRDefault="002F50AE">
      <w:pPr>
        <w:spacing w:after="80" w:line="320" w:lineRule="exact"/>
        <w:ind w:firstLine="283"/>
        <w:rPr>
          <w:rFonts w:hint="cs"/>
          <w:b/>
          <w:bCs/>
          <w:i/>
          <w:iCs/>
          <w:sz w:val="22"/>
          <w:rtl/>
        </w:rPr>
      </w:pPr>
      <w:r>
        <w:rPr>
          <w:rFonts w:hint="cs"/>
          <w:b/>
          <w:bCs/>
          <w:i/>
          <w:iCs/>
          <w:sz w:val="22"/>
          <w:rtl/>
        </w:rPr>
        <w:t xml:space="preserve">אין מחלוקת כי הנאשם אמנם הסיע את המתלוננת ברכבו, לבקשתה. אף הוכח כי הדבר נעשה לבקשת המתלוננת ונגד רצונה של הנאשמת. </w:t>
      </w:r>
    </w:p>
    <w:p w14:paraId="6DDB7781" w14:textId="77777777" w:rsidR="002F50AE" w:rsidRDefault="002F50AE">
      <w:pPr>
        <w:spacing w:after="80" w:line="320" w:lineRule="exact"/>
        <w:ind w:firstLine="283"/>
        <w:rPr>
          <w:rFonts w:hint="cs"/>
          <w:b/>
          <w:bCs/>
          <w:i/>
          <w:iCs/>
          <w:sz w:val="22"/>
          <w:rtl/>
        </w:rPr>
      </w:pPr>
      <w:r>
        <w:rPr>
          <w:rFonts w:hint="cs"/>
          <w:b/>
          <w:bCs/>
          <w:i/>
          <w:iCs/>
          <w:sz w:val="22"/>
          <w:rtl/>
        </w:rPr>
        <w:tab/>
        <w:t>אף הוכח כי למרות שלדברי המתלוננת נגע בה הנאשם בשלוש נסיעות, המשיכה המתלוננת לבקשו להסיעה, ואף המשיכה בחברות עם הנאשמים ואף לא גילתה לנאשמת דבר מאירועי הנסיעה.</w:t>
      </w:r>
      <w:r>
        <w:rPr>
          <w:b/>
          <w:bCs/>
          <w:i/>
          <w:iCs/>
          <w:color w:val="FFFFFF"/>
          <w:sz w:val="4"/>
          <w:szCs w:val="4"/>
          <w:rtl/>
        </w:rPr>
        <w:t>ו</w:t>
      </w:r>
    </w:p>
    <w:p w14:paraId="17848BB9" w14:textId="77777777" w:rsidR="002F50AE" w:rsidRDefault="002F50AE">
      <w:pPr>
        <w:spacing w:after="80" w:line="320" w:lineRule="exact"/>
        <w:ind w:firstLine="283"/>
        <w:rPr>
          <w:rFonts w:hint="cs"/>
          <w:b/>
          <w:bCs/>
          <w:i/>
          <w:iCs/>
          <w:sz w:val="22"/>
          <w:rtl/>
        </w:rPr>
      </w:pPr>
      <w:r>
        <w:rPr>
          <w:rFonts w:hint="cs"/>
          <w:b/>
          <w:bCs/>
          <w:i/>
          <w:iCs/>
          <w:sz w:val="22"/>
          <w:rtl/>
        </w:rPr>
        <w:tab/>
        <w:t>כן הוכח כי התלונה במשטרה הוגשה על ידי המתלוננת מספר חודשים לאחר אירועים אלה.</w:t>
      </w:r>
      <w:r>
        <w:rPr>
          <w:b/>
          <w:bCs/>
          <w:i/>
          <w:iCs/>
          <w:color w:val="FFFFFF"/>
          <w:sz w:val="4"/>
          <w:szCs w:val="4"/>
          <w:rtl/>
        </w:rPr>
        <w:t>נ</w:t>
      </w:r>
    </w:p>
    <w:p w14:paraId="52F0F56C"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01041970" w14:textId="77777777" w:rsidR="002F50AE" w:rsidRDefault="002F50AE">
      <w:pPr>
        <w:spacing w:after="80" w:line="320" w:lineRule="exact"/>
        <w:ind w:firstLine="283"/>
        <w:rPr>
          <w:rFonts w:hint="cs"/>
          <w:b/>
          <w:bCs/>
          <w:i/>
          <w:iCs/>
          <w:sz w:val="22"/>
          <w:rtl/>
        </w:rPr>
      </w:pPr>
      <w:r>
        <w:rPr>
          <w:rFonts w:hint="cs"/>
          <w:b/>
          <w:bCs/>
          <w:i/>
          <w:iCs/>
          <w:sz w:val="22"/>
          <w:rtl/>
        </w:rPr>
        <w:tab/>
        <w:t>לא יכולה להיות מחלוקת כי תלונתה של המתלוננת במשטרה אודות מעשי הנאשם מהווה בנסיבות אלה עדות כבושה. המתלוננת הסבירה כבישת עדותה במספר טעמים סבירים, אם כי שונים:</w:t>
      </w:r>
    </w:p>
    <w:p w14:paraId="15509211" w14:textId="77777777" w:rsidR="002F50AE" w:rsidRDefault="002F50AE">
      <w:pPr>
        <w:spacing w:after="80" w:line="320" w:lineRule="exact"/>
        <w:ind w:firstLine="283"/>
        <w:rPr>
          <w:rFonts w:hint="cs"/>
          <w:b/>
          <w:bCs/>
          <w:i/>
          <w:iCs/>
          <w:sz w:val="22"/>
          <w:rtl/>
        </w:rPr>
      </w:pPr>
      <w:r>
        <w:rPr>
          <w:rFonts w:hint="cs"/>
          <w:b/>
          <w:bCs/>
          <w:i/>
          <w:iCs/>
          <w:sz w:val="22"/>
          <w:rtl/>
        </w:rPr>
        <w:tab/>
        <w:t xml:space="preserve">האחד - כי היתה ילדה, לא ייחסה חשיבות למעשים, ואף הושקטה על ידי הנאשם שהסביר לה כי הכל בצחוק. </w:t>
      </w:r>
    </w:p>
    <w:p w14:paraId="4F004861" w14:textId="77777777" w:rsidR="002F50AE" w:rsidRDefault="002F50AE">
      <w:pPr>
        <w:spacing w:after="80" w:line="320" w:lineRule="exact"/>
        <w:ind w:firstLine="283"/>
        <w:rPr>
          <w:rFonts w:hint="cs"/>
          <w:b/>
          <w:bCs/>
          <w:i/>
          <w:iCs/>
          <w:sz w:val="22"/>
          <w:rtl/>
        </w:rPr>
      </w:pPr>
      <w:r>
        <w:rPr>
          <w:rFonts w:hint="cs"/>
          <w:b/>
          <w:bCs/>
          <w:i/>
          <w:iCs/>
          <w:sz w:val="22"/>
          <w:rtl/>
        </w:rPr>
        <w:tab/>
        <w:t>טעם נוסף - כי לראשונה סיפרה את דבר המעשים רק לחברה, אביעד, והוא זה אשר עמד על הצורך להגיש תלונה למשטרה, ואף שיתף בכך את הוריה שדרבנוה ועודדוה להתלונן.</w:t>
      </w:r>
      <w:r>
        <w:rPr>
          <w:b/>
          <w:bCs/>
          <w:i/>
          <w:iCs/>
          <w:color w:val="FFFFFF"/>
          <w:sz w:val="4"/>
          <w:szCs w:val="4"/>
          <w:rtl/>
        </w:rPr>
        <w:t>ב</w:t>
      </w:r>
    </w:p>
    <w:p w14:paraId="58E58B0A" w14:textId="77777777" w:rsidR="002F50AE" w:rsidRDefault="002F50AE">
      <w:pPr>
        <w:spacing w:after="80" w:line="320" w:lineRule="exact"/>
        <w:ind w:firstLine="283"/>
        <w:rPr>
          <w:rFonts w:hint="cs"/>
          <w:b/>
          <w:bCs/>
          <w:i/>
          <w:iCs/>
          <w:sz w:val="22"/>
          <w:rtl/>
        </w:rPr>
      </w:pPr>
      <w:r>
        <w:rPr>
          <w:rFonts w:hint="cs"/>
          <w:b/>
          <w:bCs/>
          <w:i/>
          <w:iCs/>
          <w:sz w:val="22"/>
          <w:rtl/>
        </w:rPr>
        <w:tab/>
        <w:t xml:space="preserve">טעם נוסף, שלא עלה מחקירתה אך נזכר בעימות שנערך בינה לבין הנאשמת [מוצג ת/3] - כי לולא הכפישה הנאשמת את המתלוננת בפני אימה, לא היתה בכלל המתלוננת מגישה תלונתה במשטרה. </w:t>
      </w:r>
    </w:p>
    <w:p w14:paraId="7913E009"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0A86BE92" w14:textId="77777777" w:rsidR="002F50AE" w:rsidRDefault="002F50AE">
      <w:pPr>
        <w:spacing w:after="80" w:line="320" w:lineRule="exact"/>
        <w:ind w:firstLine="283"/>
        <w:rPr>
          <w:rFonts w:hint="cs"/>
          <w:b/>
          <w:bCs/>
          <w:i/>
          <w:iCs/>
          <w:sz w:val="22"/>
          <w:rtl/>
        </w:rPr>
      </w:pPr>
      <w:r>
        <w:rPr>
          <w:rFonts w:hint="cs"/>
          <w:b/>
          <w:bCs/>
          <w:i/>
          <w:iCs/>
          <w:sz w:val="22"/>
          <w:rtl/>
        </w:rPr>
        <w:tab/>
        <w:t>המתלוננת נחזתה בעיני כבחורה מן היישוב, אמינה ובטוחה בעדותה, אם כי נראה שנמנעה מלהעיד מיוזמתה אודות מרכיבים בעייתיים בגרסתה: המשך נסיעותיה עם הנאשם, ביוזמתה וסיפורן המלא המריבות עם הנאשמת.</w:t>
      </w:r>
      <w:r>
        <w:rPr>
          <w:b/>
          <w:bCs/>
          <w:i/>
          <w:iCs/>
          <w:color w:val="FFFFFF"/>
          <w:sz w:val="4"/>
          <w:szCs w:val="4"/>
          <w:rtl/>
        </w:rPr>
        <w:t>ו</w:t>
      </w:r>
    </w:p>
    <w:p w14:paraId="6E499FE8" w14:textId="77777777" w:rsidR="002F50AE" w:rsidRDefault="002F50AE">
      <w:pPr>
        <w:spacing w:after="80" w:line="320" w:lineRule="exact"/>
        <w:ind w:firstLine="283"/>
        <w:rPr>
          <w:rFonts w:hint="cs"/>
          <w:b/>
          <w:bCs/>
          <w:i/>
          <w:iCs/>
          <w:sz w:val="22"/>
          <w:rtl/>
        </w:rPr>
      </w:pPr>
      <w:r>
        <w:rPr>
          <w:rFonts w:hint="cs"/>
          <w:b/>
          <w:bCs/>
          <w:i/>
          <w:iCs/>
          <w:sz w:val="22"/>
          <w:rtl/>
        </w:rPr>
        <w:t>עדת תביעה 3, אנג'י, שכבר מספר שנים איננה בקשר עם המתלוננת, לא זכרה בעדותה בפני עובדות רלוונטיות, ולשם רענון זכרונה הוגשה הודעתה במשטרה מיום 27.01.2000 [מוצג ת/4].</w:t>
      </w:r>
      <w:r>
        <w:rPr>
          <w:b/>
          <w:bCs/>
          <w:i/>
          <w:iCs/>
          <w:color w:val="FFFFFF"/>
          <w:sz w:val="4"/>
          <w:szCs w:val="4"/>
          <w:rtl/>
        </w:rPr>
        <w:t>נ</w:t>
      </w:r>
    </w:p>
    <w:p w14:paraId="19888251" w14:textId="77777777" w:rsidR="002F50AE" w:rsidRDefault="002F50AE">
      <w:pPr>
        <w:spacing w:after="80" w:line="320" w:lineRule="exact"/>
        <w:ind w:firstLine="283"/>
        <w:rPr>
          <w:rFonts w:hint="cs"/>
          <w:b/>
          <w:bCs/>
          <w:i/>
          <w:iCs/>
          <w:sz w:val="22"/>
          <w:rtl/>
        </w:rPr>
      </w:pPr>
      <w:r>
        <w:rPr>
          <w:rFonts w:hint="cs"/>
          <w:b/>
          <w:bCs/>
          <w:i/>
          <w:iCs/>
          <w:sz w:val="22"/>
          <w:rtl/>
        </w:rPr>
        <w:tab/>
        <w:t>בהודעתה סיפרה שהמתלוננת סיפרה לה כי הנאשם שם עליה יד על הברך, וכי סיפרה אף שהיו הזדמנויות נוספות שנגע בה ואם שפעם אחת אף סטרה לו.</w:t>
      </w:r>
      <w:r>
        <w:rPr>
          <w:b/>
          <w:bCs/>
          <w:i/>
          <w:iCs/>
          <w:color w:val="FFFFFF"/>
          <w:sz w:val="4"/>
          <w:szCs w:val="4"/>
          <w:rtl/>
        </w:rPr>
        <w:t>ב</w:t>
      </w:r>
    </w:p>
    <w:p w14:paraId="24FC1ACB" w14:textId="77777777" w:rsidR="002F50AE" w:rsidRDefault="002F50AE">
      <w:pPr>
        <w:spacing w:after="80" w:line="320" w:lineRule="exact"/>
        <w:ind w:firstLine="283"/>
        <w:rPr>
          <w:rFonts w:hint="cs"/>
          <w:b/>
          <w:bCs/>
          <w:i/>
          <w:iCs/>
          <w:sz w:val="22"/>
          <w:rtl/>
        </w:rPr>
      </w:pPr>
      <w:r>
        <w:rPr>
          <w:rFonts w:hint="cs"/>
          <w:b/>
          <w:bCs/>
          <w:i/>
          <w:iCs/>
          <w:sz w:val="22"/>
          <w:rtl/>
        </w:rPr>
        <w:tab/>
        <w:t>עדות זו מתאימה בחלקה לעדות המתלוננת לגבי כך שהמעשה המגונה, המיוחס לנאשם בסעיף העובדות הראשון, נעשה בדרכה לאנג'י וכי סיפרה לאנג'י אודותיו, אך שונה בכך שהמעשה לפי עדות המתלוננת הינו נגיעה באיזור המפשעה ולא בברך.</w:t>
      </w:r>
      <w:r>
        <w:rPr>
          <w:b/>
          <w:bCs/>
          <w:i/>
          <w:iCs/>
          <w:color w:val="FFFFFF"/>
          <w:sz w:val="4"/>
          <w:szCs w:val="4"/>
          <w:rtl/>
        </w:rPr>
        <w:t>ו</w:t>
      </w:r>
    </w:p>
    <w:p w14:paraId="769CAE84" w14:textId="77777777" w:rsidR="002F50AE" w:rsidRDefault="002F50AE">
      <w:pPr>
        <w:spacing w:after="80" w:line="320" w:lineRule="exact"/>
        <w:ind w:firstLine="283"/>
        <w:rPr>
          <w:rFonts w:hint="cs"/>
          <w:b/>
          <w:bCs/>
          <w:i/>
          <w:iCs/>
          <w:sz w:val="22"/>
          <w:rtl/>
        </w:rPr>
      </w:pPr>
      <w:r>
        <w:rPr>
          <w:rFonts w:hint="cs"/>
          <w:b/>
          <w:bCs/>
          <w:i/>
          <w:iCs/>
          <w:sz w:val="22"/>
          <w:rtl/>
        </w:rPr>
        <w:tab/>
        <w:t xml:space="preserve">בין עדויות עדת תביעה 3 למתלוננת היו עוד מספר אי-התאמות לא מבוטלות, לרבות לענין הפסקת הקשר בין המתלוננת לנאשמים. </w:t>
      </w:r>
    </w:p>
    <w:p w14:paraId="73DFF6CF" w14:textId="77777777" w:rsidR="002F50AE" w:rsidRDefault="002F50AE">
      <w:pPr>
        <w:spacing w:after="80" w:line="320" w:lineRule="exact"/>
        <w:ind w:firstLine="283"/>
        <w:rPr>
          <w:rFonts w:hint="cs"/>
          <w:b/>
          <w:bCs/>
          <w:i/>
          <w:iCs/>
          <w:sz w:val="22"/>
          <w:rtl/>
        </w:rPr>
      </w:pPr>
      <w:r>
        <w:rPr>
          <w:rFonts w:hint="cs"/>
          <w:b/>
          <w:bCs/>
          <w:i/>
          <w:iCs/>
          <w:sz w:val="22"/>
          <w:rtl/>
        </w:rPr>
        <w:tab/>
      </w:r>
    </w:p>
    <w:p w14:paraId="720C62F3" w14:textId="77777777" w:rsidR="002F50AE" w:rsidRDefault="002F50AE">
      <w:pPr>
        <w:spacing w:after="80" w:line="320" w:lineRule="exact"/>
        <w:ind w:firstLine="283"/>
        <w:rPr>
          <w:rFonts w:hint="cs"/>
          <w:b/>
          <w:bCs/>
          <w:i/>
          <w:iCs/>
          <w:sz w:val="22"/>
          <w:rtl/>
        </w:rPr>
      </w:pPr>
      <w:r>
        <w:rPr>
          <w:rFonts w:hint="cs"/>
          <w:b/>
          <w:bCs/>
          <w:i/>
          <w:iCs/>
          <w:sz w:val="22"/>
          <w:rtl/>
        </w:rPr>
        <w:tab/>
        <w:t>הנאשם הכחיש נגיעות מכוונות כלשהן במתלוננת.</w:t>
      </w:r>
      <w:r>
        <w:rPr>
          <w:b/>
          <w:bCs/>
          <w:i/>
          <w:iCs/>
          <w:color w:val="FFFFFF"/>
          <w:sz w:val="4"/>
          <w:szCs w:val="4"/>
          <w:rtl/>
        </w:rPr>
        <w:t>נ</w:t>
      </w:r>
    </w:p>
    <w:p w14:paraId="603CF8F0" w14:textId="77777777" w:rsidR="002F50AE" w:rsidRDefault="002F50AE">
      <w:pPr>
        <w:spacing w:after="80" w:line="320" w:lineRule="exact"/>
        <w:ind w:firstLine="283"/>
        <w:rPr>
          <w:rFonts w:hint="cs"/>
          <w:b/>
          <w:bCs/>
          <w:i/>
          <w:iCs/>
          <w:sz w:val="22"/>
          <w:rtl/>
        </w:rPr>
      </w:pPr>
      <w:r>
        <w:rPr>
          <w:rFonts w:hint="cs"/>
          <w:b/>
          <w:bCs/>
          <w:i/>
          <w:iCs/>
          <w:sz w:val="22"/>
          <w:rtl/>
        </w:rPr>
        <w:tab/>
        <w:t>בהודעתו במשטרה לא ייחס למתלוננת כוונה כלשהי להרע, ודיבר עליה שבחים בלבד. בעדותו בפני, מנגד, ייחס לה מעשים פרובוקטיביים רבים, וכן ייחס לה מוטיבציות נקמה באשתו ואף שליחת שליחים לחבל ברכושו. מצאתי את עדותו מאוד מגמתית, וכן מצאתי בה אי בהירויות לא מעטות.</w:t>
      </w:r>
      <w:r>
        <w:rPr>
          <w:b/>
          <w:bCs/>
          <w:i/>
          <w:iCs/>
          <w:color w:val="FFFFFF"/>
          <w:sz w:val="4"/>
          <w:szCs w:val="4"/>
          <w:rtl/>
        </w:rPr>
        <w:t>ב</w:t>
      </w:r>
    </w:p>
    <w:p w14:paraId="1E270859" w14:textId="77777777" w:rsidR="002F50AE" w:rsidRDefault="002F50AE">
      <w:pPr>
        <w:spacing w:after="80" w:line="320" w:lineRule="exact"/>
        <w:ind w:firstLine="283"/>
        <w:rPr>
          <w:rFonts w:hint="cs"/>
          <w:b/>
          <w:bCs/>
          <w:i/>
          <w:iCs/>
          <w:sz w:val="22"/>
          <w:rtl/>
        </w:rPr>
      </w:pPr>
      <w:r>
        <w:rPr>
          <w:rFonts w:hint="cs"/>
          <w:b/>
          <w:bCs/>
          <w:i/>
          <w:iCs/>
          <w:sz w:val="22"/>
          <w:rtl/>
        </w:rPr>
        <w:tab/>
        <w:t xml:space="preserve">לא ראיתי חשיבות כלשהי לעדות הנאשמת לענין המעשים המגונים שיוחסו לנאשם. בכל זאת, שוכנעתי כי הנאשמת אמנם אובססיבית יתר על המידה בכל הקשור לנאשם, וכי חרדתה מפני הסעת הנאשם את המתלוננת, כשלעצמה, איננה מחזקת את ראיות התביעה. </w:t>
      </w:r>
    </w:p>
    <w:p w14:paraId="5A780D28" w14:textId="77777777" w:rsidR="002F50AE" w:rsidRDefault="002F50AE">
      <w:pPr>
        <w:spacing w:after="80" w:line="320" w:lineRule="exact"/>
        <w:ind w:firstLine="283"/>
        <w:rPr>
          <w:rFonts w:hint="cs"/>
          <w:b/>
          <w:bCs/>
          <w:i/>
          <w:iCs/>
          <w:sz w:val="22"/>
          <w:rtl/>
        </w:rPr>
      </w:pPr>
      <w:r>
        <w:rPr>
          <w:rFonts w:hint="cs"/>
          <w:b/>
          <w:bCs/>
          <w:i/>
          <w:iCs/>
          <w:sz w:val="22"/>
          <w:rtl/>
        </w:rPr>
        <w:tab/>
      </w:r>
    </w:p>
    <w:p w14:paraId="4A9D94AB" w14:textId="77777777" w:rsidR="002F50AE" w:rsidRDefault="002F50AE">
      <w:pPr>
        <w:spacing w:after="80" w:line="320" w:lineRule="exact"/>
        <w:ind w:firstLine="283"/>
        <w:rPr>
          <w:rFonts w:hint="cs"/>
          <w:b/>
          <w:bCs/>
          <w:i/>
          <w:iCs/>
          <w:sz w:val="22"/>
          <w:rtl/>
        </w:rPr>
      </w:pPr>
      <w:r>
        <w:rPr>
          <w:rFonts w:hint="cs"/>
          <w:b/>
          <w:bCs/>
          <w:i/>
          <w:iCs/>
          <w:sz w:val="22"/>
          <w:rtl/>
        </w:rPr>
        <w:tab/>
        <w:t xml:space="preserve">לאחר ששמעתי מכלול הראיות והתרשמתי מהן, ואף את טיעוני הצדדים, והגם שלו נבחן היה האישום בנטל ההסתברות הרגיל, מעדיפה הייתי את גרסת המתלוננת, סברתי כי לא הוכחה אשמת הנאשם בנטל הראוי. </w:t>
      </w:r>
    </w:p>
    <w:p w14:paraId="1A5D357F" w14:textId="77777777" w:rsidR="002F50AE" w:rsidRDefault="002F50AE">
      <w:pPr>
        <w:spacing w:after="80" w:line="320" w:lineRule="exact"/>
        <w:ind w:firstLine="283"/>
        <w:rPr>
          <w:rFonts w:hint="cs"/>
          <w:b/>
          <w:bCs/>
          <w:i/>
          <w:iCs/>
          <w:sz w:val="22"/>
          <w:rtl/>
        </w:rPr>
      </w:pPr>
      <w:r>
        <w:rPr>
          <w:rFonts w:hint="cs"/>
          <w:b/>
          <w:bCs/>
          <w:i/>
          <w:iCs/>
          <w:sz w:val="22"/>
          <w:rtl/>
        </w:rPr>
        <w:tab/>
        <w:t>התרשמתי אמנם מכנות ואמינות המתלוננת אך סברתי כי נוכח כבישת עדותה, שונותה מעדות חברתה, ואף קיומן של מוטיבציות נוספות לתלונה שהן בלתי רלוונטיות, עדותה איננה בהכרח מתארת נכונה ובדיוק את ההתרחשויות שתוארו בה.</w:t>
      </w:r>
      <w:r>
        <w:rPr>
          <w:b/>
          <w:bCs/>
          <w:i/>
          <w:iCs/>
          <w:color w:val="FFFFFF"/>
          <w:sz w:val="4"/>
          <w:szCs w:val="4"/>
          <w:rtl/>
        </w:rPr>
        <w:t>ו</w:t>
      </w:r>
    </w:p>
    <w:p w14:paraId="04DA06A8" w14:textId="77777777" w:rsidR="002F50AE" w:rsidRDefault="002F50AE">
      <w:pPr>
        <w:spacing w:after="80" w:line="320" w:lineRule="exact"/>
        <w:ind w:firstLine="283"/>
        <w:rPr>
          <w:rFonts w:hint="cs"/>
          <w:b/>
          <w:bCs/>
          <w:i/>
          <w:iCs/>
          <w:sz w:val="22"/>
          <w:rtl/>
        </w:rPr>
      </w:pPr>
      <w:r>
        <w:rPr>
          <w:rFonts w:hint="cs"/>
          <w:b/>
          <w:bCs/>
          <w:i/>
          <w:iCs/>
          <w:sz w:val="22"/>
          <w:rtl/>
        </w:rPr>
        <w:tab/>
        <w:t xml:space="preserve">גם אם ההסברים שניתנו לכבישת עדות המתלוננת עומדים במבחן ההגיון, שכן ניתן להבין כי גישתה של קטינה כלפי המעשים שונה מגישתם של בוגרים,  מה גם שקשרי החברות עם הנאשמים ואולי אף התלות בם טשטשו את חומרת המעשים בעיניה, לא נשללה בכל זאת האפשרות כי הגשת התלונה, ולכן אולי אף חלק מתוכנה, קשורים ל"פיצוץ" שבין החברות ולשאיפת נקמה כלשהי מצד המתלוננת בנאשמת. אפשרות זו, כאמור, חוזקה בדברי המתלוננת עצמה בעימות הנ"ל. </w:t>
      </w:r>
    </w:p>
    <w:p w14:paraId="3B3E1361"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577A3A7E" w14:textId="77777777" w:rsidR="002F50AE" w:rsidRDefault="002F50AE">
      <w:pPr>
        <w:spacing w:after="80" w:line="320" w:lineRule="exact"/>
        <w:ind w:firstLine="283"/>
        <w:rPr>
          <w:rFonts w:hint="cs"/>
          <w:b/>
          <w:bCs/>
          <w:i/>
          <w:iCs/>
          <w:sz w:val="22"/>
          <w:rtl/>
        </w:rPr>
      </w:pPr>
      <w:r>
        <w:rPr>
          <w:rFonts w:hint="cs"/>
          <w:b/>
          <w:bCs/>
          <w:i/>
          <w:iCs/>
          <w:sz w:val="22"/>
          <w:rtl/>
        </w:rPr>
        <w:tab/>
        <w:t xml:space="preserve">נמצאו אמנם סתירות בעדויות הנאשמים, נראה אף כי הנאשם לא הסביר די את שינוי גישתו כלפי המתלוננת בין מועד חקירתו לבין מועד השמעת עדותו, אך באלו אין די בכדי לחזק ראיות התביעה מעל לכל ספק סביר. </w:t>
      </w:r>
    </w:p>
    <w:p w14:paraId="0722CDD7"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5D3F7151" w14:textId="77777777" w:rsidR="002F50AE" w:rsidRDefault="002F50AE">
      <w:pPr>
        <w:spacing w:after="80" w:line="320" w:lineRule="exact"/>
        <w:ind w:firstLine="283"/>
        <w:rPr>
          <w:rFonts w:hint="cs"/>
          <w:b/>
          <w:bCs/>
          <w:i/>
          <w:iCs/>
          <w:sz w:val="22"/>
          <w:rtl/>
        </w:rPr>
      </w:pPr>
      <w:r>
        <w:rPr>
          <w:rFonts w:hint="cs"/>
          <w:b/>
          <w:bCs/>
          <w:i/>
          <w:iCs/>
          <w:sz w:val="22"/>
          <w:rtl/>
        </w:rPr>
        <w:tab/>
        <w:t xml:space="preserve">שוכנעתי כי היה אף עיוות בבסיס הקשר בין הנאשמים למתלוננת, כי הקשר נועד אולי לספק צרכים בלתי שגרתיים מצד הנאשמים, וכי הקשר אף פגע במתלוננת. אך, אף בכך לא מצאתי חיזוק לאישום המבסס הרשעה. </w:t>
      </w:r>
    </w:p>
    <w:p w14:paraId="65EB23D0"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08C9D847" w14:textId="77777777" w:rsidR="002F50AE" w:rsidRDefault="002F50AE">
      <w:pPr>
        <w:spacing w:after="80" w:line="320" w:lineRule="exact"/>
        <w:ind w:firstLine="283"/>
        <w:rPr>
          <w:rFonts w:hint="cs"/>
          <w:b/>
          <w:bCs/>
          <w:i/>
          <w:iCs/>
          <w:sz w:val="22"/>
          <w:rtl/>
        </w:rPr>
      </w:pPr>
      <w:r>
        <w:rPr>
          <w:rFonts w:hint="cs"/>
          <w:b/>
          <w:bCs/>
          <w:i/>
          <w:iCs/>
          <w:sz w:val="22"/>
          <w:rtl/>
        </w:rPr>
        <w:tab/>
        <w:t xml:space="preserve">אף אם בסופו של יום ניתן להניח כי היו מגעים כלשהם של הנאשם במתלוננת, לא שוכנעתי כי נעשו הם בדיוק באופן שתואר על ידי המתלוננת ואף לא שוכנעתי בקיומה של כוונה מיוחדת אצל הנאשם, לענין גירוי, סיפוק או ביזוי מיני. </w:t>
      </w:r>
    </w:p>
    <w:p w14:paraId="427ADCFB"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7E7C6411"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0517ED0B" w14:textId="77777777" w:rsidR="002F50AE" w:rsidRDefault="002F50AE">
      <w:pPr>
        <w:spacing w:after="80" w:line="320" w:lineRule="exact"/>
        <w:ind w:firstLine="283"/>
        <w:rPr>
          <w:rFonts w:hint="cs"/>
          <w:b/>
          <w:bCs/>
          <w:i/>
          <w:iCs/>
          <w:sz w:val="22"/>
          <w:rtl/>
        </w:rPr>
      </w:pPr>
      <w:r>
        <w:rPr>
          <w:b/>
          <w:bCs/>
          <w:sz w:val="22"/>
          <w:rtl/>
        </w:rPr>
        <w:t>8</w:t>
      </w:r>
      <w:r>
        <w:rPr>
          <w:rFonts w:hint="cs"/>
          <w:b/>
          <w:bCs/>
          <w:i/>
          <w:iCs/>
          <w:sz w:val="22"/>
          <w:rtl/>
        </w:rPr>
        <w:t>.</w:t>
      </w:r>
      <w:r>
        <w:rPr>
          <w:rFonts w:hint="cs"/>
          <w:b/>
          <w:bCs/>
          <w:i/>
          <w:iCs/>
          <w:sz w:val="22"/>
          <w:rtl/>
        </w:rPr>
        <w:tab/>
        <w:t xml:space="preserve">לפיכך, כאמור, זיכיתי את הנאשמים. </w:t>
      </w:r>
    </w:p>
    <w:p w14:paraId="01ED850F"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10163D8F" w14:textId="77777777" w:rsidR="002F50AE" w:rsidRDefault="00DA31F0">
      <w:pPr>
        <w:spacing w:after="80" w:line="320" w:lineRule="exact"/>
        <w:ind w:firstLine="283"/>
        <w:rPr>
          <w:rFonts w:hint="cs"/>
          <w:b/>
          <w:bCs/>
          <w:i/>
          <w:iCs/>
          <w:sz w:val="22"/>
          <w:rtl/>
        </w:rPr>
      </w:pPr>
      <w:r>
        <w:rPr>
          <w:rFonts w:hint="cs"/>
          <w:b/>
          <w:bCs/>
          <w:i/>
          <w:iCs/>
          <w:sz w:val="22"/>
          <w:rtl/>
        </w:rPr>
        <w:t xml:space="preserve"> </w:t>
      </w:r>
    </w:p>
    <w:p w14:paraId="404457C4" w14:textId="77777777" w:rsidR="002F50AE" w:rsidRDefault="002F50AE">
      <w:pPr>
        <w:pStyle w:val="1"/>
        <w:spacing w:after="80" w:line="320" w:lineRule="exact"/>
        <w:ind w:firstLine="283"/>
        <w:jc w:val="both"/>
        <w:rPr>
          <w:rFonts w:hint="cs"/>
          <w:sz w:val="22"/>
          <w:rtl/>
        </w:rPr>
      </w:pPr>
      <w:bookmarkStart w:id="13" w:name="Decision1"/>
      <w:r>
        <w:rPr>
          <w:rFonts w:hint="cs"/>
          <w:b/>
          <w:bCs/>
          <w:sz w:val="22"/>
          <w:rtl/>
        </w:rPr>
        <w:t xml:space="preserve">ניתנה היום, כ"ז ב אדר ב, תשס"ג (31 במרץ 2003), במעמד הנ"ל. </w:t>
      </w:r>
    </w:p>
    <w:tbl>
      <w:tblPr>
        <w:tblW w:w="0" w:type="auto"/>
        <w:tblInd w:w="6011" w:type="dxa"/>
        <w:tblBorders>
          <w:top w:val="single" w:sz="4" w:space="0" w:color="auto"/>
        </w:tblBorders>
        <w:tblLook w:val="0000" w:firstRow="0" w:lastRow="0" w:firstColumn="0" w:lastColumn="0" w:noHBand="0" w:noVBand="0"/>
      </w:tblPr>
      <w:tblGrid>
        <w:gridCol w:w="2518"/>
      </w:tblGrid>
      <w:tr w:rsidR="002F50AE" w14:paraId="6EFF9841" w14:textId="77777777">
        <w:tc>
          <w:tcPr>
            <w:tcW w:w="2518" w:type="dxa"/>
            <w:tcBorders>
              <w:top w:val="single" w:sz="4" w:space="0" w:color="auto"/>
              <w:left w:val="nil"/>
              <w:bottom w:val="nil"/>
              <w:right w:val="nil"/>
            </w:tcBorders>
          </w:tcPr>
          <w:p w14:paraId="18E7C941" w14:textId="77777777" w:rsidR="002F50AE" w:rsidRDefault="002F50AE">
            <w:pPr>
              <w:spacing w:after="80" w:line="320" w:lineRule="exact"/>
              <w:rPr>
                <w:b/>
                <w:bCs/>
                <w:sz w:val="22"/>
              </w:rPr>
            </w:pPr>
            <w:r>
              <w:rPr>
                <w:rFonts w:hint="cs"/>
                <w:b/>
                <w:bCs/>
                <w:sz w:val="22"/>
                <w:rtl/>
              </w:rPr>
              <w:t xml:space="preserve">ד. בלטמן קדראי, שופטת        </w:t>
            </w:r>
          </w:p>
          <w:p w14:paraId="0F208E4B" w14:textId="77777777" w:rsidR="002F50AE" w:rsidRDefault="002F50AE">
            <w:pPr>
              <w:spacing w:after="80" w:line="320" w:lineRule="exact"/>
              <w:rPr>
                <w:b/>
                <w:bCs/>
                <w:sz w:val="22"/>
              </w:rPr>
            </w:pPr>
            <w:r>
              <w:rPr>
                <w:rFonts w:hint="cs"/>
                <w:b/>
                <w:bCs/>
                <w:sz w:val="22"/>
                <w:rtl/>
              </w:rPr>
              <w:t>סגן נשיא</w:t>
            </w:r>
          </w:p>
        </w:tc>
      </w:tr>
    </w:tbl>
    <w:p w14:paraId="5E80DA9D" w14:textId="77777777" w:rsidR="002F50AE" w:rsidRDefault="002F50AE">
      <w:pPr>
        <w:spacing w:after="80" w:line="320" w:lineRule="exact"/>
        <w:ind w:firstLine="283"/>
        <w:rPr>
          <w:rFonts w:hint="cs"/>
          <w:sz w:val="22"/>
          <w:rtl/>
        </w:rPr>
      </w:pPr>
      <w:r>
        <w:rPr>
          <w:rFonts w:hint="cs"/>
          <w:sz w:val="22"/>
          <w:rtl/>
        </w:rPr>
        <w:t>001042/01פ  136 קרן שטרית</w:t>
      </w:r>
      <w:bookmarkEnd w:id="13"/>
    </w:p>
    <w:p w14:paraId="104FB38C" w14:textId="77777777" w:rsidR="002F50AE" w:rsidRDefault="002F50AE">
      <w:pPr>
        <w:spacing w:after="80" w:line="320" w:lineRule="exact"/>
        <w:ind w:firstLine="283"/>
        <w:rPr>
          <w:rFonts w:hint="cs"/>
          <w:sz w:val="22"/>
          <w:rtl/>
        </w:rPr>
      </w:pPr>
    </w:p>
    <w:p w14:paraId="5CA7B4A9" w14:textId="77777777" w:rsidR="002F50AE" w:rsidRDefault="002F50AE">
      <w:pPr>
        <w:spacing w:after="80" w:line="320" w:lineRule="exact"/>
        <w:ind w:firstLine="283"/>
        <w:rPr>
          <w:rFonts w:hint="cs"/>
          <w:sz w:val="22"/>
          <w:rtl/>
        </w:rPr>
      </w:pPr>
      <w:r>
        <w:rPr>
          <w:sz w:val="22"/>
          <w:rtl/>
        </w:rPr>
        <w:t>נוסח זה כפוף לשינויי עריכה וניסוח</w:t>
      </w:r>
    </w:p>
    <w:sectPr w:rsidR="002F50AE">
      <w:headerReference w:type="even" r:id="rId26"/>
      <w:headerReference w:type="default" r:id="rId27"/>
      <w:footerReference w:type="even" r:id="rId28"/>
      <w:footerReference w:type="default" r:id="rId29"/>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88355" w14:textId="77777777" w:rsidR="001D7AB0" w:rsidRDefault="001D7AB0">
      <w:pPr>
        <w:spacing w:line="240" w:lineRule="auto"/>
      </w:pPr>
      <w:r>
        <w:separator/>
      </w:r>
    </w:p>
  </w:endnote>
  <w:endnote w:type="continuationSeparator" w:id="0">
    <w:p w14:paraId="0566D35C" w14:textId="77777777" w:rsidR="001D7AB0" w:rsidRDefault="001D7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5452" w14:textId="77777777" w:rsidR="00764646" w:rsidRDefault="0076464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0EEB771" w14:textId="77777777" w:rsidR="00764646" w:rsidRDefault="0076464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0021DF" w14:textId="77777777" w:rsidR="00764646" w:rsidRDefault="0076464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M:\000-shay\3-shalom\03-04-14d\OutDoc\s011042.doc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6FFE" w14:textId="77777777" w:rsidR="00764646" w:rsidRDefault="0076464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8309C">
      <w:rPr>
        <w:rFonts w:hAnsi="FrankRuehl" w:cs="FrankRuehl"/>
        <w:noProof/>
        <w:sz w:val="24"/>
        <w:rtl/>
      </w:rPr>
      <w:t>1</w:t>
    </w:r>
    <w:r>
      <w:rPr>
        <w:rFonts w:hAnsi="FrankRuehl" w:cs="FrankRuehl"/>
        <w:sz w:val="24"/>
        <w:rtl/>
      </w:rPr>
      <w:fldChar w:fldCharType="end"/>
    </w:r>
  </w:p>
  <w:p w14:paraId="3D863F36" w14:textId="77777777" w:rsidR="00764646" w:rsidRDefault="0076464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33CF96" w14:textId="77777777" w:rsidR="00764646" w:rsidRDefault="0076464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M:\000-shay\3-shalom\03-04-14d\OutDoc\s011042.doc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A9714" w14:textId="77777777" w:rsidR="001D7AB0" w:rsidRDefault="001D7AB0">
      <w:pPr>
        <w:spacing w:line="240" w:lineRule="auto"/>
      </w:pPr>
      <w:r>
        <w:separator/>
      </w:r>
    </w:p>
  </w:footnote>
  <w:footnote w:type="continuationSeparator" w:id="0">
    <w:p w14:paraId="0B522475" w14:textId="77777777" w:rsidR="001D7AB0" w:rsidRDefault="001D7A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024B" w14:textId="77777777" w:rsidR="00764646" w:rsidRDefault="00764646">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(אי') 1042/01</w:t>
    </w:r>
    <w:r>
      <w:rPr>
        <w:rFonts w:hAnsi="David"/>
        <w:color w:val="000000"/>
        <w:sz w:val="22"/>
        <w:szCs w:val="22"/>
        <w:rtl/>
      </w:rPr>
      <w:tab/>
      <w:t xml:space="preserve"> מדינת ישראל נ' הגנזאר אהרון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99BEC" w14:textId="77777777" w:rsidR="00764646" w:rsidRDefault="00764646">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(אי') 1042/01</w:t>
    </w:r>
    <w:r>
      <w:rPr>
        <w:rFonts w:hAnsi="David"/>
        <w:color w:val="000000"/>
        <w:sz w:val="22"/>
        <w:szCs w:val="22"/>
        <w:rtl/>
      </w:rPr>
      <w:tab/>
      <w:t xml:space="preserve"> מדינת ישראל נ' הגנזאר אהרון דוד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C138E"/>
    <w:rsid w:val="001D7AB0"/>
    <w:rsid w:val="002F50AE"/>
    <w:rsid w:val="0074451C"/>
    <w:rsid w:val="00764646"/>
    <w:rsid w:val="00D54771"/>
    <w:rsid w:val="00DA31F0"/>
    <w:rsid w:val="00F07D4D"/>
    <w:rsid w:val="00F8309C"/>
    <w:rsid w:val="00FC13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969263C"/>
  <w15:chartTrackingRefBased/>
  <w15:docId w15:val="{CE0D3126-5969-4D77-88AA-08961F24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spacing w:line="240" w:lineRule="auto"/>
      <w:outlineLvl w:val="3"/>
    </w:pPr>
    <w:rPr>
      <w:rFonts w:cs="Aharoni"/>
      <w:b/>
      <w:bCs/>
      <w:sz w:val="44"/>
      <w:szCs w:val="44"/>
      <w:u w:val="single"/>
    </w:rPr>
  </w:style>
  <w:style w:type="paragraph" w:styleId="Heading5">
    <w:name w:val="heading 5"/>
    <w:basedOn w:val="Normal"/>
    <w:next w:val="Normal"/>
    <w:qFormat/>
    <w:pPr>
      <w:spacing w:line="240" w:lineRule="auto"/>
      <w:jc w:val="center"/>
      <w:outlineLvl w:val="4"/>
    </w:pPr>
    <w:rPr>
      <w:b/>
      <w:bCs/>
    </w:rPr>
  </w:style>
  <w:style w:type="paragraph" w:styleId="Heading6">
    <w:name w:val="heading 6"/>
    <w:basedOn w:val="Normal"/>
    <w:next w:val="Normal"/>
    <w:qFormat/>
    <w:pPr>
      <w:spacing w:line="240" w:lineRule="auto"/>
      <w:jc w:val="center"/>
      <w:outlineLvl w:val="5"/>
    </w:pPr>
    <w:rPr>
      <w:b/>
      <w:bCs/>
    </w:rPr>
  </w:style>
  <w:style w:type="paragraph" w:styleId="Heading7">
    <w:name w:val="heading 7"/>
    <w:basedOn w:val="Normal"/>
    <w:next w:val="Normal"/>
    <w:qFormat/>
    <w:pPr>
      <w:spacing w:line="240" w:lineRule="auto"/>
      <w:jc w:val="center"/>
      <w:outlineLvl w:val="6"/>
    </w:pPr>
    <w:rPr>
      <w:b/>
      <w:bCs/>
    </w:rPr>
  </w:style>
  <w:style w:type="paragraph" w:styleId="Heading8">
    <w:name w:val="heading 8"/>
    <w:basedOn w:val="Normal"/>
    <w:next w:val="Normal"/>
    <w:qFormat/>
    <w:pPr>
      <w:spacing w:line="240" w:lineRule="auto"/>
      <w:jc w:val="center"/>
      <w:outlineLvl w:val="7"/>
    </w:pPr>
    <w:rPr>
      <w:b/>
      <w:bCs/>
    </w:rPr>
  </w:style>
  <w:style w:type="paragraph" w:styleId="Heading9">
    <w:name w:val="heading 9"/>
    <w:basedOn w:val="Normal"/>
    <w:next w:val="Normal"/>
    <w:qFormat/>
    <w:pPr>
      <w:spacing w:line="480" w:lineRule="auto"/>
      <w:outlineLvl w:val="8"/>
    </w:pPr>
    <w:rPr>
      <w:b/>
      <w:bCs/>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Caption">
    <w:name w:val="caption"/>
    <w:basedOn w:val="Normal"/>
    <w:next w:val="Normal"/>
    <w:qFormat/>
    <w:pPr>
      <w:spacing w:line="240" w:lineRule="auto"/>
      <w:jc w:val="center"/>
    </w:pPr>
    <w:rPr>
      <w:b/>
      <w:bCs/>
      <w:sz w:val="26"/>
      <w:szCs w:val="26"/>
    </w:rPr>
  </w:style>
  <w:style w:type="paragraph" w:styleId="Title">
    <w:name w:val="Title"/>
    <w:basedOn w:val="Normal"/>
    <w:qFormat/>
    <w:pPr>
      <w:spacing w:line="240" w:lineRule="auto"/>
      <w:jc w:val="center"/>
    </w:pPr>
    <w:rPr>
      <w:b/>
      <w:bCs/>
      <w:color w:val="FF0000"/>
      <w:sz w:val="40"/>
      <w:szCs w:val="40"/>
    </w:rPr>
  </w:style>
  <w:style w:type="paragraph" w:styleId="BodyTextIndent">
    <w:name w:val="Body Text Indent"/>
    <w:basedOn w:val="Normal"/>
    <w:semiHidden/>
    <w:pPr>
      <w:ind w:left="510" w:hanging="510"/>
    </w:pPr>
    <w:rPr>
      <w:b/>
      <w:bCs/>
      <w:i/>
      <w:i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DA31F0"/>
    <w:rPr>
      <w:color w:val="0000FF"/>
      <w:u w:val="single"/>
    </w:rPr>
  </w:style>
  <w:style w:type="character" w:customStyle="1" w:styleId="a2">
    <w:name w:val="אזכור לא מזוהה"/>
    <w:uiPriority w:val="99"/>
    <w:semiHidden/>
    <w:unhideWhenUsed/>
    <w:rsid w:val="00F07D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yperlink" Target="http://www.nevo.co.il/law/98569/54a.b" TargetMode="External"/><Relationship Id="rId18" Type="http://schemas.openxmlformats.org/officeDocument/2006/relationships/hyperlink" Target="http://www.nevo.co.il/law/70301/348"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70301/34kd" TargetMode="External"/><Relationship Id="rId7" Type="http://schemas.openxmlformats.org/officeDocument/2006/relationships/hyperlink" Target="http://www.nevo.co.il/law/70301/348" TargetMode="External"/><Relationship Id="rId12" Type="http://schemas.openxmlformats.org/officeDocument/2006/relationships/hyperlink" Target="http://www.nevo.co.il/law/98569/54a" TargetMode="External"/><Relationship Id="rId17" Type="http://schemas.openxmlformats.org/officeDocument/2006/relationships/hyperlink" Target="http://www.nevo.co.il/law/70301/350" TargetMode="External"/><Relationship Id="rId25" Type="http://schemas.openxmlformats.org/officeDocument/2006/relationships/hyperlink" Target="http://www.nevo.co.il/law/98569/54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349.a"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 TargetMode="External"/><Relationship Id="rId24" Type="http://schemas.openxmlformats.org/officeDocument/2006/relationships/hyperlink" Target="http://www.nevo.co.il/law/98569" TargetMode="External"/><Relationship Id="rId5" Type="http://schemas.openxmlformats.org/officeDocument/2006/relationships/endnotes" Target="endnotes.xml"/><Relationship Id="rId15" Type="http://schemas.openxmlformats.org/officeDocument/2006/relationships/hyperlink" Target="http://www.nevo.co.il/law/70301/349.a" TargetMode="External"/><Relationship Id="rId23" Type="http://schemas.openxmlformats.org/officeDocument/2006/relationships/hyperlink" Target="http://www.nevo.co.il/law/98569/54a.b" TargetMode="External"/><Relationship Id="rId28" Type="http://schemas.openxmlformats.org/officeDocument/2006/relationships/footer" Target="footer1.xml"/><Relationship Id="rId10" Type="http://schemas.openxmlformats.org/officeDocument/2006/relationships/hyperlink" Target="http://www.nevo.co.il/law/70301/350" TargetMode="External"/><Relationship Id="rId19" Type="http://schemas.openxmlformats.org/officeDocument/2006/relationships/hyperlink" Target="http://www.nevo.co.il/law/70301/349.a"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kd" TargetMode="External"/><Relationship Id="rId14" Type="http://schemas.openxmlformats.org/officeDocument/2006/relationships/hyperlink" Target="http://www.nevo.co.il/law/70301" TargetMode="External"/><Relationship Id="rId22" Type="http://schemas.openxmlformats.org/officeDocument/2006/relationships/hyperlink" Target="http://www.nevo.co.il/law/98569/54a"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1849</Words>
  <Characters>10543</Characters>
  <Application>Microsoft Office Word</Application>
  <DocSecurity>0</DocSecurity>
  <Lines>87</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12368</CharactersWithSpaces>
  <SharedDoc>false</SharedDoc>
  <HLinks>
    <vt:vector size="120" baseType="variant">
      <vt:variant>
        <vt:i4>7274592</vt:i4>
      </vt:variant>
      <vt:variant>
        <vt:i4>57</vt:i4>
      </vt:variant>
      <vt:variant>
        <vt:i4>0</vt:i4>
      </vt:variant>
      <vt:variant>
        <vt:i4>5</vt:i4>
      </vt:variant>
      <vt:variant>
        <vt:lpwstr>http://www.nevo.co.il/law/98569/54a</vt:lpwstr>
      </vt:variant>
      <vt:variant>
        <vt:lpwstr/>
      </vt:variant>
      <vt:variant>
        <vt:i4>7602284</vt:i4>
      </vt:variant>
      <vt:variant>
        <vt:i4>54</vt:i4>
      </vt:variant>
      <vt:variant>
        <vt:i4>0</vt:i4>
      </vt:variant>
      <vt:variant>
        <vt:i4>5</vt:i4>
      </vt:variant>
      <vt:variant>
        <vt:lpwstr>http://www.nevo.co.il/law/98569</vt:lpwstr>
      </vt:variant>
      <vt:variant>
        <vt:lpwstr/>
      </vt:variant>
      <vt:variant>
        <vt:i4>4259841</vt:i4>
      </vt:variant>
      <vt:variant>
        <vt:i4>51</vt:i4>
      </vt:variant>
      <vt:variant>
        <vt:i4>0</vt:i4>
      </vt:variant>
      <vt:variant>
        <vt:i4>5</vt:i4>
      </vt:variant>
      <vt:variant>
        <vt:lpwstr>http://www.nevo.co.il/law/98569/54a.b</vt:lpwstr>
      </vt:variant>
      <vt:variant>
        <vt:lpwstr/>
      </vt:variant>
      <vt:variant>
        <vt:i4>7274592</vt:i4>
      </vt:variant>
      <vt:variant>
        <vt:i4>48</vt:i4>
      </vt:variant>
      <vt:variant>
        <vt:i4>0</vt:i4>
      </vt:variant>
      <vt:variant>
        <vt:i4>5</vt:i4>
      </vt:variant>
      <vt:variant>
        <vt:lpwstr>http://www.nevo.co.il/law/98569/54a</vt:lpwstr>
      </vt:variant>
      <vt:variant>
        <vt:lpwstr/>
      </vt:variant>
      <vt:variant>
        <vt:i4>327693</vt:i4>
      </vt:variant>
      <vt:variant>
        <vt:i4>45</vt:i4>
      </vt:variant>
      <vt:variant>
        <vt:i4>0</vt:i4>
      </vt:variant>
      <vt:variant>
        <vt:i4>5</vt:i4>
      </vt:variant>
      <vt:variant>
        <vt:lpwstr>http://www.nevo.co.il/law/70301/34kd</vt:lpwstr>
      </vt:variant>
      <vt:variant>
        <vt:lpwstr/>
      </vt:variant>
      <vt:variant>
        <vt:i4>5177439</vt:i4>
      </vt:variant>
      <vt:variant>
        <vt:i4>42</vt:i4>
      </vt:variant>
      <vt:variant>
        <vt:i4>0</vt:i4>
      </vt:variant>
      <vt:variant>
        <vt:i4>5</vt:i4>
      </vt:variant>
      <vt:variant>
        <vt:lpwstr>http://www.nevo.co.il/law/70301/349.a</vt:lpwstr>
      </vt:variant>
      <vt:variant>
        <vt:lpwstr/>
      </vt:variant>
      <vt:variant>
        <vt:i4>5177439</vt:i4>
      </vt:variant>
      <vt:variant>
        <vt:i4>39</vt:i4>
      </vt:variant>
      <vt:variant>
        <vt:i4>0</vt:i4>
      </vt:variant>
      <vt:variant>
        <vt:i4>5</vt:i4>
      </vt:variant>
      <vt:variant>
        <vt:lpwstr>http://www.nevo.co.il/law/70301/349.a</vt:lpwstr>
      </vt:variant>
      <vt:variant>
        <vt:lpwstr/>
      </vt:variant>
      <vt:variant>
        <vt:i4>6357094</vt:i4>
      </vt:variant>
      <vt:variant>
        <vt:i4>36</vt:i4>
      </vt:variant>
      <vt:variant>
        <vt:i4>0</vt:i4>
      </vt:variant>
      <vt:variant>
        <vt:i4>5</vt:i4>
      </vt:variant>
      <vt:variant>
        <vt:lpwstr>http://www.nevo.co.il/law/70301/348</vt:lpwstr>
      </vt:variant>
      <vt:variant>
        <vt:lpwstr/>
      </vt:variant>
      <vt:variant>
        <vt:i4>6291558</vt:i4>
      </vt:variant>
      <vt:variant>
        <vt:i4>33</vt:i4>
      </vt:variant>
      <vt:variant>
        <vt:i4>0</vt:i4>
      </vt:variant>
      <vt:variant>
        <vt:i4>5</vt:i4>
      </vt:variant>
      <vt:variant>
        <vt:lpwstr>http://www.nevo.co.il/law/70301/350</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5177439</vt:i4>
      </vt:variant>
      <vt:variant>
        <vt:i4>27</vt:i4>
      </vt:variant>
      <vt:variant>
        <vt:i4>0</vt:i4>
      </vt:variant>
      <vt:variant>
        <vt:i4>5</vt:i4>
      </vt:variant>
      <vt:variant>
        <vt:lpwstr>http://www.nevo.co.il/law/70301/349.a</vt:lpwstr>
      </vt:variant>
      <vt:variant>
        <vt:lpwstr/>
      </vt:variant>
      <vt:variant>
        <vt:i4>7995492</vt:i4>
      </vt:variant>
      <vt:variant>
        <vt:i4>24</vt:i4>
      </vt:variant>
      <vt:variant>
        <vt:i4>0</vt:i4>
      </vt:variant>
      <vt:variant>
        <vt:i4>5</vt:i4>
      </vt:variant>
      <vt:variant>
        <vt:lpwstr>http://www.nevo.co.il/law/70301</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7274592</vt:i4>
      </vt:variant>
      <vt:variant>
        <vt:i4>18</vt:i4>
      </vt:variant>
      <vt:variant>
        <vt:i4>0</vt:i4>
      </vt:variant>
      <vt:variant>
        <vt:i4>5</vt:i4>
      </vt:variant>
      <vt:variant>
        <vt:lpwstr>http://www.nevo.co.il/law/98569/54a</vt:lpwstr>
      </vt:variant>
      <vt:variant>
        <vt:lpwstr/>
      </vt:variant>
      <vt:variant>
        <vt:i4>7602284</vt:i4>
      </vt:variant>
      <vt:variant>
        <vt:i4>15</vt:i4>
      </vt:variant>
      <vt:variant>
        <vt:i4>0</vt:i4>
      </vt:variant>
      <vt:variant>
        <vt:i4>5</vt:i4>
      </vt:variant>
      <vt:variant>
        <vt:lpwstr>http://www.nevo.co.il/law/98569</vt:lpwstr>
      </vt:variant>
      <vt:variant>
        <vt:lpwstr/>
      </vt:variant>
      <vt:variant>
        <vt:i4>6291558</vt:i4>
      </vt:variant>
      <vt:variant>
        <vt:i4>12</vt:i4>
      </vt:variant>
      <vt:variant>
        <vt:i4>0</vt:i4>
      </vt:variant>
      <vt:variant>
        <vt:i4>5</vt:i4>
      </vt:variant>
      <vt:variant>
        <vt:lpwstr>http://www.nevo.co.il/law/70301/350</vt:lpwstr>
      </vt:variant>
      <vt:variant>
        <vt:lpwstr/>
      </vt:variant>
      <vt:variant>
        <vt:i4>327693</vt:i4>
      </vt:variant>
      <vt:variant>
        <vt:i4>9</vt:i4>
      </vt:variant>
      <vt:variant>
        <vt:i4>0</vt:i4>
      </vt:variant>
      <vt:variant>
        <vt:i4>5</vt:i4>
      </vt:variant>
      <vt:variant>
        <vt:lpwstr>http://www.nevo.co.il/law/70301/34kd</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1042</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הגנזאר אהרון דוד;הגנזאר אילנית</vt:lpwstr>
  </property>
  <property fmtid="{D5CDD505-2E9C-101B-9397-08002B2CF9AE}" pid="9" name="LAWYER">
    <vt:lpwstr>שי ניוסטד;אורית שלכט;יעל דראבי</vt:lpwstr>
  </property>
  <property fmtid="{D5CDD505-2E9C-101B-9397-08002B2CF9AE}" pid="10" name="JUDGE">
    <vt:lpwstr>ד. בלטמן-קדראי</vt:lpwstr>
  </property>
  <property fmtid="{D5CDD505-2E9C-101B-9397-08002B2CF9AE}" pid="11" name="DATE">
    <vt:lpwstr>20030331</vt:lpwstr>
  </property>
  <property fmtid="{D5CDD505-2E9C-101B-9397-08002B2CF9AE}" pid="12" name="WORDNUMPAGES">
    <vt:lpwstr>6</vt:lpwstr>
  </property>
  <property fmtid="{D5CDD505-2E9C-101B-9397-08002B2CF9AE}" pid="13" name="CITY">
    <vt:lpwstr>אי'</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ISABSTRACT">
    <vt:lpwstr>Y</vt:lpwstr>
  </property>
  <property fmtid="{D5CDD505-2E9C-101B-9397-08002B2CF9AE}" pid="29" name="LAWLISTTMP1">
    <vt:lpwstr>70301/349.a:3;350;348;34kd</vt:lpwstr>
  </property>
  <property fmtid="{D5CDD505-2E9C-101B-9397-08002B2CF9AE}" pid="30" name="LAWLISTTMP2">
    <vt:lpwstr>98569/054a:2;054a.b</vt:lpwstr>
  </property>
</Properties>
</file>