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8031" w14:textId="77777777" w:rsidR="00DE769F" w:rsidRDefault="00DE769F">
      <w:pPr>
        <w:spacing w:after="80" w:line="320" w:lineRule="exact"/>
        <w:ind w:firstLine="283"/>
        <w:jc w:val="center"/>
        <w:rPr>
          <w:sz w:val="22"/>
          <w:rtl/>
        </w:rPr>
      </w:pPr>
    </w:p>
    <w:p w14:paraId="2294A3EE" w14:textId="77777777" w:rsidR="00DE769F" w:rsidRDefault="00DE769F">
      <w:pPr>
        <w:spacing w:after="80" w:line="320" w:lineRule="exact"/>
        <w:ind w:firstLine="283"/>
        <w:jc w:val="center"/>
        <w:rPr>
          <w:sz w:val="22"/>
        </w:rPr>
      </w:pPr>
    </w:p>
    <w:p w14:paraId="3B61A9EB" w14:textId="77777777" w:rsidR="00DE769F" w:rsidRDefault="00DE769F">
      <w:pPr>
        <w:spacing w:after="80" w:line="320" w:lineRule="exact"/>
        <w:ind w:firstLine="283"/>
        <w:jc w:val="center"/>
        <w:rPr>
          <w:sz w:val="22"/>
          <w:rtl/>
        </w:rPr>
      </w:pPr>
      <w:r>
        <w:rPr>
          <w:b/>
          <w:bCs/>
          <w:sz w:val="22"/>
          <w:rtl/>
        </w:rPr>
        <w:t>בתי המשפט</w:t>
      </w:r>
    </w:p>
    <w:tbl>
      <w:tblPr>
        <w:bidiVisual/>
        <w:tblW w:w="0" w:type="auto"/>
        <w:tblLayout w:type="fixed"/>
        <w:tblLook w:val="0000" w:firstRow="0" w:lastRow="0" w:firstColumn="0" w:lastColumn="0" w:noHBand="0" w:noVBand="0"/>
      </w:tblPr>
      <w:tblGrid>
        <w:gridCol w:w="5614"/>
        <w:gridCol w:w="964"/>
        <w:gridCol w:w="1951"/>
      </w:tblGrid>
      <w:tr w:rsidR="00440BCD" w14:paraId="58B85D10" w14:textId="77777777">
        <w:tblPrEx>
          <w:tblCellMar>
            <w:top w:w="0" w:type="dxa"/>
            <w:bottom w:w="0" w:type="dxa"/>
          </w:tblCellMar>
        </w:tblPrEx>
        <w:trPr>
          <w:cantSplit/>
          <w:trHeight w:val="627"/>
        </w:trPr>
        <w:tc>
          <w:tcPr>
            <w:tcW w:w="5614" w:type="dxa"/>
            <w:vMerge w:val="restart"/>
          </w:tcPr>
          <w:p w14:paraId="2CC068A6" w14:textId="77777777" w:rsidR="00440BCD" w:rsidRDefault="00440BCD">
            <w:pPr>
              <w:spacing w:after="80" w:line="320" w:lineRule="exact"/>
              <w:ind w:hanging="18"/>
              <w:rPr>
                <w:b/>
                <w:bCs/>
                <w:sz w:val="22"/>
              </w:rPr>
            </w:pPr>
            <w:bookmarkStart w:id="0" w:name="בית_משפט" w:colFirst="0" w:colLast="0"/>
            <w:bookmarkStart w:id="1" w:name="זיהוי_תיק" w:colFirst="1" w:colLast="1"/>
            <w:r>
              <w:rPr>
                <w:b/>
                <w:bCs/>
                <w:sz w:val="22"/>
                <w:rtl/>
              </w:rPr>
              <w:t>בית משפט השלום רחובות</w:t>
            </w:r>
          </w:p>
        </w:tc>
        <w:tc>
          <w:tcPr>
            <w:tcW w:w="2915" w:type="dxa"/>
            <w:gridSpan w:val="2"/>
          </w:tcPr>
          <w:p w14:paraId="6C7B7EB2" w14:textId="77777777" w:rsidR="00440BCD" w:rsidRDefault="00440BCD">
            <w:pPr>
              <w:spacing w:after="80" w:line="320" w:lineRule="exact"/>
              <w:ind w:hanging="18"/>
              <w:rPr>
                <w:rFonts w:hint="cs"/>
                <w:b/>
                <w:bCs/>
                <w:sz w:val="22"/>
              </w:rPr>
            </w:pPr>
            <w:r>
              <w:rPr>
                <w:b/>
                <w:bCs/>
                <w:sz w:val="22"/>
                <w:rtl/>
              </w:rPr>
              <w:t>פ  001467/01</w:t>
            </w:r>
          </w:p>
        </w:tc>
      </w:tr>
      <w:bookmarkEnd w:id="0"/>
      <w:bookmarkEnd w:id="1"/>
      <w:tr w:rsidR="00440BCD" w14:paraId="00BFBEEF" w14:textId="77777777">
        <w:tblPrEx>
          <w:tblCellMar>
            <w:top w:w="0" w:type="dxa"/>
            <w:bottom w:w="0" w:type="dxa"/>
          </w:tblCellMar>
        </w:tblPrEx>
        <w:trPr>
          <w:cantSplit/>
          <w:trHeight w:val="195"/>
        </w:trPr>
        <w:tc>
          <w:tcPr>
            <w:tcW w:w="5614" w:type="dxa"/>
            <w:vMerge/>
          </w:tcPr>
          <w:p w14:paraId="33D705F5" w14:textId="77777777" w:rsidR="00440BCD" w:rsidRDefault="00440BCD">
            <w:pPr>
              <w:spacing w:after="80" w:line="320" w:lineRule="exact"/>
              <w:ind w:hanging="18"/>
              <w:rPr>
                <w:b/>
                <w:bCs/>
                <w:sz w:val="22"/>
              </w:rPr>
            </w:pPr>
          </w:p>
        </w:tc>
        <w:tc>
          <w:tcPr>
            <w:tcW w:w="2915" w:type="dxa"/>
            <w:gridSpan w:val="2"/>
          </w:tcPr>
          <w:p w14:paraId="5B0C44FF" w14:textId="77777777" w:rsidR="00440BCD" w:rsidRDefault="00440BCD">
            <w:pPr>
              <w:spacing w:after="80" w:line="320" w:lineRule="exact"/>
              <w:ind w:hanging="18"/>
              <w:rPr>
                <w:rFonts w:hint="cs"/>
                <w:b/>
                <w:bCs/>
                <w:sz w:val="22"/>
              </w:rPr>
            </w:pPr>
          </w:p>
        </w:tc>
      </w:tr>
      <w:tr w:rsidR="00440BCD" w14:paraId="386A5735" w14:textId="77777777">
        <w:tblPrEx>
          <w:tblCellMar>
            <w:top w:w="0" w:type="dxa"/>
            <w:bottom w:w="0" w:type="dxa"/>
          </w:tblCellMar>
        </w:tblPrEx>
        <w:trPr>
          <w:cantSplit/>
          <w:trHeight w:val="286"/>
        </w:trPr>
        <w:tc>
          <w:tcPr>
            <w:tcW w:w="5614" w:type="dxa"/>
          </w:tcPr>
          <w:p w14:paraId="570C9790" w14:textId="77777777" w:rsidR="00440BCD" w:rsidRDefault="00440BCD">
            <w:pPr>
              <w:spacing w:after="80" w:line="320" w:lineRule="exact"/>
              <w:ind w:hanging="18"/>
              <w:rPr>
                <w:b/>
                <w:bCs/>
                <w:sz w:val="22"/>
              </w:rPr>
            </w:pPr>
            <w:bookmarkStart w:id="2" w:name="תאריך" w:colFirst="2" w:colLast="2"/>
            <w:bookmarkStart w:id="3" w:name="שם_שופט" w:colFirst="0" w:colLast="0"/>
            <w:bookmarkStart w:id="4" w:name="LastJudge"/>
            <w:r>
              <w:rPr>
                <w:b/>
                <w:bCs/>
                <w:sz w:val="22"/>
                <w:rtl/>
              </w:rPr>
              <w:t>בפני כבוד השופט צבי הרטל, סגן-נשיא</w:t>
            </w:r>
          </w:p>
        </w:tc>
        <w:tc>
          <w:tcPr>
            <w:tcW w:w="964" w:type="dxa"/>
            <w:tcMar>
              <w:left w:w="28" w:type="dxa"/>
              <w:right w:w="28" w:type="dxa"/>
            </w:tcMar>
          </w:tcPr>
          <w:p w14:paraId="191F46C2" w14:textId="77777777" w:rsidR="00440BCD" w:rsidRDefault="00440BCD">
            <w:pPr>
              <w:spacing w:after="80" w:line="320" w:lineRule="exact"/>
              <w:ind w:hanging="18"/>
              <w:rPr>
                <w:b/>
                <w:bCs/>
                <w:sz w:val="22"/>
              </w:rPr>
            </w:pPr>
            <w:r>
              <w:rPr>
                <w:rFonts w:hint="cs"/>
                <w:b/>
                <w:bCs/>
                <w:sz w:val="22"/>
                <w:rtl/>
              </w:rPr>
              <w:t>תאריך:</w:t>
            </w:r>
          </w:p>
        </w:tc>
        <w:tc>
          <w:tcPr>
            <w:tcW w:w="1951" w:type="dxa"/>
          </w:tcPr>
          <w:p w14:paraId="5FEA3E71" w14:textId="77777777" w:rsidR="00440BCD" w:rsidRDefault="00440BCD">
            <w:pPr>
              <w:spacing w:after="80" w:line="320" w:lineRule="exact"/>
              <w:ind w:hanging="18"/>
              <w:rPr>
                <w:b/>
                <w:bCs/>
                <w:sz w:val="22"/>
              </w:rPr>
            </w:pPr>
            <w:r>
              <w:rPr>
                <w:b/>
                <w:bCs/>
                <w:sz w:val="22"/>
                <w:rtl/>
              </w:rPr>
              <w:t>29/06/2003</w:t>
            </w:r>
          </w:p>
        </w:tc>
      </w:tr>
      <w:bookmarkEnd w:id="2"/>
      <w:bookmarkEnd w:id="3"/>
      <w:bookmarkEnd w:id="4"/>
    </w:tbl>
    <w:p w14:paraId="62A06425" w14:textId="77777777" w:rsidR="00DE769F" w:rsidRDefault="00DE769F">
      <w:pPr>
        <w:spacing w:after="80" w:line="320" w:lineRule="exact"/>
        <w:ind w:hanging="18"/>
        <w:rPr>
          <w:rFonts w:hint="cs"/>
          <w:sz w:val="22"/>
          <w:rtl/>
        </w:rPr>
      </w:pPr>
    </w:p>
    <w:tbl>
      <w:tblPr>
        <w:bidiVisual/>
        <w:tblW w:w="8647" w:type="dxa"/>
        <w:tblLayout w:type="fixed"/>
        <w:tblCellMar>
          <w:left w:w="107" w:type="dxa"/>
          <w:right w:w="107" w:type="dxa"/>
        </w:tblCellMar>
        <w:tblLook w:val="0000" w:firstRow="0" w:lastRow="0" w:firstColumn="0" w:lastColumn="0" w:noHBand="0" w:noVBand="0"/>
      </w:tblPr>
      <w:tblGrid>
        <w:gridCol w:w="1418"/>
        <w:gridCol w:w="1757"/>
        <w:gridCol w:w="3063"/>
        <w:gridCol w:w="2409"/>
      </w:tblGrid>
      <w:tr w:rsidR="00440BCD" w14:paraId="110570B3" w14:textId="77777777">
        <w:tblPrEx>
          <w:tblCellMar>
            <w:top w:w="0" w:type="dxa"/>
            <w:bottom w:w="0" w:type="dxa"/>
          </w:tblCellMar>
        </w:tblPrEx>
        <w:tc>
          <w:tcPr>
            <w:tcW w:w="1418" w:type="dxa"/>
          </w:tcPr>
          <w:p w14:paraId="3E2EBBC1" w14:textId="77777777" w:rsidR="00440BCD" w:rsidRDefault="00440BCD">
            <w:pPr>
              <w:pStyle w:val="1"/>
              <w:spacing w:after="80" w:line="320" w:lineRule="exact"/>
              <w:ind w:hanging="18"/>
              <w:jc w:val="both"/>
              <w:rPr>
                <w:b/>
                <w:bCs/>
                <w:sz w:val="22"/>
                <w:rtl/>
              </w:rPr>
            </w:pPr>
            <w:bookmarkStart w:id="5" w:name="FirstAppellant"/>
            <w:r>
              <w:rPr>
                <w:b/>
                <w:bCs/>
                <w:sz w:val="22"/>
                <w:rtl/>
              </w:rPr>
              <w:t>בעניין:</w:t>
            </w:r>
          </w:p>
        </w:tc>
        <w:tc>
          <w:tcPr>
            <w:tcW w:w="4820" w:type="dxa"/>
            <w:gridSpan w:val="2"/>
          </w:tcPr>
          <w:p w14:paraId="21E5AC90" w14:textId="77777777" w:rsidR="00440BCD" w:rsidRDefault="00440BCD">
            <w:pPr>
              <w:pStyle w:val="1"/>
              <w:spacing w:after="80" w:line="320" w:lineRule="exact"/>
              <w:ind w:hanging="18"/>
              <w:jc w:val="both"/>
              <w:rPr>
                <w:rFonts w:hint="cs"/>
                <w:b/>
                <w:bCs/>
                <w:sz w:val="22"/>
                <w:rtl/>
              </w:rPr>
            </w:pPr>
            <w:r>
              <w:rPr>
                <w:rFonts w:hint="cs"/>
                <w:b/>
                <w:bCs/>
                <w:sz w:val="22"/>
                <w:rtl/>
              </w:rPr>
              <w:t>מדינת ישראל</w:t>
            </w:r>
          </w:p>
        </w:tc>
        <w:tc>
          <w:tcPr>
            <w:tcW w:w="2409" w:type="dxa"/>
          </w:tcPr>
          <w:p w14:paraId="0319D4CD" w14:textId="77777777" w:rsidR="00440BCD" w:rsidRDefault="00440BCD">
            <w:pPr>
              <w:pStyle w:val="1"/>
              <w:spacing w:after="80" w:line="320" w:lineRule="exact"/>
              <w:ind w:hanging="18"/>
              <w:jc w:val="both"/>
              <w:rPr>
                <w:b/>
                <w:bCs/>
                <w:sz w:val="22"/>
                <w:rtl/>
              </w:rPr>
            </w:pPr>
          </w:p>
        </w:tc>
      </w:tr>
      <w:tr w:rsidR="00440BCD" w14:paraId="3047D849" w14:textId="77777777">
        <w:tblPrEx>
          <w:tblCellMar>
            <w:top w:w="0" w:type="dxa"/>
            <w:bottom w:w="0" w:type="dxa"/>
          </w:tblCellMar>
        </w:tblPrEx>
        <w:tc>
          <w:tcPr>
            <w:tcW w:w="1418" w:type="dxa"/>
          </w:tcPr>
          <w:p w14:paraId="18C14DA9" w14:textId="77777777" w:rsidR="00440BCD" w:rsidRDefault="00440BCD">
            <w:pPr>
              <w:pStyle w:val="1"/>
              <w:spacing w:after="80" w:line="320" w:lineRule="exact"/>
              <w:ind w:hanging="18"/>
              <w:jc w:val="both"/>
              <w:rPr>
                <w:b/>
                <w:bCs/>
                <w:sz w:val="22"/>
                <w:rtl/>
              </w:rPr>
            </w:pPr>
            <w:bookmarkStart w:id="6" w:name="בא_כוח_א" w:colFirst="2" w:colLast="2"/>
            <w:bookmarkStart w:id="7" w:name="FirstLawyer"/>
            <w:bookmarkEnd w:id="5"/>
          </w:p>
        </w:tc>
        <w:tc>
          <w:tcPr>
            <w:tcW w:w="1757" w:type="dxa"/>
          </w:tcPr>
          <w:p w14:paraId="4ACD1393" w14:textId="77777777" w:rsidR="00440BCD" w:rsidRDefault="00440BCD">
            <w:pPr>
              <w:pStyle w:val="1"/>
              <w:spacing w:after="80" w:line="320" w:lineRule="exact"/>
              <w:ind w:hanging="18"/>
              <w:jc w:val="both"/>
              <w:rPr>
                <w:rFonts w:hint="cs"/>
                <w:b/>
                <w:bCs/>
                <w:sz w:val="22"/>
                <w:rtl/>
              </w:rPr>
            </w:pPr>
            <w:r>
              <w:rPr>
                <w:rFonts w:hint="cs"/>
                <w:b/>
                <w:bCs/>
                <w:sz w:val="22"/>
                <w:rtl/>
              </w:rPr>
              <w:t xml:space="preserve">ע"י פרקליטות </w:t>
            </w:r>
          </w:p>
        </w:tc>
        <w:tc>
          <w:tcPr>
            <w:tcW w:w="3063" w:type="dxa"/>
          </w:tcPr>
          <w:p w14:paraId="3874DDAC" w14:textId="77777777" w:rsidR="00440BCD" w:rsidRDefault="00440BCD">
            <w:pPr>
              <w:pStyle w:val="1"/>
              <w:spacing w:after="80" w:line="320" w:lineRule="exact"/>
              <w:ind w:hanging="18"/>
              <w:jc w:val="both"/>
              <w:rPr>
                <w:rFonts w:hint="cs"/>
                <w:b/>
                <w:bCs/>
                <w:sz w:val="22"/>
                <w:rtl/>
              </w:rPr>
            </w:pPr>
            <w:r>
              <w:rPr>
                <w:rFonts w:hint="cs"/>
                <w:b/>
                <w:bCs/>
                <w:sz w:val="22"/>
                <w:rtl/>
              </w:rPr>
              <w:t>מחוז מרכז, עו"ד איילת פלניצקי</w:t>
            </w:r>
          </w:p>
        </w:tc>
        <w:tc>
          <w:tcPr>
            <w:tcW w:w="2409" w:type="dxa"/>
          </w:tcPr>
          <w:p w14:paraId="7668DF35" w14:textId="77777777" w:rsidR="00440BCD" w:rsidRDefault="00440BCD">
            <w:pPr>
              <w:pStyle w:val="1"/>
              <w:spacing w:after="80" w:line="320" w:lineRule="exact"/>
              <w:ind w:hanging="18"/>
              <w:jc w:val="both"/>
              <w:rPr>
                <w:rFonts w:hint="cs"/>
                <w:b/>
                <w:bCs/>
                <w:sz w:val="22"/>
                <w:rtl/>
              </w:rPr>
            </w:pPr>
            <w:r>
              <w:rPr>
                <w:rFonts w:hint="cs"/>
                <w:b/>
                <w:bCs/>
                <w:sz w:val="22"/>
                <w:rtl/>
              </w:rPr>
              <w:t>המאשימה</w:t>
            </w:r>
          </w:p>
        </w:tc>
      </w:tr>
      <w:bookmarkEnd w:id="6"/>
      <w:bookmarkEnd w:id="7"/>
      <w:tr w:rsidR="00440BCD" w14:paraId="7473C3DE" w14:textId="77777777">
        <w:tblPrEx>
          <w:tblCellMar>
            <w:top w:w="0" w:type="dxa"/>
            <w:bottom w:w="0" w:type="dxa"/>
          </w:tblCellMar>
        </w:tblPrEx>
        <w:tc>
          <w:tcPr>
            <w:tcW w:w="1418" w:type="dxa"/>
          </w:tcPr>
          <w:p w14:paraId="4F412EE0" w14:textId="77777777" w:rsidR="00440BCD" w:rsidRDefault="00440BCD">
            <w:pPr>
              <w:pStyle w:val="1"/>
              <w:spacing w:after="80" w:line="320" w:lineRule="exact"/>
              <w:ind w:hanging="18"/>
              <w:jc w:val="both"/>
              <w:rPr>
                <w:b/>
                <w:bCs/>
                <w:sz w:val="22"/>
                <w:rtl/>
              </w:rPr>
            </w:pPr>
          </w:p>
        </w:tc>
        <w:tc>
          <w:tcPr>
            <w:tcW w:w="4820" w:type="dxa"/>
            <w:gridSpan w:val="2"/>
          </w:tcPr>
          <w:p w14:paraId="12B036B9" w14:textId="77777777" w:rsidR="00440BCD" w:rsidRDefault="00440BCD">
            <w:pPr>
              <w:pStyle w:val="1"/>
              <w:spacing w:after="80" w:line="320" w:lineRule="exact"/>
              <w:ind w:hanging="18"/>
              <w:jc w:val="both"/>
              <w:rPr>
                <w:b/>
                <w:bCs/>
                <w:sz w:val="22"/>
                <w:rtl/>
              </w:rPr>
            </w:pPr>
            <w:r>
              <w:rPr>
                <w:b/>
                <w:bCs/>
                <w:sz w:val="22"/>
                <w:rtl/>
              </w:rPr>
              <w:t>נ</w:t>
            </w:r>
            <w:r>
              <w:rPr>
                <w:rFonts w:hint="cs"/>
                <w:b/>
                <w:bCs/>
                <w:sz w:val="22"/>
                <w:rtl/>
              </w:rPr>
              <w:t xml:space="preserve"> </w:t>
            </w:r>
            <w:r>
              <w:rPr>
                <w:b/>
                <w:bCs/>
                <w:sz w:val="22"/>
                <w:rtl/>
              </w:rPr>
              <w:t>ג</w:t>
            </w:r>
            <w:r>
              <w:rPr>
                <w:rFonts w:hint="cs"/>
                <w:b/>
                <w:bCs/>
                <w:sz w:val="22"/>
                <w:rtl/>
              </w:rPr>
              <w:t xml:space="preserve"> </w:t>
            </w:r>
            <w:r>
              <w:rPr>
                <w:b/>
                <w:bCs/>
                <w:sz w:val="22"/>
                <w:rtl/>
              </w:rPr>
              <w:t>ד</w:t>
            </w:r>
          </w:p>
          <w:p w14:paraId="0D30078A" w14:textId="77777777" w:rsidR="00440BCD" w:rsidRDefault="00440BCD">
            <w:pPr>
              <w:pStyle w:val="1"/>
              <w:spacing w:after="80" w:line="320" w:lineRule="exact"/>
              <w:ind w:hanging="18"/>
              <w:jc w:val="both"/>
              <w:rPr>
                <w:b/>
                <w:bCs/>
                <w:sz w:val="22"/>
                <w:rtl/>
              </w:rPr>
            </w:pPr>
          </w:p>
        </w:tc>
        <w:tc>
          <w:tcPr>
            <w:tcW w:w="2409" w:type="dxa"/>
          </w:tcPr>
          <w:p w14:paraId="069DF2AE" w14:textId="77777777" w:rsidR="00440BCD" w:rsidRDefault="00440BCD">
            <w:pPr>
              <w:pStyle w:val="1"/>
              <w:spacing w:after="80" w:line="320" w:lineRule="exact"/>
              <w:ind w:hanging="18"/>
              <w:jc w:val="both"/>
              <w:rPr>
                <w:b/>
                <w:bCs/>
                <w:sz w:val="22"/>
                <w:rtl/>
              </w:rPr>
            </w:pPr>
          </w:p>
        </w:tc>
      </w:tr>
      <w:tr w:rsidR="00440BCD" w14:paraId="2A4290A2" w14:textId="77777777">
        <w:tblPrEx>
          <w:tblCellMar>
            <w:top w:w="0" w:type="dxa"/>
            <w:bottom w:w="0" w:type="dxa"/>
          </w:tblCellMar>
        </w:tblPrEx>
        <w:tc>
          <w:tcPr>
            <w:tcW w:w="1418" w:type="dxa"/>
          </w:tcPr>
          <w:p w14:paraId="182E0081" w14:textId="77777777" w:rsidR="00440BCD" w:rsidRDefault="00440BCD">
            <w:pPr>
              <w:pStyle w:val="1"/>
              <w:spacing w:after="80" w:line="320" w:lineRule="exact"/>
              <w:ind w:hanging="18"/>
              <w:jc w:val="both"/>
              <w:rPr>
                <w:b/>
                <w:bCs/>
                <w:sz w:val="22"/>
                <w:rtl/>
              </w:rPr>
            </w:pPr>
            <w:bookmarkStart w:id="8" w:name="שם_ב" w:colFirst="1" w:colLast="1"/>
          </w:p>
        </w:tc>
        <w:tc>
          <w:tcPr>
            <w:tcW w:w="4820" w:type="dxa"/>
            <w:gridSpan w:val="2"/>
          </w:tcPr>
          <w:p w14:paraId="37D61B39" w14:textId="77777777" w:rsidR="00440BCD" w:rsidRDefault="00440BCD">
            <w:pPr>
              <w:pStyle w:val="1"/>
              <w:spacing w:after="80" w:line="320" w:lineRule="exact"/>
              <w:ind w:hanging="18"/>
              <w:jc w:val="both"/>
              <w:rPr>
                <w:rFonts w:hint="cs"/>
                <w:b/>
                <w:bCs/>
                <w:sz w:val="22"/>
                <w:rtl/>
              </w:rPr>
            </w:pPr>
            <w:r>
              <w:rPr>
                <w:b/>
                <w:bCs/>
                <w:sz w:val="22"/>
                <w:rtl/>
              </w:rPr>
              <w:t>לוי שמעון</w:t>
            </w:r>
            <w:r>
              <w:rPr>
                <w:rFonts w:hint="cs"/>
                <w:b/>
                <w:bCs/>
                <w:sz w:val="22"/>
              </w:rPr>
              <w:t xml:space="preserve"> </w:t>
            </w:r>
            <w:r>
              <w:rPr>
                <w:rFonts w:hint="cs"/>
                <w:b/>
                <w:bCs/>
                <w:sz w:val="22"/>
                <w:rtl/>
              </w:rPr>
              <w:t xml:space="preserve"> ת"ז </w:t>
            </w:r>
            <w:r w:rsidR="00C50F7C">
              <w:rPr>
                <w:b/>
                <w:bCs/>
                <w:sz w:val="22"/>
              </w:rPr>
              <w:t>xxxxxxxx</w:t>
            </w:r>
          </w:p>
        </w:tc>
        <w:tc>
          <w:tcPr>
            <w:tcW w:w="2409" w:type="dxa"/>
          </w:tcPr>
          <w:p w14:paraId="2BDF22B0" w14:textId="77777777" w:rsidR="00440BCD" w:rsidRDefault="00440BCD">
            <w:pPr>
              <w:pStyle w:val="1"/>
              <w:spacing w:after="80" w:line="320" w:lineRule="exact"/>
              <w:ind w:hanging="18"/>
              <w:jc w:val="both"/>
              <w:rPr>
                <w:b/>
                <w:bCs/>
                <w:sz w:val="22"/>
                <w:rtl/>
              </w:rPr>
            </w:pPr>
          </w:p>
        </w:tc>
      </w:tr>
      <w:tr w:rsidR="00440BCD" w14:paraId="78FFEE29" w14:textId="77777777">
        <w:tblPrEx>
          <w:tblCellMar>
            <w:top w:w="0" w:type="dxa"/>
            <w:bottom w:w="0" w:type="dxa"/>
          </w:tblCellMar>
        </w:tblPrEx>
        <w:tc>
          <w:tcPr>
            <w:tcW w:w="1418" w:type="dxa"/>
          </w:tcPr>
          <w:p w14:paraId="56B35065" w14:textId="77777777" w:rsidR="00440BCD" w:rsidRDefault="00440BCD">
            <w:pPr>
              <w:pStyle w:val="1"/>
              <w:spacing w:after="80" w:line="320" w:lineRule="exact"/>
              <w:ind w:hanging="18"/>
              <w:jc w:val="both"/>
              <w:rPr>
                <w:b/>
                <w:bCs/>
                <w:sz w:val="22"/>
                <w:rtl/>
              </w:rPr>
            </w:pPr>
            <w:bookmarkStart w:id="9" w:name="בא_כוח_ב" w:colFirst="2" w:colLast="2"/>
            <w:bookmarkEnd w:id="8"/>
          </w:p>
        </w:tc>
        <w:tc>
          <w:tcPr>
            <w:tcW w:w="1757" w:type="dxa"/>
          </w:tcPr>
          <w:p w14:paraId="38201FB6" w14:textId="77777777" w:rsidR="00440BCD" w:rsidRDefault="00440BCD">
            <w:pPr>
              <w:pStyle w:val="1"/>
              <w:spacing w:after="80" w:line="320" w:lineRule="exact"/>
              <w:ind w:hanging="18"/>
              <w:jc w:val="both"/>
              <w:rPr>
                <w:rFonts w:hint="cs"/>
                <w:b/>
                <w:bCs/>
                <w:sz w:val="22"/>
                <w:rtl/>
              </w:rPr>
            </w:pPr>
            <w:r>
              <w:rPr>
                <w:rFonts w:hint="cs"/>
                <w:b/>
                <w:bCs/>
                <w:sz w:val="22"/>
                <w:rtl/>
              </w:rPr>
              <w:t>ע"י עוה"ד</w:t>
            </w:r>
          </w:p>
        </w:tc>
        <w:tc>
          <w:tcPr>
            <w:tcW w:w="3063" w:type="dxa"/>
          </w:tcPr>
          <w:p w14:paraId="436D6DF9" w14:textId="77777777" w:rsidR="00440BCD" w:rsidRDefault="00440BCD">
            <w:pPr>
              <w:pStyle w:val="1"/>
              <w:spacing w:after="80" w:line="320" w:lineRule="exact"/>
              <w:ind w:hanging="18"/>
              <w:jc w:val="both"/>
              <w:rPr>
                <w:rFonts w:hint="cs"/>
                <w:b/>
                <w:bCs/>
                <w:sz w:val="22"/>
                <w:rtl/>
              </w:rPr>
            </w:pPr>
            <w:r>
              <w:rPr>
                <w:b/>
                <w:bCs/>
                <w:sz w:val="22"/>
                <w:rtl/>
              </w:rPr>
              <w:t>פלישמן שמואל</w:t>
            </w:r>
            <w:r>
              <w:rPr>
                <w:rFonts w:hint="cs"/>
                <w:b/>
                <w:bCs/>
                <w:sz w:val="22"/>
                <w:rtl/>
              </w:rPr>
              <w:t xml:space="preserve"> מרחוב ארלוזורוב 198 ג' תל אביב</w:t>
            </w:r>
          </w:p>
        </w:tc>
        <w:tc>
          <w:tcPr>
            <w:tcW w:w="2409" w:type="dxa"/>
          </w:tcPr>
          <w:p w14:paraId="5820AFAA" w14:textId="77777777" w:rsidR="00440BCD" w:rsidRDefault="00440BCD">
            <w:pPr>
              <w:pStyle w:val="1"/>
              <w:spacing w:after="80" w:line="320" w:lineRule="exact"/>
              <w:ind w:hanging="18"/>
              <w:jc w:val="both"/>
              <w:rPr>
                <w:rFonts w:hint="cs"/>
                <w:b/>
                <w:bCs/>
                <w:sz w:val="22"/>
                <w:rtl/>
              </w:rPr>
            </w:pPr>
            <w:r>
              <w:rPr>
                <w:rFonts w:hint="cs"/>
                <w:b/>
                <w:bCs/>
                <w:sz w:val="22"/>
                <w:rtl/>
              </w:rPr>
              <w:t>הנאשם</w:t>
            </w:r>
          </w:p>
        </w:tc>
      </w:tr>
    </w:tbl>
    <w:p w14:paraId="0D60A032" w14:textId="77777777" w:rsidR="001F635C" w:rsidRDefault="001F635C">
      <w:pPr>
        <w:spacing w:after="80" w:line="320" w:lineRule="exact"/>
        <w:ind w:firstLine="283"/>
        <w:rPr>
          <w:sz w:val="22"/>
          <w:rtl/>
        </w:rPr>
      </w:pPr>
      <w:bookmarkStart w:id="10" w:name="LawTable"/>
      <w:bookmarkEnd w:id="9"/>
      <w:bookmarkEnd w:id="10"/>
    </w:p>
    <w:p w14:paraId="4EEE5709" w14:textId="77777777" w:rsidR="001F635C" w:rsidRPr="001F635C" w:rsidRDefault="001F635C" w:rsidP="001F635C">
      <w:pPr>
        <w:spacing w:after="120" w:line="240" w:lineRule="exact"/>
        <w:ind w:left="283" w:hanging="283"/>
        <w:rPr>
          <w:rFonts w:ascii="FrankRuehl" w:hAnsi="FrankRuehl" w:cs="FrankRuehl"/>
          <w:rtl/>
        </w:rPr>
      </w:pPr>
    </w:p>
    <w:p w14:paraId="288DC8F1" w14:textId="77777777" w:rsidR="001F635C" w:rsidRPr="001F635C" w:rsidRDefault="001F635C" w:rsidP="001F635C">
      <w:pPr>
        <w:spacing w:after="120" w:line="240" w:lineRule="exact"/>
        <w:ind w:left="283" w:hanging="283"/>
        <w:rPr>
          <w:rFonts w:ascii="FrankRuehl" w:hAnsi="FrankRuehl" w:cs="FrankRuehl"/>
          <w:rtl/>
        </w:rPr>
      </w:pPr>
      <w:r w:rsidRPr="001F635C">
        <w:rPr>
          <w:rFonts w:ascii="FrankRuehl" w:hAnsi="FrankRuehl" w:cs="FrankRuehl"/>
          <w:rtl/>
        </w:rPr>
        <w:t xml:space="preserve">חקיקה שאוזכרה: </w:t>
      </w:r>
    </w:p>
    <w:p w14:paraId="626282C4" w14:textId="77777777" w:rsidR="001F635C" w:rsidRPr="001F635C" w:rsidRDefault="001F635C" w:rsidP="001F635C">
      <w:pPr>
        <w:spacing w:after="120" w:line="240" w:lineRule="exact"/>
        <w:ind w:left="283" w:hanging="283"/>
        <w:rPr>
          <w:rFonts w:ascii="FrankRuehl" w:hAnsi="FrankRuehl" w:cs="FrankRuehl"/>
          <w:rtl/>
        </w:rPr>
      </w:pPr>
      <w:hyperlink r:id="rId7" w:history="1">
        <w:r w:rsidRPr="001F635C">
          <w:rPr>
            <w:rFonts w:ascii="FrankRuehl" w:hAnsi="FrankRuehl" w:cs="FrankRuehl"/>
            <w:color w:val="0000FF"/>
            <w:u w:val="single"/>
            <w:rtl/>
          </w:rPr>
          <w:t>חוק העונשין, תשל"ז-1977</w:t>
        </w:r>
      </w:hyperlink>
      <w:r w:rsidRPr="001F635C">
        <w:rPr>
          <w:rFonts w:ascii="FrankRuehl" w:hAnsi="FrankRuehl" w:cs="FrankRuehl"/>
          <w:rtl/>
        </w:rPr>
        <w:t xml:space="preserve">: סע'  </w:t>
      </w:r>
      <w:hyperlink r:id="rId8" w:history="1">
        <w:r w:rsidRPr="001F635C">
          <w:rPr>
            <w:rFonts w:ascii="FrankRuehl" w:hAnsi="FrankRuehl" w:cs="FrankRuehl"/>
            <w:color w:val="0000FF"/>
            <w:u w:val="single"/>
            <w:rtl/>
          </w:rPr>
          <w:t>345 (א) (1)</w:t>
        </w:r>
      </w:hyperlink>
      <w:r w:rsidRPr="001F635C">
        <w:rPr>
          <w:rFonts w:ascii="FrankRuehl" w:hAnsi="FrankRuehl" w:cs="FrankRuehl"/>
          <w:rtl/>
        </w:rPr>
        <w:t xml:space="preserve">, </w:t>
      </w:r>
      <w:hyperlink r:id="rId9" w:history="1">
        <w:r w:rsidRPr="001F635C">
          <w:rPr>
            <w:rFonts w:ascii="FrankRuehl" w:hAnsi="FrankRuehl" w:cs="FrankRuehl"/>
            <w:color w:val="0000FF"/>
            <w:u w:val="single"/>
            <w:rtl/>
          </w:rPr>
          <w:t>348 (א)</w:t>
        </w:r>
      </w:hyperlink>
    </w:p>
    <w:p w14:paraId="783F8266" w14:textId="77777777" w:rsidR="001F635C" w:rsidRPr="001F635C" w:rsidRDefault="001F635C" w:rsidP="001F635C">
      <w:pPr>
        <w:spacing w:after="120" w:line="240" w:lineRule="exact"/>
        <w:ind w:left="283" w:hanging="283"/>
        <w:rPr>
          <w:rFonts w:ascii="FrankRuehl" w:hAnsi="FrankRuehl" w:cs="FrankRuehl"/>
          <w:rtl/>
        </w:rPr>
      </w:pPr>
      <w:hyperlink r:id="rId10" w:history="1">
        <w:r w:rsidRPr="001F635C">
          <w:rPr>
            <w:rFonts w:ascii="FrankRuehl" w:hAnsi="FrankRuehl" w:cs="FrankRuehl"/>
            <w:color w:val="0000FF"/>
            <w:u w:val="single"/>
            <w:rtl/>
          </w:rPr>
          <w:t>פקודת הראיות [נוסח חדש], תשל"א-1971</w:t>
        </w:r>
      </w:hyperlink>
      <w:r w:rsidRPr="001F635C">
        <w:rPr>
          <w:rFonts w:ascii="FrankRuehl" w:hAnsi="FrankRuehl" w:cs="FrankRuehl"/>
          <w:rtl/>
        </w:rPr>
        <w:t xml:space="preserve">: סע'  </w:t>
      </w:r>
      <w:hyperlink r:id="rId11" w:history="1">
        <w:r w:rsidRPr="001F635C">
          <w:rPr>
            <w:rFonts w:ascii="FrankRuehl" w:hAnsi="FrankRuehl" w:cs="FrankRuehl"/>
            <w:color w:val="0000FF"/>
            <w:u w:val="single"/>
            <w:rtl/>
          </w:rPr>
          <w:t>10</w:t>
        </w:r>
      </w:hyperlink>
      <w:r w:rsidRPr="001F635C">
        <w:rPr>
          <w:rFonts w:ascii="FrankRuehl" w:hAnsi="FrankRuehl" w:cs="FrankRuehl"/>
          <w:rtl/>
        </w:rPr>
        <w:t xml:space="preserve">, </w:t>
      </w:r>
      <w:hyperlink r:id="rId12" w:history="1">
        <w:r w:rsidRPr="001F635C">
          <w:rPr>
            <w:rFonts w:ascii="FrankRuehl" w:hAnsi="FrankRuehl" w:cs="FrankRuehl"/>
            <w:color w:val="0000FF"/>
            <w:u w:val="single"/>
            <w:rtl/>
          </w:rPr>
          <w:t>54 א' (ב)</w:t>
        </w:r>
      </w:hyperlink>
    </w:p>
    <w:p w14:paraId="377A8428" w14:textId="77777777" w:rsidR="001F635C" w:rsidRPr="001F635C" w:rsidRDefault="001F635C" w:rsidP="001F635C">
      <w:pPr>
        <w:spacing w:after="120" w:line="240" w:lineRule="exact"/>
        <w:ind w:left="283" w:hanging="283"/>
        <w:rPr>
          <w:rFonts w:ascii="FrankRuehl" w:hAnsi="FrankRuehl" w:cs="FrankRuehl"/>
          <w:rtl/>
        </w:rPr>
      </w:pPr>
    </w:p>
    <w:p w14:paraId="722CCB2B" w14:textId="77777777" w:rsidR="001F635C" w:rsidRPr="001F635C" w:rsidRDefault="001F635C">
      <w:pPr>
        <w:spacing w:after="80" w:line="320" w:lineRule="exact"/>
        <w:ind w:firstLine="283"/>
        <w:rPr>
          <w:sz w:val="22"/>
          <w:rtl/>
        </w:rPr>
      </w:pPr>
      <w:bookmarkStart w:id="11" w:name="LawTable_End"/>
      <w:bookmarkEnd w:id="11"/>
    </w:p>
    <w:p w14:paraId="3B7B2C41" w14:textId="77777777" w:rsidR="00C50F7C" w:rsidRPr="00C50F7C" w:rsidRDefault="00C50F7C">
      <w:pPr>
        <w:spacing w:after="80" w:line="320" w:lineRule="exact"/>
        <w:ind w:firstLine="283"/>
        <w:rPr>
          <w:sz w:val="22"/>
          <w:rtl/>
        </w:rPr>
      </w:pPr>
    </w:p>
    <w:p w14:paraId="7F5D885C" w14:textId="77777777" w:rsidR="00C50F7C" w:rsidRPr="00C50F7C" w:rsidRDefault="00C50F7C">
      <w:pPr>
        <w:spacing w:after="80" w:line="320" w:lineRule="exact"/>
        <w:ind w:firstLine="283"/>
        <w:rPr>
          <w:sz w:val="22"/>
          <w:rtl/>
        </w:rPr>
      </w:pPr>
    </w:p>
    <w:p w14:paraId="42452DF4" w14:textId="77777777" w:rsidR="00DE769F" w:rsidRPr="00C50F7C" w:rsidRDefault="00DE769F">
      <w:pPr>
        <w:spacing w:after="80" w:line="320" w:lineRule="exact"/>
        <w:ind w:firstLine="283"/>
        <w:rPr>
          <w:rFonts w:hint="cs"/>
          <w:sz w:val="22"/>
          <w:rtl/>
        </w:rPr>
      </w:pPr>
    </w:p>
    <w:p w14:paraId="7300BF48" w14:textId="77777777" w:rsidR="00DE769F" w:rsidRDefault="00DE769F">
      <w:pPr>
        <w:pBdr>
          <w:top w:val="single" w:sz="4" w:space="1" w:color="auto"/>
          <w:bottom w:val="single" w:sz="4" w:space="1" w:color="auto"/>
        </w:pBdr>
        <w:spacing w:after="80" w:line="320" w:lineRule="exact"/>
        <w:rPr>
          <w:rFonts w:cs="FrankRuehl" w:hint="cs"/>
          <w:sz w:val="22"/>
          <w:szCs w:val="26"/>
          <w:rtl/>
        </w:rPr>
      </w:pPr>
      <w:bookmarkStart w:id="12" w:name="ABSTRACT_START"/>
      <w:bookmarkEnd w:id="12"/>
      <w:r>
        <w:rPr>
          <w:rFonts w:cs="FrankRuehl" w:hint="cs"/>
          <w:sz w:val="22"/>
          <w:szCs w:val="26"/>
          <w:rtl/>
        </w:rPr>
        <w:t xml:space="preserve">הוגש בבימ"ש השלום ברחובות כתב אישום כנגד הנאשם המייחס לו מעשה מגונה בכוח </w:t>
      </w:r>
      <w:r>
        <w:rPr>
          <w:rFonts w:cs="FrankRuehl"/>
          <w:sz w:val="22"/>
          <w:szCs w:val="26"/>
          <w:rtl/>
        </w:rPr>
        <w:t>–</w:t>
      </w:r>
      <w:r>
        <w:rPr>
          <w:rFonts w:cs="FrankRuehl" w:hint="cs"/>
          <w:sz w:val="22"/>
          <w:szCs w:val="26"/>
          <w:rtl/>
        </w:rPr>
        <w:t xml:space="preserve"> עבירה בניגוד לסעיף 348(א) יחד עם סעיף 345(א) (1) ל</w:t>
      </w:r>
      <w:hyperlink r:id="rId13" w:history="1">
        <w:r w:rsidR="00C50F7C" w:rsidRPr="00C50F7C">
          <w:rPr>
            <w:rStyle w:val="Hyperlink"/>
            <w:rFonts w:cs="FrankRuehl" w:hint="eastAsia"/>
            <w:sz w:val="22"/>
            <w:szCs w:val="26"/>
            <w:rtl/>
          </w:rPr>
          <w:t>חוק</w:t>
        </w:r>
        <w:r w:rsidR="00C50F7C" w:rsidRPr="00C50F7C">
          <w:rPr>
            <w:rStyle w:val="Hyperlink"/>
            <w:rFonts w:cs="FrankRuehl"/>
            <w:sz w:val="22"/>
            <w:szCs w:val="26"/>
            <w:rtl/>
          </w:rPr>
          <w:t xml:space="preserve"> העונשין</w:t>
        </w:r>
      </w:hyperlink>
      <w:r>
        <w:rPr>
          <w:rFonts w:cs="FrankRuehl" w:hint="cs"/>
          <w:sz w:val="22"/>
          <w:szCs w:val="26"/>
          <w:rtl/>
        </w:rPr>
        <w:t>.</w:t>
      </w:r>
    </w:p>
    <w:p w14:paraId="7EB71E98" w14:textId="77777777" w:rsidR="00DE769F" w:rsidRDefault="00DE769F">
      <w:pPr>
        <w:spacing w:after="80" w:line="320" w:lineRule="exact"/>
        <w:ind w:firstLine="283"/>
        <w:rPr>
          <w:b/>
          <w:bCs/>
          <w:sz w:val="22"/>
          <w:rtl/>
        </w:rPr>
      </w:pPr>
      <w:bookmarkStart w:id="13" w:name="תיק_עיקרי"/>
      <w:bookmarkStart w:id="14" w:name="פרוטוקול"/>
      <w:bookmarkStart w:id="15" w:name="ABSTRACT_END"/>
      <w:bookmarkEnd w:id="13"/>
      <w:bookmarkEnd w:id="14"/>
      <w:bookmarkEnd w:id="15"/>
    </w:p>
    <w:p w14:paraId="521DADB8" w14:textId="77777777" w:rsidR="00DE769F" w:rsidRDefault="00DE769F">
      <w:pPr>
        <w:pStyle w:val="1"/>
        <w:spacing w:after="80" w:line="320" w:lineRule="exact"/>
        <w:ind w:firstLine="283"/>
        <w:jc w:val="center"/>
        <w:rPr>
          <w:b/>
          <w:bCs/>
          <w:noProof/>
          <w:snapToGrid/>
          <w:sz w:val="22"/>
          <w:u w:val="single"/>
          <w:rtl/>
        </w:rPr>
      </w:pPr>
      <w:bookmarkStart w:id="16" w:name="PsakDin"/>
      <w:r>
        <w:rPr>
          <w:b/>
          <w:bCs/>
          <w:noProof/>
          <w:snapToGrid/>
          <w:sz w:val="22"/>
          <w:u w:val="single"/>
          <w:rtl/>
        </w:rPr>
        <w:t>הכרעת-דין</w:t>
      </w:r>
    </w:p>
    <w:bookmarkEnd w:id="16"/>
    <w:p w14:paraId="579E5976" w14:textId="77777777" w:rsidR="00DE769F" w:rsidRDefault="00DE769F">
      <w:pPr>
        <w:pStyle w:val="1"/>
        <w:spacing w:after="80" w:line="320" w:lineRule="exact"/>
        <w:ind w:firstLine="283"/>
        <w:jc w:val="both"/>
        <w:rPr>
          <w:rFonts w:hint="cs"/>
          <w:b/>
          <w:bCs/>
          <w:sz w:val="22"/>
          <w:u w:val="single"/>
          <w:rtl/>
        </w:rPr>
      </w:pPr>
      <w:r>
        <w:rPr>
          <w:rFonts w:hint="cs"/>
          <w:b/>
          <w:bCs/>
          <w:sz w:val="22"/>
          <w:rtl/>
        </w:rPr>
        <w:t>1.</w:t>
      </w:r>
      <w:r>
        <w:rPr>
          <w:rFonts w:hint="cs"/>
          <w:b/>
          <w:bCs/>
          <w:sz w:val="22"/>
          <w:rtl/>
        </w:rPr>
        <w:tab/>
      </w:r>
      <w:r>
        <w:rPr>
          <w:rFonts w:hint="cs"/>
          <w:b/>
          <w:bCs/>
          <w:sz w:val="22"/>
          <w:u w:val="single"/>
          <w:rtl/>
        </w:rPr>
        <w:t>העובדות</w:t>
      </w:r>
    </w:p>
    <w:p w14:paraId="70DAFA1A" w14:textId="77777777" w:rsidR="00DE769F" w:rsidRDefault="00DE769F">
      <w:pPr>
        <w:pStyle w:val="1"/>
        <w:spacing w:after="80" w:line="320" w:lineRule="exact"/>
        <w:ind w:firstLine="283"/>
        <w:jc w:val="both"/>
        <w:rPr>
          <w:rFonts w:hint="cs"/>
          <w:sz w:val="22"/>
          <w:rtl/>
        </w:rPr>
      </w:pPr>
      <w:r>
        <w:rPr>
          <w:rFonts w:hint="cs"/>
          <w:b/>
          <w:bCs/>
          <w:sz w:val="22"/>
          <w:rtl/>
        </w:rPr>
        <w:tab/>
      </w:r>
      <w:r>
        <w:rPr>
          <w:rFonts w:hint="cs"/>
          <w:sz w:val="22"/>
          <w:rtl/>
        </w:rPr>
        <w:t xml:space="preserve">ביום: 20.3.01, הוגש בבימ"ש השלום ברחובות כתב אישום כנגד הנאשם המייחס לו מעשה מגונה בכוח </w:t>
      </w:r>
      <w:r>
        <w:rPr>
          <w:sz w:val="22"/>
          <w:rtl/>
        </w:rPr>
        <w:t>–</w:t>
      </w:r>
      <w:r>
        <w:rPr>
          <w:rFonts w:hint="cs"/>
          <w:sz w:val="22"/>
          <w:rtl/>
        </w:rPr>
        <w:t xml:space="preserve"> עבירה בניגוד ל</w:t>
      </w:r>
      <w:hyperlink r:id="rId14" w:history="1">
        <w:r w:rsidR="001F635C" w:rsidRPr="001F635C">
          <w:rPr>
            <w:color w:val="0000FF"/>
            <w:sz w:val="22"/>
            <w:u w:val="single"/>
            <w:rtl/>
          </w:rPr>
          <w:t>סעיף 348 (א)</w:t>
        </w:r>
      </w:hyperlink>
      <w:r>
        <w:rPr>
          <w:rFonts w:hint="cs"/>
          <w:sz w:val="22"/>
          <w:rtl/>
        </w:rPr>
        <w:t xml:space="preserve"> יחד עם </w:t>
      </w:r>
      <w:hyperlink r:id="rId15" w:history="1">
        <w:r w:rsidR="001F635C" w:rsidRPr="001F635C">
          <w:rPr>
            <w:rStyle w:val="Hyperlink"/>
            <w:rFonts w:hint="eastAsia"/>
            <w:sz w:val="22"/>
            <w:rtl/>
          </w:rPr>
          <w:t>סעיף</w:t>
        </w:r>
        <w:r w:rsidR="001F635C" w:rsidRPr="001F635C">
          <w:rPr>
            <w:rStyle w:val="Hyperlink"/>
            <w:sz w:val="22"/>
            <w:rtl/>
          </w:rPr>
          <w:t xml:space="preserve"> 345 (א) (1)</w:t>
        </w:r>
      </w:hyperlink>
      <w:r>
        <w:rPr>
          <w:rFonts w:hint="cs"/>
          <w:sz w:val="22"/>
          <w:rtl/>
        </w:rPr>
        <w:t xml:space="preserve"> ל</w:t>
      </w:r>
      <w:hyperlink r:id="rId16" w:history="1">
        <w:r w:rsidR="00C50F7C" w:rsidRPr="00C50F7C">
          <w:rPr>
            <w:rStyle w:val="Hyperlink"/>
            <w:rFonts w:hint="eastAsia"/>
            <w:sz w:val="22"/>
            <w:rtl/>
          </w:rPr>
          <w:t>חוק</w:t>
        </w:r>
        <w:r w:rsidR="00C50F7C" w:rsidRPr="00C50F7C">
          <w:rPr>
            <w:rStyle w:val="Hyperlink"/>
            <w:sz w:val="22"/>
            <w:rtl/>
          </w:rPr>
          <w:t xml:space="preserve"> העונשין</w:t>
        </w:r>
      </w:hyperlink>
      <w:r>
        <w:rPr>
          <w:rFonts w:hint="cs"/>
          <w:sz w:val="22"/>
          <w:rtl/>
        </w:rPr>
        <w:t xml:space="preserve">, בכך שעפ"י גירסת התביעה, ביום: 15.3.01 בשעה 21.30, או בסמוך לכך, כאשר המתלוננת ש.ע. ילידת 1981, היתה בדרכה מביתה ברחוב הערבה ביבנה, לבית חברתה ברחוב הלילך ביבנה. הציע הנאשם, שנסע אותה עת ברכב חברו פנחס אלימלך, למתלוננת להסיעה לבית חברתה. </w:t>
      </w:r>
    </w:p>
    <w:p w14:paraId="1BB9A96A" w14:textId="77777777" w:rsidR="00DE769F" w:rsidRDefault="00DE769F">
      <w:pPr>
        <w:pStyle w:val="1"/>
        <w:spacing w:after="80" w:line="320" w:lineRule="exact"/>
        <w:ind w:firstLine="283"/>
        <w:jc w:val="both"/>
        <w:rPr>
          <w:rFonts w:hint="cs"/>
          <w:color w:val="FFFFFF"/>
          <w:sz w:val="4"/>
          <w:szCs w:val="4"/>
          <w:rtl/>
        </w:rPr>
      </w:pPr>
      <w:r>
        <w:rPr>
          <w:rFonts w:hint="cs"/>
          <w:sz w:val="24"/>
          <w:rtl/>
        </w:rPr>
        <w:tab/>
      </w:r>
      <w:r>
        <w:rPr>
          <w:rFonts w:hint="cs"/>
          <w:sz w:val="22"/>
          <w:rtl/>
        </w:rPr>
        <w:t xml:space="preserve">המתלוננת, נענתה להצעה, עלתה על הרכב והתיישבה במושב האחורי. כאשר הגיע הרכב לרחוב האלון ביבנה, ירד הנהג מן הרכב ואותה שעה, הנאשם עזב את מקומו, ליד הנהג, והתיישב במושב האחורי, ליד המתלוננת. </w:t>
      </w:r>
    </w:p>
    <w:p w14:paraId="3CA505A0" w14:textId="77777777" w:rsidR="00DE769F" w:rsidRDefault="00DE769F">
      <w:pPr>
        <w:pStyle w:val="1"/>
        <w:spacing w:after="80" w:line="320" w:lineRule="exact"/>
        <w:ind w:firstLine="283"/>
        <w:jc w:val="both"/>
        <w:rPr>
          <w:rFonts w:hint="cs"/>
          <w:sz w:val="22"/>
          <w:rtl/>
        </w:rPr>
      </w:pPr>
      <w:r>
        <w:rPr>
          <w:color w:val="FFFFFF"/>
          <w:sz w:val="4"/>
          <w:szCs w:val="4"/>
          <w:rtl/>
        </w:rPr>
        <w:lastRenderedPageBreak/>
        <w:t>5129371</w:t>
      </w:r>
    </w:p>
    <w:p w14:paraId="21D594DB" w14:textId="77777777" w:rsidR="00DE769F" w:rsidRDefault="00DE769F">
      <w:pPr>
        <w:pStyle w:val="1"/>
        <w:spacing w:after="80" w:line="320" w:lineRule="exact"/>
        <w:ind w:firstLine="283"/>
        <w:jc w:val="both"/>
        <w:rPr>
          <w:rFonts w:hint="cs"/>
          <w:sz w:val="22"/>
          <w:rtl/>
        </w:rPr>
      </w:pPr>
      <w:r>
        <w:rPr>
          <w:rFonts w:hint="cs"/>
          <w:sz w:val="22"/>
          <w:rtl/>
        </w:rPr>
        <w:tab/>
        <w:t xml:space="preserve">עפ"י גירסת התביעה, החל הנאשם לגעת במתלוננת, הכניס את ידו למכנסי המתלוננת ותחתוניה ונגע באצבעותיו באיבר מינה של המתלוננת, למרות התנגדותה, הפצרותיה וניסיונותיה הנואשים להוציא את ידו מתוך מכנסיה. </w:t>
      </w:r>
    </w:p>
    <w:p w14:paraId="19BC6536" w14:textId="77777777" w:rsidR="00DE769F" w:rsidRDefault="00DE769F">
      <w:pPr>
        <w:pStyle w:val="1"/>
        <w:spacing w:after="80" w:line="320" w:lineRule="exact"/>
        <w:ind w:firstLine="283"/>
        <w:jc w:val="both"/>
        <w:rPr>
          <w:rFonts w:hint="cs"/>
          <w:sz w:val="22"/>
          <w:rtl/>
        </w:rPr>
      </w:pPr>
      <w:r>
        <w:rPr>
          <w:rFonts w:hint="cs"/>
          <w:sz w:val="22"/>
          <w:rtl/>
        </w:rPr>
        <w:tab/>
        <w:t xml:space="preserve">לא זו בלבד אלא שהנאשם ניסה, אותה עת, בנוסף, לקחת את יד המתלוננת ולשימה על איבר מינו, אך ללא הצלחה. </w:t>
      </w:r>
    </w:p>
    <w:p w14:paraId="6B837F50" w14:textId="77777777" w:rsidR="00DE769F" w:rsidRDefault="00DE769F">
      <w:pPr>
        <w:pStyle w:val="1"/>
        <w:spacing w:after="80" w:line="320" w:lineRule="exact"/>
        <w:ind w:firstLine="283"/>
        <w:jc w:val="both"/>
        <w:rPr>
          <w:rFonts w:hint="cs"/>
          <w:sz w:val="22"/>
          <w:rtl/>
        </w:rPr>
      </w:pPr>
      <w:r>
        <w:rPr>
          <w:rFonts w:hint="cs"/>
          <w:sz w:val="22"/>
          <w:rtl/>
        </w:rPr>
        <w:tab/>
        <w:t xml:space="preserve">כאשר הנהג חזר למכונית והמשיך בנסיעתו, המשיך הנאשם להחזיק בכוח את ידו בתוך מכנסי המתלוננת, וכשהוא נוגע באיבר מינה. </w:t>
      </w:r>
    </w:p>
    <w:p w14:paraId="2EB810D5" w14:textId="77777777" w:rsidR="00DE769F" w:rsidRDefault="00DE769F">
      <w:pPr>
        <w:pStyle w:val="1"/>
        <w:spacing w:after="80" w:line="320" w:lineRule="exact"/>
        <w:ind w:firstLine="283"/>
        <w:jc w:val="both"/>
        <w:rPr>
          <w:rFonts w:hint="cs"/>
          <w:sz w:val="22"/>
          <w:rtl/>
        </w:rPr>
      </w:pPr>
    </w:p>
    <w:p w14:paraId="666A7D17" w14:textId="77777777" w:rsidR="00DE769F" w:rsidRDefault="00DE769F">
      <w:pPr>
        <w:pStyle w:val="1"/>
        <w:spacing w:after="80" w:line="320" w:lineRule="exact"/>
        <w:ind w:firstLine="283"/>
        <w:jc w:val="both"/>
        <w:rPr>
          <w:rFonts w:hint="cs"/>
          <w:sz w:val="22"/>
          <w:rtl/>
        </w:rPr>
      </w:pPr>
      <w:r>
        <w:rPr>
          <w:rFonts w:hint="cs"/>
          <w:sz w:val="22"/>
          <w:rtl/>
        </w:rPr>
        <w:tab/>
        <w:t xml:space="preserve">הנהג שוב עצר את רכבו וירד ממנו בתוככי יבנה ואילו הנאשם, שוב, לגירסת התביעה, ניסה להשכיב המתלוננת בכוח על המושב האחורי ונישקה בכוח בצווארה ובפיה. </w:t>
      </w:r>
    </w:p>
    <w:p w14:paraId="1E4DC0A9" w14:textId="77777777" w:rsidR="00DE769F" w:rsidRDefault="00DE769F">
      <w:pPr>
        <w:pStyle w:val="1"/>
        <w:spacing w:after="80" w:line="320" w:lineRule="exact"/>
        <w:ind w:firstLine="283"/>
        <w:jc w:val="both"/>
        <w:rPr>
          <w:rFonts w:hint="cs"/>
          <w:sz w:val="22"/>
          <w:rtl/>
        </w:rPr>
      </w:pPr>
    </w:p>
    <w:p w14:paraId="27E4DD0D" w14:textId="77777777" w:rsidR="00DE769F" w:rsidRDefault="00DE769F">
      <w:pPr>
        <w:pStyle w:val="1"/>
        <w:spacing w:after="80" w:line="320" w:lineRule="exact"/>
        <w:ind w:firstLine="283"/>
        <w:jc w:val="both"/>
        <w:rPr>
          <w:rFonts w:hint="cs"/>
          <w:sz w:val="22"/>
          <w:rtl/>
        </w:rPr>
      </w:pPr>
      <w:r>
        <w:rPr>
          <w:rFonts w:hint="cs"/>
          <w:sz w:val="22"/>
          <w:rtl/>
        </w:rPr>
        <w:tab/>
        <w:t xml:space="preserve">הנאשם התעלם מבקשות ותחנוני המתלוננת להפסיק את מעשיו ובעצירה השניה אף מנע ממנה בכוח מלפתוח את דלתות המכונית ולצאת ממנה. כשהמתלוננת הצליחה בסופו של דבר לפתוח דלתות המכונית ולצאת ממנה, ניסה הנאשם לתפוס את מעילה ע"מ למנוע ממנה לברוח, אך ללא הצלחה, כך גירסת התביעה. </w:t>
      </w:r>
    </w:p>
    <w:p w14:paraId="12010468" w14:textId="77777777" w:rsidR="00DE769F" w:rsidRDefault="00DE769F">
      <w:pPr>
        <w:pStyle w:val="1"/>
        <w:spacing w:after="80" w:line="320" w:lineRule="exact"/>
        <w:ind w:firstLine="283"/>
        <w:jc w:val="both"/>
        <w:rPr>
          <w:rFonts w:hint="cs"/>
          <w:sz w:val="22"/>
          <w:rtl/>
        </w:rPr>
      </w:pPr>
    </w:p>
    <w:p w14:paraId="4C12C499" w14:textId="77777777" w:rsidR="00DE769F" w:rsidRDefault="00DE769F">
      <w:pPr>
        <w:pStyle w:val="1"/>
        <w:spacing w:after="80" w:line="320" w:lineRule="exact"/>
        <w:ind w:firstLine="283"/>
        <w:jc w:val="both"/>
        <w:rPr>
          <w:rFonts w:hint="cs"/>
          <w:b/>
          <w:bCs/>
          <w:sz w:val="22"/>
          <w:u w:val="single"/>
          <w:rtl/>
        </w:rPr>
      </w:pPr>
      <w:r>
        <w:rPr>
          <w:rFonts w:hint="cs"/>
          <w:sz w:val="22"/>
          <w:rtl/>
        </w:rPr>
        <w:t>2.</w:t>
      </w:r>
      <w:r>
        <w:rPr>
          <w:rFonts w:hint="cs"/>
          <w:sz w:val="22"/>
          <w:rtl/>
        </w:rPr>
        <w:tab/>
      </w:r>
      <w:r>
        <w:rPr>
          <w:rFonts w:hint="cs"/>
          <w:b/>
          <w:bCs/>
          <w:sz w:val="22"/>
          <w:u w:val="single"/>
          <w:rtl/>
        </w:rPr>
        <w:t>דיון:</w:t>
      </w:r>
    </w:p>
    <w:p w14:paraId="070D11FA" w14:textId="77777777" w:rsidR="00DE769F" w:rsidRDefault="00DE769F">
      <w:pPr>
        <w:pStyle w:val="1"/>
        <w:spacing w:after="80" w:line="320" w:lineRule="exact"/>
        <w:ind w:firstLine="283"/>
        <w:jc w:val="both"/>
        <w:rPr>
          <w:rFonts w:hint="cs"/>
          <w:b/>
          <w:bCs/>
          <w:sz w:val="22"/>
          <w:rtl/>
        </w:rPr>
      </w:pPr>
      <w:r>
        <w:rPr>
          <w:rFonts w:hint="cs"/>
          <w:sz w:val="22"/>
          <w:rtl/>
        </w:rPr>
        <w:tab/>
      </w:r>
      <w:r>
        <w:rPr>
          <w:rFonts w:hint="cs"/>
          <w:b/>
          <w:bCs/>
          <w:sz w:val="22"/>
          <w:rtl/>
        </w:rPr>
        <w:t>א. גירסתה של התביעה</w:t>
      </w:r>
    </w:p>
    <w:p w14:paraId="1B7768FB" w14:textId="77777777" w:rsidR="00DE769F" w:rsidRDefault="00DE769F">
      <w:pPr>
        <w:pStyle w:val="1"/>
        <w:spacing w:after="80" w:line="320" w:lineRule="exact"/>
        <w:ind w:firstLine="283"/>
        <w:jc w:val="both"/>
        <w:rPr>
          <w:rFonts w:hint="cs"/>
          <w:sz w:val="22"/>
          <w:rtl/>
        </w:rPr>
      </w:pPr>
      <w:r>
        <w:rPr>
          <w:rFonts w:hint="cs"/>
          <w:sz w:val="22"/>
          <w:rtl/>
        </w:rPr>
        <w:tab/>
        <w:t>המתלוננת ע.ש. מעידה ביום: 24.10.01 עמ' 16-3 תוך תאור הארועים מיום: 15.3.01, אשר בעקרם חופפים את המתואר בכתב האישום. בעמוד 3 לפרוטוקול, שורות 18-16 מספרת המתלוננת, בחקירתה הראשית: "תוך כדי הוא הכניס את היד שלו לתוך המכנסיים, לתוך איבר המין, אחרי כחמש דקות הנהג הגיע, ביקשתי ממנו להוציא את היד, ביקשתי ממנו ללכת". ובשורה 19, בהמשך: "ביקשתי ממנו לרדת מהרכב, אמרתי לו: "שמש אני רוצה ללכת הביתה, הוא השתיק אותי תוך כדי תנועות גוף..." ובעמוד 4 לפרוטוקול, שורות</w:t>
      </w:r>
    </w:p>
    <w:p w14:paraId="4F0331C2" w14:textId="77777777" w:rsidR="00DE769F" w:rsidRDefault="00DE769F">
      <w:pPr>
        <w:pStyle w:val="1"/>
        <w:spacing w:after="80" w:line="320" w:lineRule="exact"/>
        <w:ind w:firstLine="283"/>
        <w:jc w:val="both"/>
        <w:rPr>
          <w:rFonts w:hint="cs"/>
          <w:sz w:val="22"/>
          <w:rtl/>
        </w:rPr>
      </w:pPr>
      <w:r>
        <w:rPr>
          <w:rFonts w:hint="cs"/>
          <w:sz w:val="22"/>
          <w:rtl/>
        </w:rPr>
        <w:t xml:space="preserve">11-7 מעידה המתלוננת בח.ר.: </w:t>
      </w:r>
    </w:p>
    <w:p w14:paraId="4898D1BE" w14:textId="77777777" w:rsidR="00DE769F" w:rsidRDefault="00DE769F">
      <w:pPr>
        <w:pStyle w:val="1"/>
        <w:spacing w:after="80" w:line="320" w:lineRule="exact"/>
        <w:ind w:firstLine="283"/>
        <w:jc w:val="both"/>
        <w:rPr>
          <w:rFonts w:hint="cs"/>
          <w:sz w:val="22"/>
          <w:rtl/>
        </w:rPr>
      </w:pPr>
      <w:r>
        <w:rPr>
          <w:rFonts w:hint="cs"/>
          <w:sz w:val="22"/>
          <w:rtl/>
        </w:rPr>
        <w:t xml:space="preserve">"הנהג ירד מהרכב, (פעם שניה צ.ה.), הנאשם ניסה להשכיב אותי. הוא תופס אותי עם היד שלו, ניסה להשכיב אותי באלכסון אליו, הוא ניסה לעלות עלי, דחפתי אותו, ניסיתי תוך כדי לצאת מהאוטו, אין לי גישה לדלת אני עם הגוף באלכסון אליו, איך שהוא פתחתי את הדלת נתתי לו בעיטה. הרגליים שלי היו מחוץ לדלת, באתי לצאת הנאשם תפס אותי בגב במעיל, השתחררתי איך שהוא אחר כך הוא תופס אותי ביד, איך שהוא ברחתי משם". </w:t>
      </w:r>
    </w:p>
    <w:p w14:paraId="29B33FF0" w14:textId="77777777" w:rsidR="00DE769F" w:rsidRDefault="00DE769F">
      <w:pPr>
        <w:pStyle w:val="1"/>
        <w:spacing w:after="80" w:line="320" w:lineRule="exact"/>
        <w:ind w:firstLine="283"/>
        <w:jc w:val="both"/>
        <w:rPr>
          <w:rFonts w:hint="cs"/>
          <w:sz w:val="22"/>
          <w:rtl/>
        </w:rPr>
      </w:pPr>
    </w:p>
    <w:p w14:paraId="5CA8B2D4" w14:textId="77777777" w:rsidR="00DE769F" w:rsidRDefault="00DE769F">
      <w:pPr>
        <w:pStyle w:val="1"/>
        <w:spacing w:after="80" w:line="320" w:lineRule="exact"/>
        <w:ind w:firstLine="283"/>
        <w:jc w:val="both"/>
        <w:rPr>
          <w:rFonts w:hint="cs"/>
          <w:sz w:val="22"/>
          <w:rtl/>
        </w:rPr>
      </w:pPr>
      <w:r>
        <w:rPr>
          <w:rFonts w:hint="cs"/>
          <w:sz w:val="22"/>
          <w:rtl/>
        </w:rPr>
        <w:t xml:space="preserve">בהמשך מתארת המתלוננת את היכרותה הקודמת עם הנאשם שהיתה הכרות שטחית, כהגדרתה (ראה עמ' 4 לפרוטוקול הדיון, שורה 28: "הייתי רואה אותו בשכונה של אחותו, היינו יושבים מעשנים סיגריה, מה עניינים מה המצב וזהו"). </w:t>
      </w:r>
    </w:p>
    <w:p w14:paraId="4EE14449" w14:textId="77777777" w:rsidR="00DE769F" w:rsidRDefault="00DE769F">
      <w:pPr>
        <w:pStyle w:val="1"/>
        <w:spacing w:after="80" w:line="320" w:lineRule="exact"/>
        <w:ind w:firstLine="283"/>
        <w:jc w:val="both"/>
        <w:rPr>
          <w:rFonts w:hint="cs"/>
          <w:sz w:val="22"/>
          <w:rtl/>
        </w:rPr>
      </w:pPr>
      <w:r>
        <w:rPr>
          <w:rFonts w:hint="cs"/>
          <w:sz w:val="22"/>
          <w:rtl/>
        </w:rPr>
        <w:t xml:space="preserve">ואילו את יחסיה עם חברתה עופרה, אליה הגיעה המתלוננת לאחר הארוע, נשוא כתב האישום, היא מתארת אז כיחסים כמו לאחות גדולה, "היא היתה בשבילי הכל, היא ידעה עלי הכל ואני ידעתי עליה הכל" (שורות 4-13 בעמוד 5 לפרוטוקול הדיון". </w:t>
      </w:r>
    </w:p>
    <w:p w14:paraId="3305731F" w14:textId="77777777" w:rsidR="00DE769F" w:rsidRDefault="00DE769F">
      <w:pPr>
        <w:pStyle w:val="1"/>
        <w:spacing w:after="80" w:line="320" w:lineRule="exact"/>
        <w:ind w:firstLine="283"/>
        <w:jc w:val="both"/>
        <w:rPr>
          <w:rFonts w:hint="cs"/>
          <w:sz w:val="22"/>
          <w:rtl/>
        </w:rPr>
      </w:pPr>
      <w:r>
        <w:rPr>
          <w:rFonts w:hint="cs"/>
          <w:sz w:val="22"/>
          <w:rtl/>
        </w:rPr>
        <w:t>ואת האופן בו סיפרה המתלוננת לחברתה את אשר ארע לה בתוך המכונית מתארת המתלוננת כך בחקירתה הראשית:</w:t>
      </w:r>
    </w:p>
    <w:p w14:paraId="731E347D" w14:textId="77777777" w:rsidR="00DE769F" w:rsidRDefault="00DE769F">
      <w:pPr>
        <w:pStyle w:val="1"/>
        <w:spacing w:after="80" w:line="320" w:lineRule="exact"/>
        <w:ind w:firstLine="283"/>
        <w:jc w:val="both"/>
        <w:rPr>
          <w:rFonts w:hint="cs"/>
          <w:sz w:val="22"/>
          <w:rtl/>
        </w:rPr>
      </w:pPr>
      <w:r>
        <w:rPr>
          <w:rFonts w:hint="cs"/>
          <w:sz w:val="22"/>
          <w:rtl/>
        </w:rPr>
        <w:lastRenderedPageBreak/>
        <w:t xml:space="preserve">"התחלתי לבכות, התפרצתי בבכי, היא אמרה לי מה קרה לך ואז אמרתי ניסו לאנוס אותי" (ראה עמ' 4 לפרוטוקול, שורה 21). </w:t>
      </w:r>
    </w:p>
    <w:p w14:paraId="68D0A382" w14:textId="77777777" w:rsidR="00DE769F" w:rsidRDefault="00DE769F">
      <w:pPr>
        <w:pStyle w:val="1"/>
        <w:spacing w:after="80" w:line="320" w:lineRule="exact"/>
        <w:ind w:firstLine="283"/>
        <w:jc w:val="both"/>
        <w:rPr>
          <w:rFonts w:hint="cs"/>
          <w:sz w:val="22"/>
          <w:rtl/>
        </w:rPr>
      </w:pPr>
      <w:r>
        <w:rPr>
          <w:rFonts w:hint="cs"/>
          <w:sz w:val="22"/>
          <w:rtl/>
        </w:rPr>
        <w:t xml:space="preserve">את הסיבה מדוע לא סיפרה המתלוננת לאמה את אשר ארע לה, מסבירה המתלוננת בחקירתה החוזרת בעמ' 16 לפרוטוקול שורות 23-22 מישיבת יום: 24.10.01, כי אחיה נהרג לפני 3 שנים כאשר נרצח על רקע פלילי, ארוע שגרם למחלת אביה בסרטן והיא, המתלוננת ביקשה שלא להעמיס ארוע נוסף שלה על בני משפחתה ובעיקר על אמה, ולכן העדיפה להתמודד עם זה לבד", כך המתלוננת. </w:t>
      </w:r>
    </w:p>
    <w:p w14:paraId="271D950F" w14:textId="77777777" w:rsidR="00DE769F" w:rsidRDefault="00DE769F">
      <w:pPr>
        <w:pStyle w:val="1"/>
        <w:spacing w:after="80" w:line="320" w:lineRule="exact"/>
        <w:ind w:firstLine="283"/>
        <w:jc w:val="both"/>
        <w:rPr>
          <w:rFonts w:hint="cs"/>
          <w:sz w:val="22"/>
          <w:rtl/>
        </w:rPr>
      </w:pPr>
    </w:p>
    <w:p w14:paraId="34EC2A54" w14:textId="77777777" w:rsidR="00DE769F" w:rsidRDefault="00DE769F">
      <w:pPr>
        <w:pStyle w:val="1"/>
        <w:spacing w:after="80" w:line="320" w:lineRule="exact"/>
        <w:ind w:firstLine="283"/>
        <w:jc w:val="both"/>
        <w:rPr>
          <w:sz w:val="22"/>
        </w:rPr>
      </w:pPr>
      <w:r>
        <w:rPr>
          <w:rFonts w:hint="cs"/>
          <w:sz w:val="22"/>
          <w:rtl/>
        </w:rPr>
        <w:t>ע.ת/4 אדל שטרית ובשמה הקודם, עופרה גבריאל, חברתה של המתלוננת, מאשרת את גירסת המתלוננת במלואה בעמ' 16 לפרוטוקול הדיון מיום: 16.10.02</w:t>
      </w:r>
      <w:r>
        <w:rPr>
          <w:sz w:val="22"/>
        </w:rPr>
        <w:t>:</w:t>
      </w:r>
    </w:p>
    <w:p w14:paraId="6320B619" w14:textId="77777777" w:rsidR="00DE769F" w:rsidRDefault="00DE769F">
      <w:pPr>
        <w:pStyle w:val="1"/>
        <w:spacing w:after="80" w:line="320" w:lineRule="exact"/>
        <w:ind w:firstLine="283"/>
        <w:jc w:val="both"/>
        <w:rPr>
          <w:rFonts w:hint="cs"/>
          <w:sz w:val="22"/>
          <w:rtl/>
        </w:rPr>
      </w:pPr>
      <w:r>
        <w:rPr>
          <w:rFonts w:hint="cs"/>
          <w:sz w:val="22"/>
          <w:rtl/>
        </w:rPr>
        <w:t xml:space="preserve">"את התפרצותה בבכי תוך כדי תאורה את הארוע, נשוא כתב האישום, כאשר הנאשם, לגירסתה, ניסה לאנוס אותה על ידי נשיקות נגיעה באזוריה האינטימיים, את יראתה מפני מתן עדות בביהמ"ש, כאשר מעולם לא התנסתה בהם, ואת הצורך להעיד אודות משהו שבכלל התרחש ללא נוכחותה. את מראה המתלוננת ואת התנהגותה באותו יום 15.3.01, אותה מכירה העדה מאז היותה בת 12 שנים מתארת העדה </w:t>
      </w:r>
      <w:r>
        <w:rPr>
          <w:rFonts w:hint="cs"/>
          <w:sz w:val="22"/>
          <w:u w:val="single"/>
          <w:rtl/>
        </w:rPr>
        <w:t xml:space="preserve">כנסערת </w:t>
      </w:r>
      <w:r>
        <w:rPr>
          <w:rFonts w:hint="cs"/>
          <w:sz w:val="22"/>
          <w:rtl/>
        </w:rPr>
        <w:t xml:space="preserve"> (דגש שלי צ.ה.). בהמשך בעמ' 32 לפרוטוקול, מתארת העדה את פגישתה עם הפרקליטה שלומית, בצוותא עם המתלוננת ושם כשהושמעה טענה, כי המתלוננת קיימה יחסים אינטימיים קודמים עם הנאשם, ובעקבות זאת, היא נשלחה לביצוע בדיקה גניקולוגית, אשר תקבע אם בתולה היא או לא, סירבה המתלוננת לביצוע בדיקה זו, טענה זו הושמעה למתלוננת תוך התבססות על גירסת הנאשם, השולל לחלוטין קרות הארועים נשוא כתב האישום, על ניסיון אונס שנעשה, כביכול, מצידו, שהרי קיימו ביניהם יחסים אינטימיים קודמים. בהקשר לעדות ע.ת. 4, ייאמר, כי המדובר בעדה שהגיעה לביהמ"ש, רק לאחר שהוצא כנגדה צו הבאה, שלא התלהבה כלל להעיד ובוודאי שלא ביקשה להפליל שלא לצורך את הנאשם. </w:t>
      </w:r>
    </w:p>
    <w:p w14:paraId="78F6D843" w14:textId="77777777" w:rsidR="00DE769F" w:rsidRDefault="00DE769F">
      <w:pPr>
        <w:pStyle w:val="1"/>
        <w:spacing w:after="80" w:line="320" w:lineRule="exact"/>
        <w:ind w:firstLine="283"/>
        <w:jc w:val="both"/>
        <w:rPr>
          <w:rFonts w:hint="cs"/>
          <w:sz w:val="22"/>
          <w:rtl/>
        </w:rPr>
      </w:pPr>
    </w:p>
    <w:p w14:paraId="30D373DC" w14:textId="77777777" w:rsidR="00DE769F" w:rsidRDefault="00DE769F">
      <w:pPr>
        <w:pStyle w:val="1"/>
        <w:spacing w:after="80" w:line="320" w:lineRule="exact"/>
        <w:ind w:firstLine="283"/>
        <w:jc w:val="both"/>
        <w:rPr>
          <w:rFonts w:hint="cs"/>
          <w:sz w:val="22"/>
          <w:rtl/>
        </w:rPr>
      </w:pPr>
      <w:r>
        <w:rPr>
          <w:rFonts w:hint="cs"/>
          <w:sz w:val="22"/>
          <w:rtl/>
        </w:rPr>
        <w:t xml:space="preserve">ע.ת/5 אורן אהרון, שוטר סיור מאשר, בעדותו בעמוד 35 לפרוטוקול הדיון מיום: 27.4.02, כי הוזמן ע"י ע.ת/4 לתחקר המתלוננת ביום הארוע, 15.3.01, וזו "אחזה כל הזמן בידה של העדה, נראתה מפוחדת עיניה היו אדומות " (שורות 13-12, שם) הארוע הנ"ל נרשם ע"י העד בדו"ח פעולה וסומן (ת/9)). </w:t>
      </w:r>
    </w:p>
    <w:p w14:paraId="3B107997" w14:textId="77777777" w:rsidR="00DE769F" w:rsidRDefault="00DE769F">
      <w:pPr>
        <w:pStyle w:val="1"/>
        <w:spacing w:after="80" w:line="320" w:lineRule="exact"/>
        <w:ind w:firstLine="283"/>
        <w:jc w:val="both"/>
        <w:rPr>
          <w:rFonts w:hint="cs"/>
          <w:sz w:val="22"/>
          <w:rtl/>
        </w:rPr>
      </w:pPr>
    </w:p>
    <w:p w14:paraId="02157851" w14:textId="77777777" w:rsidR="00DE769F" w:rsidRDefault="00DE769F">
      <w:pPr>
        <w:pStyle w:val="1"/>
        <w:spacing w:after="80" w:line="320" w:lineRule="exact"/>
        <w:ind w:firstLine="283"/>
        <w:jc w:val="both"/>
        <w:rPr>
          <w:rFonts w:hint="cs"/>
          <w:sz w:val="22"/>
          <w:rtl/>
        </w:rPr>
      </w:pPr>
      <w:r>
        <w:rPr>
          <w:rFonts w:hint="cs"/>
          <w:sz w:val="22"/>
          <w:rtl/>
        </w:rPr>
        <w:t xml:space="preserve">בהקשר לעדויות התביעה מן הראוי לאזכר עוד את עדותה של ע.ת. 3, דפנה פרץ, חוקרת במשטרת רחובות שגבתה מן הנאשם את הודעתו במשטרה (ת/2) כמו"כ רשמה עדה זו זכרון דברים (ת/3) ממנו עולה, כי המתלוננת סירבה, בעקבות העימות עם הנאשם, לערוך בדיקה רפואית שתקבע אם בתולה היא או לא, מאחר שלטענתה מעולם לא ביקרה אצל רופא נשים. העדה מציינת, כי במקרה מעין זה, אין לכפות על המתלוננת לעבור בדיקה הנ"ל. </w:t>
      </w:r>
    </w:p>
    <w:p w14:paraId="0CB56278" w14:textId="77777777" w:rsidR="00DE769F" w:rsidRDefault="00DE769F">
      <w:pPr>
        <w:pStyle w:val="1"/>
        <w:spacing w:after="80" w:line="320" w:lineRule="exact"/>
        <w:ind w:firstLine="283"/>
        <w:jc w:val="both"/>
        <w:rPr>
          <w:rFonts w:hint="cs"/>
          <w:sz w:val="22"/>
          <w:rtl/>
        </w:rPr>
      </w:pPr>
    </w:p>
    <w:p w14:paraId="258F3B10" w14:textId="77777777" w:rsidR="00DE769F" w:rsidRDefault="00DE769F">
      <w:pPr>
        <w:pStyle w:val="1"/>
        <w:spacing w:after="80" w:line="320" w:lineRule="exact"/>
        <w:ind w:firstLine="283"/>
        <w:jc w:val="both"/>
        <w:rPr>
          <w:rFonts w:hint="cs"/>
          <w:sz w:val="22"/>
          <w:rtl/>
        </w:rPr>
      </w:pPr>
      <w:r>
        <w:rPr>
          <w:rFonts w:hint="cs"/>
          <w:sz w:val="22"/>
          <w:rtl/>
        </w:rPr>
        <w:t xml:space="preserve">העדה רשמה את התרשמותה החיובית והאמינה בעיניה מן המתלוננת תוך כדי העימות שנערך בינה לבין הנאשם (ת/4). ציינתי אז ואני חוזר על כך כיום, כי מתעלם אני מכל עדות שמועה שהוזכרה במזכר זה ובכלל זה, אינני מייחס כל משקל להתרשמות החוקרת, אך מתוך התרשמותי שלי הבלתי אמצעית והישירה מן המתלוננת תוך מתן עדותה בביהמ"ש, העימות שצולם ותועד במצלמת וידיאו (ת/5), קובע, אני חד משמעית, כי התרשמתי מאמינותה של המתלוננת ומגירסתה לעומת גירסת הנאשם הרצופה סתירות ושקרים, כפי שיתואר בהמשך להכרעת דיני זו. </w:t>
      </w:r>
    </w:p>
    <w:p w14:paraId="02D99864" w14:textId="77777777" w:rsidR="00DE769F" w:rsidRDefault="00DE769F">
      <w:pPr>
        <w:pStyle w:val="1"/>
        <w:spacing w:after="80" w:line="320" w:lineRule="exact"/>
        <w:ind w:firstLine="283"/>
        <w:jc w:val="both"/>
        <w:rPr>
          <w:rFonts w:hint="cs"/>
          <w:sz w:val="22"/>
          <w:rtl/>
        </w:rPr>
      </w:pPr>
    </w:p>
    <w:p w14:paraId="70B7F8C6" w14:textId="77777777" w:rsidR="00DE769F" w:rsidRDefault="00DE769F">
      <w:pPr>
        <w:pStyle w:val="1"/>
        <w:spacing w:after="80" w:line="320" w:lineRule="exact"/>
        <w:ind w:firstLine="283"/>
        <w:jc w:val="both"/>
        <w:rPr>
          <w:rFonts w:hint="cs"/>
          <w:sz w:val="22"/>
          <w:rtl/>
        </w:rPr>
      </w:pPr>
      <w:r>
        <w:rPr>
          <w:rFonts w:hint="cs"/>
          <w:sz w:val="22"/>
          <w:rtl/>
        </w:rPr>
        <w:t xml:space="preserve">תמליל הקלטת המתעד את העימות בין הנאשם למתלוננת (ת/6) מחזק עוד יותר התרשמותי חיובית זו מן המתלוננת . </w:t>
      </w:r>
    </w:p>
    <w:p w14:paraId="5CCFAE37" w14:textId="77777777" w:rsidR="00DE769F" w:rsidRDefault="00DE769F">
      <w:pPr>
        <w:pStyle w:val="1"/>
        <w:spacing w:after="80" w:line="320" w:lineRule="exact"/>
        <w:ind w:firstLine="283"/>
        <w:jc w:val="both"/>
        <w:rPr>
          <w:rFonts w:hint="cs"/>
          <w:sz w:val="22"/>
          <w:rtl/>
        </w:rPr>
      </w:pPr>
      <w:r>
        <w:rPr>
          <w:rFonts w:hint="cs"/>
          <w:sz w:val="22"/>
          <w:rtl/>
        </w:rPr>
        <w:t>אם עלי לסכם את התרשמותי מן המתלוננת אומר כך:</w:t>
      </w:r>
    </w:p>
    <w:p w14:paraId="265B6AE5" w14:textId="77777777" w:rsidR="00DE769F" w:rsidRDefault="00DE769F">
      <w:pPr>
        <w:pStyle w:val="1"/>
        <w:spacing w:after="80" w:line="320" w:lineRule="exact"/>
        <w:ind w:firstLine="283"/>
        <w:jc w:val="both"/>
        <w:rPr>
          <w:rFonts w:hint="cs"/>
          <w:sz w:val="22"/>
          <w:rtl/>
        </w:rPr>
      </w:pPr>
    </w:p>
    <w:p w14:paraId="1C2090C9" w14:textId="77777777" w:rsidR="00DE769F" w:rsidRDefault="00DE769F">
      <w:pPr>
        <w:pStyle w:val="1"/>
        <w:numPr>
          <w:ilvl w:val="0"/>
          <w:numId w:val="1"/>
        </w:numPr>
        <w:spacing w:after="80" w:line="320" w:lineRule="exact"/>
        <w:ind w:left="0" w:right="0" w:firstLine="283"/>
        <w:jc w:val="both"/>
        <w:rPr>
          <w:rFonts w:hint="cs"/>
          <w:sz w:val="22"/>
          <w:rtl/>
        </w:rPr>
      </w:pPr>
      <w:r>
        <w:rPr>
          <w:rFonts w:hint="cs"/>
          <w:sz w:val="22"/>
          <w:rtl/>
        </w:rPr>
        <w:t>העדה העידה באופן אמין ורצוף כאשר ניכר עליה, כי סיפרה את אשר חוותה ללא כל רצון להגזמת הארועים בהם התנסתה.</w:t>
      </w:r>
      <w:r>
        <w:rPr>
          <w:color w:val="FFFFFF"/>
          <w:sz w:val="4"/>
          <w:szCs w:val="4"/>
          <w:rtl/>
        </w:rPr>
        <w:t>נ</w:t>
      </w:r>
    </w:p>
    <w:p w14:paraId="285F2E56" w14:textId="77777777" w:rsidR="00DE769F" w:rsidRDefault="00DE769F">
      <w:pPr>
        <w:pStyle w:val="1"/>
        <w:numPr>
          <w:ilvl w:val="0"/>
          <w:numId w:val="1"/>
        </w:numPr>
        <w:spacing w:after="80" w:line="320" w:lineRule="exact"/>
        <w:ind w:left="0" w:right="0" w:firstLine="283"/>
        <w:jc w:val="both"/>
        <w:rPr>
          <w:rFonts w:hint="cs"/>
          <w:sz w:val="22"/>
        </w:rPr>
      </w:pPr>
      <w:r>
        <w:rPr>
          <w:rFonts w:hint="cs"/>
          <w:sz w:val="22"/>
          <w:rtl/>
        </w:rPr>
        <w:t xml:space="preserve">עדותה של המתלוננת, כפי שתואר קודם לכן, נתמכת בעדותה המהימנה של חברתה, ע.ת.4, הן לעניין אמיתות הארועים והן לתאור מצבה הנפשי הקשה של המתלוננת בעקבות, לאחר ובסמוך לארועים הקשים אותם חוותה. (ראה </w:t>
      </w:r>
      <w:hyperlink r:id="rId17" w:history="1">
        <w:r w:rsidR="001F635C" w:rsidRPr="001F635C">
          <w:rPr>
            <w:rStyle w:val="Hyperlink"/>
            <w:rFonts w:hint="eastAsia"/>
            <w:sz w:val="22"/>
            <w:rtl/>
          </w:rPr>
          <w:t>סעיף</w:t>
        </w:r>
        <w:r w:rsidR="001F635C" w:rsidRPr="001F635C">
          <w:rPr>
            <w:rStyle w:val="Hyperlink"/>
            <w:sz w:val="22"/>
            <w:rtl/>
          </w:rPr>
          <w:t xml:space="preserve"> 10</w:t>
        </w:r>
      </w:hyperlink>
      <w:r>
        <w:rPr>
          <w:rFonts w:hint="cs"/>
          <w:sz w:val="22"/>
          <w:rtl/>
        </w:rPr>
        <w:t xml:space="preserve"> ל</w:t>
      </w:r>
      <w:hyperlink r:id="rId18" w:history="1">
        <w:r w:rsidR="00C50F7C" w:rsidRPr="00C50F7C">
          <w:rPr>
            <w:rStyle w:val="Hyperlink"/>
            <w:rFonts w:hint="eastAsia"/>
            <w:sz w:val="22"/>
            <w:rtl/>
          </w:rPr>
          <w:t>פקודת</w:t>
        </w:r>
        <w:r w:rsidR="00C50F7C" w:rsidRPr="00C50F7C">
          <w:rPr>
            <w:rStyle w:val="Hyperlink"/>
            <w:sz w:val="22"/>
            <w:rtl/>
          </w:rPr>
          <w:t xml:space="preserve"> הראיות</w:t>
        </w:r>
      </w:hyperlink>
      <w:r>
        <w:rPr>
          <w:rFonts w:hint="cs"/>
          <w:sz w:val="22"/>
          <w:rtl/>
        </w:rPr>
        <w:t>).</w:t>
      </w:r>
      <w:r>
        <w:rPr>
          <w:color w:val="FFFFFF"/>
          <w:sz w:val="4"/>
          <w:szCs w:val="4"/>
          <w:rtl/>
        </w:rPr>
        <w:t>ב</w:t>
      </w:r>
    </w:p>
    <w:p w14:paraId="66815F5F" w14:textId="77777777" w:rsidR="00DE769F" w:rsidRDefault="00DE769F">
      <w:pPr>
        <w:pStyle w:val="1"/>
        <w:numPr>
          <w:ilvl w:val="0"/>
          <w:numId w:val="1"/>
        </w:numPr>
        <w:spacing w:after="80" w:line="320" w:lineRule="exact"/>
        <w:ind w:left="0" w:right="0" w:firstLine="283"/>
        <w:jc w:val="both"/>
        <w:rPr>
          <w:rFonts w:hint="cs"/>
          <w:sz w:val="22"/>
        </w:rPr>
      </w:pPr>
      <w:r>
        <w:rPr>
          <w:rFonts w:hint="cs"/>
          <w:sz w:val="22"/>
          <w:rtl/>
        </w:rPr>
        <w:t xml:space="preserve">המתלוננת הכירה לדבריה את הנאשם הכרות קודמת שטחית בלבד, ובוודאי שלא בקשה לטפול עליו אשמת שווא, עפ"י התרשמותי וגם לא היתה לה כל סיבה לכך, היא התלוננה במשטרה רק לאחר שע.ת. 4 יזמה פניה זו, מכוון שבקשה לסייע למתלוננת שהיתה במצב נפשי קשה ביותר. </w:t>
      </w:r>
    </w:p>
    <w:p w14:paraId="0C34C051" w14:textId="77777777" w:rsidR="00DE769F" w:rsidRDefault="00DE769F">
      <w:pPr>
        <w:pStyle w:val="1"/>
        <w:numPr>
          <w:ilvl w:val="0"/>
          <w:numId w:val="1"/>
        </w:numPr>
        <w:spacing w:after="80" w:line="320" w:lineRule="exact"/>
        <w:ind w:left="0" w:right="0" w:firstLine="283"/>
        <w:jc w:val="both"/>
        <w:rPr>
          <w:rFonts w:hint="cs"/>
          <w:sz w:val="22"/>
        </w:rPr>
      </w:pPr>
      <w:r>
        <w:rPr>
          <w:rFonts w:hint="cs"/>
          <w:sz w:val="22"/>
          <w:rtl/>
        </w:rPr>
        <w:t xml:space="preserve">קלטת העימות בין המתלוננת לנאשם (ת/5) בצירוף תמליל הקלטת (ת/6) ועדויות התביעה האחרות (ע.ת 3 דפנה פרץ, זכרון דברים שלה (ת/3) וכן עדותו של ע.ת. 5 אורן אהרון וכן דו"ח פעולה שנרשם על ידו (ת/9) ובו התרשמותו הישירה של העד ממצבה הנפשי הקשה של המתלוננת) מסייעים לגירסתה של המתלוננת. </w:t>
      </w:r>
    </w:p>
    <w:p w14:paraId="5EC2A01E" w14:textId="77777777" w:rsidR="00DE769F" w:rsidRDefault="00DE769F">
      <w:pPr>
        <w:pStyle w:val="1"/>
        <w:spacing w:after="80" w:line="320" w:lineRule="exact"/>
        <w:ind w:firstLine="283"/>
        <w:jc w:val="both"/>
        <w:rPr>
          <w:rFonts w:hint="cs"/>
          <w:sz w:val="22"/>
        </w:rPr>
      </w:pPr>
    </w:p>
    <w:p w14:paraId="6B857DAE" w14:textId="77777777" w:rsidR="00DE769F" w:rsidRDefault="00DE769F">
      <w:pPr>
        <w:pStyle w:val="1"/>
        <w:spacing w:after="80" w:line="320" w:lineRule="exact"/>
        <w:ind w:firstLine="283"/>
        <w:jc w:val="both"/>
        <w:rPr>
          <w:rFonts w:hint="cs"/>
          <w:b/>
          <w:bCs/>
          <w:sz w:val="22"/>
          <w:u w:val="single"/>
          <w:rtl/>
        </w:rPr>
      </w:pPr>
      <w:r>
        <w:rPr>
          <w:rFonts w:hint="cs"/>
          <w:sz w:val="22"/>
          <w:rtl/>
        </w:rPr>
        <w:t xml:space="preserve">ב. </w:t>
      </w:r>
      <w:r>
        <w:rPr>
          <w:rFonts w:hint="cs"/>
          <w:b/>
          <w:bCs/>
          <w:sz w:val="22"/>
          <w:u w:val="single"/>
          <w:rtl/>
        </w:rPr>
        <w:t>גירסת ההגנה</w:t>
      </w:r>
    </w:p>
    <w:p w14:paraId="7B3373CB" w14:textId="77777777" w:rsidR="00DE769F" w:rsidRDefault="00DE769F">
      <w:pPr>
        <w:pStyle w:val="1"/>
        <w:spacing w:after="80" w:line="320" w:lineRule="exact"/>
        <w:ind w:firstLine="283"/>
        <w:jc w:val="both"/>
        <w:rPr>
          <w:rFonts w:hint="cs"/>
          <w:sz w:val="22"/>
        </w:rPr>
      </w:pPr>
    </w:p>
    <w:p w14:paraId="7FEE2F0C" w14:textId="77777777" w:rsidR="00DE769F" w:rsidRDefault="00DE769F">
      <w:pPr>
        <w:pStyle w:val="1"/>
        <w:spacing w:after="80" w:line="320" w:lineRule="exact"/>
        <w:ind w:firstLine="283"/>
        <w:jc w:val="both"/>
        <w:rPr>
          <w:rFonts w:hint="cs"/>
          <w:sz w:val="22"/>
          <w:rtl/>
        </w:rPr>
      </w:pPr>
      <w:r>
        <w:rPr>
          <w:rFonts w:hint="cs"/>
          <w:sz w:val="22"/>
          <w:rtl/>
        </w:rPr>
        <w:t xml:space="preserve">מטעם הנאשם העידו בביהמ"ש כעדי הגנה הוא עצמו, ע.ה. 1, נהג המכונית בה התרחשו הארועים נשוא כתב האישום, אלימלך פנחס, ע.ה. 2 ואחות הנאשם, ברגי'ט מלכה, ע.ה 3. עדותו של ע.ה. 1 הוא הנאשם, שמעון לוי, המשתרעת על פני 14 עמודי פרוטוקול מודפסים </w:t>
      </w:r>
    </w:p>
    <w:p w14:paraId="6F8FECBF" w14:textId="77777777" w:rsidR="00DE769F" w:rsidRDefault="00DE769F">
      <w:pPr>
        <w:pStyle w:val="1"/>
        <w:spacing w:after="80" w:line="320" w:lineRule="exact"/>
        <w:ind w:firstLine="283"/>
        <w:jc w:val="both"/>
        <w:rPr>
          <w:rFonts w:hint="cs"/>
          <w:sz w:val="22"/>
          <w:rtl/>
        </w:rPr>
      </w:pPr>
      <w:r>
        <w:rPr>
          <w:rFonts w:hint="cs"/>
          <w:sz w:val="22"/>
          <w:rtl/>
        </w:rPr>
        <w:t xml:space="preserve">(עמ' 53-39 לישיבות 19.2.03 ו- 29.2.03) מתארת תמונה השונה במהותה מן התמונה שתוארה ע"י המתלוננת. לגירסת הנאשם, היתה היכרות קודמת מעמיקה בין שניהם והמתלוננת היא זו </w:t>
      </w:r>
      <w:r>
        <w:rPr>
          <w:rFonts w:hint="cs"/>
          <w:sz w:val="22"/>
          <w:u w:val="single"/>
          <w:rtl/>
        </w:rPr>
        <w:t>שיזמה</w:t>
      </w:r>
      <w:r>
        <w:rPr>
          <w:rFonts w:hint="cs"/>
          <w:sz w:val="22"/>
          <w:rtl/>
        </w:rPr>
        <w:t xml:space="preserve"> (דגש שלי צ.ה.) יחסי מין מלאים בין שניהם. לדוגמא: במשטרה מספר הנאשם על ארוע קרוב בתיאורו לזה שקרה עפ"י גירסת התביעה במכונית נשוא כתב האישום. כשבועיים לפני הארוע, כך הנאשם, הוא נסע יחד עם המתלוננת במונית מרחובות ליבנה וישבו עפ"י גירסתו במושב האחורי (היו שלושה אנשים במונית) והיא "התחילה עם הידיים והכל, היתה רגילה. היתה שולחת ידיים. </w:t>
      </w:r>
    </w:p>
    <w:p w14:paraId="7F7A524B" w14:textId="77777777" w:rsidR="00DE769F" w:rsidRDefault="00DE769F">
      <w:pPr>
        <w:pStyle w:val="1"/>
        <w:spacing w:after="80" w:line="320" w:lineRule="exact"/>
        <w:ind w:firstLine="283"/>
        <w:jc w:val="both"/>
        <w:rPr>
          <w:rFonts w:hint="cs"/>
          <w:sz w:val="22"/>
          <w:rtl/>
        </w:rPr>
      </w:pPr>
      <w:r>
        <w:rPr>
          <w:rFonts w:hint="cs"/>
          <w:sz w:val="22"/>
          <w:rtl/>
        </w:rPr>
        <w:t xml:space="preserve">ש. איפה היד שלה נכנסה? ת. לאיבר המין שלי" (עמ' 40, שורות 20-16), וכשנשאל בח.ר. איך זה נעשה, תשובתו החד-משמעית של הנאשם בשורה 22: "זאת היתה יוזמה שלה". </w:t>
      </w:r>
    </w:p>
    <w:p w14:paraId="12B411A4" w14:textId="77777777" w:rsidR="00DE769F" w:rsidRDefault="00DE769F">
      <w:pPr>
        <w:pStyle w:val="1"/>
        <w:spacing w:after="80" w:line="320" w:lineRule="exact"/>
        <w:ind w:firstLine="283"/>
        <w:jc w:val="both"/>
        <w:rPr>
          <w:rFonts w:hint="cs"/>
          <w:sz w:val="22"/>
          <w:rtl/>
        </w:rPr>
      </w:pPr>
      <w:r>
        <w:rPr>
          <w:rFonts w:hint="cs"/>
          <w:sz w:val="22"/>
          <w:rtl/>
        </w:rPr>
        <w:t xml:space="preserve">ולשאלה נוספת בחקירה הראשית: "פתאום היא נטפלה אליך והעלילה"? עונה הנאשם: "כמה פעמים לא רציתי אותה, דחיתי אותה" (עמ' 40 שורה 24, שם). </w:t>
      </w:r>
    </w:p>
    <w:p w14:paraId="211586F0" w14:textId="77777777" w:rsidR="00DE769F" w:rsidRDefault="00DE769F">
      <w:pPr>
        <w:pStyle w:val="1"/>
        <w:spacing w:after="80" w:line="320" w:lineRule="exact"/>
        <w:ind w:firstLine="283"/>
        <w:jc w:val="both"/>
        <w:rPr>
          <w:rFonts w:hint="cs"/>
          <w:sz w:val="22"/>
          <w:rtl/>
        </w:rPr>
      </w:pPr>
    </w:p>
    <w:p w14:paraId="51E66E2B" w14:textId="77777777" w:rsidR="00DE769F" w:rsidRDefault="00DE769F">
      <w:pPr>
        <w:pStyle w:val="1"/>
        <w:spacing w:after="80" w:line="320" w:lineRule="exact"/>
        <w:ind w:firstLine="283"/>
        <w:jc w:val="both"/>
        <w:rPr>
          <w:rFonts w:hint="cs"/>
          <w:sz w:val="22"/>
          <w:rtl/>
        </w:rPr>
      </w:pPr>
      <w:r>
        <w:rPr>
          <w:rFonts w:hint="cs"/>
          <w:sz w:val="22"/>
          <w:rtl/>
        </w:rPr>
        <w:t>מתוך התרשמותי הבלתי אמצעית מן הנאשם, הן בביהמ"ש והן במהלך העימות לעומת המתלוננת באותן נסיבות, עלי לומר ח-משמעית, כי אינני נותן כל אימון בגירסתו זו של הנאשם, לא נראה לי כלל וכלל, כי המתלוננת יזמה יחסים כלשהם עם הנאשם ובוודאי שלא התרשמתי, כי הנאשם הוא שדחה המתלוננת ולכן היא החליטה לטפול עליו אשמה של ניסיון אונס או מעשה מגונה בכוח.  יתרה מזו, הנאשם מכחיש מגעים כלשהם בינו לבין המתלוננת במכונית ביום: 15.3.01, לגירסתו הוא הציע, למתלוננת, להישאר איתו, כי הוא הולך לעבוד ויהיה לו בית לבד ותשובתה, כך הנאשם:</w:t>
      </w:r>
    </w:p>
    <w:p w14:paraId="101D3E51" w14:textId="77777777" w:rsidR="00DE769F" w:rsidRDefault="00DE769F">
      <w:pPr>
        <w:pStyle w:val="1"/>
        <w:spacing w:after="80" w:line="320" w:lineRule="exact"/>
        <w:ind w:firstLine="283"/>
        <w:jc w:val="both"/>
        <w:rPr>
          <w:rFonts w:hint="cs"/>
          <w:sz w:val="22"/>
          <w:rtl/>
        </w:rPr>
      </w:pPr>
    </w:p>
    <w:p w14:paraId="4CEC62F8" w14:textId="77777777" w:rsidR="00DE769F" w:rsidRDefault="00DE769F">
      <w:pPr>
        <w:pStyle w:val="1"/>
        <w:spacing w:line="320" w:lineRule="exact"/>
        <w:ind w:left="1134" w:right="1134"/>
        <w:jc w:val="both"/>
        <w:rPr>
          <w:rFonts w:hint="cs"/>
          <w:sz w:val="22"/>
          <w:rtl/>
        </w:rPr>
      </w:pPr>
      <w:r>
        <w:rPr>
          <w:rFonts w:hint="cs"/>
          <w:sz w:val="22"/>
          <w:rtl/>
        </w:rPr>
        <w:t xml:space="preserve">"ברגע שאמרתי לה את רוצה להישאר איתי, אמרה לי לא. אמרתי לה לכי כוס אמק, פתחתי את הדלת ואמרתי לה לכי, היא הלכה". (עמ' 42 שורות 27-26). ואילו החבר (הכוונה לנהג המכונית, צ.ה.) אותה שעה הלך להתפלל, כך שכל הארוע התנהל שלא בנוכחותו. העולה מתיאורו זה של הנאשם, כי לגירסתו למרות יחסים אינטימיים קודמים שהתקיימו בינו לבין המתלוננת, לגירסתו, דווקא ביום: 15.3.01, הוא לא נגע כלל במתלוננת, הוא מרחיק עצמו בעדותו ממנה וטוען כי המתלוננת החליטה לטפול עליו עלילה מכוון שהוא דחה אותה. </w:t>
      </w:r>
    </w:p>
    <w:p w14:paraId="239DB11E" w14:textId="77777777" w:rsidR="00DE769F" w:rsidRDefault="00DE769F">
      <w:pPr>
        <w:pStyle w:val="1"/>
        <w:spacing w:line="320" w:lineRule="exact"/>
        <w:ind w:left="1134" w:right="1134"/>
        <w:jc w:val="both"/>
        <w:rPr>
          <w:rFonts w:hint="cs"/>
          <w:sz w:val="22"/>
          <w:rtl/>
        </w:rPr>
      </w:pPr>
    </w:p>
    <w:p w14:paraId="73A08A63" w14:textId="77777777" w:rsidR="00DE769F" w:rsidRDefault="00DE769F">
      <w:pPr>
        <w:pStyle w:val="1"/>
        <w:spacing w:line="320" w:lineRule="exact"/>
        <w:ind w:left="1134" w:right="1134"/>
        <w:jc w:val="both"/>
        <w:rPr>
          <w:rFonts w:hint="cs"/>
          <w:sz w:val="22"/>
          <w:rtl/>
        </w:rPr>
      </w:pPr>
      <w:r>
        <w:rPr>
          <w:rFonts w:hint="cs"/>
          <w:sz w:val="22"/>
          <w:rtl/>
        </w:rPr>
        <w:t xml:space="preserve">אינני נותן אמון לגירסתו זו של הנאשם, וגם לדרישתו מאת המתלוננת, המכחישה קיום </w:t>
      </w:r>
    </w:p>
    <w:p w14:paraId="70E9E489" w14:textId="77777777" w:rsidR="00DE769F" w:rsidRDefault="00DE769F">
      <w:pPr>
        <w:pStyle w:val="1"/>
        <w:spacing w:line="320" w:lineRule="exact"/>
        <w:ind w:left="1134" w:right="1134"/>
        <w:jc w:val="both"/>
        <w:rPr>
          <w:rFonts w:hint="cs"/>
          <w:sz w:val="22"/>
          <w:rtl/>
        </w:rPr>
      </w:pPr>
      <w:r>
        <w:rPr>
          <w:rFonts w:hint="cs"/>
          <w:sz w:val="22"/>
          <w:rtl/>
        </w:rPr>
        <w:t xml:space="preserve">יחסים אינטימיים קודמים בינה לבינו, כי תלך לבדיקה גניקולוגית שנועדה להוכיח, כי אינה בתולה, אינני מייחס חשיבות. בעיני העובדה אם המתלוננת בתולה או לא, אין לה כל חשיבות. לגבי הארוע, נשוא כתב האישום. כמו"כ נעדרת בעיני כל חשיבות הצהרתה של המתלוננת, כי בתולה היא, ועדותו של הנאשם עפ"יה המתלוננת מוכנה היתה להיבדק, אך בסופו של דבר לא הלכה להיבדק, גם לכך אין כל חשיבות בעיני. </w:t>
      </w:r>
    </w:p>
    <w:p w14:paraId="57F13D40" w14:textId="77777777" w:rsidR="00DE769F" w:rsidRDefault="00DE769F">
      <w:pPr>
        <w:pStyle w:val="1"/>
        <w:spacing w:line="320" w:lineRule="exact"/>
        <w:ind w:left="1134" w:right="1134"/>
        <w:jc w:val="both"/>
        <w:rPr>
          <w:rFonts w:hint="cs"/>
          <w:sz w:val="22"/>
          <w:rtl/>
        </w:rPr>
      </w:pPr>
    </w:p>
    <w:p w14:paraId="5CC7A63A" w14:textId="77777777" w:rsidR="00DE769F" w:rsidRDefault="00DE769F">
      <w:pPr>
        <w:pStyle w:val="1"/>
        <w:spacing w:line="320" w:lineRule="exact"/>
        <w:ind w:left="1134" w:right="1134"/>
        <w:jc w:val="both"/>
        <w:rPr>
          <w:rFonts w:hint="cs"/>
          <w:sz w:val="22"/>
          <w:rtl/>
        </w:rPr>
      </w:pPr>
      <w:r>
        <w:rPr>
          <w:rFonts w:hint="cs"/>
          <w:sz w:val="22"/>
          <w:rtl/>
        </w:rPr>
        <w:t xml:space="preserve">בעיני השוני בגירסאות בין זו של המתלוננת לבין זו של הנאשם, באשר למה שארע במכונית ביום: 15.3.01, הוא זה שקובע וכאשר הנאשם עונה לשאלת ביהמ"ש בישיבת יום: 19.2.03: "למה שהיא (המתלוננת צ.ה.) תאשים אותך? לאחר מערכת יחסים ארוכה בינך לבין המתלוננת?" תשובתו של הנאשם: "אחר כך גיליתי שהיא לסבית. (עמ' 46 שורה: 15) ולשאלה נוספת: "לסבית מקיימת יחסים איתך"? עונה הנאשם: "כן היא היתה דו-מינית". (עמ' 46 שורות 17-16, שם). </w:t>
      </w:r>
    </w:p>
    <w:p w14:paraId="7240E113" w14:textId="77777777" w:rsidR="00DE769F" w:rsidRDefault="00DE769F">
      <w:pPr>
        <w:pStyle w:val="1"/>
        <w:spacing w:after="80" w:line="320" w:lineRule="exact"/>
        <w:ind w:firstLine="283"/>
        <w:jc w:val="both"/>
        <w:rPr>
          <w:rFonts w:hint="cs"/>
          <w:sz w:val="22"/>
          <w:rtl/>
        </w:rPr>
      </w:pPr>
    </w:p>
    <w:p w14:paraId="3E078638" w14:textId="77777777" w:rsidR="00DE769F" w:rsidRDefault="00DE769F">
      <w:pPr>
        <w:pStyle w:val="1"/>
        <w:spacing w:after="80" w:line="320" w:lineRule="exact"/>
        <w:ind w:firstLine="283"/>
        <w:jc w:val="both"/>
        <w:rPr>
          <w:rFonts w:hint="cs"/>
          <w:sz w:val="22"/>
          <w:rtl/>
        </w:rPr>
      </w:pPr>
      <w:r>
        <w:rPr>
          <w:rFonts w:hint="cs"/>
          <w:sz w:val="22"/>
          <w:rtl/>
        </w:rPr>
        <w:t xml:space="preserve">יודגש, כי הנאשם במשטרה לא הזכיר כלל הסבר זה לעלילה שנרקמה, כביכול, נגדו מצד המתלוננת. הוא לא העלה את גירסתו זו במשטרה וכן לא העלה כלל את הטענה, כי המתלוננת היא שרצתה ביחסים עמו והוא דחה אותה. גירסתו הנוספת כי היתה לסבית, דו מינית ולכן, הוא, הנאשם לא רצה בה, ומשום כך היא החליטה להעליל עליו עלילה זו, כל אלה אין להם זכר בעדויותיו במשטרה: "פעם ראשונה אתה אומר בבית המשפט שדחית אותה, לא רצית אותה והיא רוצה להתנקם בך. אם זה כל כך חשוב למה לא סיפרת במשטרה? אמרת רק לא יודע". (עמ' 46 שורות: 25-23, שם) תשובת הנאשם בביהמ"ש לשאלה זו: "לא יודע" (שורה 26 שם). לאחר מכן, הנאשם שוב משנה גירסתו: "אמרתי שדחיתי אותה" (שורה 28שם). "אמרתי לה שאני לא רוצה אותה..." שאין לי זמן בשבילה". (שורה 30). </w:t>
      </w:r>
    </w:p>
    <w:p w14:paraId="41B4F6F9" w14:textId="77777777" w:rsidR="00DE769F" w:rsidRDefault="00DE769F">
      <w:pPr>
        <w:pStyle w:val="1"/>
        <w:spacing w:after="80" w:line="320" w:lineRule="exact"/>
        <w:ind w:firstLine="283"/>
        <w:jc w:val="both"/>
        <w:rPr>
          <w:rFonts w:hint="cs"/>
          <w:sz w:val="22"/>
          <w:rtl/>
        </w:rPr>
      </w:pPr>
      <w:r>
        <w:rPr>
          <w:rFonts w:hint="cs"/>
          <w:sz w:val="22"/>
          <w:rtl/>
        </w:rPr>
        <w:t xml:space="preserve">בעמוד 50, שורות 19-17 לפרוטוקול הדיון מיום: 19.2.03, לא היתה בפי הנאשם תשובה המניחה את הדעת לגירסאות השונות שהועלו על ידו במשטרה ובהזדמנויות אחרות כמו"כ לא היתה בפיו תשובה לעובדה, כי בהודעתו במשטרה אמר, כי תפס את הדלת כאשר המתלוננת מיהרה לצאת את המכונית ולא תפס את מעילה, כגירסת התביעה, כמו"כ לא ניתן הסבר לעובדה, כי הנאשם הזכיר את העובדה שתפס בדלת המכונית רק בהודעתו השניה במשטרה ולא בהודעתו הראשונה. </w:t>
      </w:r>
    </w:p>
    <w:p w14:paraId="5673861F" w14:textId="77777777" w:rsidR="00DE769F" w:rsidRDefault="00DE769F">
      <w:pPr>
        <w:pStyle w:val="1"/>
        <w:spacing w:after="80" w:line="320" w:lineRule="exact"/>
        <w:ind w:firstLine="283"/>
        <w:jc w:val="both"/>
        <w:rPr>
          <w:rFonts w:hint="cs"/>
          <w:sz w:val="22"/>
          <w:rtl/>
        </w:rPr>
      </w:pPr>
    </w:p>
    <w:p w14:paraId="28ED4109" w14:textId="77777777" w:rsidR="00DE769F" w:rsidRDefault="00DE769F">
      <w:pPr>
        <w:pStyle w:val="1"/>
        <w:spacing w:after="80" w:line="320" w:lineRule="exact"/>
        <w:ind w:firstLine="283"/>
        <w:jc w:val="both"/>
        <w:rPr>
          <w:rFonts w:hint="cs"/>
          <w:sz w:val="22"/>
          <w:rtl/>
        </w:rPr>
      </w:pPr>
      <w:r>
        <w:rPr>
          <w:rFonts w:hint="cs"/>
          <w:sz w:val="22"/>
          <w:rtl/>
        </w:rPr>
        <w:t xml:space="preserve">לא ניתן הסבר מניח את הדעת להדגשת העובדה ע"י הנאשם, כי המתלוננת בהיותה מבוהלת, מיהרה לצאת את המכונית (ראה עמ' 52 שורות: 3 ו- 5): "אולי היתה ממהרת". ובהמשך: "אני לא יודע אם היתה מבוהלת, אולי היא נפגעה....". במיוחד מעוררת תמיהה תשובתו של הנאשם לשאלה, מדוע אמר למתלוננת כאשר זו מיהרה לצאת מהמכונית ביום הארוע: 15.3.01, כי הינו מצטער? תשובת הנאשם: "יכול להיות שאמרתי לה שאני מצטער התכוונתי לכך שאני מצטער שאני מכיר אותה". (שם, עמוד 53, שורה 14). </w:t>
      </w:r>
    </w:p>
    <w:p w14:paraId="30E4ADB8" w14:textId="77777777" w:rsidR="00DE769F" w:rsidRDefault="00DE769F">
      <w:pPr>
        <w:pStyle w:val="1"/>
        <w:spacing w:after="80" w:line="320" w:lineRule="exact"/>
        <w:ind w:firstLine="283"/>
        <w:jc w:val="both"/>
        <w:rPr>
          <w:rFonts w:hint="cs"/>
          <w:sz w:val="22"/>
          <w:rtl/>
        </w:rPr>
      </w:pPr>
      <w:r>
        <w:rPr>
          <w:rFonts w:hint="cs"/>
          <w:sz w:val="22"/>
          <w:rtl/>
        </w:rPr>
        <w:t>המדובר במסכת הסברים ונימוקים המעוררים גיחוך, שלא לדבר על העדר כל אמינות.</w:t>
      </w:r>
      <w:r>
        <w:rPr>
          <w:color w:val="FFFFFF"/>
          <w:sz w:val="4"/>
          <w:szCs w:val="4"/>
          <w:rtl/>
        </w:rPr>
        <w:t>ו</w:t>
      </w:r>
    </w:p>
    <w:p w14:paraId="4FE92F34" w14:textId="77777777" w:rsidR="00DE769F" w:rsidRDefault="00DE769F">
      <w:pPr>
        <w:pStyle w:val="1"/>
        <w:spacing w:after="80" w:line="320" w:lineRule="exact"/>
        <w:ind w:firstLine="283"/>
        <w:jc w:val="both"/>
        <w:rPr>
          <w:rFonts w:hint="cs"/>
          <w:sz w:val="22"/>
          <w:rtl/>
        </w:rPr>
      </w:pPr>
    </w:p>
    <w:p w14:paraId="3FC4C30B" w14:textId="77777777" w:rsidR="00DE769F" w:rsidRDefault="00DE769F">
      <w:pPr>
        <w:pStyle w:val="1"/>
        <w:spacing w:after="80" w:line="320" w:lineRule="exact"/>
        <w:ind w:firstLine="283"/>
        <w:jc w:val="both"/>
        <w:rPr>
          <w:rFonts w:hint="cs"/>
          <w:sz w:val="22"/>
          <w:rtl/>
        </w:rPr>
      </w:pPr>
      <w:r>
        <w:rPr>
          <w:rFonts w:hint="cs"/>
          <w:sz w:val="22"/>
          <w:rtl/>
        </w:rPr>
        <w:t>בסיכום גירסתו של הנאשם ניתן לומר, כי היא לוקה בחוסר הגיון, בניסיונות היתממות לא רציניים המלמדים על העדר אמינות מינימלית. גירסתו רצופה סתירות, שקרים ותמיהות לשאלות רבות אין לו תשובה:</w:t>
      </w:r>
    </w:p>
    <w:p w14:paraId="7A7B5F13" w14:textId="77777777" w:rsidR="00DE769F" w:rsidRDefault="00DE769F">
      <w:pPr>
        <w:pStyle w:val="1"/>
        <w:numPr>
          <w:ilvl w:val="0"/>
          <w:numId w:val="2"/>
        </w:numPr>
        <w:spacing w:after="80" w:line="320" w:lineRule="exact"/>
        <w:ind w:left="0" w:right="0" w:firstLine="283"/>
        <w:jc w:val="both"/>
        <w:rPr>
          <w:rFonts w:hint="cs"/>
          <w:sz w:val="22"/>
          <w:rtl/>
        </w:rPr>
      </w:pPr>
      <w:r>
        <w:rPr>
          <w:rFonts w:hint="cs"/>
          <w:sz w:val="22"/>
          <w:rtl/>
        </w:rPr>
        <w:t xml:space="preserve">עפ"י גירסתו לא היה כל מגע בינו לבין המתלוננת ביום: 15.3.01. </w:t>
      </w:r>
    </w:p>
    <w:p w14:paraId="69FB5330" w14:textId="77777777" w:rsidR="00DE769F" w:rsidRDefault="00DE769F">
      <w:pPr>
        <w:pStyle w:val="1"/>
        <w:numPr>
          <w:ilvl w:val="0"/>
          <w:numId w:val="2"/>
        </w:numPr>
        <w:spacing w:after="80" w:line="320" w:lineRule="exact"/>
        <w:ind w:left="0" w:right="0" w:firstLine="283"/>
        <w:jc w:val="both"/>
        <w:rPr>
          <w:rFonts w:hint="cs"/>
          <w:sz w:val="22"/>
        </w:rPr>
      </w:pPr>
      <w:r>
        <w:rPr>
          <w:rFonts w:hint="cs"/>
          <w:sz w:val="22"/>
          <w:rtl/>
        </w:rPr>
        <w:t xml:space="preserve">לטענתו, המתלוננת היא שיזמה היחסים בין שניהם ורק כאשר לא רצה בה יותר, החליטה להתנקם בו ולטפול עליו עלילה זו. </w:t>
      </w:r>
    </w:p>
    <w:p w14:paraId="69B338DE" w14:textId="77777777" w:rsidR="00DE769F" w:rsidRDefault="00DE769F">
      <w:pPr>
        <w:pStyle w:val="1"/>
        <w:numPr>
          <w:ilvl w:val="0"/>
          <w:numId w:val="2"/>
        </w:numPr>
        <w:spacing w:after="80" w:line="320" w:lineRule="exact"/>
        <w:ind w:left="0" w:right="0" w:firstLine="283"/>
        <w:jc w:val="both"/>
        <w:rPr>
          <w:rFonts w:hint="cs"/>
          <w:sz w:val="22"/>
        </w:rPr>
      </w:pPr>
      <w:r>
        <w:rPr>
          <w:rFonts w:hint="cs"/>
          <w:sz w:val="22"/>
          <w:rtl/>
        </w:rPr>
        <w:t>לעומת זאת במשטרה לנאשם אין תשובה לשאלה מדוע המתלוננת טופלת עליו את אשמת ניסיון האונס, או מעשה מגונה בכוח, תשובתו, שם: "אין לי מושג".</w:t>
      </w:r>
      <w:r>
        <w:rPr>
          <w:color w:val="FFFFFF"/>
          <w:sz w:val="4"/>
          <w:szCs w:val="4"/>
          <w:rtl/>
        </w:rPr>
        <w:t>נ</w:t>
      </w:r>
    </w:p>
    <w:p w14:paraId="1B999416" w14:textId="77777777" w:rsidR="00DE769F" w:rsidRDefault="00DE769F">
      <w:pPr>
        <w:pStyle w:val="1"/>
        <w:numPr>
          <w:ilvl w:val="0"/>
          <w:numId w:val="2"/>
        </w:numPr>
        <w:spacing w:after="80" w:line="320" w:lineRule="exact"/>
        <w:ind w:left="0" w:right="0" w:firstLine="283"/>
        <w:jc w:val="both"/>
        <w:rPr>
          <w:rFonts w:hint="cs"/>
          <w:sz w:val="22"/>
        </w:rPr>
      </w:pPr>
      <w:r>
        <w:rPr>
          <w:rFonts w:hint="cs"/>
          <w:sz w:val="22"/>
          <w:rtl/>
        </w:rPr>
        <w:t>בביהמ"ש מעלה הנאשם סיבה נוספת וחדשה, מדוע, עפ"י גירסתו דחה את המתלוננת: "היא לסבית, דו-מינית".</w:t>
      </w:r>
      <w:r>
        <w:rPr>
          <w:color w:val="FFFFFF"/>
          <w:sz w:val="4"/>
          <w:szCs w:val="4"/>
          <w:rtl/>
        </w:rPr>
        <w:t>ב</w:t>
      </w:r>
    </w:p>
    <w:p w14:paraId="6DD2D7FF" w14:textId="77777777" w:rsidR="00DE769F" w:rsidRDefault="00DE769F">
      <w:pPr>
        <w:pStyle w:val="1"/>
        <w:numPr>
          <w:ilvl w:val="0"/>
          <w:numId w:val="2"/>
        </w:numPr>
        <w:spacing w:after="80" w:line="320" w:lineRule="exact"/>
        <w:ind w:left="0" w:right="0" w:firstLine="283"/>
        <w:jc w:val="both"/>
        <w:rPr>
          <w:rFonts w:hint="cs"/>
          <w:sz w:val="22"/>
        </w:rPr>
      </w:pPr>
      <w:r>
        <w:rPr>
          <w:rFonts w:hint="cs"/>
          <w:sz w:val="22"/>
          <w:rtl/>
        </w:rPr>
        <w:t xml:space="preserve">כאשר הנאשם מופנה ל- (ת/1), עדותו במשטרה מיום: 16.3.01, כאשר נשאל שם מה גירסתו ותשובתו לעבירות שבוצעו על ידו במתלוננת, לגירסתה, הוא מספר על ארוע שארע, כביכול, שבועות לפני הארוע מיום: 15.3.01 ובו יזמה המתלוננת מגע מיני עם הנאשם וזאת הוא עושה במקום להכחיש את המעשים המיוחסים לו בארוע מיום: 15.3.01. </w:t>
      </w:r>
    </w:p>
    <w:p w14:paraId="4CB540D4" w14:textId="77777777" w:rsidR="00DE769F" w:rsidRDefault="00DE769F">
      <w:pPr>
        <w:pStyle w:val="1"/>
        <w:numPr>
          <w:ilvl w:val="0"/>
          <w:numId w:val="2"/>
        </w:numPr>
        <w:spacing w:after="80" w:line="320" w:lineRule="exact"/>
        <w:ind w:left="0" w:right="0" w:firstLine="283"/>
        <w:jc w:val="both"/>
        <w:rPr>
          <w:rFonts w:hint="cs"/>
          <w:sz w:val="22"/>
        </w:rPr>
      </w:pPr>
      <w:r>
        <w:rPr>
          <w:rFonts w:hint="cs"/>
          <w:sz w:val="22"/>
          <w:rtl/>
        </w:rPr>
        <w:t xml:space="preserve">אין לנאשם תשובה מדוע אמר למתלוננת כי הוא מצטער, כאשר זו ירדה מן המכונית. </w:t>
      </w:r>
    </w:p>
    <w:p w14:paraId="6084F422" w14:textId="77777777" w:rsidR="00DE769F" w:rsidRDefault="00DE769F">
      <w:pPr>
        <w:pStyle w:val="1"/>
        <w:numPr>
          <w:ilvl w:val="0"/>
          <w:numId w:val="2"/>
        </w:numPr>
        <w:spacing w:after="80" w:line="320" w:lineRule="exact"/>
        <w:ind w:left="0" w:right="0" w:firstLine="283"/>
        <w:jc w:val="both"/>
        <w:rPr>
          <w:rFonts w:hint="cs"/>
          <w:sz w:val="22"/>
        </w:rPr>
      </w:pPr>
      <w:r>
        <w:rPr>
          <w:rFonts w:hint="cs"/>
          <w:sz w:val="22"/>
          <w:rtl/>
        </w:rPr>
        <w:t xml:space="preserve">בעדותו הראשונה במשטרה, הנאשם מספר, כי חבק המתלוננת במכונית וכאשר זו ביקשה ממנו להפסיק, הוא נענה לה. </w:t>
      </w:r>
    </w:p>
    <w:p w14:paraId="6796A480" w14:textId="77777777" w:rsidR="00DE769F" w:rsidRDefault="00DE769F">
      <w:pPr>
        <w:pStyle w:val="1"/>
        <w:numPr>
          <w:ilvl w:val="0"/>
          <w:numId w:val="2"/>
        </w:numPr>
        <w:spacing w:after="80" w:line="320" w:lineRule="exact"/>
        <w:ind w:left="0" w:right="0" w:firstLine="283"/>
        <w:jc w:val="both"/>
        <w:rPr>
          <w:rFonts w:hint="cs"/>
          <w:sz w:val="22"/>
        </w:rPr>
      </w:pPr>
      <w:r>
        <w:rPr>
          <w:rFonts w:hint="cs"/>
          <w:sz w:val="22"/>
          <w:rtl/>
        </w:rPr>
        <w:t>הנאשם מספר בעדותו הראשונה, כי תפס את מעילה של המתלוננת כאשר זו ביקשה לעזוב את הרכב ואילו בעדותו השניה מספר הוא, כי תפס את הדלת .</w:t>
      </w:r>
      <w:r>
        <w:rPr>
          <w:color w:val="FFFFFF"/>
          <w:sz w:val="4"/>
          <w:szCs w:val="4"/>
          <w:rtl/>
        </w:rPr>
        <w:t>ו</w:t>
      </w:r>
    </w:p>
    <w:p w14:paraId="1931AEC6" w14:textId="77777777" w:rsidR="00DE769F" w:rsidRDefault="00DE769F">
      <w:pPr>
        <w:pStyle w:val="1"/>
        <w:numPr>
          <w:ilvl w:val="0"/>
          <w:numId w:val="2"/>
        </w:numPr>
        <w:spacing w:after="80" w:line="320" w:lineRule="exact"/>
        <w:ind w:left="0" w:right="0" w:firstLine="283"/>
        <w:jc w:val="both"/>
        <w:rPr>
          <w:rFonts w:hint="cs"/>
          <w:sz w:val="22"/>
        </w:rPr>
      </w:pPr>
      <w:r>
        <w:rPr>
          <w:rFonts w:hint="cs"/>
          <w:sz w:val="22"/>
          <w:rtl/>
        </w:rPr>
        <w:t xml:space="preserve">למרות שגירסתו של הנאשם, היא כי הוא קיים מגעים מיניים מלאים עם המתלוננת עובר לארוע מיום: 15.3.01, הרי טוען הוא במהלך עדותו בביהמ"ש (עמ' 51, שורה 17 לפרוטוקול הדיון מיום: 19.2.03), כי לא יוכל לזהות אותה. </w:t>
      </w:r>
    </w:p>
    <w:p w14:paraId="220AA777" w14:textId="77777777" w:rsidR="00DE769F" w:rsidRDefault="00DE769F">
      <w:pPr>
        <w:pStyle w:val="1"/>
        <w:numPr>
          <w:ilvl w:val="0"/>
          <w:numId w:val="2"/>
        </w:numPr>
        <w:spacing w:after="80" w:line="320" w:lineRule="exact"/>
        <w:ind w:left="0" w:right="0" w:firstLine="283"/>
        <w:jc w:val="both"/>
        <w:rPr>
          <w:rFonts w:hint="cs"/>
          <w:sz w:val="22"/>
        </w:rPr>
      </w:pPr>
      <w:r>
        <w:rPr>
          <w:rFonts w:hint="cs"/>
          <w:sz w:val="22"/>
          <w:rtl/>
        </w:rPr>
        <w:t xml:space="preserve">כאשר הנאשם נעצר למחרת הארוע, ביום: 16.3.01 ונאמר לו, כי סיבת מעצרו היא "חשד לאונס", הוא איננו מכחיש האשמה המיוחסת לו, אלא טוען, "כי אין לו מה להגיד" (ראה ת/8). </w:t>
      </w:r>
    </w:p>
    <w:p w14:paraId="0DC7494A" w14:textId="77777777" w:rsidR="00DE769F" w:rsidRDefault="00DE769F">
      <w:pPr>
        <w:pStyle w:val="1"/>
        <w:spacing w:after="80" w:line="320" w:lineRule="exact"/>
        <w:ind w:firstLine="283"/>
        <w:jc w:val="both"/>
        <w:rPr>
          <w:rFonts w:hint="cs"/>
          <w:sz w:val="22"/>
          <w:rtl/>
        </w:rPr>
      </w:pPr>
    </w:p>
    <w:p w14:paraId="3153532E" w14:textId="77777777" w:rsidR="00DE769F" w:rsidRDefault="00DE769F">
      <w:pPr>
        <w:pStyle w:val="1"/>
        <w:spacing w:after="80" w:line="320" w:lineRule="exact"/>
        <w:ind w:firstLine="283"/>
        <w:jc w:val="both"/>
        <w:rPr>
          <w:rFonts w:hint="cs"/>
          <w:sz w:val="22"/>
          <w:rtl/>
        </w:rPr>
      </w:pPr>
      <w:r>
        <w:rPr>
          <w:rFonts w:hint="cs"/>
          <w:sz w:val="22"/>
          <w:rtl/>
        </w:rPr>
        <w:t>מטעם ההגנה העידו 2 עדי הגנה נוספים:</w:t>
      </w:r>
    </w:p>
    <w:p w14:paraId="64AAE77F" w14:textId="77777777" w:rsidR="00DE769F" w:rsidRDefault="00DE769F">
      <w:pPr>
        <w:pStyle w:val="1"/>
        <w:numPr>
          <w:ilvl w:val="0"/>
          <w:numId w:val="3"/>
        </w:numPr>
        <w:spacing w:after="80" w:line="320" w:lineRule="exact"/>
        <w:ind w:left="0" w:right="0" w:firstLine="283"/>
        <w:jc w:val="both"/>
        <w:rPr>
          <w:rFonts w:hint="cs"/>
          <w:sz w:val="22"/>
          <w:rtl/>
        </w:rPr>
      </w:pPr>
      <w:r>
        <w:rPr>
          <w:rFonts w:hint="cs"/>
          <w:sz w:val="22"/>
          <w:rtl/>
        </w:rPr>
        <w:t xml:space="preserve">ע.ה. 2, נהג המכונית, אלימלך פנחס שעדותו מסתכמת במילים: "אני התרכזתי בנהיגה והייתי ממהר לתפילה" (עמ' 56, שורה: 22). כך שמעדותו אין ניתן להסיק דבר, יתרה מזאת: עד זה עזב את המכונית פעמיים ולא היה עד לעבירות שבוצעו אותה עת, לגירסת התביעה, במתלוננת. </w:t>
      </w:r>
    </w:p>
    <w:p w14:paraId="0B7FE089" w14:textId="77777777" w:rsidR="00DE769F" w:rsidRDefault="00DE769F">
      <w:pPr>
        <w:pStyle w:val="1"/>
        <w:numPr>
          <w:ilvl w:val="0"/>
          <w:numId w:val="3"/>
        </w:numPr>
        <w:spacing w:after="80" w:line="320" w:lineRule="exact"/>
        <w:ind w:left="0" w:right="0" w:firstLine="283"/>
        <w:jc w:val="both"/>
        <w:rPr>
          <w:rFonts w:hint="cs"/>
          <w:sz w:val="22"/>
          <w:u w:val="single"/>
        </w:rPr>
      </w:pPr>
      <w:r>
        <w:rPr>
          <w:rFonts w:hint="cs"/>
          <w:sz w:val="22"/>
          <w:rtl/>
        </w:rPr>
        <w:t xml:space="preserve">ע.ה. 3, ברגי'ט מלכה, אחות הנאשם, שמלבד היותה עדה לא אובייקטיבית מטעמים מובנים, הרי עדותה לא רלוונטית כלל וכלל: היא מעידה אודות יחסים שקויימו, כביכול, בין הנאשם למתלוננת כאשר מעולם </w:t>
      </w:r>
      <w:r>
        <w:rPr>
          <w:rFonts w:hint="cs"/>
          <w:sz w:val="22"/>
          <w:u w:val="single"/>
          <w:rtl/>
        </w:rPr>
        <w:t xml:space="preserve">לא היתה עדת ראייה להם. </w:t>
      </w:r>
      <w:r>
        <w:rPr>
          <w:rFonts w:hint="cs"/>
          <w:sz w:val="22"/>
          <w:rtl/>
        </w:rPr>
        <w:t>(דגש שלי צ.ה.).</w:t>
      </w:r>
      <w:r>
        <w:rPr>
          <w:color w:val="FFFFFF"/>
          <w:sz w:val="4"/>
          <w:szCs w:val="4"/>
          <w:rtl/>
        </w:rPr>
        <w:t>נ</w:t>
      </w:r>
    </w:p>
    <w:p w14:paraId="43D5A2BD" w14:textId="77777777" w:rsidR="00DE769F" w:rsidRDefault="00DE769F">
      <w:pPr>
        <w:pStyle w:val="1"/>
        <w:spacing w:after="80" w:line="320" w:lineRule="exact"/>
        <w:ind w:firstLine="283"/>
        <w:jc w:val="both"/>
        <w:rPr>
          <w:rFonts w:hint="cs"/>
          <w:sz w:val="22"/>
          <w:u w:val="single"/>
          <w:rtl/>
        </w:rPr>
      </w:pPr>
    </w:p>
    <w:p w14:paraId="75D1049F" w14:textId="77777777" w:rsidR="00DE769F" w:rsidRDefault="00DE769F">
      <w:pPr>
        <w:pStyle w:val="1"/>
        <w:spacing w:after="80" w:line="320" w:lineRule="exact"/>
        <w:ind w:firstLine="283"/>
        <w:jc w:val="both"/>
        <w:rPr>
          <w:rFonts w:hint="cs"/>
          <w:b/>
          <w:bCs/>
          <w:sz w:val="22"/>
          <w:u w:val="single"/>
          <w:rtl/>
        </w:rPr>
      </w:pPr>
      <w:r>
        <w:rPr>
          <w:rFonts w:hint="cs"/>
          <w:b/>
          <w:bCs/>
          <w:sz w:val="22"/>
          <w:u w:val="single"/>
          <w:rtl/>
        </w:rPr>
        <w:t>בסכום:</w:t>
      </w:r>
    </w:p>
    <w:p w14:paraId="6EAB5167" w14:textId="77777777" w:rsidR="00DE769F" w:rsidRDefault="00DE769F">
      <w:pPr>
        <w:pStyle w:val="1"/>
        <w:spacing w:after="80" w:line="320" w:lineRule="exact"/>
        <w:ind w:firstLine="283"/>
        <w:jc w:val="both"/>
        <w:rPr>
          <w:rFonts w:hint="cs"/>
          <w:sz w:val="22"/>
          <w:rtl/>
        </w:rPr>
      </w:pPr>
    </w:p>
    <w:p w14:paraId="3D5ED02F" w14:textId="77777777" w:rsidR="00DE769F" w:rsidRDefault="00DE769F">
      <w:pPr>
        <w:pStyle w:val="1"/>
        <w:spacing w:after="80" w:line="320" w:lineRule="exact"/>
        <w:ind w:firstLine="283"/>
        <w:jc w:val="both"/>
        <w:rPr>
          <w:rFonts w:hint="cs"/>
          <w:sz w:val="22"/>
          <w:rtl/>
        </w:rPr>
      </w:pPr>
      <w:r>
        <w:rPr>
          <w:rFonts w:hint="cs"/>
          <w:sz w:val="22"/>
          <w:rtl/>
        </w:rPr>
        <w:t xml:space="preserve">בעקבות וכתוצאה מן האמור לעיל, כאשר מול עדותה של המתלוננת, ולאחר שהזהרתי עצמי לאור הוראת </w:t>
      </w:r>
      <w:hyperlink r:id="rId19" w:history="1">
        <w:r w:rsidR="001F635C" w:rsidRPr="001F635C">
          <w:rPr>
            <w:color w:val="0000FF"/>
            <w:sz w:val="22"/>
            <w:u w:val="single"/>
            <w:rtl/>
          </w:rPr>
          <w:t>סעיף 54 א' (ב)</w:t>
        </w:r>
      </w:hyperlink>
      <w:r>
        <w:rPr>
          <w:rFonts w:hint="cs"/>
          <w:sz w:val="22"/>
          <w:rtl/>
        </w:rPr>
        <w:t xml:space="preserve"> ל</w:t>
      </w:r>
      <w:hyperlink r:id="rId20" w:history="1">
        <w:r w:rsidR="00C50F7C" w:rsidRPr="00C50F7C">
          <w:rPr>
            <w:rStyle w:val="Hyperlink"/>
            <w:rFonts w:hint="eastAsia"/>
            <w:sz w:val="22"/>
            <w:rtl/>
          </w:rPr>
          <w:t>פקודת</w:t>
        </w:r>
        <w:r w:rsidR="00C50F7C" w:rsidRPr="00C50F7C">
          <w:rPr>
            <w:rStyle w:val="Hyperlink"/>
            <w:sz w:val="22"/>
            <w:rtl/>
          </w:rPr>
          <w:t xml:space="preserve"> הראיות</w:t>
        </w:r>
      </w:hyperlink>
      <w:r>
        <w:rPr>
          <w:rFonts w:hint="cs"/>
          <w:sz w:val="22"/>
          <w:rtl/>
        </w:rPr>
        <w:t xml:space="preserve">, שעפ"י התרשמותי היתה אמינה ורצופה ומסתייעת בעדותה של ע.ת.4 וכן בקלטת ותמליל העימות בינה לבין הנאשם (ת/5) ו- (ת/6) וכן בעדותה של ע.ת. 3, וזכרון דברים של אותה עדה (ת/3), ובנוסף בעדותו של ע.ת. 5 ודו"ח פעולה שנרשם על ידו (ת/9), כאשר מול אלה עומדת עדותו היחידה רצופת הסתירות, התמיהות ואף השקרים וההגזמות של הנאשם, הרי המסקנה המתחייבת היא: הרשעת הנאשם בעבירה המיוחסת לו: מעשה מגונה בכוח </w:t>
      </w:r>
      <w:r>
        <w:rPr>
          <w:sz w:val="22"/>
          <w:rtl/>
        </w:rPr>
        <w:t>–</w:t>
      </w:r>
      <w:r>
        <w:rPr>
          <w:rFonts w:hint="cs"/>
          <w:sz w:val="22"/>
          <w:rtl/>
        </w:rPr>
        <w:t xml:space="preserve"> עבירה בניגוד ל</w:t>
      </w:r>
      <w:hyperlink r:id="rId21" w:history="1">
        <w:r w:rsidR="001F635C" w:rsidRPr="001F635C">
          <w:rPr>
            <w:color w:val="0000FF"/>
            <w:sz w:val="22"/>
            <w:u w:val="single"/>
            <w:rtl/>
          </w:rPr>
          <w:t>סעיף 348 (א)</w:t>
        </w:r>
      </w:hyperlink>
      <w:r>
        <w:rPr>
          <w:rFonts w:hint="cs"/>
          <w:sz w:val="22"/>
          <w:rtl/>
        </w:rPr>
        <w:t xml:space="preserve"> יחד עם </w:t>
      </w:r>
      <w:hyperlink r:id="rId22" w:history="1">
        <w:r w:rsidR="001F635C" w:rsidRPr="001F635C">
          <w:rPr>
            <w:rStyle w:val="Hyperlink"/>
            <w:rFonts w:hint="eastAsia"/>
            <w:sz w:val="22"/>
            <w:rtl/>
          </w:rPr>
          <w:t>סעיף</w:t>
        </w:r>
        <w:r w:rsidR="001F635C" w:rsidRPr="001F635C">
          <w:rPr>
            <w:rStyle w:val="Hyperlink"/>
            <w:sz w:val="22"/>
            <w:rtl/>
          </w:rPr>
          <w:t xml:space="preserve"> 345 (א) (1)</w:t>
        </w:r>
      </w:hyperlink>
      <w:r>
        <w:rPr>
          <w:rFonts w:hint="cs"/>
          <w:sz w:val="22"/>
          <w:rtl/>
        </w:rPr>
        <w:t xml:space="preserve"> ל</w:t>
      </w:r>
      <w:hyperlink r:id="rId23" w:history="1">
        <w:r w:rsidR="00C50F7C" w:rsidRPr="00C50F7C">
          <w:rPr>
            <w:rStyle w:val="Hyperlink"/>
            <w:rFonts w:hint="eastAsia"/>
            <w:sz w:val="22"/>
            <w:rtl/>
          </w:rPr>
          <w:t>חוק</w:t>
        </w:r>
        <w:r w:rsidR="00C50F7C" w:rsidRPr="00C50F7C">
          <w:rPr>
            <w:rStyle w:val="Hyperlink"/>
            <w:sz w:val="22"/>
            <w:rtl/>
          </w:rPr>
          <w:t xml:space="preserve"> העונשין</w:t>
        </w:r>
      </w:hyperlink>
      <w:r>
        <w:rPr>
          <w:rFonts w:hint="cs"/>
          <w:sz w:val="22"/>
          <w:rtl/>
        </w:rPr>
        <w:t xml:space="preserve">. </w:t>
      </w:r>
    </w:p>
    <w:p w14:paraId="796566F9" w14:textId="77777777" w:rsidR="00DE769F" w:rsidRDefault="00DE769F">
      <w:pPr>
        <w:pStyle w:val="1"/>
        <w:spacing w:after="80" w:line="320" w:lineRule="exact"/>
        <w:ind w:firstLine="283"/>
        <w:jc w:val="both"/>
        <w:rPr>
          <w:rFonts w:hint="cs"/>
          <w:sz w:val="22"/>
          <w:rtl/>
        </w:rPr>
      </w:pPr>
    </w:p>
    <w:p w14:paraId="422C5EBC" w14:textId="77777777" w:rsidR="00DE769F" w:rsidRDefault="00DE769F">
      <w:pPr>
        <w:pStyle w:val="1"/>
        <w:spacing w:after="80" w:line="320" w:lineRule="exact"/>
        <w:ind w:firstLine="283"/>
        <w:jc w:val="both"/>
        <w:rPr>
          <w:rFonts w:hint="cs"/>
          <w:sz w:val="22"/>
          <w:rtl/>
        </w:rPr>
      </w:pPr>
      <w:r>
        <w:rPr>
          <w:rFonts w:hint="cs"/>
          <w:sz w:val="22"/>
          <w:rtl/>
        </w:rPr>
        <w:t xml:space="preserve">אשמתו של הנאשם הוכחה מעבר לכל ספק סביר. </w:t>
      </w:r>
    </w:p>
    <w:p w14:paraId="3B3B2AF0" w14:textId="77777777" w:rsidR="00DE769F" w:rsidRDefault="00DE769F">
      <w:pPr>
        <w:pStyle w:val="1"/>
        <w:spacing w:after="80" w:line="320" w:lineRule="exact"/>
        <w:ind w:firstLine="283"/>
        <w:jc w:val="both"/>
        <w:rPr>
          <w:rFonts w:hint="cs"/>
          <w:sz w:val="22"/>
          <w:rtl/>
        </w:rPr>
      </w:pPr>
    </w:p>
    <w:p w14:paraId="67EB0E74" w14:textId="77777777" w:rsidR="00DE769F" w:rsidRDefault="00DE769F">
      <w:pPr>
        <w:spacing w:after="80" w:line="320" w:lineRule="exact"/>
        <w:ind w:firstLine="283"/>
        <w:rPr>
          <w:rFonts w:hint="cs"/>
          <w:b/>
          <w:bCs/>
          <w:color w:val="000000"/>
          <w:sz w:val="22"/>
          <w:rtl/>
        </w:rPr>
      </w:pPr>
      <w:r>
        <w:rPr>
          <w:rFonts w:hint="cs"/>
          <w:b/>
          <w:bCs/>
          <w:color w:val="000000"/>
          <w:sz w:val="22"/>
          <w:rtl/>
        </w:rPr>
        <w:t xml:space="preserve">ניתנה היום </w:t>
      </w:r>
      <w:r>
        <w:rPr>
          <w:b/>
          <w:bCs/>
          <w:color w:val="000000"/>
          <w:sz w:val="22"/>
          <w:rtl/>
        </w:rPr>
        <w:t>כ"</w:t>
      </w:r>
      <w:r>
        <w:rPr>
          <w:rFonts w:hint="cs"/>
          <w:b/>
          <w:bCs/>
          <w:color w:val="000000"/>
          <w:sz w:val="22"/>
          <w:rtl/>
        </w:rPr>
        <w:t>ט</w:t>
      </w:r>
      <w:r>
        <w:rPr>
          <w:b/>
          <w:bCs/>
          <w:color w:val="000000"/>
          <w:sz w:val="22"/>
          <w:rtl/>
        </w:rPr>
        <w:t xml:space="preserve"> בסיון, תשס"ג (</w:t>
      </w:r>
      <w:r>
        <w:rPr>
          <w:rFonts w:hint="cs"/>
          <w:b/>
          <w:bCs/>
          <w:color w:val="000000"/>
          <w:sz w:val="22"/>
          <w:rtl/>
        </w:rPr>
        <w:t>29</w:t>
      </w:r>
      <w:r>
        <w:rPr>
          <w:b/>
          <w:bCs/>
          <w:color w:val="000000"/>
          <w:sz w:val="22"/>
          <w:rtl/>
        </w:rPr>
        <w:t xml:space="preserve"> ביוני 2003)</w:t>
      </w:r>
      <w:r>
        <w:rPr>
          <w:rFonts w:hint="cs"/>
          <w:b/>
          <w:bCs/>
          <w:color w:val="000000"/>
          <w:sz w:val="22"/>
          <w:rtl/>
        </w:rPr>
        <w:t xml:space="preserve"> בנוכחות התובעת עו"ד אילת פלניצקי, הנאשם וב"כ עו"ד פלישמן. </w:t>
      </w:r>
    </w:p>
    <w:p w14:paraId="3F966D1B" w14:textId="77777777" w:rsidR="00DE769F" w:rsidRDefault="00DE769F">
      <w:pPr>
        <w:spacing w:after="80" w:line="320" w:lineRule="exact"/>
        <w:ind w:firstLine="283"/>
        <w:rPr>
          <w:rFonts w:hint="cs"/>
          <w:b/>
          <w:bCs/>
          <w:color w:val="000000"/>
          <w:sz w:val="22"/>
          <w:rtl/>
        </w:rPr>
      </w:pPr>
      <w:r>
        <w:rPr>
          <w:rFonts w:hint="cs"/>
          <w:b/>
          <w:bCs/>
          <w:color w:val="000000"/>
          <w:sz w:val="22"/>
          <w:rtl/>
        </w:rPr>
        <w:t>ערעור תוך 45 יום לבית המשפט המחוזי.</w:t>
      </w:r>
      <w:r>
        <w:rPr>
          <w:b/>
          <w:bCs/>
          <w:color w:val="FFFFFF"/>
          <w:sz w:val="4"/>
          <w:szCs w:val="4"/>
          <w:rtl/>
        </w:rPr>
        <w:t>ב</w:t>
      </w:r>
    </w:p>
    <w:p w14:paraId="08E46D0B" w14:textId="77777777" w:rsidR="00DE769F" w:rsidRDefault="00DE769F">
      <w:pPr>
        <w:spacing w:after="80" w:line="320" w:lineRule="exact"/>
        <w:ind w:firstLine="283"/>
        <w:rPr>
          <w:b/>
          <w:bCs/>
          <w:color w:val="000080"/>
          <w:sz w:val="22"/>
          <w:rtl/>
        </w:rPr>
      </w:pPr>
    </w:p>
    <w:tbl>
      <w:tblPr>
        <w:tblW w:w="2376" w:type="dxa"/>
        <w:tblInd w:w="6480" w:type="dxa"/>
        <w:tblBorders>
          <w:top w:val="single" w:sz="4" w:space="0" w:color="auto"/>
        </w:tblBorders>
        <w:tblLook w:val="0000" w:firstRow="0" w:lastRow="0" w:firstColumn="0" w:lastColumn="0" w:noHBand="0" w:noVBand="0"/>
      </w:tblPr>
      <w:tblGrid>
        <w:gridCol w:w="2376"/>
      </w:tblGrid>
      <w:tr w:rsidR="00DE769F" w14:paraId="2959C532" w14:textId="77777777">
        <w:tblPrEx>
          <w:tblCellMar>
            <w:top w:w="0" w:type="dxa"/>
            <w:bottom w:w="0" w:type="dxa"/>
          </w:tblCellMar>
        </w:tblPrEx>
        <w:tc>
          <w:tcPr>
            <w:tcW w:w="2376" w:type="dxa"/>
          </w:tcPr>
          <w:p w14:paraId="3E37F65E" w14:textId="77777777" w:rsidR="00DE769F" w:rsidRDefault="00DE769F">
            <w:pPr>
              <w:spacing w:after="80" w:line="320" w:lineRule="exact"/>
              <w:ind w:firstLine="283"/>
              <w:rPr>
                <w:rFonts w:hint="cs"/>
                <w:b/>
                <w:bCs/>
                <w:sz w:val="22"/>
                <w:rtl/>
              </w:rPr>
            </w:pPr>
            <w:r>
              <w:rPr>
                <w:rFonts w:hint="cs"/>
                <w:b/>
                <w:bCs/>
                <w:sz w:val="22"/>
                <w:rtl/>
              </w:rPr>
              <w:t>צבי הרטל, שופט</w:t>
            </w:r>
          </w:p>
          <w:p w14:paraId="03F356E8" w14:textId="77777777" w:rsidR="00DE769F" w:rsidRDefault="00DE769F">
            <w:pPr>
              <w:spacing w:after="80" w:line="320" w:lineRule="exact"/>
              <w:ind w:firstLine="283"/>
              <w:rPr>
                <w:rFonts w:hint="cs"/>
                <w:b/>
                <w:bCs/>
                <w:sz w:val="22"/>
              </w:rPr>
            </w:pPr>
            <w:r>
              <w:rPr>
                <w:rFonts w:hint="cs"/>
                <w:b/>
                <w:bCs/>
                <w:sz w:val="22"/>
                <w:rtl/>
              </w:rPr>
              <w:t>סגן-נשיא</w:t>
            </w:r>
          </w:p>
        </w:tc>
      </w:tr>
    </w:tbl>
    <w:p w14:paraId="73EECA81" w14:textId="77777777" w:rsidR="00DE769F" w:rsidRDefault="00DE769F">
      <w:pPr>
        <w:spacing w:after="80" w:line="320" w:lineRule="exact"/>
        <w:ind w:firstLine="283"/>
        <w:rPr>
          <w:rFonts w:hint="cs"/>
          <w:sz w:val="22"/>
          <w:rtl/>
        </w:rPr>
      </w:pPr>
      <w:r>
        <w:rPr>
          <w:sz w:val="22"/>
          <w:rtl/>
        </w:rPr>
        <w:t>001467/01פ  133 טובה</w:t>
      </w:r>
      <w:r>
        <w:rPr>
          <w:rFonts w:hint="cs"/>
          <w:sz w:val="22"/>
          <w:rtl/>
        </w:rPr>
        <w:t xml:space="preserve">. </w:t>
      </w:r>
    </w:p>
    <w:p w14:paraId="2ADBB1AC" w14:textId="77777777" w:rsidR="00DE769F" w:rsidRDefault="00DE769F">
      <w:pPr>
        <w:spacing w:after="80" w:line="320" w:lineRule="exact"/>
        <w:ind w:firstLine="283"/>
        <w:rPr>
          <w:rFonts w:hint="cs"/>
          <w:sz w:val="22"/>
          <w:rtl/>
        </w:rPr>
      </w:pPr>
    </w:p>
    <w:p w14:paraId="493BE23C" w14:textId="77777777" w:rsidR="00DE769F" w:rsidRDefault="00DE769F">
      <w:pPr>
        <w:spacing w:after="80" w:line="320" w:lineRule="exact"/>
        <w:ind w:firstLine="283"/>
        <w:rPr>
          <w:rFonts w:hint="cs"/>
          <w:sz w:val="22"/>
          <w:rtl/>
        </w:rPr>
      </w:pPr>
      <w:r>
        <w:rPr>
          <w:sz w:val="22"/>
          <w:rtl/>
        </w:rPr>
        <w:t>נוסח זה כפוף לשינויי עריכה וניסוח</w:t>
      </w:r>
    </w:p>
    <w:sectPr w:rsidR="00DE769F">
      <w:headerReference w:type="even" r:id="rId24"/>
      <w:headerReference w:type="default" r:id="rId25"/>
      <w:footerReference w:type="even" r:id="rId26"/>
      <w:footerReference w:type="default" r:id="rId27"/>
      <w:endnotePr>
        <w:numFmt w:val="lowerLetter"/>
      </w:endnotePr>
      <w:type w:val="continuous"/>
      <w:pgSz w:w="11907" w:h="16840" w:code="9"/>
      <w:pgMar w:top="1134" w:right="1701" w:bottom="1134" w:left="1134" w:header="850" w:footer="567" w:gutter="0"/>
      <w:pgNumType w:start="1"/>
      <w:cols w:space="720"/>
      <w:formProt w:val="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B07B2" w14:textId="77777777" w:rsidR="0073299F" w:rsidRDefault="0073299F">
      <w:pPr>
        <w:spacing w:line="240" w:lineRule="auto"/>
      </w:pPr>
      <w:r>
        <w:separator/>
      </w:r>
    </w:p>
  </w:endnote>
  <w:endnote w:type="continuationSeparator" w:id="0">
    <w:p w14:paraId="27F84608" w14:textId="77777777" w:rsidR="0073299F" w:rsidRDefault="00732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2430" w14:textId="77777777" w:rsidR="00B27381" w:rsidRDefault="00B2738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F6318FB" w14:textId="77777777" w:rsidR="00B27381" w:rsidRDefault="00B2738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C24353" w14:textId="77777777" w:rsidR="00B27381" w:rsidRDefault="00B2738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M:\000-shay\3-shalom\03-07-01c\OutDoc\s011467.doc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FF08" w14:textId="77777777" w:rsidR="00B27381" w:rsidRDefault="00B2738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C41F9">
      <w:rPr>
        <w:rFonts w:hAnsi="FrankRuehl" w:cs="FrankRuehl"/>
        <w:noProof/>
        <w:sz w:val="24"/>
        <w:rtl/>
      </w:rPr>
      <w:t>1</w:t>
    </w:r>
    <w:r>
      <w:rPr>
        <w:rFonts w:hAnsi="FrankRuehl" w:cs="FrankRuehl"/>
        <w:sz w:val="24"/>
        <w:rtl/>
      </w:rPr>
      <w:fldChar w:fldCharType="end"/>
    </w:r>
  </w:p>
  <w:p w14:paraId="69729D9C" w14:textId="77777777" w:rsidR="00B27381" w:rsidRDefault="00B2738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15635A" w14:textId="77777777" w:rsidR="00B27381" w:rsidRDefault="00B2738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M:\000-shay\3-shalom\03-07-01c\OutDoc\s011467.doc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2EDF8" w14:textId="77777777" w:rsidR="0073299F" w:rsidRDefault="0073299F">
      <w:pPr>
        <w:spacing w:line="240" w:lineRule="auto"/>
      </w:pPr>
      <w:r>
        <w:separator/>
      </w:r>
    </w:p>
  </w:footnote>
  <w:footnote w:type="continuationSeparator" w:id="0">
    <w:p w14:paraId="2D0C5837" w14:textId="77777777" w:rsidR="0073299F" w:rsidRDefault="007329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8E1F" w14:textId="77777777" w:rsidR="00B27381" w:rsidRDefault="00B27381">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(רח') 1467/01</w:t>
    </w:r>
    <w:r>
      <w:rPr>
        <w:rFonts w:hAnsi="David"/>
        <w:color w:val="000000"/>
        <w:sz w:val="22"/>
        <w:szCs w:val="22"/>
        <w:rtl/>
      </w:rPr>
      <w:tab/>
      <w:t xml:space="preserve"> מדינת ישראל נ' לוי שמעון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65AE" w14:textId="77777777" w:rsidR="00B27381" w:rsidRDefault="00B27381">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(רח') 1467/01</w:t>
    </w:r>
    <w:r>
      <w:rPr>
        <w:rFonts w:hAnsi="David"/>
        <w:color w:val="000000"/>
        <w:sz w:val="22"/>
        <w:szCs w:val="22"/>
        <w:rtl/>
      </w:rPr>
      <w:tab/>
      <w:t xml:space="preserve"> מדינת ישראל נ' לוי שמעון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C7AAF"/>
    <w:multiLevelType w:val="hybridMultilevel"/>
    <w:tmpl w:val="736A3B24"/>
    <w:lvl w:ilvl="0" w:tplc="30242C2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364C3810"/>
    <w:multiLevelType w:val="hybridMultilevel"/>
    <w:tmpl w:val="B6A8E73A"/>
    <w:lvl w:ilvl="0" w:tplc="27EE5134">
      <w:start w:val="1"/>
      <w:numFmt w:val="decimal"/>
      <w:lvlText w:val="%1."/>
      <w:lvlJc w:val="left"/>
      <w:pPr>
        <w:tabs>
          <w:tab w:val="num" w:pos="1440"/>
        </w:tabs>
        <w:ind w:left="1440" w:right="1440" w:hanging="72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 w15:restartNumberingAfterBreak="0">
    <w:nsid w:val="3A9D4649"/>
    <w:multiLevelType w:val="hybridMultilevel"/>
    <w:tmpl w:val="2E2A45B0"/>
    <w:lvl w:ilvl="0" w:tplc="7C6CA038">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16cid:durableId="1223174687">
    <w:abstractNumId w:val="2"/>
  </w:num>
  <w:num w:numId="2" w16cid:durableId="377123895">
    <w:abstractNumId w:val="1"/>
  </w:num>
  <w:num w:numId="3" w16cid:durableId="788233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90"/>
  <w:drawingGridVerticalSpacing w:val="24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Normal"/>
    <w:docVar w:name="saveAs" w:val="-1"/>
  </w:docVars>
  <w:rsids>
    <w:rsidRoot w:val="00440BCD"/>
    <w:rsid w:val="001F635C"/>
    <w:rsid w:val="00440BCD"/>
    <w:rsid w:val="00606314"/>
    <w:rsid w:val="0073299F"/>
    <w:rsid w:val="00965C62"/>
    <w:rsid w:val="00AC41F9"/>
    <w:rsid w:val="00B27381"/>
    <w:rsid w:val="00C50F7C"/>
    <w:rsid w:val="00DE76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606175D"/>
  <w15:chartTrackingRefBased/>
  <w15:docId w15:val="{39BCE5FC-DDDB-40B8-BF1D-625594BC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noProof/>
      <w:sz w:val="24"/>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Pr>
      <w:rFonts w:cs="David"/>
    </w:rPr>
  </w:style>
  <w:style w:type="paragraph" w:styleId="Header">
    <w:name w:val="header"/>
    <w:basedOn w:val="Normal"/>
    <w:semiHidden/>
    <w:pPr>
      <w:tabs>
        <w:tab w:val="center" w:pos="4153"/>
        <w:tab w:val="right" w:pos="8306"/>
      </w:tabs>
    </w:pPr>
    <w:rPr>
      <w:noProof w:val="0"/>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semiHidden/>
    <w:pPr>
      <w:tabs>
        <w:tab w:val="center" w:pos="4153"/>
        <w:tab w:val="right" w:pos="8306"/>
      </w:tabs>
    </w:pPr>
    <w:rPr>
      <w:noProof w:val="0"/>
      <w:snapToGrid w:val="0"/>
      <w:sz w:val="22"/>
    </w:rPr>
  </w:style>
  <w:style w:type="character" w:styleId="LineNumber">
    <w:name w:val="line number"/>
    <w:basedOn w:val="DefaultParagraphFont"/>
    <w:semiHidden/>
  </w:style>
  <w:style w:type="character" w:styleId="Hyperlink">
    <w:name w:val="Hyperlink"/>
    <w:rsid w:val="00C50F7C"/>
    <w:rPr>
      <w:color w:val="0000FF"/>
      <w:u w:val="single"/>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customStyle="1" w:styleId="a2">
    <w:name w:val="אזכור לא מזוהה"/>
    <w:uiPriority w:val="99"/>
    <w:semiHidden/>
    <w:unhideWhenUsed/>
    <w:rsid w:val="001F63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70301" TargetMode="External"/><Relationship Id="rId18" Type="http://schemas.openxmlformats.org/officeDocument/2006/relationships/hyperlink" Target="http://www.nevo.co.il/law/9856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348.a" TargetMode="External"/><Relationship Id="rId7" Type="http://schemas.openxmlformats.org/officeDocument/2006/relationships/hyperlink" Target="http://www.nevo.co.il/law/70301" TargetMode="External"/><Relationship Id="rId12" Type="http://schemas.openxmlformats.org/officeDocument/2006/relationships/hyperlink" Target="http://www.nevo.co.il/law/98569/54a.b" TargetMode="External"/><Relationship Id="rId17" Type="http://schemas.openxmlformats.org/officeDocument/2006/relationships/hyperlink" Target="http://www.nevo.co.il/law/98569/10"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9856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10"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345.a.1" TargetMode="External"/><Relationship Id="rId23" Type="http://schemas.openxmlformats.org/officeDocument/2006/relationships/hyperlink" Target="http://www.nevo.co.il/law/70301" TargetMode="External"/><Relationship Id="rId28" Type="http://schemas.openxmlformats.org/officeDocument/2006/relationships/fontTable" Target="fontTable.xml"/><Relationship Id="rId10" Type="http://schemas.openxmlformats.org/officeDocument/2006/relationships/hyperlink" Target="http://www.nevo.co.il/law/98569" TargetMode="External"/><Relationship Id="rId19" Type="http://schemas.openxmlformats.org/officeDocument/2006/relationships/hyperlink" Target="http://www.nevo.co.il/law/98569/54a.b" TargetMode="Externa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70301/345.a.1"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2283</Words>
  <Characters>13019</Characters>
  <Application>Microsoft Office Word</Application>
  <DocSecurity>0</DocSecurity>
  <Lines>108</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15272</CharactersWithSpaces>
  <SharedDoc>false</SharedDoc>
  <HLinks>
    <vt:vector size="102" baseType="variant">
      <vt:variant>
        <vt:i4>7995492</vt:i4>
      </vt:variant>
      <vt:variant>
        <vt:i4>48</vt:i4>
      </vt:variant>
      <vt:variant>
        <vt:i4>0</vt:i4>
      </vt:variant>
      <vt:variant>
        <vt:i4>5</vt:i4>
      </vt:variant>
      <vt:variant>
        <vt:lpwstr>http://www.nevo.co.il/law/70301</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7602284</vt:i4>
      </vt:variant>
      <vt:variant>
        <vt:i4>39</vt:i4>
      </vt:variant>
      <vt:variant>
        <vt:i4>0</vt:i4>
      </vt:variant>
      <vt:variant>
        <vt:i4>5</vt:i4>
      </vt:variant>
      <vt:variant>
        <vt:lpwstr>http://www.nevo.co.il/law/98569</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7602284</vt:i4>
      </vt:variant>
      <vt:variant>
        <vt:i4>33</vt:i4>
      </vt:variant>
      <vt:variant>
        <vt:i4>0</vt:i4>
      </vt:variant>
      <vt:variant>
        <vt:i4>5</vt:i4>
      </vt:variant>
      <vt:variant>
        <vt:lpwstr>http://www.nevo.co.il/law/98569</vt:lpwstr>
      </vt:variant>
      <vt:variant>
        <vt:lpwstr/>
      </vt:variant>
      <vt:variant>
        <vt:i4>7012452</vt:i4>
      </vt:variant>
      <vt:variant>
        <vt:i4>30</vt:i4>
      </vt:variant>
      <vt:variant>
        <vt:i4>0</vt:i4>
      </vt:variant>
      <vt:variant>
        <vt:i4>5</vt:i4>
      </vt:variant>
      <vt:variant>
        <vt:lpwstr>http://www.nevo.co.il/law/98569/10</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7995492</vt:i4>
      </vt:variant>
      <vt:variant>
        <vt:i4>18</vt:i4>
      </vt:variant>
      <vt:variant>
        <vt:i4>0</vt:i4>
      </vt:variant>
      <vt:variant>
        <vt:i4>5</vt:i4>
      </vt:variant>
      <vt:variant>
        <vt:lpwstr>http://www.nevo.co.il/law/70301</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7012452</vt:i4>
      </vt:variant>
      <vt:variant>
        <vt:i4>12</vt:i4>
      </vt:variant>
      <vt:variant>
        <vt:i4>0</vt:i4>
      </vt:variant>
      <vt:variant>
        <vt:i4>5</vt:i4>
      </vt:variant>
      <vt:variant>
        <vt:lpwstr>http://www.nevo.co.il/law/98569/10</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2003-06-29T09:23:00Z</cp:lastPrinted>
  <dcterms:created xsi:type="dcterms:W3CDTF">2022-05-24T10:12:00Z</dcterms:created>
  <dcterms:modified xsi:type="dcterms:W3CDTF">2022-05-24T10:12:00Z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1467</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לוי שמעון</vt:lpwstr>
  </property>
  <property fmtid="{D5CDD505-2E9C-101B-9397-08002B2CF9AE}" pid="9" name="LAWYER">
    <vt:lpwstr>איילת פלניצקי;פלישמן שמואל</vt:lpwstr>
  </property>
  <property fmtid="{D5CDD505-2E9C-101B-9397-08002B2CF9AE}" pid="10" name="JUDGE">
    <vt:lpwstr>צבי הרטל</vt:lpwstr>
  </property>
  <property fmtid="{D5CDD505-2E9C-101B-9397-08002B2CF9AE}" pid="11" name="CITY">
    <vt:lpwstr>רח'</vt:lpwstr>
  </property>
  <property fmtid="{D5CDD505-2E9C-101B-9397-08002B2CF9AE}" pid="12" name="DATE">
    <vt:lpwstr>20030629</vt:lpwstr>
  </property>
  <property fmtid="{D5CDD505-2E9C-101B-9397-08002B2CF9AE}" pid="13" name="WORDNUMPAGES">
    <vt:lpwstr>7</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NOTES1">
    <vt:lpwstr>ProcID=213&amp;PartA=18&amp;PartC=16</vt:lpwstr>
  </property>
  <property fmtid="{D5CDD505-2E9C-101B-9397-08002B2CF9AE}" pid="35" name="CASENOTES2">
    <vt:lpwstr>ProcID=213&amp;PartA=23&amp;PartC=22</vt:lpwstr>
  </property>
  <property fmtid="{D5CDD505-2E9C-101B-9397-08002B2CF9AE}" pid="36" name="CASENOTES3">
    <vt:lpwstr>ProcID=213&amp;PartA=13&amp;PartC=12</vt:lpwstr>
  </property>
  <property fmtid="{D5CDD505-2E9C-101B-9397-08002B2CF9AE}" pid="37" name="CASENOTES4">
    <vt:lpwstr>ProcID=213&amp;PartA=27&amp;PartC=26</vt:lpwstr>
  </property>
  <property fmtid="{D5CDD505-2E9C-101B-9397-08002B2CF9AE}" pid="38" name="CASENOTES5">
    <vt:lpwstr>ProcID=213&amp;PartA=17&amp;PartC=16</vt:lpwstr>
  </property>
  <property fmtid="{D5CDD505-2E9C-101B-9397-08002B2CF9AE}" pid="39" name="CASENOTES6">
    <vt:lpwstr>ProcID=213&amp;PartA=19&amp;PartC=17</vt:lpwstr>
  </property>
  <property fmtid="{D5CDD505-2E9C-101B-9397-08002B2CF9AE}" pid="40" name="LAWLISTTMP1">
    <vt:lpwstr>70301/348.a:2;345.a.1:2</vt:lpwstr>
  </property>
  <property fmtid="{D5CDD505-2E9C-101B-9397-08002B2CF9AE}" pid="41" name="LAWLISTTMP2">
    <vt:lpwstr>98569/010;054a.b</vt:lpwstr>
  </property>
</Properties>
</file>