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60249" w14:textId="77777777" w:rsidR="00144D22" w:rsidRDefault="00144D22">
      <w:pPr>
        <w:pStyle w:val="a4"/>
        <w:rPr>
          <w:rtl/>
        </w:rPr>
      </w:pPr>
      <w:r>
        <w:rPr>
          <w:rFonts w:hint="cs"/>
          <w:rtl/>
        </w:rPr>
        <w:t>תיק פלילי  01 / 3027</w:t>
      </w:r>
    </w:p>
    <w:p w14:paraId="03C2595B" w14:textId="77777777" w:rsidR="00144D22" w:rsidRDefault="00144D22">
      <w:pPr>
        <w:pStyle w:val="-1"/>
        <w:rPr>
          <w:rtl/>
        </w:rPr>
      </w:pPr>
      <w:r>
        <w:rPr>
          <w:rFonts w:hint="cs"/>
          <w:rtl/>
        </w:rPr>
        <w:t>מדינת ישראל</w:t>
      </w:r>
    </w:p>
    <w:p w14:paraId="51EA9953" w14:textId="77777777" w:rsidR="00144D22" w:rsidRDefault="00144D22">
      <w:pPr>
        <w:pStyle w:val="-1"/>
        <w:rPr>
          <w:rtl/>
        </w:rPr>
      </w:pPr>
      <w:r>
        <w:rPr>
          <w:rtl/>
        </w:rPr>
        <w:t>נגד</w:t>
      </w:r>
    </w:p>
    <w:p w14:paraId="3008F7DE" w14:textId="77777777" w:rsidR="00144D22" w:rsidRDefault="00144D22">
      <w:pPr>
        <w:pStyle w:val="-1"/>
        <w:spacing w:after="0"/>
        <w:rPr>
          <w:rtl/>
        </w:rPr>
      </w:pPr>
      <w:bookmarkStart w:id="0" w:name="RESPONDERS"/>
      <w:r>
        <w:rPr>
          <w:rFonts w:hint="cs"/>
          <w:rtl/>
        </w:rPr>
        <w:t xml:space="preserve">שלום מחפוד </w:t>
      </w:r>
    </w:p>
    <w:bookmarkEnd w:id="0"/>
    <w:p w14:paraId="6319DD02" w14:textId="77777777" w:rsidR="00144D22" w:rsidRDefault="00144D22">
      <w:pPr>
        <w:pStyle w:val="-10"/>
        <w:spacing w:before="360"/>
        <w:rPr>
          <w:rtl/>
        </w:rPr>
      </w:pPr>
      <w:r>
        <w:rPr>
          <w:rtl/>
        </w:rPr>
        <w:t>בבית</w:t>
      </w:r>
      <w:r>
        <w:rPr>
          <w:position w:val="4"/>
          <w:sz w:val="18"/>
          <w:rtl/>
        </w:rPr>
        <w:t>-</w:t>
      </w:r>
      <w:r>
        <w:rPr>
          <w:rtl/>
        </w:rPr>
        <w:t>משפט ה</w:t>
      </w:r>
      <w:r>
        <w:rPr>
          <w:rFonts w:hint="cs"/>
          <w:rtl/>
        </w:rPr>
        <w:t>שלום</w:t>
      </w:r>
      <w:r>
        <w:rPr>
          <w:rtl/>
        </w:rPr>
        <w:t xml:space="preserve"> ב</w:t>
      </w:r>
      <w:r>
        <w:rPr>
          <w:rFonts w:hint="cs"/>
          <w:rtl/>
        </w:rPr>
        <w:t>רחובות</w:t>
      </w:r>
    </w:p>
    <w:p w14:paraId="72407C00" w14:textId="77777777" w:rsidR="00144D22" w:rsidRDefault="00144D22">
      <w:pPr>
        <w:pStyle w:val="-10"/>
        <w:rPr>
          <w:rtl/>
        </w:rPr>
      </w:pPr>
      <w:r>
        <w:rPr>
          <w:rtl/>
        </w:rPr>
        <w:t>[</w:t>
      </w:r>
      <w:r>
        <w:rPr>
          <w:rFonts w:hint="cs"/>
          <w:rtl/>
        </w:rPr>
        <w:t>14.7.2002</w:t>
      </w:r>
      <w:r>
        <w:rPr>
          <w:rtl/>
        </w:rPr>
        <w:t>]</w:t>
      </w:r>
    </w:p>
    <w:p w14:paraId="2EE209E2" w14:textId="77777777" w:rsidR="00144D22" w:rsidRDefault="00144D22">
      <w:pPr>
        <w:pStyle w:val="-10"/>
        <w:spacing w:after="360"/>
        <w:rPr>
          <w:rtl/>
        </w:rPr>
      </w:pPr>
      <w:r>
        <w:rPr>
          <w:rtl/>
        </w:rPr>
        <w:t>לפני השופט</w:t>
      </w:r>
      <w:r>
        <w:rPr>
          <w:spacing w:val="20"/>
          <w:rtl/>
        </w:rPr>
        <w:t xml:space="preserve"> </w:t>
      </w:r>
      <w:r>
        <w:rPr>
          <w:rFonts w:hint="cs"/>
          <w:spacing w:val="20"/>
          <w:rtl/>
        </w:rPr>
        <w:t>י' לוי</w:t>
      </w:r>
    </w:p>
    <w:p w14:paraId="30A1DC93" w14:textId="77777777" w:rsidR="00144D22" w:rsidRDefault="00144D22">
      <w:pPr>
        <w:pStyle w:val="a1"/>
        <w:spacing w:line="260" w:lineRule="exact"/>
        <w:ind w:firstLine="0"/>
        <w:rPr>
          <w:rFonts w:hint="cs"/>
          <w:rtl/>
        </w:rPr>
      </w:pPr>
      <w:bookmarkStart w:id="1" w:name="DOCUMENT_TITLE"/>
      <w:r>
        <w:rPr>
          <w:rFonts w:hint="cs"/>
          <w:rtl/>
        </w:rPr>
        <w:t>הנאשם מואשם בעבירה של מעשה מגונה לפי סעיף 348(ג) ל</w:t>
      </w:r>
      <w:hyperlink r:id="rId6" w:history="1">
        <w:r w:rsidR="00E2755E" w:rsidRPr="00E2755E">
          <w:rPr>
            <w:rStyle w:val="Hyperlink"/>
            <w:rFonts w:hint="eastAsia"/>
            <w:rtl/>
          </w:rPr>
          <w:t>חוק</w:t>
        </w:r>
        <w:r w:rsidR="00E2755E" w:rsidRPr="00E2755E">
          <w:rPr>
            <w:rStyle w:val="Hyperlink"/>
            <w:rtl/>
          </w:rPr>
          <w:t xml:space="preserve"> העונשין</w:t>
        </w:r>
      </w:hyperlink>
      <w:r>
        <w:rPr>
          <w:rFonts w:hint="cs"/>
          <w:rtl/>
        </w:rPr>
        <w:t xml:space="preserve">, תשל"ז-1977, בכך שבתערוכת חיל האוויר בתל נוף נגע בידו באיברים אינטימיים של נשים </w:t>
      </w:r>
      <w:r>
        <w:rPr>
          <w:rFonts w:hint="eastAsia"/>
          <w:rtl/>
        </w:rPr>
        <w:t>–</w:t>
      </w:r>
      <w:r>
        <w:rPr>
          <w:rFonts w:hint="cs"/>
          <w:rtl/>
        </w:rPr>
        <w:t xml:space="preserve"> שזהותן ומספרן אינם ידועים לתביעה </w:t>
      </w:r>
      <w:r>
        <w:rPr>
          <w:rFonts w:hint="eastAsia"/>
          <w:rtl/>
        </w:rPr>
        <w:t>–</w:t>
      </w:r>
      <w:r>
        <w:rPr>
          <w:rFonts w:hint="cs"/>
          <w:rtl/>
        </w:rPr>
        <w:t xml:space="preserve"> שלא בהסכמתן, וזאת לשם סיפוקו המיני. הנאשם כפר בעבירה המיוחסת לו. </w:t>
      </w:r>
    </w:p>
    <w:p w14:paraId="4C97B317" w14:textId="77777777" w:rsidR="00144D22" w:rsidRDefault="00144D22">
      <w:pPr>
        <w:pStyle w:val="1"/>
        <w:spacing w:before="240" w:line="260" w:lineRule="exact"/>
        <w:rPr>
          <w:rtl/>
        </w:rPr>
      </w:pPr>
      <w:r>
        <w:rPr>
          <w:rtl/>
        </w:rPr>
        <w:t>בית</w:t>
      </w:r>
      <w:r>
        <w:rPr>
          <w:position w:val="3"/>
          <w:rtl/>
        </w:rPr>
        <w:t>-</w:t>
      </w:r>
      <w:r>
        <w:rPr>
          <w:rtl/>
        </w:rPr>
        <w:t>משפט ה</w:t>
      </w:r>
      <w:r>
        <w:rPr>
          <w:rFonts w:hint="cs"/>
          <w:rtl/>
        </w:rPr>
        <w:t>שלום</w:t>
      </w:r>
      <w:r>
        <w:rPr>
          <w:rtl/>
        </w:rPr>
        <w:t xml:space="preserve"> פסק:</w:t>
      </w:r>
    </w:p>
    <w:p w14:paraId="72BE6254" w14:textId="77777777" w:rsidR="00144D22" w:rsidRDefault="00144D22">
      <w:pPr>
        <w:pStyle w:val="0"/>
        <w:spacing w:line="260" w:lineRule="exact"/>
        <w:rPr>
          <w:rFonts w:hint="cs"/>
          <w:rtl/>
        </w:rPr>
      </w:pPr>
      <w:r>
        <w:rPr>
          <w:rFonts w:hint="cs"/>
          <w:rtl/>
        </w:rPr>
        <w:t xml:space="preserve">א. </w:t>
      </w:r>
      <w:r>
        <w:rPr>
          <w:rFonts w:hint="cs"/>
          <w:rtl/>
        </w:rPr>
        <w:tab/>
        <w:t xml:space="preserve">לעניין הרשעה בעבירת מין בהיעדר עדות מתלוננת, חובת התביעה היא להוכיח, מעבר לכל ספק סביר, את כל יסודות העבירה המיוחסת לנאשם. עדות מתלונן היא אמצעי </w:t>
      </w:r>
      <w:r>
        <w:rPr>
          <w:rtl/>
        </w:rPr>
        <w:t>–</w:t>
      </w:r>
      <w:r>
        <w:rPr>
          <w:rFonts w:hint="cs"/>
          <w:rtl/>
        </w:rPr>
        <w:t xml:space="preserve"> בדרך</w:t>
      </w:r>
      <w:r>
        <w:rPr>
          <w:rFonts w:hint="cs"/>
          <w:position w:val="3"/>
          <w:rtl/>
        </w:rPr>
        <w:t>-</w:t>
      </w:r>
      <w:r>
        <w:rPr>
          <w:rFonts w:hint="cs"/>
          <w:rtl/>
        </w:rPr>
        <w:t xml:space="preserve">כלל הטוב ביותר </w:t>
      </w:r>
      <w:r>
        <w:rPr>
          <w:rtl/>
        </w:rPr>
        <w:t>–</w:t>
      </w:r>
      <w:r>
        <w:rPr>
          <w:rFonts w:hint="cs"/>
          <w:rtl/>
        </w:rPr>
        <w:t xml:space="preserve"> להוכחת יסודות העבירה, אך אין היא יסוד הכרחי והתביעה רשאית להוכיח את יסודות העבירה בראיות אחרות (9ו – ז).</w:t>
      </w:r>
    </w:p>
    <w:p w14:paraId="0CCF1CB7" w14:textId="77777777" w:rsidR="00144D22" w:rsidRDefault="00144D22">
      <w:pPr>
        <w:pStyle w:val="1"/>
        <w:spacing w:line="260" w:lineRule="exact"/>
        <w:rPr>
          <w:rFonts w:hint="cs"/>
          <w:rtl/>
        </w:rPr>
      </w:pPr>
      <w:r>
        <w:rPr>
          <w:rFonts w:hint="cs"/>
          <w:rtl/>
        </w:rPr>
        <w:t xml:space="preserve">ב. </w:t>
      </w:r>
      <w:r>
        <w:rPr>
          <w:rFonts w:hint="cs"/>
          <w:rtl/>
        </w:rPr>
        <w:tab/>
        <w:t>(1)</w:t>
      </w:r>
      <w:r>
        <w:rPr>
          <w:rFonts w:hint="cs"/>
          <w:rtl/>
        </w:rPr>
        <w:tab/>
        <w:t>סעיף 348(ג) ל</w:t>
      </w:r>
      <w:hyperlink r:id="rId7" w:history="1">
        <w:r w:rsidR="00E2755E" w:rsidRPr="00E2755E">
          <w:rPr>
            <w:rStyle w:val="Hyperlink"/>
            <w:rFonts w:hint="eastAsia"/>
            <w:rtl/>
          </w:rPr>
          <w:t>חוק</w:t>
        </w:r>
        <w:r w:rsidR="00E2755E" w:rsidRPr="00E2755E">
          <w:rPr>
            <w:rStyle w:val="Hyperlink"/>
            <w:rtl/>
          </w:rPr>
          <w:t xml:space="preserve"> העונשין</w:t>
        </w:r>
      </w:hyperlink>
      <w:r>
        <w:rPr>
          <w:rFonts w:hint="cs"/>
          <w:rtl/>
        </w:rPr>
        <w:t xml:space="preserve"> קובע כי העושה מעשה מגונה באדם בלא הסכמתו, דינו מאסר שלוש שנים. בסעיף 348(ו) ל</w:t>
      </w:r>
      <w:hyperlink r:id="rId8" w:history="1">
        <w:r w:rsidR="00E2755E" w:rsidRPr="00E2755E">
          <w:rPr>
            <w:rStyle w:val="Hyperlink"/>
            <w:rFonts w:hint="eastAsia"/>
            <w:rtl/>
          </w:rPr>
          <w:t>חוק</w:t>
        </w:r>
        <w:r w:rsidR="00E2755E" w:rsidRPr="00E2755E">
          <w:rPr>
            <w:rStyle w:val="Hyperlink"/>
            <w:rtl/>
          </w:rPr>
          <w:t xml:space="preserve"> העונשין</w:t>
        </w:r>
      </w:hyperlink>
      <w:r>
        <w:rPr>
          <w:rFonts w:hint="cs"/>
          <w:rtl/>
        </w:rPr>
        <w:t xml:space="preserve"> נקבע כי מעשה מגונה הוא מעשה לשם גירוי, סיפוק או ביזוי מיניים (10א – ב).</w:t>
      </w:r>
      <w:r>
        <w:rPr>
          <w:color w:val="FFFFFF"/>
          <w:sz w:val="4"/>
          <w:szCs w:val="4"/>
          <w:rtl/>
        </w:rPr>
        <w:t>נ</w:t>
      </w:r>
    </w:p>
    <w:p w14:paraId="008D570D" w14:textId="77777777" w:rsidR="00144D22" w:rsidRDefault="00144D22">
      <w:pPr>
        <w:pStyle w:val="1"/>
        <w:spacing w:line="260" w:lineRule="exact"/>
        <w:rPr>
          <w:rFonts w:hint="cs"/>
          <w:rtl/>
        </w:rPr>
      </w:pPr>
      <w:r>
        <w:rPr>
          <w:rFonts w:hint="cs"/>
          <w:rtl/>
        </w:rPr>
        <w:tab/>
        <w:t>(2)</w:t>
      </w:r>
      <w:r>
        <w:rPr>
          <w:rFonts w:hint="cs"/>
          <w:rtl/>
        </w:rPr>
        <w:tab/>
        <w:t xml:space="preserve">עבירת המעשה המגונה מורכבת מיסוד עובדתי ומיסוד נפשי. היסוד העובדתי בנוי משני רכיבים: הרכיב ההתנהגותי </w:t>
      </w:r>
      <w:r>
        <w:rPr>
          <w:rtl/>
        </w:rPr>
        <w:t>–</w:t>
      </w:r>
      <w:r>
        <w:rPr>
          <w:rFonts w:hint="cs"/>
          <w:rtl/>
        </w:rPr>
        <w:t xml:space="preserve"> עשיית מעשה מגונה; הרכיב הנסיבתי </w:t>
      </w:r>
      <w:r>
        <w:rPr>
          <w:rtl/>
        </w:rPr>
        <w:t>–</w:t>
      </w:r>
      <w:r>
        <w:rPr>
          <w:rFonts w:hint="cs"/>
          <w:rtl/>
        </w:rPr>
        <w:t xml:space="preserve"> </w:t>
      </w:r>
      <w:r>
        <w:rPr>
          <w:rtl/>
        </w:rPr>
        <w:br/>
      </w:r>
      <w:r>
        <w:rPr>
          <w:rFonts w:hint="cs"/>
          <w:rtl/>
        </w:rPr>
        <w:t xml:space="preserve">(א) באדם, (ב) בלא הסכמתו. היסוד הנפשי </w:t>
      </w:r>
      <w:r>
        <w:rPr>
          <w:rtl/>
        </w:rPr>
        <w:t>–</w:t>
      </w:r>
      <w:r>
        <w:rPr>
          <w:rFonts w:hint="cs"/>
          <w:rtl/>
        </w:rPr>
        <w:t xml:space="preserve"> מטרת המעשה המגונה היא השגת אחד היעדים האלה: גירוי, סיפוק או ביזוי מיני. עבירת המעשה המגונה היא עבירת התנהגות בצירוף מטרה מיוחדת, ואין צורך בהוכחת מימוש אותו יעד (10ג – ו).</w:t>
      </w:r>
      <w:r>
        <w:rPr>
          <w:color w:val="FFFFFF"/>
          <w:sz w:val="4"/>
          <w:szCs w:val="4"/>
          <w:rtl/>
        </w:rPr>
        <w:t>ב</w:t>
      </w:r>
    </w:p>
    <w:p w14:paraId="49513489" w14:textId="77777777" w:rsidR="00144D22" w:rsidRDefault="00144D22">
      <w:pPr>
        <w:pStyle w:val="1"/>
        <w:spacing w:line="260" w:lineRule="exact"/>
        <w:rPr>
          <w:rFonts w:hint="cs"/>
          <w:rtl/>
        </w:rPr>
      </w:pPr>
      <w:r>
        <w:rPr>
          <w:rFonts w:hint="cs"/>
          <w:rtl/>
        </w:rPr>
        <w:t xml:space="preserve">ג.  </w:t>
      </w:r>
      <w:r>
        <w:rPr>
          <w:rFonts w:hint="cs"/>
          <w:rtl/>
        </w:rPr>
        <w:tab/>
        <w:t>(1)</w:t>
      </w:r>
      <w:r>
        <w:rPr>
          <w:rFonts w:hint="cs"/>
          <w:rtl/>
        </w:rPr>
        <w:tab/>
        <w:t xml:space="preserve">לעניין הרכיב ההתנהגותי של היסוד העובדתי של העבירה </w:t>
      </w:r>
      <w:r>
        <w:rPr>
          <w:rtl/>
        </w:rPr>
        <w:t>–</w:t>
      </w:r>
      <w:r>
        <w:rPr>
          <w:rFonts w:hint="cs"/>
          <w:rtl/>
        </w:rPr>
        <w:t xml:space="preserve"> הנאשם שלח ידיו במתכוון, ותוך ניצול הצפיפות במקום נגע באיברי מינן של מספר בלתי ידוע של נשים, תוך שהוא משנה את מיקומו כדי להקל על ביצוע המעשים. מדובר במעשים הנגועים בפגם מוסרי בולט, הפוגעים בצנעת גופן של נשים וגורמים להשפלתן, ולפיכך מדובר במעשים המהווים "מעשה מגונה" בהקשרו העובדתי (14א – ב).</w:t>
      </w:r>
      <w:r>
        <w:rPr>
          <w:color w:val="FFFFFF"/>
          <w:sz w:val="4"/>
          <w:szCs w:val="4"/>
          <w:rtl/>
        </w:rPr>
        <w:t>ו</w:t>
      </w:r>
    </w:p>
    <w:p w14:paraId="4B59490E" w14:textId="77777777" w:rsidR="00144D22" w:rsidRDefault="00144D22">
      <w:pPr>
        <w:pStyle w:val="1"/>
        <w:spacing w:line="260" w:lineRule="exact"/>
        <w:rPr>
          <w:rFonts w:hint="cs"/>
          <w:rtl/>
        </w:rPr>
      </w:pPr>
      <w:r>
        <w:rPr>
          <w:rFonts w:hint="cs"/>
          <w:rtl/>
        </w:rPr>
        <w:tab/>
        <w:t>(2)</w:t>
      </w:r>
      <w:r>
        <w:rPr>
          <w:rFonts w:hint="cs"/>
          <w:rtl/>
        </w:rPr>
        <w:tab/>
        <w:t>לעניין הרכיב הנסיבתי של היסוד העובדתי של העבירה</w:t>
      </w:r>
      <w:r>
        <w:rPr>
          <w:rtl/>
        </w:rPr>
        <w:t xml:space="preserve"> –</w:t>
      </w:r>
      <w:r>
        <w:rPr>
          <w:rFonts w:hint="cs"/>
          <w:rtl/>
        </w:rPr>
        <w:t xml:space="preserve"> הוכח שהמעשים המגונים בוצעו בנשים. הימנעות מהגשת תלונה אינה מובילה, באופן אוטומטי, למסקנה שלא </w:t>
      </w:r>
      <w:r>
        <w:rPr>
          <w:rFonts w:hint="cs"/>
          <w:rtl/>
        </w:rPr>
        <w:lastRenderedPageBreak/>
        <w:t>נתבצעה עבירה או שהמעשה המגונה נעשה בהסכמה. אילו היה מדובר באישה אחת בלבד ייתכן שהיה בהיעדרה של תלונה כדי לעורר ספק סביר בעניין הוכחת יסוד אי</w:t>
      </w:r>
      <w:r>
        <w:rPr>
          <w:rFonts w:hint="cs"/>
          <w:position w:val="3"/>
          <w:rtl/>
        </w:rPr>
        <w:t>-</w:t>
      </w:r>
      <w:r>
        <w:rPr>
          <w:rFonts w:hint="cs"/>
          <w:rtl/>
        </w:rPr>
        <w:t xml:space="preserve">ההסכמה, אך כשמדובר במספר נשים אין זה סביר, ואין זה מתקבל על הדעת, שכולן הסכימו למעשיו המגונים של הנאשם. המסקנה המתבקשת מנסיבות העניין ומניסיון החיים היא שהנאשם שלח ידו ונגע באיברי מינן של הנשים בלא הסכמתן, ובלא שטרח כלל לברר האם הן מסכימות (14ב – 15א). </w:t>
      </w:r>
    </w:p>
    <w:p w14:paraId="3B5488DC" w14:textId="77777777" w:rsidR="00144D22" w:rsidRDefault="00144D22">
      <w:pPr>
        <w:pStyle w:val="1"/>
        <w:spacing w:line="260" w:lineRule="exact"/>
        <w:rPr>
          <w:rFonts w:hint="cs"/>
          <w:rtl/>
        </w:rPr>
      </w:pPr>
      <w:r>
        <w:rPr>
          <w:rFonts w:hint="cs"/>
          <w:rtl/>
        </w:rPr>
        <w:tab/>
        <w:t>(3)</w:t>
      </w:r>
      <w:r>
        <w:rPr>
          <w:rFonts w:hint="cs"/>
          <w:rtl/>
        </w:rPr>
        <w:tab/>
        <w:t xml:space="preserve">בעניין דנן הוכחו, במידת הוודאות הנדרשת, כל רכיבי היסוד העובדתי של העבירה, דהיינו שהנאשם עשה "מעשה מגונה" (נגע באיברי מין) ב"אדם" (של מספר נשים) "בלא הסכמתו" (לאור הנסיבות </w:t>
      </w:r>
      <w:r>
        <w:rPr>
          <w:rtl/>
        </w:rPr>
        <w:t>–</w:t>
      </w:r>
      <w:r>
        <w:rPr>
          <w:rFonts w:hint="cs"/>
          <w:rtl/>
        </w:rPr>
        <w:t xml:space="preserve"> ניצול הצפיפות במקום) (15א – ב).</w:t>
      </w:r>
      <w:r>
        <w:rPr>
          <w:color w:val="FFFFFF"/>
          <w:sz w:val="4"/>
          <w:szCs w:val="4"/>
          <w:rtl/>
        </w:rPr>
        <w:t>נ</w:t>
      </w:r>
    </w:p>
    <w:p w14:paraId="3513338B" w14:textId="77777777" w:rsidR="00144D22" w:rsidRDefault="00144D22">
      <w:pPr>
        <w:pStyle w:val="1"/>
        <w:spacing w:line="260" w:lineRule="exact"/>
        <w:rPr>
          <w:rFonts w:hint="cs"/>
          <w:rtl/>
        </w:rPr>
      </w:pPr>
      <w:r>
        <w:rPr>
          <w:rFonts w:hint="cs"/>
          <w:rtl/>
        </w:rPr>
        <w:t>ד.</w:t>
      </w:r>
      <w:r>
        <w:rPr>
          <w:rFonts w:hint="cs"/>
          <w:rtl/>
        </w:rPr>
        <w:tab/>
        <w:t>(1)</w:t>
      </w:r>
      <w:r>
        <w:rPr>
          <w:rFonts w:hint="cs"/>
          <w:rtl/>
        </w:rPr>
        <w:tab/>
        <w:t xml:space="preserve">לעניין היסוד הנפשי של העבירה </w:t>
      </w:r>
      <w:r>
        <w:rPr>
          <w:rtl/>
        </w:rPr>
        <w:t>–</w:t>
      </w:r>
      <w:r>
        <w:rPr>
          <w:rFonts w:hint="cs"/>
          <w:rtl/>
        </w:rPr>
        <w:t xml:space="preserve"> כל אדם מוחזק כמתכוון לתוצאות הנובעות בדרך הטבע ממעשהו, אלא אם כן הצליח לסתור את החזקה. ניסיון החיים מלמד כי התוצאות הטבעיות של נגיעה חוזרת, במתכוון, באיברי מינן של מספר נשים, שלא בהסכמתן, נועדה לשם גירוי או סיפוק מיניים. ניסיונו של הנאשם להיחלץ מאחיזתה של "חזקת הכוונה" בטענה הקלושה שמטרת מעשיו הייתה "סתם" הינו עגום ומופרך, ואין בו ולו כדי לעורר ספק סביר בדבר הלך נפשו של הנאשם (15ה – ו).</w:t>
      </w:r>
      <w:r>
        <w:rPr>
          <w:color w:val="FFFFFF"/>
          <w:sz w:val="4"/>
          <w:szCs w:val="4"/>
          <w:rtl/>
        </w:rPr>
        <w:t>ב</w:t>
      </w:r>
    </w:p>
    <w:p w14:paraId="3CAD2A3F" w14:textId="77777777" w:rsidR="00144D22" w:rsidRDefault="00144D22">
      <w:pPr>
        <w:pStyle w:val="1"/>
        <w:spacing w:line="260" w:lineRule="exact"/>
        <w:rPr>
          <w:rFonts w:hint="cs"/>
          <w:rtl/>
        </w:rPr>
      </w:pPr>
      <w:r>
        <w:rPr>
          <w:rFonts w:hint="cs"/>
          <w:rtl/>
        </w:rPr>
        <w:tab/>
        <w:t>(2)</w:t>
      </w:r>
      <w:r>
        <w:rPr>
          <w:rFonts w:hint="cs"/>
          <w:rtl/>
        </w:rPr>
        <w:tab/>
        <w:t xml:space="preserve">בנסיבות העניין הוכחה אף התכלית השלישית שביסוד הנפשי של העבירה, דהיינו שהנאשם עשה את המעשים המגונים לשם ביזוי מיני. הלכה היא שניתן להחיל את "הילכת הצפיות" אף בעבירה של מעשה מגונה. אף אם מטרת התנהגות הנאשם לא הייתה לספק את יצרו המיני או לבזות את הנשים ביזוי מיני, לצורך גיבוש היסוד הנפשי בעבירה של מעשה מגונה די בכך שהנאשם היה מודע, בדרגת הסתברות קרובה לוודאי, כי מעשיו יסבו לנשים ביזוי מיני גם אם לא חפץ בכך, כמטרה עצמאית. אף בנאשם </w:t>
      </w:r>
      <w:r>
        <w:rPr>
          <w:rtl/>
        </w:rPr>
        <w:t>–</w:t>
      </w:r>
      <w:r>
        <w:rPr>
          <w:rFonts w:hint="cs"/>
          <w:rtl/>
        </w:rPr>
        <w:t xml:space="preserve"> למרות אישיותו ומוגבלותו </w:t>
      </w:r>
      <w:r>
        <w:rPr>
          <w:rtl/>
        </w:rPr>
        <w:t>–</w:t>
      </w:r>
      <w:r>
        <w:rPr>
          <w:rFonts w:hint="cs"/>
          <w:rtl/>
        </w:rPr>
        <w:t xml:space="preserve"> נתקיימה מודעות בפועל לכך שמעשי הנגיעה באיברי מינן של נשים, בלא הסכמתן, פוגעים בזכויותיהן של הנשים לצנעת גופן ומסבים להן ביזוי מיני (15ז – 16ג).</w:t>
      </w:r>
      <w:r>
        <w:rPr>
          <w:color w:val="FFFFFF"/>
          <w:sz w:val="4"/>
          <w:szCs w:val="4"/>
          <w:rtl/>
        </w:rPr>
        <w:t>ו</w:t>
      </w:r>
    </w:p>
    <w:p w14:paraId="5A3A890E" w14:textId="77777777" w:rsidR="00144D22" w:rsidRDefault="00144D22">
      <w:pPr>
        <w:pStyle w:val="a2"/>
        <w:spacing w:before="240" w:line="260" w:lineRule="exact"/>
        <w:rPr>
          <w:rtl/>
        </w:rPr>
      </w:pPr>
      <w:r>
        <w:rPr>
          <w:rtl/>
        </w:rPr>
        <w:t>חקיקה ראשית שאוזכרה:</w:t>
      </w:r>
    </w:p>
    <w:p w14:paraId="12A8B395" w14:textId="77777777" w:rsidR="00144D22" w:rsidRDefault="00144D22">
      <w:pPr>
        <w:pStyle w:val="a2"/>
        <w:spacing w:line="260" w:lineRule="exact"/>
        <w:rPr>
          <w:rFonts w:hint="cs"/>
          <w:rtl/>
        </w:rPr>
      </w:pPr>
      <w:r>
        <w:rPr>
          <w:rtl/>
        </w:rPr>
        <w:t>–</w:t>
      </w:r>
      <w:r>
        <w:rPr>
          <w:rtl/>
        </w:rPr>
        <w:tab/>
      </w:r>
      <w:hyperlink r:id="rId9" w:history="1">
        <w:r w:rsidR="00E2755E" w:rsidRPr="00E2755E">
          <w:rPr>
            <w:rStyle w:val="Hyperlink"/>
            <w:rFonts w:hint="eastAsia"/>
            <w:rtl/>
          </w:rPr>
          <w:t>חוק</w:t>
        </w:r>
        <w:r w:rsidR="00E2755E" w:rsidRPr="00E2755E">
          <w:rPr>
            <w:rStyle w:val="Hyperlink"/>
            <w:rtl/>
          </w:rPr>
          <w:t xml:space="preserve"> העונשין</w:t>
        </w:r>
      </w:hyperlink>
      <w:r>
        <w:rPr>
          <w:rFonts w:hint="cs"/>
          <w:rtl/>
        </w:rPr>
        <w:t>, תשל"ז-1977, סעיפים 348(ג), 348(ו).</w:t>
      </w:r>
      <w:r>
        <w:rPr>
          <w:color w:val="FFFFFF"/>
          <w:sz w:val="4"/>
          <w:szCs w:val="4"/>
          <w:rtl/>
        </w:rPr>
        <w:t>נ</w:t>
      </w:r>
    </w:p>
    <w:p w14:paraId="6CFE1845" w14:textId="77777777" w:rsidR="00144D22" w:rsidRDefault="00144D22">
      <w:pPr>
        <w:pStyle w:val="a2"/>
        <w:spacing w:before="240" w:line="260" w:lineRule="exact"/>
        <w:rPr>
          <w:rtl/>
        </w:rPr>
      </w:pPr>
      <w:r>
        <w:rPr>
          <w:rtl/>
        </w:rPr>
        <w:t>פסקי</w:t>
      </w:r>
      <w:r>
        <w:rPr>
          <w:position w:val="4"/>
          <w:sz w:val="22"/>
          <w:rtl/>
        </w:rPr>
        <w:t>-</w:t>
      </w:r>
      <w:r>
        <w:rPr>
          <w:rtl/>
        </w:rPr>
        <w:t>דין של בית</w:t>
      </w:r>
      <w:r>
        <w:rPr>
          <w:position w:val="4"/>
          <w:sz w:val="22"/>
          <w:rtl/>
        </w:rPr>
        <w:t>-</w:t>
      </w:r>
      <w:r>
        <w:rPr>
          <w:rtl/>
        </w:rPr>
        <w:t>המשפט העליון שאוזכרו:</w:t>
      </w:r>
    </w:p>
    <w:p w14:paraId="6AF5F14C" w14:textId="77777777" w:rsidR="00144D22" w:rsidRDefault="00144D22">
      <w:pPr>
        <w:pStyle w:val="a2"/>
        <w:spacing w:line="260" w:lineRule="exact"/>
        <w:rPr>
          <w:rFonts w:hint="cs"/>
          <w:rtl/>
        </w:rPr>
      </w:pPr>
      <w:r>
        <w:rPr>
          <w:rtl/>
        </w:rPr>
        <w:t>[1]</w:t>
      </w:r>
      <w:r>
        <w:rPr>
          <w:rtl/>
        </w:rPr>
        <w:tab/>
      </w:r>
      <w:hyperlink r:id="rId10" w:history="1">
        <w:r w:rsidR="00E2755E" w:rsidRPr="00E2755E">
          <w:rPr>
            <w:rStyle w:val="Hyperlink"/>
            <w:rFonts w:hint="eastAsia"/>
            <w:rtl/>
          </w:rPr>
          <w:t>ע</w:t>
        </w:r>
        <w:r w:rsidR="00E2755E" w:rsidRPr="00E2755E">
          <w:rPr>
            <w:rStyle w:val="Hyperlink"/>
            <w:rtl/>
          </w:rPr>
          <w:t>"פ 6269/99 כהן נ' מדינת ישראל, פ"ד נה</w:t>
        </w:r>
      </w:hyperlink>
      <w:r>
        <w:rPr>
          <w:rFonts w:hint="cs"/>
          <w:rtl/>
        </w:rPr>
        <w:t>(2) 496.</w:t>
      </w:r>
      <w:r>
        <w:rPr>
          <w:color w:val="FFFFFF"/>
          <w:sz w:val="4"/>
          <w:szCs w:val="4"/>
          <w:rtl/>
        </w:rPr>
        <w:t>ב</w:t>
      </w:r>
    </w:p>
    <w:p w14:paraId="7836CF8A" w14:textId="77777777" w:rsidR="00144D22" w:rsidRDefault="00144D22">
      <w:pPr>
        <w:pStyle w:val="a0"/>
        <w:spacing w:before="240"/>
        <w:ind w:firstLine="0"/>
        <w:rPr>
          <w:rFonts w:cs="Miriam"/>
          <w:szCs w:val="19"/>
          <w:rtl/>
        </w:rPr>
      </w:pPr>
      <w:r>
        <w:rPr>
          <w:rFonts w:hint="cs"/>
          <w:rtl/>
        </w:rPr>
        <w:t>תביעה לפי סעיף 348(ג) ל</w:t>
      </w:r>
      <w:hyperlink r:id="rId11" w:history="1">
        <w:r w:rsidR="00E2755E" w:rsidRPr="00E2755E">
          <w:rPr>
            <w:rStyle w:val="Hyperlink"/>
            <w:rFonts w:hint="eastAsia"/>
            <w:rtl/>
          </w:rPr>
          <w:t>חוק</w:t>
        </w:r>
        <w:r w:rsidR="00E2755E" w:rsidRPr="00E2755E">
          <w:rPr>
            <w:rStyle w:val="Hyperlink"/>
            <w:rtl/>
          </w:rPr>
          <w:t xml:space="preserve"> העונשין</w:t>
        </w:r>
      </w:hyperlink>
      <w:r>
        <w:rPr>
          <w:rFonts w:hint="cs"/>
          <w:rtl/>
        </w:rPr>
        <w:t>, תשל"ז-1977</w:t>
      </w:r>
      <w:r>
        <w:rPr>
          <w:rtl/>
        </w:rPr>
        <w:t xml:space="preserve">. </w:t>
      </w:r>
      <w:r>
        <w:rPr>
          <w:rFonts w:cs="Miriam"/>
          <w:sz w:val="26"/>
          <w:szCs w:val="19"/>
          <w:rtl/>
        </w:rPr>
        <w:t>ה</w:t>
      </w:r>
      <w:r>
        <w:rPr>
          <w:rFonts w:cs="Miriam" w:hint="cs"/>
          <w:sz w:val="26"/>
          <w:szCs w:val="19"/>
          <w:rtl/>
        </w:rPr>
        <w:t>תביעה</w:t>
      </w:r>
      <w:r>
        <w:rPr>
          <w:rFonts w:cs="Miriam"/>
          <w:sz w:val="26"/>
          <w:szCs w:val="19"/>
          <w:rtl/>
        </w:rPr>
        <w:t xml:space="preserve"> </w:t>
      </w:r>
      <w:r>
        <w:rPr>
          <w:rFonts w:cs="Miriam" w:hint="cs"/>
          <w:sz w:val="26"/>
          <w:szCs w:val="19"/>
          <w:rtl/>
        </w:rPr>
        <w:t>נתקבלה</w:t>
      </w:r>
      <w:r>
        <w:rPr>
          <w:rtl/>
        </w:rPr>
        <w:t>.</w:t>
      </w:r>
      <w:r>
        <w:rPr>
          <w:color w:val="FFFFFF"/>
          <w:sz w:val="4"/>
          <w:szCs w:val="4"/>
          <w:rtl/>
        </w:rPr>
        <w:t>ו</w:t>
      </w:r>
    </w:p>
    <w:p w14:paraId="69C4E6BA" w14:textId="77777777" w:rsidR="00144D22" w:rsidRDefault="00144D22">
      <w:pPr>
        <w:pStyle w:val="a0"/>
        <w:spacing w:after="60"/>
        <w:ind w:left="284" w:hanging="284"/>
        <w:rPr>
          <w:rtl/>
        </w:rPr>
      </w:pPr>
      <w:r>
        <w:rPr>
          <w:rFonts w:hint="cs"/>
          <w:rtl/>
        </w:rPr>
        <w:t>שרון תשבי, לימור פרץ</w:t>
      </w:r>
      <w:r>
        <w:rPr>
          <w:rtl/>
        </w:rPr>
        <w:t xml:space="preserve"> – בשם </w:t>
      </w:r>
      <w:r>
        <w:rPr>
          <w:rFonts w:hint="cs"/>
          <w:rtl/>
        </w:rPr>
        <w:t>המאשימה</w:t>
      </w:r>
      <w:r>
        <w:rPr>
          <w:rtl/>
        </w:rPr>
        <w:t>;</w:t>
      </w:r>
    </w:p>
    <w:p w14:paraId="41D468AD" w14:textId="77777777" w:rsidR="00144D22" w:rsidRDefault="00144D22">
      <w:pPr>
        <w:pStyle w:val="a0"/>
        <w:spacing w:after="60"/>
        <w:ind w:left="284" w:hanging="284"/>
        <w:rPr>
          <w:rtl/>
        </w:rPr>
      </w:pPr>
      <w:r>
        <w:rPr>
          <w:rFonts w:hint="cs"/>
          <w:rtl/>
        </w:rPr>
        <w:t>מנחם זרסקי</w:t>
      </w:r>
      <w:r>
        <w:rPr>
          <w:rtl/>
        </w:rPr>
        <w:t xml:space="preserve"> – בשם </w:t>
      </w:r>
      <w:r>
        <w:rPr>
          <w:rFonts w:hint="cs"/>
          <w:rtl/>
        </w:rPr>
        <w:t>הנאשם</w:t>
      </w:r>
      <w:r>
        <w:rPr>
          <w:rtl/>
        </w:rPr>
        <w:t>.</w:t>
      </w:r>
      <w:r>
        <w:rPr>
          <w:color w:val="FFFFFF"/>
          <w:sz w:val="4"/>
          <w:szCs w:val="4"/>
          <w:rtl/>
        </w:rPr>
        <w:t>נ</w:t>
      </w:r>
    </w:p>
    <w:bookmarkEnd w:id="1"/>
    <w:p w14:paraId="0CC09F66" w14:textId="77777777" w:rsidR="00144D22" w:rsidRDefault="00144D22">
      <w:pPr>
        <w:pStyle w:val="-"/>
        <w:spacing w:before="600" w:after="360"/>
        <w:rPr>
          <w:spacing w:val="20"/>
          <w:u w:val="none"/>
          <w:rtl/>
        </w:rPr>
      </w:pPr>
      <w:r>
        <w:rPr>
          <w:rFonts w:hint="cs"/>
          <w:spacing w:val="20"/>
          <w:u w:val="none"/>
          <w:rtl/>
        </w:rPr>
        <w:lastRenderedPageBreak/>
        <w:t>הכרעת</w:t>
      </w:r>
      <w:r>
        <w:rPr>
          <w:spacing w:val="20"/>
          <w:position w:val="5"/>
          <w:u w:val="none"/>
          <w:rtl/>
        </w:rPr>
        <w:t>-</w:t>
      </w:r>
      <w:r>
        <w:rPr>
          <w:spacing w:val="20"/>
          <w:u w:val="none"/>
          <w:rtl/>
        </w:rPr>
        <w:t>דין</w:t>
      </w:r>
    </w:p>
    <w:p w14:paraId="54AFCAC5" w14:textId="77777777" w:rsidR="00144D22" w:rsidRDefault="00144D22">
      <w:pPr>
        <w:pStyle w:val="a3"/>
        <w:rPr>
          <w:bCs/>
          <w:rtl/>
        </w:rPr>
      </w:pPr>
      <w:bookmarkStart w:id="2" w:name="WRITER_NAME"/>
      <w:r>
        <w:rPr>
          <w:rtl/>
        </w:rPr>
        <w:t xml:space="preserve">השופט </w:t>
      </w:r>
      <w:r>
        <w:rPr>
          <w:rFonts w:hint="cs"/>
          <w:rtl/>
        </w:rPr>
        <w:t xml:space="preserve">י' </w:t>
      </w:r>
      <w:bookmarkEnd w:id="2"/>
      <w:r>
        <w:rPr>
          <w:rFonts w:hint="cs"/>
          <w:rtl/>
        </w:rPr>
        <w:t>לוי</w:t>
      </w:r>
    </w:p>
    <w:p w14:paraId="7702C2AD" w14:textId="77777777" w:rsidR="00144D22" w:rsidRDefault="00144D22">
      <w:pPr>
        <w:pStyle w:val="a0"/>
        <w:rPr>
          <w:rFonts w:cs="Miriam" w:hint="cs"/>
          <w:sz w:val="19"/>
          <w:szCs w:val="19"/>
          <w:rtl/>
        </w:rPr>
      </w:pPr>
      <w:r>
        <w:rPr>
          <w:rFonts w:cs="Miriam" w:hint="cs"/>
          <w:sz w:val="19"/>
          <w:szCs w:val="19"/>
          <w:rtl/>
        </w:rPr>
        <w:t>האישום</w:t>
      </w:r>
    </w:p>
    <w:p w14:paraId="3FF36241" w14:textId="77777777" w:rsidR="00144D22" w:rsidRDefault="00144D22">
      <w:pPr>
        <w:pStyle w:val="a0"/>
        <w:rPr>
          <w:rFonts w:hint="cs"/>
          <w:rtl/>
        </w:rPr>
      </w:pPr>
      <w:r>
        <w:rPr>
          <w:rFonts w:hint="cs"/>
          <w:rtl/>
        </w:rPr>
        <w:t>1.</w:t>
      </w:r>
      <w:r>
        <w:rPr>
          <w:rFonts w:hint="cs"/>
          <w:rtl/>
        </w:rPr>
        <w:tab/>
        <w:t xml:space="preserve">הנאשם מואשם בעבירה של מעשה מגונה לפי </w:t>
      </w:r>
      <w:hyperlink r:id="rId12" w:history="1">
        <w:r w:rsidR="00BE578E" w:rsidRPr="00BE578E">
          <w:rPr>
            <w:color w:val="0000FF"/>
            <w:u w:val="single"/>
            <w:rtl/>
          </w:rPr>
          <w:t>סעיף 348(ג)</w:t>
        </w:r>
      </w:hyperlink>
      <w:r>
        <w:rPr>
          <w:rFonts w:hint="cs"/>
          <w:rtl/>
        </w:rPr>
        <w:t xml:space="preserve"> ל</w:t>
      </w:r>
      <w:hyperlink r:id="rId13" w:history="1">
        <w:r w:rsidR="00E2755E" w:rsidRPr="00E2755E">
          <w:rPr>
            <w:rStyle w:val="Hyperlink"/>
            <w:rFonts w:hint="eastAsia"/>
            <w:rtl/>
          </w:rPr>
          <w:t>חוק</w:t>
        </w:r>
        <w:r w:rsidR="00E2755E" w:rsidRPr="00E2755E">
          <w:rPr>
            <w:rStyle w:val="Hyperlink"/>
            <w:rtl/>
          </w:rPr>
          <w:t xml:space="preserve"> העונשין</w:t>
        </w:r>
      </w:hyperlink>
      <w:r>
        <w:rPr>
          <w:rFonts w:hint="cs"/>
          <w:rtl/>
        </w:rPr>
        <w:t>, תשל"ז-1977 בכך שביום 10.5.2000, סמוך לשעה 11:15, בתערוכת חיל האוויר בתל נוף (להלן</w:t>
      </w:r>
      <w:r>
        <w:rPr>
          <w:rFonts w:cs="Miriam" w:hint="cs"/>
          <w:sz w:val="19"/>
          <w:szCs w:val="19"/>
          <w:rtl/>
        </w:rPr>
        <w:t xml:space="preserve"> </w:t>
      </w:r>
      <w:r>
        <w:rPr>
          <w:rFonts w:hint="cs"/>
          <w:rtl/>
        </w:rPr>
        <w:t>–</w:t>
      </w:r>
      <w:r>
        <w:rPr>
          <w:rFonts w:cs="Miriam" w:hint="cs"/>
          <w:sz w:val="19"/>
          <w:szCs w:val="19"/>
          <w:rtl/>
        </w:rPr>
        <w:t xml:space="preserve"> </w:t>
      </w:r>
      <w:r>
        <w:rPr>
          <w:rFonts w:hint="cs"/>
          <w:rtl/>
        </w:rPr>
        <w:t xml:space="preserve">הבסיס) נגע בידו באיברים אינטימיים של נשים </w:t>
      </w:r>
      <w:r>
        <w:rPr>
          <w:rFonts w:hint="eastAsia"/>
          <w:rtl/>
        </w:rPr>
        <w:t>–</w:t>
      </w:r>
      <w:r>
        <w:rPr>
          <w:rFonts w:hint="cs"/>
          <w:rtl/>
        </w:rPr>
        <w:t xml:space="preserve"> שזהותן ומספרן אינם ידועים לתביעה </w:t>
      </w:r>
      <w:r>
        <w:rPr>
          <w:rFonts w:hint="eastAsia"/>
          <w:rtl/>
        </w:rPr>
        <w:t>–</w:t>
      </w:r>
      <w:r>
        <w:rPr>
          <w:rFonts w:hint="cs"/>
          <w:rtl/>
        </w:rPr>
        <w:t xml:space="preserve"> שלא בהסכמתן, וזאת לשם סיפוקו המיני. </w:t>
      </w:r>
    </w:p>
    <w:p w14:paraId="770D37BE" w14:textId="77777777" w:rsidR="00144D22" w:rsidRDefault="00144D22">
      <w:pPr>
        <w:pStyle w:val="a0"/>
        <w:rPr>
          <w:rFonts w:hint="cs"/>
          <w:sz w:val="22"/>
          <w:rtl/>
        </w:rPr>
      </w:pPr>
      <w:r>
        <w:rPr>
          <w:rFonts w:hint="cs"/>
          <w:sz w:val="22"/>
          <w:rtl/>
        </w:rPr>
        <w:t>2.</w:t>
      </w:r>
      <w:r>
        <w:rPr>
          <w:rFonts w:hint="cs"/>
          <w:sz w:val="22"/>
          <w:rtl/>
        </w:rPr>
        <w:tab/>
        <w:t>המשפט מתברר בפניי לאחר שהנאשם, באמצעות סניגורו המלומד, עורך</w:t>
      </w:r>
      <w:r>
        <w:rPr>
          <w:rFonts w:hint="cs"/>
          <w:position w:val="4"/>
          <w:rtl/>
        </w:rPr>
        <w:t>-</w:t>
      </w:r>
      <w:r>
        <w:rPr>
          <w:rFonts w:hint="cs"/>
          <w:sz w:val="22"/>
          <w:rtl/>
        </w:rPr>
        <w:t xml:space="preserve">דין זרסקי, כפר בעבירה המיוחסת לו. </w:t>
      </w:r>
    </w:p>
    <w:p w14:paraId="512075F3" w14:textId="77777777" w:rsidR="00144D22" w:rsidRDefault="00144D22">
      <w:pPr>
        <w:pStyle w:val="a0"/>
        <w:rPr>
          <w:rFonts w:cs="Miriam" w:hint="cs"/>
          <w:sz w:val="19"/>
          <w:szCs w:val="19"/>
          <w:rtl/>
        </w:rPr>
      </w:pPr>
      <w:r>
        <w:rPr>
          <w:rFonts w:cs="Miriam" w:hint="cs"/>
          <w:sz w:val="19"/>
          <w:szCs w:val="19"/>
          <w:rtl/>
        </w:rPr>
        <w:t>מהלך הדיון</w:t>
      </w:r>
    </w:p>
    <w:p w14:paraId="6559C3EA" w14:textId="77777777" w:rsidR="00144D22" w:rsidRDefault="00144D22">
      <w:pPr>
        <w:pStyle w:val="a0"/>
        <w:rPr>
          <w:rFonts w:hint="cs"/>
          <w:sz w:val="22"/>
          <w:rtl/>
        </w:rPr>
      </w:pPr>
      <w:r>
        <w:rPr>
          <w:rFonts w:hint="cs"/>
          <w:sz w:val="22"/>
          <w:rtl/>
        </w:rPr>
        <w:t>3.</w:t>
      </w:r>
      <w:r>
        <w:rPr>
          <w:rFonts w:hint="cs"/>
          <w:sz w:val="22"/>
          <w:rtl/>
        </w:rPr>
        <w:tab/>
        <w:t xml:space="preserve">בתום שמיעת הראיות והסיכומים </w:t>
      </w:r>
      <w:r>
        <w:rPr>
          <w:rFonts w:hint="eastAsia"/>
          <w:sz w:val="22"/>
          <w:rtl/>
        </w:rPr>
        <w:t>–</w:t>
      </w:r>
      <w:r>
        <w:rPr>
          <w:rFonts w:hint="cs"/>
          <w:sz w:val="22"/>
          <w:rtl/>
        </w:rPr>
        <w:t xml:space="preserve"> לאור התרשמות בית</w:t>
      </w:r>
      <w:r>
        <w:rPr>
          <w:rFonts w:hint="cs"/>
          <w:position w:val="4"/>
          <w:rtl/>
        </w:rPr>
        <w:t>-</w:t>
      </w:r>
      <w:r>
        <w:rPr>
          <w:rFonts w:hint="cs"/>
          <w:sz w:val="22"/>
          <w:rtl/>
        </w:rPr>
        <w:t xml:space="preserve">המשפט מעדות הנאשם ולאור טענת הסניגור כי הנאשם לוקה בנפשו </w:t>
      </w:r>
      <w:r>
        <w:rPr>
          <w:rFonts w:hint="eastAsia"/>
          <w:sz w:val="22"/>
          <w:rtl/>
        </w:rPr>
        <w:t>–</w:t>
      </w:r>
      <w:r>
        <w:rPr>
          <w:rFonts w:hint="cs"/>
          <w:sz w:val="22"/>
          <w:rtl/>
        </w:rPr>
        <w:t xml:space="preserve"> הורה בית</w:t>
      </w:r>
      <w:r>
        <w:rPr>
          <w:rFonts w:hint="cs"/>
          <w:position w:val="4"/>
          <w:rtl/>
        </w:rPr>
        <w:t>-</w:t>
      </w:r>
      <w:r>
        <w:rPr>
          <w:rFonts w:hint="cs"/>
          <w:sz w:val="22"/>
          <w:rtl/>
        </w:rPr>
        <w:t>המשפט על קבלת חוות</w:t>
      </w:r>
      <w:r>
        <w:rPr>
          <w:rFonts w:hint="cs"/>
          <w:position w:val="4"/>
          <w:rtl/>
        </w:rPr>
        <w:t>-</w:t>
      </w:r>
      <w:r>
        <w:rPr>
          <w:rFonts w:hint="cs"/>
          <w:sz w:val="22"/>
          <w:rtl/>
        </w:rPr>
        <w:t xml:space="preserve">דעת הפסיכיאטר המחוזי בעניין כשירותו של הנאשם לעמוד לדין. </w:t>
      </w:r>
    </w:p>
    <w:p w14:paraId="3FBDE3A4" w14:textId="77777777" w:rsidR="00144D22" w:rsidRDefault="00144D22">
      <w:pPr>
        <w:pStyle w:val="a0"/>
        <w:rPr>
          <w:rFonts w:hint="cs"/>
          <w:sz w:val="22"/>
          <w:rtl/>
        </w:rPr>
      </w:pPr>
      <w:r>
        <w:rPr>
          <w:rFonts w:hint="cs"/>
          <w:sz w:val="22"/>
          <w:rtl/>
        </w:rPr>
        <w:t>מחוות</w:t>
      </w:r>
      <w:r>
        <w:rPr>
          <w:rFonts w:hint="cs"/>
          <w:position w:val="4"/>
          <w:rtl/>
        </w:rPr>
        <w:t>-</w:t>
      </w:r>
      <w:r>
        <w:rPr>
          <w:rFonts w:hint="cs"/>
          <w:sz w:val="22"/>
          <w:rtl/>
        </w:rPr>
        <w:t xml:space="preserve">הדעת הפסיכיאטרית עולה כי הנאשם בן 61, יליד תימן, אלמן, אב לשתי בנות ומתגורר בגפו. </w:t>
      </w:r>
    </w:p>
    <w:p w14:paraId="72D2D92D" w14:textId="77777777" w:rsidR="00144D22" w:rsidRDefault="00144D22">
      <w:pPr>
        <w:pStyle w:val="a0"/>
        <w:rPr>
          <w:rFonts w:hint="cs"/>
          <w:sz w:val="22"/>
          <w:rtl/>
        </w:rPr>
      </w:pPr>
      <w:r>
        <w:rPr>
          <w:rFonts w:hint="cs"/>
          <w:sz w:val="22"/>
          <w:rtl/>
        </w:rPr>
        <w:t>מסקנת חוות</w:t>
      </w:r>
      <w:r>
        <w:rPr>
          <w:rFonts w:hint="cs"/>
          <w:position w:val="4"/>
          <w:rtl/>
        </w:rPr>
        <w:t>-</w:t>
      </w:r>
      <w:r>
        <w:rPr>
          <w:rFonts w:hint="cs"/>
          <w:sz w:val="22"/>
          <w:rtl/>
        </w:rPr>
        <w:t>הדעת היא כי הנאשם אינו חולה נפש, מסוגל לעמוד לדין, מסוגל להבדיל בין מותר לאסור, אחראי למעשיו והיה אחראי למעשיו בעת שבוצעו המעשים המיוחסים לו באישום הנוכחי.</w:t>
      </w:r>
      <w:r>
        <w:rPr>
          <w:color w:val="FFFFFF"/>
          <w:sz w:val="4"/>
          <w:szCs w:val="4"/>
          <w:rtl/>
        </w:rPr>
        <w:t>ב</w:t>
      </w:r>
    </w:p>
    <w:p w14:paraId="1DE281F2" w14:textId="77777777" w:rsidR="00144D22" w:rsidRDefault="00144D22">
      <w:pPr>
        <w:pStyle w:val="a0"/>
        <w:rPr>
          <w:rFonts w:hint="cs"/>
          <w:sz w:val="22"/>
          <w:rtl/>
        </w:rPr>
      </w:pPr>
      <w:r>
        <w:rPr>
          <w:rFonts w:hint="cs"/>
          <w:sz w:val="22"/>
          <w:rtl/>
        </w:rPr>
        <w:t>עם זאת, נמצא שהנאשם בעל אינטליגנציה בגבול הנמוך של הנורמה והומלץ על הפנייתו לוועדת אבחון במסגרת השירות למפגר. נקבע שהנאשם אינו זקוק לאשפוז פסיכיאטרי.</w:t>
      </w:r>
      <w:r>
        <w:rPr>
          <w:color w:val="FFFFFF"/>
          <w:sz w:val="4"/>
          <w:szCs w:val="4"/>
          <w:rtl/>
        </w:rPr>
        <w:t>ו</w:t>
      </w:r>
    </w:p>
    <w:p w14:paraId="159FD84A" w14:textId="77777777" w:rsidR="00144D22" w:rsidRDefault="00144D22">
      <w:pPr>
        <w:pStyle w:val="a0"/>
        <w:rPr>
          <w:rFonts w:cs="Miriam" w:hint="cs"/>
          <w:sz w:val="19"/>
          <w:szCs w:val="19"/>
          <w:rtl/>
        </w:rPr>
      </w:pPr>
      <w:r>
        <w:rPr>
          <w:rFonts w:cs="Miriam" w:hint="cs"/>
          <w:sz w:val="19"/>
          <w:szCs w:val="19"/>
          <w:rtl/>
        </w:rPr>
        <w:t>התשתית הראייתית</w:t>
      </w:r>
    </w:p>
    <w:p w14:paraId="30394B47" w14:textId="77777777" w:rsidR="00144D22" w:rsidRDefault="00144D22">
      <w:pPr>
        <w:pStyle w:val="a0"/>
        <w:rPr>
          <w:rFonts w:hint="cs"/>
          <w:sz w:val="22"/>
          <w:rtl/>
        </w:rPr>
      </w:pPr>
      <w:r>
        <w:rPr>
          <w:rFonts w:hint="cs"/>
          <w:sz w:val="22"/>
          <w:rtl/>
        </w:rPr>
        <w:t>4.</w:t>
      </w:r>
      <w:r>
        <w:rPr>
          <w:rFonts w:hint="cs"/>
          <w:sz w:val="22"/>
          <w:rtl/>
        </w:rPr>
        <w:tab/>
        <w:t>ייחודו של ההליך שבפניי הוא היעדרן של תלונות נשים, קורבנות המעשים המגונים שבביצועם מואשם הנאשם.</w:t>
      </w:r>
      <w:r>
        <w:rPr>
          <w:color w:val="FFFFFF"/>
          <w:sz w:val="4"/>
          <w:szCs w:val="4"/>
          <w:rtl/>
        </w:rPr>
        <w:t>נ</w:t>
      </w:r>
    </w:p>
    <w:p w14:paraId="2109A5B5" w14:textId="77777777" w:rsidR="00144D22" w:rsidRDefault="00144D22">
      <w:pPr>
        <w:pStyle w:val="a0"/>
        <w:rPr>
          <w:rFonts w:hint="cs"/>
          <w:sz w:val="22"/>
          <w:rtl/>
        </w:rPr>
      </w:pPr>
      <w:r>
        <w:rPr>
          <w:rFonts w:hint="cs"/>
          <w:sz w:val="22"/>
          <w:rtl/>
        </w:rPr>
        <w:lastRenderedPageBreak/>
        <w:t>5.</w:t>
      </w:r>
      <w:r>
        <w:rPr>
          <w:rFonts w:hint="cs"/>
          <w:sz w:val="22"/>
          <w:rtl/>
        </w:rPr>
        <w:tab/>
        <w:t>הראיות עליהן מבקשת התביעה לבסס הרשעת הנאשם בעבירה המיוחסת לו הן אלה:</w:t>
      </w:r>
      <w:r>
        <w:rPr>
          <w:color w:val="FFFFFF"/>
          <w:sz w:val="4"/>
          <w:szCs w:val="4"/>
          <w:rtl/>
        </w:rPr>
        <w:t>ו</w:t>
      </w:r>
    </w:p>
    <w:p w14:paraId="0A26CC1A" w14:textId="77777777" w:rsidR="00144D22" w:rsidRDefault="00144D22">
      <w:pPr>
        <w:pStyle w:val="a0"/>
        <w:rPr>
          <w:rFonts w:hint="cs"/>
          <w:sz w:val="22"/>
          <w:rtl/>
        </w:rPr>
      </w:pPr>
      <w:r>
        <w:rPr>
          <w:sz w:val="22"/>
          <w:rtl/>
        </w:rPr>
        <w:t>(</w:t>
      </w:r>
      <w:r>
        <w:rPr>
          <w:rFonts w:hint="cs"/>
          <w:sz w:val="22"/>
          <w:rtl/>
        </w:rPr>
        <w:t>א</w:t>
      </w:r>
      <w:r>
        <w:rPr>
          <w:sz w:val="22"/>
          <w:rtl/>
        </w:rPr>
        <w:t>)</w:t>
      </w:r>
      <w:r>
        <w:rPr>
          <w:rFonts w:hint="cs"/>
          <w:sz w:val="22"/>
          <w:rtl/>
        </w:rPr>
        <w:tab/>
        <w:t xml:space="preserve">עדות רפ"ק רונן עזרא (ע"ת 1) (להלן – </w:t>
      </w:r>
      <w:r>
        <w:rPr>
          <w:rFonts w:hint="cs"/>
          <w:rtl/>
        </w:rPr>
        <w:t>הקצין</w:t>
      </w:r>
      <w:r>
        <w:rPr>
          <w:rFonts w:hint="cs"/>
          <w:sz w:val="22"/>
          <w:rtl/>
        </w:rPr>
        <w:t>).</w:t>
      </w:r>
      <w:r>
        <w:rPr>
          <w:color w:val="FFFFFF"/>
          <w:sz w:val="4"/>
          <w:szCs w:val="4"/>
          <w:rtl/>
        </w:rPr>
        <w:t>ב</w:t>
      </w:r>
    </w:p>
    <w:p w14:paraId="0D70AF88" w14:textId="77777777" w:rsidR="00144D22" w:rsidRDefault="00144D22">
      <w:pPr>
        <w:pStyle w:val="a0"/>
        <w:rPr>
          <w:rFonts w:hint="cs"/>
          <w:sz w:val="22"/>
          <w:rtl/>
        </w:rPr>
      </w:pPr>
      <w:r>
        <w:rPr>
          <w:sz w:val="22"/>
          <w:rtl/>
        </w:rPr>
        <w:t>(</w:t>
      </w:r>
      <w:r>
        <w:rPr>
          <w:rFonts w:hint="cs"/>
          <w:sz w:val="22"/>
          <w:rtl/>
        </w:rPr>
        <w:t>ב</w:t>
      </w:r>
      <w:r>
        <w:rPr>
          <w:sz w:val="22"/>
          <w:rtl/>
        </w:rPr>
        <w:t>)</w:t>
      </w:r>
      <w:r>
        <w:rPr>
          <w:rFonts w:hint="cs"/>
          <w:sz w:val="22"/>
          <w:rtl/>
        </w:rPr>
        <w:tab/>
        <w:t>הודיית הנאשם בהודעתו במשטרה מיום 10.5.2000, שעה 14:30 (ת/2).</w:t>
      </w:r>
      <w:r>
        <w:rPr>
          <w:color w:val="FFFFFF"/>
          <w:sz w:val="4"/>
          <w:szCs w:val="4"/>
          <w:rtl/>
        </w:rPr>
        <w:t>ו</w:t>
      </w:r>
    </w:p>
    <w:p w14:paraId="370A9CB8" w14:textId="77777777" w:rsidR="00144D22" w:rsidRDefault="00144D22">
      <w:pPr>
        <w:pStyle w:val="a0"/>
        <w:rPr>
          <w:rFonts w:hint="cs"/>
          <w:sz w:val="22"/>
          <w:rtl/>
        </w:rPr>
      </w:pPr>
      <w:r>
        <w:rPr>
          <w:sz w:val="22"/>
          <w:rtl/>
        </w:rPr>
        <w:t>(</w:t>
      </w:r>
      <w:r>
        <w:rPr>
          <w:rFonts w:hint="cs"/>
          <w:sz w:val="22"/>
          <w:rtl/>
        </w:rPr>
        <w:t>ג</w:t>
      </w:r>
      <w:r>
        <w:rPr>
          <w:sz w:val="22"/>
          <w:rtl/>
        </w:rPr>
        <w:t>)</w:t>
      </w:r>
      <w:r>
        <w:rPr>
          <w:rFonts w:hint="cs"/>
          <w:sz w:val="22"/>
          <w:rtl/>
        </w:rPr>
        <w:tab/>
        <w:t>עדות הנאשם בבית</w:t>
      </w:r>
      <w:r>
        <w:rPr>
          <w:rFonts w:hint="cs"/>
          <w:position w:val="4"/>
          <w:rtl/>
        </w:rPr>
        <w:t>-</w:t>
      </w:r>
      <w:r>
        <w:rPr>
          <w:rFonts w:hint="cs"/>
          <w:sz w:val="22"/>
          <w:rtl/>
        </w:rPr>
        <w:t>המשפט.</w:t>
      </w:r>
      <w:r>
        <w:rPr>
          <w:color w:val="FFFFFF"/>
          <w:sz w:val="4"/>
          <w:szCs w:val="4"/>
          <w:rtl/>
        </w:rPr>
        <w:t>נ</w:t>
      </w:r>
    </w:p>
    <w:p w14:paraId="2D2B0E0B" w14:textId="77777777" w:rsidR="00144D22" w:rsidRDefault="00144D22">
      <w:pPr>
        <w:pStyle w:val="a0"/>
        <w:rPr>
          <w:rFonts w:hint="cs"/>
          <w:sz w:val="22"/>
          <w:rtl/>
        </w:rPr>
      </w:pPr>
      <w:r>
        <w:rPr>
          <w:rFonts w:hint="cs"/>
          <w:sz w:val="22"/>
          <w:rtl/>
        </w:rPr>
        <w:t>להלן יפורטו ראיות אלה כסדרן.</w:t>
      </w:r>
      <w:r>
        <w:rPr>
          <w:color w:val="FFFFFF"/>
          <w:sz w:val="4"/>
          <w:szCs w:val="4"/>
          <w:rtl/>
        </w:rPr>
        <w:t>ב</w:t>
      </w:r>
    </w:p>
    <w:p w14:paraId="67C6959C" w14:textId="77777777" w:rsidR="00144D22" w:rsidRDefault="00144D22">
      <w:pPr>
        <w:pStyle w:val="a0"/>
        <w:rPr>
          <w:rFonts w:cs="Miriam" w:hint="cs"/>
          <w:b/>
          <w:bCs/>
          <w:sz w:val="19"/>
          <w:szCs w:val="19"/>
          <w:rtl/>
        </w:rPr>
      </w:pPr>
      <w:r>
        <w:rPr>
          <w:rFonts w:cs="Miriam" w:hint="cs"/>
          <w:sz w:val="19"/>
          <w:szCs w:val="19"/>
          <w:rtl/>
        </w:rPr>
        <w:t>עדות הקצין</w:t>
      </w:r>
    </w:p>
    <w:p w14:paraId="486664CD" w14:textId="77777777" w:rsidR="00144D22" w:rsidRDefault="00144D22">
      <w:pPr>
        <w:pStyle w:val="a0"/>
        <w:rPr>
          <w:rFonts w:hint="cs"/>
          <w:sz w:val="22"/>
          <w:rtl/>
        </w:rPr>
      </w:pPr>
      <w:r>
        <w:rPr>
          <w:rFonts w:hint="cs"/>
          <w:sz w:val="22"/>
          <w:rtl/>
        </w:rPr>
        <w:t>6.</w:t>
      </w:r>
      <w:r>
        <w:rPr>
          <w:rFonts w:hint="cs"/>
          <w:sz w:val="22"/>
          <w:rtl/>
        </w:rPr>
        <w:tab/>
        <w:t>הקצין העיד כי ביום 10.5.2000 שימש בתפקיד ראש משרד מודיעין ובילוש במשטרת ראשון</w:t>
      </w:r>
      <w:r>
        <w:rPr>
          <w:rFonts w:hint="cs"/>
          <w:position w:val="4"/>
          <w:rtl/>
        </w:rPr>
        <w:t>-</w:t>
      </w:r>
      <w:r>
        <w:rPr>
          <w:rFonts w:hint="cs"/>
          <w:sz w:val="22"/>
          <w:rtl/>
        </w:rPr>
        <w:t>לציון ונכח בתערוכה בבסיס תל נוף במסגרת משפחתית. סמוך לשעה 10:00 ניגש למזנון והבחין בנאשם אוחז בידו פחית שנראתה ריקה ממשקה. הנאשם השים עצמו שותה מהפחית באופן שנתן לו, לדעת הקצין, לגיטימציה להישען על דלפק המזנון. במצב דברים זה הבחין הקצין כי הנאשם נצמד לנשים שביקשו לרכוש שלגונים והבחין כי הנאשם:</w:t>
      </w:r>
      <w:r>
        <w:rPr>
          <w:color w:val="FFFFFF"/>
          <w:sz w:val="4"/>
          <w:szCs w:val="4"/>
          <w:rtl/>
        </w:rPr>
        <w:t>ב</w:t>
      </w:r>
      <w:r>
        <w:rPr>
          <w:rFonts w:hint="cs"/>
          <w:sz w:val="22"/>
          <w:rtl/>
        </w:rPr>
        <w:t xml:space="preserve"> "</w:t>
      </w:r>
      <w:r>
        <w:rPr>
          <w:rFonts w:cs="Miriam" w:hint="cs"/>
          <w:sz w:val="19"/>
          <w:szCs w:val="19"/>
          <w:rtl/>
        </w:rPr>
        <w:t>שולח ידיו לאיברים האינטימיים</w:t>
      </w:r>
      <w:r>
        <w:rPr>
          <w:rFonts w:hint="cs"/>
          <w:sz w:val="22"/>
          <w:rtl/>
        </w:rPr>
        <w:t xml:space="preserve"> של</w:t>
      </w:r>
      <w:r>
        <w:rPr>
          <w:rFonts w:hint="cs"/>
          <w:b/>
          <w:bCs/>
          <w:sz w:val="22"/>
          <w:rtl/>
        </w:rPr>
        <w:t xml:space="preserve"> </w:t>
      </w:r>
      <w:r>
        <w:rPr>
          <w:rFonts w:hint="cs"/>
          <w:sz w:val="22"/>
          <w:rtl/>
        </w:rPr>
        <w:t xml:space="preserve">הנשים. הוא אפילו נדחף על הנשים, אני בשלב מסוים עמדתי מאחוריו, ראיתי אותו... </w:t>
      </w:r>
      <w:r>
        <w:rPr>
          <w:rFonts w:cs="Miriam" w:hint="cs"/>
          <w:sz w:val="19"/>
          <w:szCs w:val="19"/>
          <w:rtl/>
        </w:rPr>
        <w:t>והידיים שלו מופנים לאחור בתוך האיבריים האינטימיים של נשים, הוא שם להם ידיו</w:t>
      </w:r>
      <w:r>
        <w:rPr>
          <w:rFonts w:hint="cs"/>
          <w:sz w:val="22"/>
          <w:rtl/>
        </w:rPr>
        <w:t xml:space="preserve"> </w:t>
      </w:r>
      <w:r>
        <w:rPr>
          <w:rFonts w:cs="Miriam" w:hint="cs"/>
          <w:sz w:val="19"/>
          <w:szCs w:val="19"/>
          <w:rtl/>
        </w:rPr>
        <w:t>בין</w:t>
      </w:r>
      <w:r>
        <w:rPr>
          <w:rFonts w:cs="Miriam" w:hint="cs"/>
          <w:b/>
          <w:bCs/>
          <w:sz w:val="19"/>
          <w:szCs w:val="19"/>
          <w:u w:val="single"/>
          <w:rtl/>
        </w:rPr>
        <w:t xml:space="preserve"> </w:t>
      </w:r>
      <w:r>
        <w:rPr>
          <w:rFonts w:cs="Miriam" w:hint="cs"/>
          <w:sz w:val="19"/>
          <w:szCs w:val="19"/>
          <w:rtl/>
        </w:rPr>
        <w:t>הרגליים</w:t>
      </w:r>
      <w:r>
        <w:rPr>
          <w:rFonts w:hint="cs"/>
          <w:b/>
          <w:bCs/>
          <w:sz w:val="22"/>
          <w:rtl/>
        </w:rPr>
        <w:t xml:space="preserve">. </w:t>
      </w:r>
      <w:r>
        <w:rPr>
          <w:rFonts w:hint="cs"/>
          <w:sz w:val="22"/>
          <w:rtl/>
        </w:rPr>
        <w:t>מה שקרה זה שמרבית הנשים, מכיון שהיה דוחק, הן אפילו לא הבינו מה קורה. ראיתי זאת מספר פעמים ואני 14 שנה לפחות עוסק בדברים האלה, ורציתי להיות בטוח במה שאני רואה, ואז התקרבתי אליו לראות לאן ידיו הולכות, והוא לא הבחין בי כי היתה צפיפות אדירה, וראיתי שהוא עמד סטטי, ובאופן מגמתי כל אשה שהתקרבה למקום, אם היה צריך להתקרב אליה, התקרב, ואם היה צריך לשנות במקום הוא שינה, העיקר לעשות את הענין הזה... לכן לאחר 20 דקות היה לי ברור שזאת מגמתו"</w:t>
      </w:r>
      <w:r>
        <w:rPr>
          <w:rFonts w:hint="cs"/>
          <w:b/>
          <w:bCs/>
          <w:sz w:val="22"/>
          <w:rtl/>
        </w:rPr>
        <w:t xml:space="preserve"> </w:t>
      </w:r>
      <w:r>
        <w:rPr>
          <w:rFonts w:hint="cs"/>
          <w:sz w:val="22"/>
          <w:rtl/>
        </w:rPr>
        <w:t xml:space="preserve">(עמ' 4 לפרוטוקול, שורות 20-14 ועמ' 5 שורות 2-1; ההדגשות שלי </w:t>
      </w:r>
      <w:r>
        <w:rPr>
          <w:sz w:val="22"/>
          <w:rtl/>
        </w:rPr>
        <w:t>–</w:t>
      </w:r>
      <w:r>
        <w:rPr>
          <w:rFonts w:hint="cs"/>
          <w:sz w:val="22"/>
          <w:rtl/>
        </w:rPr>
        <w:t xml:space="preserve"> י' ל'). </w:t>
      </w:r>
    </w:p>
    <w:p w14:paraId="1B35F23A" w14:textId="77777777" w:rsidR="00144D22" w:rsidRDefault="00144D22">
      <w:pPr>
        <w:pStyle w:val="a0"/>
        <w:rPr>
          <w:rFonts w:hint="cs"/>
          <w:sz w:val="22"/>
          <w:rtl/>
        </w:rPr>
      </w:pPr>
      <w:r>
        <w:rPr>
          <w:rFonts w:hint="cs"/>
          <w:sz w:val="22"/>
          <w:rtl/>
        </w:rPr>
        <w:t>הקצין ציין כי הנאשם נגע בכ</w:t>
      </w:r>
      <w:r>
        <w:rPr>
          <w:rFonts w:hint="cs"/>
          <w:position w:val="4"/>
          <w:sz w:val="22"/>
          <w:rtl/>
        </w:rPr>
        <w:t>-</w:t>
      </w:r>
      <w:r>
        <w:rPr>
          <w:rFonts w:hint="cs"/>
          <w:sz w:val="22"/>
          <w:rtl/>
        </w:rPr>
        <w:t>10-5 נשים. לאחר שהשתכנע הקצין כי זאת כוונת הנאשם, פנה אליו ואמר לו שהבחין במעשיו וביקש לעכבו. לדברי הקצין, הנאשם הודה בפניו שאכן נגע בבחורות שונות</w:t>
      </w:r>
      <w:r>
        <w:rPr>
          <w:rFonts w:hint="cs"/>
          <w:rtl/>
        </w:rPr>
        <w:t xml:space="preserve">: "הוא אמר שנגע למטה והוא מבקש סליחה, ושאלתי לכמה בחורות הוא נגע, והוא אמר להרבה בחורות והוא לא זוכר כמה" (עמ' </w:t>
      </w:r>
      <w:r>
        <w:rPr>
          <w:rFonts w:hint="cs"/>
          <w:sz w:val="22"/>
          <w:rtl/>
        </w:rPr>
        <w:t>5 ל</w:t>
      </w:r>
      <w:r>
        <w:rPr>
          <w:rFonts w:hint="cs"/>
          <w:rtl/>
        </w:rPr>
        <w:t>פרוטוקול</w:t>
      </w:r>
      <w:r>
        <w:rPr>
          <w:rFonts w:hint="cs"/>
          <w:sz w:val="22"/>
          <w:rtl/>
        </w:rPr>
        <w:t>, שורות 21-19).</w:t>
      </w:r>
      <w:r>
        <w:rPr>
          <w:color w:val="FFFFFF"/>
          <w:sz w:val="4"/>
          <w:szCs w:val="4"/>
          <w:rtl/>
        </w:rPr>
        <w:t>ו</w:t>
      </w:r>
    </w:p>
    <w:p w14:paraId="7F9A682B" w14:textId="77777777" w:rsidR="00144D22" w:rsidRDefault="00144D22">
      <w:pPr>
        <w:pStyle w:val="a0"/>
        <w:rPr>
          <w:rFonts w:hint="cs"/>
          <w:sz w:val="22"/>
          <w:rtl/>
        </w:rPr>
      </w:pPr>
      <w:r>
        <w:rPr>
          <w:rFonts w:hint="cs"/>
          <w:sz w:val="22"/>
          <w:rtl/>
        </w:rPr>
        <w:t>לשאלה מדוע אין אפילו עדות של מתלוננת אחת בתיק השיב הקצין כי מאחר שהנשים היו עם בעליהן הן ביקשו, באותן נסיבות, להימנע ממעורבות עם המשטרה.</w:t>
      </w:r>
      <w:r>
        <w:rPr>
          <w:color w:val="FFFFFF"/>
          <w:sz w:val="4"/>
          <w:szCs w:val="4"/>
          <w:rtl/>
        </w:rPr>
        <w:t>נ</w:t>
      </w:r>
    </w:p>
    <w:p w14:paraId="619B364D" w14:textId="77777777" w:rsidR="00144D22" w:rsidRDefault="00144D22">
      <w:pPr>
        <w:pStyle w:val="a0"/>
        <w:rPr>
          <w:rFonts w:hint="cs"/>
          <w:sz w:val="22"/>
          <w:rtl/>
        </w:rPr>
      </w:pPr>
      <w:r>
        <w:rPr>
          <w:rFonts w:hint="cs"/>
          <w:sz w:val="22"/>
          <w:rtl/>
        </w:rPr>
        <w:t>הקצין הזמין ניידת משטרה למקום.</w:t>
      </w:r>
      <w:r>
        <w:rPr>
          <w:color w:val="FFFFFF"/>
          <w:sz w:val="4"/>
          <w:szCs w:val="4"/>
          <w:rtl/>
        </w:rPr>
        <w:t>ב</w:t>
      </w:r>
    </w:p>
    <w:p w14:paraId="1A7F0B68" w14:textId="77777777" w:rsidR="00144D22" w:rsidRDefault="00144D22">
      <w:pPr>
        <w:pStyle w:val="a0"/>
        <w:rPr>
          <w:rFonts w:hint="cs"/>
          <w:sz w:val="22"/>
          <w:rtl/>
        </w:rPr>
      </w:pPr>
      <w:r>
        <w:rPr>
          <w:rFonts w:hint="cs"/>
          <w:sz w:val="22"/>
          <w:rtl/>
        </w:rPr>
        <w:t xml:space="preserve">בחקירתו הנגדית הסביר הקצין כי איפשר לנאשם לבצע את מעשיו במשך 20 דקות כדי להיות משוכנע במראה עיניו. לטענת הקצין, בשל הדוחק הרב במקום הנשים לא הרגישו חדירה של אצבע לאיבר המין שנראית, לדעתו, טבעית בדוחק הזה. עם זאת, לשאלת הסניגור כיצד ייתכן הדבר, השיב הקצין כי אין ספק שהנשים הרגישו בכך משום שכשהוביל את הנאשם הצדה פנו אליו נשים ואמרו לקצין כי מדובר בנאשם. </w:t>
      </w:r>
    </w:p>
    <w:p w14:paraId="16E549AF" w14:textId="77777777" w:rsidR="00144D22" w:rsidRDefault="00144D22">
      <w:pPr>
        <w:pStyle w:val="a0"/>
        <w:rPr>
          <w:rFonts w:hint="cs"/>
          <w:sz w:val="22"/>
          <w:rtl/>
        </w:rPr>
      </w:pPr>
      <w:r>
        <w:rPr>
          <w:rFonts w:hint="cs"/>
          <w:sz w:val="22"/>
          <w:rtl/>
        </w:rPr>
        <w:t>לשאלת הסניגור מדוע לא נטל פרטי איזו מהנשים שפנתה אליו השיב הקצין כי לא עשה זאת מכיוון שלא הייתה לו אפשרות לעשות זאת. לא היה בפי הקצין הסבר להימנעותו מעריכת דוח פעולה אודות פניית הנשים אליו.</w:t>
      </w:r>
      <w:r>
        <w:rPr>
          <w:color w:val="FFFFFF"/>
          <w:sz w:val="4"/>
          <w:szCs w:val="4"/>
          <w:rtl/>
        </w:rPr>
        <w:t>ו</w:t>
      </w:r>
    </w:p>
    <w:p w14:paraId="75487B30" w14:textId="77777777" w:rsidR="00144D22" w:rsidRDefault="00144D22">
      <w:pPr>
        <w:pStyle w:val="a0"/>
        <w:rPr>
          <w:rFonts w:hint="cs"/>
          <w:sz w:val="22"/>
          <w:rtl/>
        </w:rPr>
      </w:pPr>
      <w:r>
        <w:rPr>
          <w:rFonts w:hint="cs"/>
          <w:sz w:val="22"/>
          <w:rtl/>
        </w:rPr>
        <w:t>הקצין מסר כי לא מסר הודעה במשטרה מאחר שלא נדרש לעשות כן.</w:t>
      </w:r>
    </w:p>
    <w:p w14:paraId="78AADE9D" w14:textId="77777777" w:rsidR="00144D22" w:rsidRDefault="00144D22">
      <w:pPr>
        <w:pStyle w:val="a0"/>
        <w:rPr>
          <w:rFonts w:cs="Miriam" w:hint="cs"/>
          <w:sz w:val="19"/>
          <w:szCs w:val="19"/>
          <w:rtl/>
        </w:rPr>
      </w:pPr>
      <w:r>
        <w:rPr>
          <w:rFonts w:cs="Miriam" w:hint="cs"/>
          <w:sz w:val="19"/>
          <w:szCs w:val="19"/>
          <w:rtl/>
        </w:rPr>
        <w:t>דוח עיכוב</w:t>
      </w:r>
    </w:p>
    <w:p w14:paraId="4E2B28BE" w14:textId="77777777" w:rsidR="00144D22" w:rsidRDefault="00144D22">
      <w:pPr>
        <w:pStyle w:val="a0"/>
        <w:rPr>
          <w:rFonts w:hint="cs"/>
          <w:rtl/>
        </w:rPr>
      </w:pPr>
      <w:r>
        <w:rPr>
          <w:rFonts w:hint="cs"/>
          <w:sz w:val="22"/>
          <w:rtl/>
        </w:rPr>
        <w:t>7.</w:t>
      </w:r>
      <w:r>
        <w:rPr>
          <w:rFonts w:hint="cs"/>
          <w:sz w:val="22"/>
          <w:rtl/>
        </w:rPr>
        <w:tab/>
        <w:t>סמוך לשעה 12:45 הגיעה למקום ניידת משטרה. מדוח עיכוב שערכה השוטרת שני אבן חן (ת/1) ומעדותה בבית</w:t>
      </w:r>
      <w:r>
        <w:rPr>
          <w:rFonts w:hint="cs"/>
          <w:position w:val="4"/>
          <w:rtl/>
        </w:rPr>
        <w:t>-</w:t>
      </w:r>
      <w:r>
        <w:rPr>
          <w:rFonts w:hint="cs"/>
          <w:sz w:val="22"/>
          <w:rtl/>
        </w:rPr>
        <w:t xml:space="preserve">המשפט עולה כי לאחר קבלת הודעה כי אדם נגע במישהי הגיעה למקום, ביחד עם שוטרים נוספים, ו"מתלוננת" הצביעה על הנאשם. הנאשם עוכב לחקירה בחשד לביצוע מעשים מגונים, ובתגובתו </w:t>
      </w:r>
      <w:r>
        <w:rPr>
          <w:rFonts w:hint="cs"/>
          <w:rtl/>
        </w:rPr>
        <w:t>השיב: "לא עשיתי שום דבר, לא הרגתי אף אחד".</w:t>
      </w:r>
    </w:p>
    <w:p w14:paraId="68C6D6AA" w14:textId="77777777" w:rsidR="00144D22" w:rsidRDefault="00144D22">
      <w:pPr>
        <w:pStyle w:val="a0"/>
        <w:rPr>
          <w:rFonts w:cs="Miriam" w:hint="cs"/>
          <w:sz w:val="19"/>
          <w:szCs w:val="19"/>
          <w:rtl/>
        </w:rPr>
      </w:pPr>
      <w:r>
        <w:rPr>
          <w:rFonts w:cs="Miriam" w:hint="cs"/>
          <w:sz w:val="19"/>
          <w:szCs w:val="19"/>
          <w:rtl/>
        </w:rPr>
        <w:t>הודעת הנאשם במשטרה (ת/2)</w:t>
      </w:r>
    </w:p>
    <w:p w14:paraId="2F262933" w14:textId="77777777" w:rsidR="00144D22" w:rsidRDefault="00144D22">
      <w:pPr>
        <w:pStyle w:val="a0"/>
        <w:rPr>
          <w:rFonts w:hint="cs"/>
          <w:sz w:val="22"/>
          <w:rtl/>
        </w:rPr>
      </w:pPr>
      <w:r>
        <w:rPr>
          <w:rFonts w:hint="cs"/>
          <w:sz w:val="22"/>
          <w:rtl/>
        </w:rPr>
        <w:t>8.</w:t>
      </w:r>
      <w:r>
        <w:rPr>
          <w:rFonts w:hint="cs"/>
          <w:sz w:val="22"/>
          <w:rtl/>
        </w:rPr>
        <w:tab/>
        <w:t>ביום האירוע, 10.5.2000 שעה 14:30, בתחנת משטרת רחובות, נגבתה מהנאשם הודעה (ת/2) על</w:t>
      </w:r>
      <w:r>
        <w:rPr>
          <w:rFonts w:hint="cs"/>
          <w:position w:val="4"/>
          <w:rtl/>
        </w:rPr>
        <w:t>-</w:t>
      </w:r>
      <w:r>
        <w:rPr>
          <w:rFonts w:hint="cs"/>
          <w:sz w:val="22"/>
          <w:rtl/>
        </w:rPr>
        <w:t>ידי החוקרת דינה אוסקר</w:t>
      </w:r>
      <w:r>
        <w:rPr>
          <w:rFonts w:hint="cs"/>
          <w:position w:val="4"/>
          <w:rtl/>
        </w:rPr>
        <w:t>-</w:t>
      </w:r>
      <w:r>
        <w:rPr>
          <w:rFonts w:hint="cs"/>
          <w:sz w:val="22"/>
          <w:rtl/>
        </w:rPr>
        <w:t>לוי.</w:t>
      </w:r>
    </w:p>
    <w:p w14:paraId="66076384" w14:textId="77777777" w:rsidR="00144D22" w:rsidRDefault="00144D22">
      <w:pPr>
        <w:pStyle w:val="a0"/>
        <w:rPr>
          <w:rFonts w:hint="cs"/>
          <w:sz w:val="22"/>
          <w:rtl/>
        </w:rPr>
      </w:pPr>
      <w:r>
        <w:rPr>
          <w:rFonts w:hint="cs"/>
          <w:sz w:val="22"/>
          <w:rtl/>
        </w:rPr>
        <w:t>הנאשם הוזהר כי הוא חשוד בביצוע מעשים מגונים בכך שנגע באיברים אינטימיים של בחורות.</w:t>
      </w:r>
    </w:p>
    <w:p w14:paraId="44819E90" w14:textId="77777777" w:rsidR="00144D22" w:rsidRDefault="00144D22">
      <w:pPr>
        <w:pStyle w:val="a0"/>
        <w:rPr>
          <w:rFonts w:hint="cs"/>
          <w:sz w:val="22"/>
          <w:rtl/>
        </w:rPr>
      </w:pPr>
      <w:r>
        <w:rPr>
          <w:rFonts w:hint="cs"/>
          <w:sz w:val="22"/>
          <w:rtl/>
        </w:rPr>
        <w:t>הנאשם טען כי הוא יודע מדוע הובא למשטרה, ומסר:</w:t>
      </w:r>
      <w:r>
        <w:rPr>
          <w:color w:val="FFFFFF"/>
          <w:sz w:val="4"/>
          <w:szCs w:val="4"/>
          <w:rtl/>
        </w:rPr>
        <w:t>ב</w:t>
      </w:r>
      <w:r>
        <w:rPr>
          <w:rFonts w:hint="cs"/>
          <w:sz w:val="22"/>
          <w:rtl/>
        </w:rPr>
        <w:t xml:space="preserve"> "אני לא עשיתי כלום, סתם עשיתי את זה, </w:t>
      </w:r>
      <w:r>
        <w:rPr>
          <w:rFonts w:cs="Miriam" w:hint="cs"/>
          <w:sz w:val="19"/>
          <w:szCs w:val="19"/>
          <w:rtl/>
        </w:rPr>
        <w:t>אני נגעתי בנשים</w:t>
      </w:r>
      <w:r>
        <w:rPr>
          <w:rFonts w:hint="cs"/>
          <w:sz w:val="22"/>
          <w:rtl/>
        </w:rPr>
        <w:t xml:space="preserve">, לא ספרתי בכמה, עברתי ועם היד </w:t>
      </w:r>
      <w:r>
        <w:rPr>
          <w:rFonts w:cs="Miriam" w:hint="cs"/>
          <w:sz w:val="19"/>
          <w:szCs w:val="19"/>
          <w:rtl/>
        </w:rPr>
        <w:t>נגעתי להם למטה מקדימה והבחורות לא אמרו כלום</w:t>
      </w:r>
      <w:r>
        <w:rPr>
          <w:rFonts w:hint="cs"/>
          <w:rtl/>
        </w:rPr>
        <w:t>.</w:t>
      </w:r>
      <w:r>
        <w:rPr>
          <w:rFonts w:hint="cs"/>
          <w:sz w:val="22"/>
          <w:rtl/>
        </w:rPr>
        <w:t xml:space="preserve"> </w:t>
      </w:r>
      <w:r>
        <w:rPr>
          <w:rFonts w:cs="Miriam" w:hint="cs"/>
          <w:sz w:val="19"/>
          <w:szCs w:val="19"/>
          <w:rtl/>
        </w:rPr>
        <w:t>היה שם הרבה אנשים והיה צפוף</w:t>
      </w:r>
      <w:r>
        <w:rPr>
          <w:rFonts w:hint="cs"/>
          <w:sz w:val="22"/>
          <w:rtl/>
        </w:rPr>
        <w:t xml:space="preserve">. אני עברתי </w:t>
      </w:r>
      <w:r>
        <w:rPr>
          <w:rFonts w:cs="Miriam" w:hint="cs"/>
          <w:sz w:val="19"/>
          <w:szCs w:val="19"/>
          <w:rtl/>
        </w:rPr>
        <w:t>ועם היד נגעתי להם למטה בין הרגליים</w:t>
      </w:r>
      <w:r>
        <w:rPr>
          <w:rFonts w:hint="cs"/>
          <w:rtl/>
        </w:rPr>
        <w:t xml:space="preserve">" </w:t>
      </w:r>
      <w:r>
        <w:rPr>
          <w:rFonts w:hint="cs"/>
          <w:sz w:val="22"/>
          <w:rtl/>
        </w:rPr>
        <w:t>(ת/2, שורות 12-8; ההדגשות שלי – י' ל').</w:t>
      </w:r>
    </w:p>
    <w:p w14:paraId="3BACCB76" w14:textId="77777777" w:rsidR="00144D22" w:rsidRDefault="00144D22">
      <w:pPr>
        <w:pStyle w:val="a0"/>
        <w:rPr>
          <w:rFonts w:hint="cs"/>
          <w:sz w:val="22"/>
          <w:rtl/>
        </w:rPr>
      </w:pPr>
      <w:r>
        <w:rPr>
          <w:rFonts w:hint="cs"/>
          <w:sz w:val="22"/>
          <w:rtl/>
        </w:rPr>
        <w:t>לשאלה מדוע אתה עושה את זה, השיב הנאשם:</w:t>
      </w:r>
      <w:r>
        <w:rPr>
          <w:color w:val="FFFFFF"/>
          <w:sz w:val="4"/>
          <w:szCs w:val="4"/>
          <w:rtl/>
        </w:rPr>
        <w:t>ו</w:t>
      </w:r>
      <w:r>
        <w:rPr>
          <w:rFonts w:hint="cs"/>
          <w:sz w:val="22"/>
          <w:rtl/>
        </w:rPr>
        <w:t xml:space="preserve"> "סתם עשיתי את זה. זה לא פעם ראשונה. פעם קודמת הייתי מדבר בטלפון... זה פעם ראשונה שאני במשטרה, ופעם ראשונה שאני נוגע בבחורות. </w:t>
      </w:r>
      <w:r>
        <w:rPr>
          <w:rFonts w:cs="Miriam" w:hint="cs"/>
          <w:sz w:val="19"/>
          <w:szCs w:val="19"/>
          <w:rtl/>
        </w:rPr>
        <w:t>אני מצטער</w:t>
      </w:r>
      <w:r>
        <w:rPr>
          <w:rFonts w:hint="cs"/>
          <w:sz w:val="22"/>
          <w:rtl/>
        </w:rPr>
        <w:t xml:space="preserve">, אני לא יעשה את זה יותר, </w:t>
      </w:r>
      <w:r>
        <w:rPr>
          <w:rFonts w:cs="Miriam" w:hint="cs"/>
          <w:sz w:val="19"/>
          <w:szCs w:val="19"/>
          <w:rtl/>
        </w:rPr>
        <w:t>אני מבקש סליחה</w:t>
      </w:r>
      <w:r>
        <w:rPr>
          <w:rFonts w:hint="cs"/>
          <w:sz w:val="22"/>
          <w:rtl/>
        </w:rPr>
        <w:t>. בעל אחד ראה והלך לשוטר ואמר לו</w:t>
      </w:r>
      <w:r>
        <w:rPr>
          <w:rFonts w:hint="cs"/>
          <w:rtl/>
        </w:rPr>
        <w:t>.</w:t>
      </w:r>
      <w:r>
        <w:rPr>
          <w:rFonts w:cs="Miriam" w:hint="cs"/>
          <w:sz w:val="19"/>
          <w:szCs w:val="19"/>
          <w:rtl/>
        </w:rPr>
        <w:t xml:space="preserve"> אני מצטער אני מבקש סליחה</w:t>
      </w:r>
      <w:r>
        <w:rPr>
          <w:rFonts w:hint="cs"/>
          <w:sz w:val="22"/>
          <w:rtl/>
        </w:rPr>
        <w:t xml:space="preserve">" (ת/2, </w:t>
      </w:r>
      <w:r>
        <w:rPr>
          <w:sz w:val="22"/>
          <w:rtl/>
        </w:rPr>
        <w:br/>
      </w:r>
      <w:r>
        <w:rPr>
          <w:rFonts w:hint="cs"/>
          <w:sz w:val="22"/>
          <w:rtl/>
        </w:rPr>
        <w:t xml:space="preserve">שורות 20-14; ההדגשות שלי </w:t>
      </w:r>
      <w:r>
        <w:rPr>
          <w:sz w:val="22"/>
          <w:rtl/>
        </w:rPr>
        <w:t>–</w:t>
      </w:r>
      <w:r>
        <w:rPr>
          <w:rFonts w:hint="cs"/>
          <w:sz w:val="22"/>
          <w:rtl/>
        </w:rPr>
        <w:t xml:space="preserve"> י' ל'). </w:t>
      </w:r>
    </w:p>
    <w:p w14:paraId="6F063CD7" w14:textId="77777777" w:rsidR="00144D22" w:rsidRDefault="00144D22">
      <w:pPr>
        <w:pStyle w:val="a0"/>
        <w:rPr>
          <w:rFonts w:cs="Miriam" w:hint="cs"/>
          <w:sz w:val="19"/>
          <w:szCs w:val="19"/>
          <w:rtl/>
        </w:rPr>
      </w:pPr>
      <w:r>
        <w:rPr>
          <w:rFonts w:cs="Miriam" w:hint="cs"/>
          <w:sz w:val="19"/>
          <w:szCs w:val="19"/>
          <w:rtl/>
        </w:rPr>
        <w:t>קבילות ההודיה (ת/2)</w:t>
      </w:r>
    </w:p>
    <w:p w14:paraId="5D58EF2D" w14:textId="77777777" w:rsidR="00144D22" w:rsidRDefault="00144D22">
      <w:pPr>
        <w:pStyle w:val="a0"/>
        <w:rPr>
          <w:rFonts w:cs="Miriam" w:hint="cs"/>
          <w:sz w:val="19"/>
          <w:szCs w:val="19"/>
          <w:rtl/>
        </w:rPr>
      </w:pPr>
      <w:r>
        <w:rPr>
          <w:rFonts w:cs="Miriam" w:hint="cs"/>
          <w:sz w:val="19"/>
          <w:szCs w:val="19"/>
          <w:rtl/>
        </w:rPr>
        <w:t>טענת הפסול</w:t>
      </w:r>
    </w:p>
    <w:p w14:paraId="37DC80EB" w14:textId="77777777" w:rsidR="00144D22" w:rsidRDefault="00144D22">
      <w:pPr>
        <w:pStyle w:val="a0"/>
        <w:rPr>
          <w:rFonts w:hint="cs"/>
          <w:sz w:val="22"/>
          <w:rtl/>
        </w:rPr>
      </w:pPr>
      <w:r>
        <w:rPr>
          <w:rFonts w:hint="cs"/>
          <w:sz w:val="22"/>
          <w:rtl/>
        </w:rPr>
        <w:t>9.</w:t>
      </w:r>
      <w:r>
        <w:rPr>
          <w:rFonts w:hint="cs"/>
          <w:sz w:val="22"/>
          <w:rtl/>
        </w:rPr>
        <w:tab/>
        <w:t>בישיבת המענה טען בא</w:t>
      </w:r>
      <w:r>
        <w:rPr>
          <w:rFonts w:hint="cs"/>
          <w:position w:val="4"/>
          <w:rtl/>
        </w:rPr>
        <w:t>-</w:t>
      </w:r>
      <w:r>
        <w:rPr>
          <w:rFonts w:hint="cs"/>
          <w:sz w:val="22"/>
          <w:rtl/>
        </w:rPr>
        <w:t>כוחו המלומד של הנאשם, עורך</w:t>
      </w:r>
      <w:r>
        <w:rPr>
          <w:rFonts w:hint="cs"/>
          <w:position w:val="4"/>
          <w:rtl/>
        </w:rPr>
        <w:t>-</w:t>
      </w:r>
      <w:r>
        <w:rPr>
          <w:rFonts w:hint="cs"/>
          <w:sz w:val="22"/>
          <w:rtl/>
        </w:rPr>
        <w:t xml:space="preserve">דין זרסקי, כי הודיית הנאשם חולצה מפיו כתוצאה מאיומים שאיים עליו הקצין, בארבע עיניים, עת עיכב אותו בבסיס. </w:t>
      </w:r>
    </w:p>
    <w:p w14:paraId="214A7C9B" w14:textId="77777777" w:rsidR="00144D22" w:rsidRDefault="00144D22">
      <w:pPr>
        <w:pStyle w:val="a0"/>
        <w:rPr>
          <w:rFonts w:hint="cs"/>
          <w:rtl/>
        </w:rPr>
      </w:pPr>
      <w:r>
        <w:rPr>
          <w:rFonts w:hint="cs"/>
          <w:rtl/>
        </w:rPr>
        <w:t xml:space="preserve">לטענת הנאשם איים עליו הקצין שאם לא יודה בזה שהוא במכוון נגע בנשים, במקום, הוא ייעצר ולא ישתחרר, ואמר לו "אנחנו נהרוג אותך". </w:t>
      </w:r>
    </w:p>
    <w:p w14:paraId="419B19DB" w14:textId="77777777" w:rsidR="00144D22" w:rsidRDefault="00144D22">
      <w:pPr>
        <w:pStyle w:val="a0"/>
        <w:rPr>
          <w:rFonts w:hint="cs"/>
          <w:sz w:val="22"/>
          <w:rtl/>
        </w:rPr>
      </w:pPr>
      <w:r>
        <w:rPr>
          <w:rFonts w:hint="cs"/>
          <w:sz w:val="22"/>
          <w:rtl/>
        </w:rPr>
        <w:t>על</w:t>
      </w:r>
      <w:r>
        <w:rPr>
          <w:rFonts w:hint="cs"/>
          <w:position w:val="4"/>
          <w:rtl/>
        </w:rPr>
        <w:t>-</w:t>
      </w:r>
      <w:r>
        <w:rPr>
          <w:rFonts w:hint="cs"/>
          <w:sz w:val="22"/>
          <w:rtl/>
        </w:rPr>
        <w:t>פי הטענה, אימת איומי הקצין קיננה בלבו של הנאשם וגרמה לו למסור את ההודיה כשעתיים לאחר מכן, למרות חלוף הזמן, למרות שהקצין לא התלווה לנאשם בניידת שהסיעה אותו מהבסיס לתחנת משטרת רחובות ולמרות שהקצין לא נכח במהלך גביית ההודיה. לאור האמור, הורה בית</w:t>
      </w:r>
      <w:r>
        <w:rPr>
          <w:rFonts w:hint="cs"/>
          <w:position w:val="4"/>
          <w:rtl/>
        </w:rPr>
        <w:t>-</w:t>
      </w:r>
      <w:r>
        <w:rPr>
          <w:rFonts w:hint="cs"/>
          <w:sz w:val="22"/>
          <w:rtl/>
        </w:rPr>
        <w:t xml:space="preserve">המשפט על קיום משפט זוטא. </w:t>
      </w:r>
    </w:p>
    <w:p w14:paraId="763BAE56" w14:textId="77777777" w:rsidR="00144D22" w:rsidRDefault="00144D22">
      <w:pPr>
        <w:pStyle w:val="a0"/>
        <w:rPr>
          <w:rFonts w:cs="Miriam" w:hint="cs"/>
          <w:sz w:val="19"/>
          <w:szCs w:val="19"/>
          <w:rtl/>
        </w:rPr>
      </w:pPr>
      <w:r>
        <w:rPr>
          <w:rFonts w:cs="Miriam" w:hint="cs"/>
          <w:sz w:val="19"/>
          <w:szCs w:val="19"/>
          <w:rtl/>
        </w:rPr>
        <w:t>משפט זוטא</w:t>
      </w:r>
    </w:p>
    <w:p w14:paraId="6A9C19E4" w14:textId="77777777" w:rsidR="00144D22" w:rsidRDefault="00144D22">
      <w:pPr>
        <w:pStyle w:val="a0"/>
        <w:rPr>
          <w:rFonts w:cs="Miriam" w:hint="cs"/>
          <w:sz w:val="19"/>
          <w:szCs w:val="19"/>
          <w:rtl/>
        </w:rPr>
      </w:pPr>
      <w:r>
        <w:rPr>
          <w:rFonts w:hint="cs"/>
          <w:sz w:val="22"/>
          <w:rtl/>
        </w:rPr>
        <w:t>10.</w:t>
      </w:r>
      <w:r>
        <w:rPr>
          <w:rFonts w:hint="cs"/>
          <w:sz w:val="22"/>
          <w:rtl/>
        </w:rPr>
        <w:tab/>
      </w:r>
      <w:r>
        <w:rPr>
          <w:rFonts w:cs="Miriam" w:hint="cs"/>
          <w:sz w:val="19"/>
          <w:szCs w:val="19"/>
          <w:rtl/>
        </w:rPr>
        <w:t>ראיות התביעה</w:t>
      </w:r>
    </w:p>
    <w:p w14:paraId="019A3B64" w14:textId="77777777" w:rsidR="00144D22" w:rsidRDefault="00144D22">
      <w:pPr>
        <w:pStyle w:val="a0"/>
        <w:rPr>
          <w:rFonts w:cs="Miriam" w:hint="cs"/>
          <w:sz w:val="19"/>
          <w:szCs w:val="19"/>
          <w:rtl/>
        </w:rPr>
      </w:pPr>
      <w:r>
        <w:rPr>
          <w:rFonts w:cs="Miriam" w:hint="cs"/>
          <w:sz w:val="19"/>
          <w:szCs w:val="19"/>
          <w:rtl/>
        </w:rPr>
        <w:t>עדות הקצין</w:t>
      </w:r>
    </w:p>
    <w:p w14:paraId="14E50C99" w14:textId="77777777" w:rsidR="00144D22" w:rsidRDefault="00144D22">
      <w:pPr>
        <w:pStyle w:val="a0"/>
        <w:rPr>
          <w:rFonts w:hint="cs"/>
          <w:sz w:val="22"/>
          <w:rtl/>
        </w:rPr>
      </w:pPr>
      <w:r>
        <w:rPr>
          <w:rFonts w:hint="cs"/>
          <w:sz w:val="22"/>
          <w:rtl/>
        </w:rPr>
        <w:t>הקצין שלל בחקירתו הנגדית כל אפשרות שאיים על הנאשם, והסביר שהיה ברור לו שמדובר בנאשם שאין צורך בשימוש בכוח כלשהו כלפיו. הקצין הכחיש שהנאשם עשה צרכיו במכנסיים בזמן שיחתו עמו.</w:t>
      </w:r>
    </w:p>
    <w:p w14:paraId="322115F0" w14:textId="77777777" w:rsidR="00144D22" w:rsidRDefault="00144D22">
      <w:pPr>
        <w:pStyle w:val="a0"/>
        <w:rPr>
          <w:rFonts w:cs="Miriam" w:hint="cs"/>
          <w:sz w:val="19"/>
          <w:szCs w:val="19"/>
          <w:rtl/>
        </w:rPr>
      </w:pPr>
      <w:r>
        <w:rPr>
          <w:rFonts w:cs="Miriam" w:hint="cs"/>
          <w:sz w:val="19"/>
          <w:szCs w:val="19"/>
          <w:rtl/>
        </w:rPr>
        <w:t>עדות גובת ההודיה (ת/2)</w:t>
      </w:r>
    </w:p>
    <w:p w14:paraId="3A535AB0" w14:textId="77777777" w:rsidR="00144D22" w:rsidRDefault="00144D22">
      <w:pPr>
        <w:pStyle w:val="a0"/>
        <w:rPr>
          <w:rFonts w:hint="cs"/>
          <w:sz w:val="22"/>
          <w:rtl/>
        </w:rPr>
      </w:pPr>
      <w:r>
        <w:rPr>
          <w:rFonts w:hint="cs"/>
          <w:sz w:val="22"/>
          <w:rtl/>
        </w:rPr>
        <w:t xml:space="preserve">גובת הודיית הנאשם </w:t>
      </w:r>
      <w:r>
        <w:rPr>
          <w:rFonts w:hint="cs"/>
          <w:rtl/>
        </w:rPr>
        <w:t>(ת/2),</w:t>
      </w:r>
      <w:r>
        <w:rPr>
          <w:rFonts w:hint="cs"/>
          <w:sz w:val="22"/>
          <w:rtl/>
        </w:rPr>
        <w:t xml:space="preserve"> השוטרת דינה אוסקר</w:t>
      </w:r>
      <w:r>
        <w:rPr>
          <w:rFonts w:hint="cs"/>
          <w:position w:val="4"/>
          <w:rtl/>
        </w:rPr>
        <w:t>-</w:t>
      </w:r>
      <w:r>
        <w:rPr>
          <w:rFonts w:hint="cs"/>
          <w:sz w:val="22"/>
          <w:rtl/>
        </w:rPr>
        <w:t>לוי, העידה שהנאשם מסר את ההודיה מרצונו הטוב והחופשי וכי לא נראה לה מאוים או מפוחד וכי לא טען בפניה, בשום שלב, כי אוים. החוקרת לא זכרה כי הנאשם עשה צרכיו במכנסיו ומסרה כי לא הבחינה בהתנהגות חריגה של הנאשם. לדבריה, במהלך גביית הודייתו ביקש הנאשם סליחה פעמים רבות.</w:t>
      </w:r>
    </w:p>
    <w:p w14:paraId="2ACAE080" w14:textId="77777777" w:rsidR="00144D22" w:rsidRDefault="00144D22">
      <w:pPr>
        <w:pStyle w:val="a0"/>
        <w:rPr>
          <w:rFonts w:cs="Miriam" w:hint="cs"/>
          <w:sz w:val="19"/>
          <w:szCs w:val="19"/>
          <w:rtl/>
        </w:rPr>
      </w:pPr>
      <w:r>
        <w:rPr>
          <w:rFonts w:cs="Miriam" w:hint="cs"/>
          <w:sz w:val="19"/>
          <w:szCs w:val="19"/>
          <w:rtl/>
        </w:rPr>
        <w:t>עדות הנאשם</w:t>
      </w:r>
    </w:p>
    <w:p w14:paraId="44136677" w14:textId="77777777" w:rsidR="00144D22" w:rsidRDefault="00144D22">
      <w:pPr>
        <w:pStyle w:val="a0"/>
        <w:rPr>
          <w:rFonts w:hint="cs"/>
          <w:sz w:val="22"/>
          <w:rtl/>
        </w:rPr>
      </w:pPr>
      <w:r>
        <w:rPr>
          <w:rFonts w:hint="cs"/>
          <w:sz w:val="22"/>
          <w:rtl/>
        </w:rPr>
        <w:t>11.</w:t>
      </w:r>
      <w:r>
        <w:rPr>
          <w:rFonts w:hint="cs"/>
          <w:sz w:val="22"/>
          <w:rtl/>
        </w:rPr>
        <w:tab/>
        <w:t xml:space="preserve">במהלך עדותו המבולבלת, במסגרת משפט הזוטא, טען הנאשם דבר והיפוכו. </w:t>
      </w:r>
    </w:p>
    <w:p w14:paraId="374EC683" w14:textId="77777777" w:rsidR="00144D22" w:rsidRDefault="00144D22">
      <w:pPr>
        <w:pStyle w:val="a0"/>
        <w:rPr>
          <w:rFonts w:hint="cs"/>
          <w:rtl/>
        </w:rPr>
      </w:pPr>
      <w:r>
        <w:rPr>
          <w:rFonts w:hint="cs"/>
          <w:rtl/>
        </w:rPr>
        <w:t xml:space="preserve">תחילה טען הנאשם שהקצין איים עליו: "שאם לא אגיד את האמת הוא יכניס אותי לבית הסוהר... אז אמרתי את האמת, לא עשיתי הוא לא ראה... הוא אמר שהוא יהרוג אותי והוא גם איים עלי" (עמ' 14 לפרוטוקול, שורות 29-23). </w:t>
      </w:r>
    </w:p>
    <w:p w14:paraId="64225CEA" w14:textId="77777777" w:rsidR="00144D22" w:rsidRDefault="00144D22">
      <w:pPr>
        <w:pStyle w:val="a0"/>
        <w:rPr>
          <w:rFonts w:hint="cs"/>
          <w:rtl/>
        </w:rPr>
      </w:pPr>
      <w:r>
        <w:rPr>
          <w:rFonts w:hint="cs"/>
          <w:rtl/>
        </w:rPr>
        <w:t xml:space="preserve">לדברי הנאשם, בדרך לתחנת המשטרה: "...פחדתי שהשוטרים יהרגו אותי, לא שמו לי אזיקים, לא כוונו אלי אקדח" (עמ' 15 לפרוטוקול, שורות 2-1). </w:t>
      </w:r>
    </w:p>
    <w:p w14:paraId="1553683C" w14:textId="77777777" w:rsidR="00144D22" w:rsidRDefault="00144D22">
      <w:pPr>
        <w:pStyle w:val="a0"/>
        <w:rPr>
          <w:rFonts w:hint="cs"/>
          <w:rtl/>
        </w:rPr>
      </w:pPr>
      <w:r>
        <w:rPr>
          <w:rFonts w:hint="cs"/>
          <w:rtl/>
        </w:rPr>
        <w:t xml:space="preserve">לשאלה אם אדם נוסף איים עליו השיב הנאשם: "הבעל, והשוטר. הבעל של מישהי איים עלי סתם ככה" (עמ' 15 לפרוטוקול, שורות 5-4). </w:t>
      </w:r>
    </w:p>
    <w:p w14:paraId="3BD27680" w14:textId="77777777" w:rsidR="00144D22" w:rsidRDefault="00144D22">
      <w:pPr>
        <w:pStyle w:val="a0"/>
        <w:rPr>
          <w:rFonts w:hint="cs"/>
          <w:sz w:val="22"/>
          <w:rtl/>
        </w:rPr>
      </w:pPr>
      <w:r>
        <w:rPr>
          <w:rFonts w:hint="cs"/>
          <w:sz w:val="22"/>
          <w:rtl/>
        </w:rPr>
        <w:t xml:space="preserve">משנשאל הנאשם מדוע אמר לחוקרת את הדברים שאמר, חזר בו מגירסתו הקודמת והשיב: "מה אמרתי, לא עשיתי כלום, סתם עשיתי. </w:t>
      </w:r>
      <w:r>
        <w:rPr>
          <w:rFonts w:cs="Miriam" w:hint="cs"/>
          <w:sz w:val="19"/>
          <w:szCs w:val="19"/>
          <w:rtl/>
        </w:rPr>
        <w:t>לא אמרתי לה שנגעתי</w:t>
      </w:r>
      <w:r>
        <w:rPr>
          <w:rFonts w:hint="cs"/>
          <w:sz w:val="22"/>
          <w:rtl/>
        </w:rPr>
        <w:t xml:space="preserve">" (עמ' 15 לפרוטוקול, שורה 10). </w:t>
      </w:r>
    </w:p>
    <w:p w14:paraId="1418E8E4" w14:textId="77777777" w:rsidR="00144D22" w:rsidRDefault="00144D22">
      <w:pPr>
        <w:pStyle w:val="a0"/>
        <w:rPr>
          <w:rFonts w:hint="cs"/>
          <w:sz w:val="22"/>
          <w:rtl/>
        </w:rPr>
      </w:pPr>
      <w:r>
        <w:rPr>
          <w:rFonts w:hint="cs"/>
          <w:sz w:val="22"/>
          <w:rtl/>
        </w:rPr>
        <w:t>בשלב זה הוקראו לנאשם דבריו בהודייתו ת/2, שורות 12-8, והנאשם השיב:</w:t>
      </w:r>
      <w:r>
        <w:rPr>
          <w:color w:val="FFFFFF"/>
          <w:sz w:val="4"/>
          <w:szCs w:val="4"/>
          <w:rtl/>
        </w:rPr>
        <w:t>ו</w:t>
      </w:r>
      <w:r>
        <w:rPr>
          <w:rFonts w:hint="cs"/>
          <w:sz w:val="22"/>
          <w:rtl/>
        </w:rPr>
        <w:t xml:space="preserve"> </w:t>
      </w:r>
    </w:p>
    <w:p w14:paraId="1AAB24E2" w14:textId="77777777" w:rsidR="00144D22" w:rsidRDefault="00144D22">
      <w:pPr>
        <w:pStyle w:val="a0"/>
        <w:rPr>
          <w:rFonts w:hint="cs"/>
          <w:sz w:val="22"/>
          <w:rtl/>
        </w:rPr>
      </w:pPr>
      <w:r>
        <w:rPr>
          <w:rFonts w:hint="cs"/>
          <w:sz w:val="22"/>
          <w:rtl/>
        </w:rPr>
        <w:t>"</w:t>
      </w:r>
      <w:r>
        <w:rPr>
          <w:rFonts w:cs="Miriam" w:hint="cs"/>
          <w:sz w:val="19"/>
          <w:szCs w:val="19"/>
          <w:rtl/>
        </w:rPr>
        <w:t>לא אמרתי</w:t>
      </w:r>
      <w:r>
        <w:rPr>
          <w:rFonts w:hint="cs"/>
          <w:sz w:val="22"/>
          <w:rtl/>
        </w:rPr>
        <w:t xml:space="preserve"> לה שעשיתי את זה. </w:t>
      </w:r>
      <w:r>
        <w:rPr>
          <w:rFonts w:cs="Miriam" w:hint="cs"/>
          <w:sz w:val="19"/>
          <w:szCs w:val="19"/>
          <w:rtl/>
        </w:rPr>
        <w:t>המילים האלה לא אמרתי לה</w:t>
      </w:r>
      <w:r>
        <w:rPr>
          <w:rFonts w:hint="cs"/>
          <w:sz w:val="22"/>
          <w:rtl/>
        </w:rPr>
        <w:t xml:space="preserve">". </w:t>
      </w:r>
    </w:p>
    <w:p w14:paraId="32B2B277" w14:textId="77777777" w:rsidR="00144D22" w:rsidRDefault="00144D22">
      <w:pPr>
        <w:pStyle w:val="a0"/>
        <w:rPr>
          <w:rFonts w:hint="cs"/>
          <w:sz w:val="22"/>
          <w:rtl/>
        </w:rPr>
      </w:pPr>
      <w:r>
        <w:rPr>
          <w:rFonts w:hint="cs"/>
          <w:sz w:val="22"/>
          <w:rtl/>
        </w:rPr>
        <w:t>משהוקראו לנאשם המשך דבריו בהודייתו (ת/2) שורות 20-14, השיב:</w:t>
      </w:r>
    </w:p>
    <w:p w14:paraId="0C755A32" w14:textId="77777777" w:rsidR="00144D22" w:rsidRDefault="00144D22">
      <w:pPr>
        <w:pStyle w:val="a0"/>
        <w:rPr>
          <w:rFonts w:hint="cs"/>
          <w:sz w:val="22"/>
          <w:rtl/>
        </w:rPr>
      </w:pPr>
      <w:r>
        <w:rPr>
          <w:rFonts w:hint="cs"/>
          <w:rtl/>
        </w:rPr>
        <w:t>"</w:t>
      </w:r>
      <w:r>
        <w:rPr>
          <w:rFonts w:cs="Miriam" w:hint="cs"/>
          <w:szCs w:val="19"/>
          <w:rtl/>
        </w:rPr>
        <w:t>לחוקרת לא אמרתי את זה</w:t>
      </w:r>
      <w:r>
        <w:rPr>
          <w:rFonts w:hint="cs"/>
          <w:rtl/>
        </w:rPr>
        <w:t xml:space="preserve">" </w:t>
      </w:r>
      <w:r>
        <w:rPr>
          <w:rFonts w:hint="cs"/>
          <w:sz w:val="22"/>
          <w:rtl/>
        </w:rPr>
        <w:t>(עמ' 15 לפרוטוקול, שורה 16).</w:t>
      </w:r>
    </w:p>
    <w:p w14:paraId="0D11F746" w14:textId="77777777" w:rsidR="00144D22" w:rsidRDefault="00144D22">
      <w:pPr>
        <w:pStyle w:val="a0"/>
        <w:rPr>
          <w:rFonts w:hint="cs"/>
          <w:sz w:val="22"/>
          <w:rtl/>
        </w:rPr>
      </w:pPr>
      <w:r>
        <w:rPr>
          <w:rFonts w:hint="cs"/>
          <w:sz w:val="22"/>
          <w:rtl/>
        </w:rPr>
        <w:t xml:space="preserve">(כל ההדגשות שלי – י' ל'). </w:t>
      </w:r>
    </w:p>
    <w:p w14:paraId="0547FA5F" w14:textId="77777777" w:rsidR="00144D22" w:rsidRDefault="00144D22">
      <w:pPr>
        <w:pStyle w:val="a0"/>
        <w:rPr>
          <w:rFonts w:hint="cs"/>
          <w:sz w:val="22"/>
          <w:rtl/>
        </w:rPr>
      </w:pPr>
      <w:r>
        <w:rPr>
          <w:rFonts w:hint="cs"/>
          <w:sz w:val="22"/>
          <w:rtl/>
        </w:rPr>
        <w:t xml:space="preserve">נוכח טענת הנאשם כי לא אמר את הדברים המיוחסים לו בהודאתו (ת/2) ומאחר שמדובר בטענה עובדתית, שדינה ככל טענה עובדתית אחרת, שאינה מכוונת לעניין קבילות ההודיה </w:t>
      </w:r>
      <w:r>
        <w:rPr>
          <w:sz w:val="22"/>
          <w:rtl/>
        </w:rPr>
        <w:t>–</w:t>
      </w:r>
      <w:r>
        <w:rPr>
          <w:rFonts w:hint="cs"/>
          <w:sz w:val="22"/>
          <w:rtl/>
        </w:rPr>
        <w:t xml:space="preserve"> חזר בו הסניגור מהתנגדותו לקבילות ההודיה והודיית הנאשם (ת/2) נתקבלה.</w:t>
      </w:r>
    </w:p>
    <w:p w14:paraId="355CBBFF" w14:textId="77777777" w:rsidR="00144D22" w:rsidRDefault="00144D22">
      <w:pPr>
        <w:pStyle w:val="a0"/>
        <w:rPr>
          <w:rFonts w:cs="Miriam" w:hint="cs"/>
          <w:sz w:val="19"/>
          <w:szCs w:val="19"/>
          <w:rtl/>
        </w:rPr>
      </w:pPr>
      <w:r>
        <w:rPr>
          <w:rFonts w:cs="Miriam" w:hint="cs"/>
          <w:sz w:val="19"/>
          <w:szCs w:val="19"/>
          <w:rtl/>
        </w:rPr>
        <w:t>עדות הנאשם לגופו של האישום</w:t>
      </w:r>
    </w:p>
    <w:p w14:paraId="41A4E2EE" w14:textId="77777777" w:rsidR="00144D22" w:rsidRDefault="00144D22">
      <w:pPr>
        <w:pStyle w:val="a0"/>
        <w:rPr>
          <w:rFonts w:hint="cs"/>
          <w:sz w:val="22"/>
          <w:rtl/>
        </w:rPr>
      </w:pPr>
      <w:r>
        <w:rPr>
          <w:rFonts w:hint="cs"/>
          <w:sz w:val="22"/>
          <w:rtl/>
        </w:rPr>
        <w:t>12</w:t>
      </w:r>
      <w:r>
        <w:rPr>
          <w:rFonts w:hint="cs"/>
          <w:rtl/>
        </w:rPr>
        <w:t>.</w:t>
      </w:r>
      <w:r>
        <w:rPr>
          <w:rFonts w:hint="cs"/>
          <w:rtl/>
        </w:rPr>
        <w:tab/>
        <w:t xml:space="preserve">בתשובה לשאלה האם נגע בין רגליהן של נשים השיב הנאשם: "לא, אף אחת לא התלוננה". לשאלת סניגורו לשם מה הוא צריך לנגוע בין רגליהן של נשים השיב הנאשם: "היה צפוף, וסתם היה צפוף, ועברתי, נגעתי עם היד".  </w:t>
      </w:r>
    </w:p>
    <w:p w14:paraId="6DA28E43" w14:textId="77777777" w:rsidR="00144D22" w:rsidRDefault="00144D22">
      <w:pPr>
        <w:pStyle w:val="a0"/>
        <w:rPr>
          <w:rFonts w:hint="cs"/>
          <w:rtl/>
        </w:rPr>
      </w:pPr>
      <w:r>
        <w:rPr>
          <w:rFonts w:hint="cs"/>
          <w:sz w:val="22"/>
          <w:rtl/>
        </w:rPr>
        <w:t xml:space="preserve">לשאלה "איפה נגעת ביד" השיב הנאשם: </w:t>
      </w:r>
      <w:r>
        <w:rPr>
          <w:rFonts w:hint="cs"/>
          <w:rtl/>
        </w:rPr>
        <w:t>"לא נגעתי".</w:t>
      </w:r>
      <w:r>
        <w:rPr>
          <w:rFonts w:hint="cs"/>
          <w:sz w:val="22"/>
          <w:rtl/>
        </w:rPr>
        <w:t xml:space="preserve"> משנשאל הנאשם האם תוכן </w:t>
      </w:r>
      <w:r>
        <w:rPr>
          <w:rFonts w:hint="cs"/>
          <w:rtl/>
        </w:rPr>
        <w:t xml:space="preserve">הודייתו (ת/2) שקר, השיב: "אין עדים. לא ראו שעשיתי, שנגעתי בנשים". לשאלה "היכן לא ראו שנגעת להן" השיב הנאשם: "בין הרגליים" (עמ' 17 לפרוטוקול, </w:t>
      </w:r>
      <w:r>
        <w:rPr>
          <w:rtl/>
        </w:rPr>
        <w:br/>
      </w:r>
      <w:r>
        <w:rPr>
          <w:rFonts w:hint="cs"/>
          <w:rtl/>
        </w:rPr>
        <w:t>שורות 22-1).</w:t>
      </w:r>
    </w:p>
    <w:p w14:paraId="10389D53" w14:textId="77777777" w:rsidR="00144D22" w:rsidRDefault="00144D22">
      <w:pPr>
        <w:pStyle w:val="a0"/>
        <w:rPr>
          <w:rFonts w:cs="Miriam" w:hint="cs"/>
          <w:sz w:val="19"/>
          <w:szCs w:val="19"/>
          <w:rtl/>
        </w:rPr>
      </w:pPr>
      <w:r>
        <w:rPr>
          <w:rFonts w:cs="Miriam" w:hint="cs"/>
          <w:sz w:val="19"/>
          <w:szCs w:val="19"/>
          <w:rtl/>
        </w:rPr>
        <w:t>המחלוקת</w:t>
      </w:r>
    </w:p>
    <w:p w14:paraId="66F82BBA" w14:textId="77777777" w:rsidR="00144D22" w:rsidRDefault="00144D22">
      <w:pPr>
        <w:pStyle w:val="a0"/>
        <w:rPr>
          <w:rFonts w:hint="cs"/>
          <w:sz w:val="22"/>
          <w:rtl/>
        </w:rPr>
      </w:pPr>
      <w:r>
        <w:rPr>
          <w:rFonts w:hint="cs"/>
          <w:sz w:val="22"/>
          <w:rtl/>
        </w:rPr>
        <w:t>13.</w:t>
      </w:r>
      <w:r>
        <w:rPr>
          <w:rFonts w:hint="cs"/>
          <w:sz w:val="22"/>
          <w:rtl/>
        </w:rPr>
        <w:tab/>
        <w:t xml:space="preserve">המחלוקת בין הצדדים מתמקדת בנושאים האלה: </w:t>
      </w:r>
    </w:p>
    <w:p w14:paraId="59B26FB6" w14:textId="77777777" w:rsidR="00144D22" w:rsidRDefault="00144D22">
      <w:pPr>
        <w:pStyle w:val="a0"/>
        <w:rPr>
          <w:rFonts w:hint="cs"/>
          <w:sz w:val="22"/>
          <w:rtl/>
        </w:rPr>
      </w:pPr>
      <w:r>
        <w:rPr>
          <w:sz w:val="22"/>
          <w:rtl/>
        </w:rPr>
        <w:t>(</w:t>
      </w:r>
      <w:r>
        <w:rPr>
          <w:rFonts w:hint="cs"/>
          <w:sz w:val="22"/>
          <w:rtl/>
        </w:rPr>
        <w:t>א</w:t>
      </w:r>
      <w:r>
        <w:rPr>
          <w:sz w:val="22"/>
          <w:rtl/>
        </w:rPr>
        <w:t>)</w:t>
      </w:r>
      <w:r>
        <w:rPr>
          <w:rFonts w:hint="cs"/>
          <w:sz w:val="22"/>
          <w:rtl/>
        </w:rPr>
        <w:tab/>
      </w:r>
      <w:r>
        <w:rPr>
          <w:rFonts w:cs="Miriam" w:hint="cs"/>
          <w:sz w:val="19"/>
          <w:szCs w:val="19"/>
          <w:rtl/>
        </w:rPr>
        <w:t>האם ניתן להרשיע בעבירת מין בהיעדר עדות מתלוננת</w:t>
      </w:r>
    </w:p>
    <w:p w14:paraId="2D747D99" w14:textId="77777777" w:rsidR="00144D22" w:rsidRDefault="00144D22">
      <w:pPr>
        <w:pStyle w:val="a0"/>
        <w:rPr>
          <w:rFonts w:hint="cs"/>
          <w:sz w:val="22"/>
          <w:rtl/>
        </w:rPr>
      </w:pPr>
      <w:r>
        <w:rPr>
          <w:rFonts w:hint="cs"/>
          <w:sz w:val="22"/>
          <w:rtl/>
        </w:rPr>
        <w:t xml:space="preserve">הסניגור סבור שבשל מהות העבירה יש להשיב בשלילה לשאלה. </w:t>
      </w:r>
    </w:p>
    <w:p w14:paraId="6903204F" w14:textId="77777777" w:rsidR="00144D22" w:rsidRDefault="00144D22">
      <w:pPr>
        <w:pStyle w:val="a0"/>
        <w:rPr>
          <w:rFonts w:hint="cs"/>
          <w:sz w:val="22"/>
          <w:rtl/>
        </w:rPr>
      </w:pPr>
      <w:r>
        <w:rPr>
          <w:rFonts w:hint="cs"/>
          <w:sz w:val="22"/>
          <w:rtl/>
        </w:rPr>
        <w:t>לדעת התביעה אין מניעה להרשיע את הנאשם בעבירה המיוחסת לו, ובלבד שהוכחו בפני בית</w:t>
      </w:r>
      <w:r>
        <w:rPr>
          <w:rFonts w:hint="cs"/>
          <w:position w:val="4"/>
          <w:rtl/>
        </w:rPr>
        <w:t>-</w:t>
      </w:r>
      <w:r>
        <w:rPr>
          <w:rFonts w:hint="cs"/>
          <w:sz w:val="22"/>
          <w:rtl/>
        </w:rPr>
        <w:t xml:space="preserve">המשפט, במידת הוודאות הנדרשת, כל יסודות העבירה, אף בלא עדות קורבן העבירה, ואין נפקא מנה, אם היה לאל ידה של התביעה להשיג עדות הקורבן אם לאו. </w:t>
      </w:r>
    </w:p>
    <w:p w14:paraId="37FB6CB6" w14:textId="77777777" w:rsidR="00144D22" w:rsidRDefault="00144D22">
      <w:pPr>
        <w:pStyle w:val="a0"/>
        <w:rPr>
          <w:rFonts w:cs="Miriam" w:hint="cs"/>
          <w:sz w:val="19"/>
          <w:szCs w:val="19"/>
          <w:rtl/>
        </w:rPr>
      </w:pPr>
      <w:r>
        <w:rPr>
          <w:sz w:val="22"/>
          <w:rtl/>
        </w:rPr>
        <w:t>(</w:t>
      </w:r>
      <w:r>
        <w:rPr>
          <w:rFonts w:hint="cs"/>
          <w:sz w:val="22"/>
          <w:rtl/>
        </w:rPr>
        <w:t>ב</w:t>
      </w:r>
      <w:r>
        <w:rPr>
          <w:sz w:val="22"/>
          <w:rtl/>
        </w:rPr>
        <w:t>)</w:t>
      </w:r>
      <w:r>
        <w:rPr>
          <w:rFonts w:hint="cs"/>
          <w:sz w:val="22"/>
          <w:rtl/>
        </w:rPr>
        <w:tab/>
      </w:r>
      <w:r>
        <w:rPr>
          <w:rFonts w:cs="Miriam" w:hint="cs"/>
          <w:sz w:val="19"/>
          <w:szCs w:val="19"/>
          <w:rtl/>
        </w:rPr>
        <w:t>המשמעות הראייתית של היעדר עדות מתלוננת כלשהי</w:t>
      </w:r>
    </w:p>
    <w:p w14:paraId="43865F2E" w14:textId="77777777" w:rsidR="00144D22" w:rsidRDefault="00144D22">
      <w:pPr>
        <w:pStyle w:val="a0"/>
        <w:rPr>
          <w:rFonts w:hint="cs"/>
          <w:sz w:val="22"/>
          <w:rtl/>
        </w:rPr>
      </w:pPr>
      <w:r>
        <w:rPr>
          <w:rFonts w:hint="cs"/>
          <w:sz w:val="22"/>
          <w:rtl/>
        </w:rPr>
        <w:t xml:space="preserve">לטענת הסניגור, היעדרה של עדות מתלוננת כלשהי מטה את הכף לטובת הנאשם מהטעמים האלה: </w:t>
      </w:r>
    </w:p>
    <w:p w14:paraId="14FE321E" w14:textId="77777777" w:rsidR="00144D22" w:rsidRDefault="00144D22">
      <w:pPr>
        <w:pStyle w:val="a0"/>
        <w:rPr>
          <w:rFonts w:hint="cs"/>
          <w:sz w:val="22"/>
          <w:rtl/>
        </w:rPr>
      </w:pPr>
      <w:r>
        <w:rPr>
          <w:rFonts w:hint="cs"/>
          <w:sz w:val="22"/>
          <w:rtl/>
        </w:rPr>
        <w:t>(1)</w:t>
      </w:r>
      <w:r>
        <w:rPr>
          <w:rFonts w:hint="cs"/>
          <w:sz w:val="22"/>
          <w:rtl/>
        </w:rPr>
        <w:tab/>
        <w:t xml:space="preserve">מכוח ההלכה הכללית, לפיה הימנעות מהבאת ראיה בלא הסבר אמין </w:t>
      </w:r>
      <w:r>
        <w:rPr>
          <w:sz w:val="22"/>
          <w:rtl/>
        </w:rPr>
        <w:br/>
      </w:r>
      <w:r>
        <w:rPr>
          <w:rFonts w:hint="cs"/>
          <w:sz w:val="22"/>
          <w:rtl/>
        </w:rPr>
        <w:t xml:space="preserve">וסביר תפעל לטובת הצד שכנגד. במקרה דנן, לטענת הסניגור, אין הסבר אמין וסביר, שכן הקצין כלל לא העלה על הכתב את עצם שיחתו עם נשים כלשהן וסירובן להתלונן. </w:t>
      </w:r>
    </w:p>
    <w:p w14:paraId="76D56A88" w14:textId="77777777" w:rsidR="00144D22" w:rsidRDefault="00144D22">
      <w:pPr>
        <w:pStyle w:val="a0"/>
        <w:rPr>
          <w:rFonts w:hint="cs"/>
          <w:sz w:val="22"/>
          <w:rtl/>
        </w:rPr>
      </w:pPr>
      <w:r>
        <w:rPr>
          <w:rFonts w:hint="cs"/>
          <w:sz w:val="22"/>
          <w:rtl/>
        </w:rPr>
        <w:t>(2)</w:t>
      </w:r>
      <w:r>
        <w:rPr>
          <w:rFonts w:hint="cs"/>
          <w:sz w:val="22"/>
          <w:rtl/>
        </w:rPr>
        <w:tab/>
        <w:t xml:space="preserve">מצבו הנפשי של קורבן עבירת מין משמש, במקרים רבים, ראיה </w:t>
      </w:r>
      <w:r>
        <w:rPr>
          <w:sz w:val="22"/>
          <w:rtl/>
        </w:rPr>
        <w:br/>
      </w:r>
      <w:r>
        <w:rPr>
          <w:rFonts w:hint="cs"/>
          <w:sz w:val="22"/>
          <w:rtl/>
        </w:rPr>
        <w:t xml:space="preserve">משמעותית </w:t>
      </w:r>
      <w:r>
        <w:rPr>
          <w:rFonts w:cs="Miriam" w:hint="cs"/>
          <w:szCs w:val="19"/>
          <w:rtl/>
        </w:rPr>
        <w:t>לחובת</w:t>
      </w:r>
      <w:r>
        <w:rPr>
          <w:rFonts w:hint="cs"/>
          <w:sz w:val="22"/>
          <w:rtl/>
        </w:rPr>
        <w:t xml:space="preserve"> הנאשם. התנהגות "הנפגעות" ומצבן הנפשי שהוביל אותן שלא להתלונן מהווים ראיה </w:t>
      </w:r>
      <w:r>
        <w:rPr>
          <w:rFonts w:cs="Miriam" w:hint="cs"/>
          <w:szCs w:val="19"/>
          <w:rtl/>
        </w:rPr>
        <w:t>לטובת</w:t>
      </w:r>
      <w:r>
        <w:rPr>
          <w:rFonts w:hint="cs"/>
          <w:sz w:val="22"/>
          <w:rtl/>
        </w:rPr>
        <w:t xml:space="preserve"> הנאשם. </w:t>
      </w:r>
    </w:p>
    <w:p w14:paraId="7464E81A" w14:textId="77777777" w:rsidR="00144D22" w:rsidRDefault="00144D22">
      <w:pPr>
        <w:pStyle w:val="a0"/>
        <w:rPr>
          <w:rFonts w:hint="cs"/>
          <w:sz w:val="22"/>
          <w:rtl/>
        </w:rPr>
      </w:pPr>
      <w:r>
        <w:rPr>
          <w:rFonts w:hint="cs"/>
          <w:sz w:val="22"/>
          <w:rtl/>
        </w:rPr>
        <w:t>(3)</w:t>
      </w:r>
      <w:r>
        <w:rPr>
          <w:rFonts w:hint="cs"/>
          <w:sz w:val="22"/>
          <w:rtl/>
        </w:rPr>
        <w:tab/>
        <w:t xml:space="preserve">מהיעדר תלונה כלשהי ודאי שלא ניתן ללמוד על היעדר הסכמה. </w:t>
      </w:r>
    </w:p>
    <w:p w14:paraId="5E2921A8" w14:textId="77777777" w:rsidR="00144D22" w:rsidRDefault="00144D22">
      <w:pPr>
        <w:pStyle w:val="a0"/>
        <w:rPr>
          <w:rFonts w:hint="cs"/>
          <w:sz w:val="22"/>
          <w:rtl/>
        </w:rPr>
      </w:pPr>
      <w:r>
        <w:rPr>
          <w:rFonts w:hint="cs"/>
          <w:sz w:val="22"/>
          <w:rtl/>
        </w:rPr>
        <w:t>(4)</w:t>
      </w:r>
      <w:r>
        <w:rPr>
          <w:rFonts w:hint="cs"/>
          <w:sz w:val="22"/>
          <w:rtl/>
        </w:rPr>
        <w:tab/>
        <w:t xml:space="preserve">בהיעדר תלונה מתעורר ספק סביר באשר ליסוד </w:t>
      </w:r>
      <w:r>
        <w:rPr>
          <w:rFonts w:cs="Miriam" w:hint="cs"/>
          <w:sz w:val="19"/>
          <w:szCs w:val="19"/>
          <w:rtl/>
        </w:rPr>
        <w:t>הפיזי</w:t>
      </w:r>
      <w:r>
        <w:rPr>
          <w:rFonts w:hint="cs"/>
          <w:sz w:val="22"/>
          <w:rtl/>
        </w:rPr>
        <w:t xml:space="preserve"> </w:t>
      </w:r>
      <w:r>
        <w:rPr>
          <w:rFonts w:hint="eastAsia"/>
          <w:rtl/>
        </w:rPr>
        <w:t xml:space="preserve">– </w:t>
      </w:r>
      <w:r>
        <w:rPr>
          <w:rFonts w:hint="cs"/>
          <w:sz w:val="22"/>
          <w:rtl/>
        </w:rPr>
        <w:t>היכן בדיוק בגופן של הנשים נגע הנאשם.</w:t>
      </w:r>
    </w:p>
    <w:p w14:paraId="6AFD1FBE" w14:textId="77777777" w:rsidR="00144D22" w:rsidRDefault="00144D22">
      <w:pPr>
        <w:pStyle w:val="a0"/>
        <w:rPr>
          <w:rFonts w:hint="cs"/>
          <w:sz w:val="22"/>
          <w:rtl/>
        </w:rPr>
      </w:pPr>
      <w:r>
        <w:rPr>
          <w:rFonts w:hint="cs"/>
          <w:sz w:val="22"/>
          <w:rtl/>
        </w:rPr>
        <w:t>(5)</w:t>
      </w:r>
      <w:r>
        <w:rPr>
          <w:rFonts w:hint="cs"/>
          <w:sz w:val="22"/>
          <w:rtl/>
        </w:rPr>
        <w:tab/>
        <w:t xml:space="preserve">בהיעדר תלונה מתעורר ספק סביר באשר ליסוד </w:t>
      </w:r>
      <w:r>
        <w:rPr>
          <w:rFonts w:cs="Miriam" w:hint="cs"/>
          <w:sz w:val="19"/>
          <w:szCs w:val="19"/>
          <w:rtl/>
        </w:rPr>
        <w:t>הנפשי</w:t>
      </w:r>
      <w:r>
        <w:rPr>
          <w:rFonts w:hint="cs"/>
          <w:sz w:val="22"/>
          <w:rtl/>
        </w:rPr>
        <w:t xml:space="preserve"> האם אמנם מעשיו של הנאשם נעשו לצורך גירוי, סיפוק או ביזוי מיניים.</w:t>
      </w:r>
    </w:p>
    <w:p w14:paraId="0BB7A394" w14:textId="77777777" w:rsidR="00144D22" w:rsidRDefault="00144D22">
      <w:pPr>
        <w:pStyle w:val="a0"/>
        <w:rPr>
          <w:rFonts w:cs="Miriam" w:hint="cs"/>
          <w:sz w:val="19"/>
          <w:szCs w:val="19"/>
          <w:rtl/>
        </w:rPr>
      </w:pPr>
      <w:r>
        <w:rPr>
          <w:sz w:val="22"/>
          <w:rtl/>
        </w:rPr>
        <w:t>(</w:t>
      </w:r>
      <w:r>
        <w:rPr>
          <w:rFonts w:hint="cs"/>
          <w:sz w:val="22"/>
          <w:rtl/>
        </w:rPr>
        <w:t>ג</w:t>
      </w:r>
      <w:r>
        <w:rPr>
          <w:sz w:val="22"/>
          <w:rtl/>
        </w:rPr>
        <w:t>)</w:t>
      </w:r>
      <w:r>
        <w:rPr>
          <w:rFonts w:hint="cs"/>
          <w:sz w:val="22"/>
          <w:rtl/>
        </w:rPr>
        <w:tab/>
      </w:r>
      <w:r>
        <w:rPr>
          <w:rFonts w:cs="Miriam" w:hint="cs"/>
          <w:sz w:val="19"/>
          <w:szCs w:val="19"/>
          <w:rtl/>
        </w:rPr>
        <w:t>משקל הודאת הנאשם במשטרה (ת/2)</w:t>
      </w:r>
    </w:p>
    <w:p w14:paraId="1F0B1971" w14:textId="77777777" w:rsidR="00144D22" w:rsidRDefault="00144D22">
      <w:pPr>
        <w:pStyle w:val="a0"/>
        <w:rPr>
          <w:rFonts w:hint="cs"/>
          <w:sz w:val="22"/>
          <w:rtl/>
        </w:rPr>
      </w:pPr>
      <w:r>
        <w:rPr>
          <w:rFonts w:hint="cs"/>
          <w:sz w:val="22"/>
          <w:rtl/>
        </w:rPr>
        <w:t>לטענת הסניגור, משקל הודאת הנאשם נמוך ביותר ואינו מספיק לביסוס הרשעה במצב הראיות בתיק, במיוחד לאור מוגבלתו השכלית של הנאשם כפי שעולה מחוות</w:t>
      </w:r>
      <w:r>
        <w:rPr>
          <w:rFonts w:hint="cs"/>
          <w:position w:val="4"/>
          <w:sz w:val="22"/>
          <w:rtl/>
        </w:rPr>
        <w:t>-</w:t>
      </w:r>
      <w:r>
        <w:rPr>
          <w:rFonts w:hint="cs"/>
          <w:sz w:val="22"/>
          <w:rtl/>
        </w:rPr>
        <w:t>הדעת הפסיכיאטרית ומהופעת הנאשם בבית</w:t>
      </w:r>
      <w:r>
        <w:rPr>
          <w:rFonts w:hint="cs"/>
          <w:position w:val="4"/>
          <w:rtl/>
        </w:rPr>
        <w:t>-</w:t>
      </w:r>
      <w:r>
        <w:rPr>
          <w:rFonts w:hint="cs"/>
          <w:sz w:val="22"/>
          <w:rtl/>
        </w:rPr>
        <w:t>המשפט.</w:t>
      </w:r>
    </w:p>
    <w:p w14:paraId="07DBD221" w14:textId="77777777" w:rsidR="00144D22" w:rsidRDefault="00144D22">
      <w:pPr>
        <w:pStyle w:val="a0"/>
        <w:rPr>
          <w:rFonts w:hint="cs"/>
          <w:sz w:val="22"/>
          <w:rtl/>
        </w:rPr>
      </w:pPr>
      <w:r>
        <w:rPr>
          <w:rFonts w:hint="cs"/>
          <w:sz w:val="22"/>
          <w:rtl/>
        </w:rPr>
        <w:t>להלן יידונו שאלות אלה כסדרן.</w:t>
      </w:r>
    </w:p>
    <w:p w14:paraId="1718F9CF" w14:textId="77777777" w:rsidR="00144D22" w:rsidRDefault="00144D22">
      <w:pPr>
        <w:pStyle w:val="a0"/>
        <w:rPr>
          <w:rFonts w:cs="Miriam" w:hint="cs"/>
          <w:sz w:val="19"/>
          <w:szCs w:val="19"/>
          <w:rtl/>
        </w:rPr>
      </w:pPr>
      <w:r>
        <w:rPr>
          <w:rFonts w:cs="Miriam" w:hint="cs"/>
          <w:sz w:val="19"/>
          <w:szCs w:val="19"/>
          <w:rtl/>
        </w:rPr>
        <w:t>הרשעה בעבירת מין בהיעדר עדות מתלוננת</w:t>
      </w:r>
    </w:p>
    <w:p w14:paraId="3434280E" w14:textId="77777777" w:rsidR="00144D22" w:rsidRDefault="00144D22">
      <w:pPr>
        <w:pStyle w:val="a0"/>
        <w:rPr>
          <w:rFonts w:hint="cs"/>
          <w:sz w:val="22"/>
          <w:rtl/>
        </w:rPr>
      </w:pPr>
      <w:r>
        <w:rPr>
          <w:rFonts w:hint="cs"/>
          <w:sz w:val="22"/>
          <w:rtl/>
        </w:rPr>
        <w:t>14.</w:t>
      </w:r>
      <w:r>
        <w:rPr>
          <w:rFonts w:hint="cs"/>
          <w:sz w:val="22"/>
          <w:rtl/>
        </w:rPr>
        <w:tab/>
        <w:t xml:space="preserve">במחלוקת זו מקובלת עליי עמדת התביעה. </w:t>
      </w:r>
    </w:p>
    <w:p w14:paraId="4FF18138" w14:textId="77777777" w:rsidR="00144D22" w:rsidRDefault="00144D22">
      <w:pPr>
        <w:pStyle w:val="a0"/>
        <w:rPr>
          <w:rFonts w:hint="cs"/>
          <w:sz w:val="22"/>
          <w:rtl/>
        </w:rPr>
      </w:pPr>
      <w:r>
        <w:rPr>
          <w:rFonts w:hint="cs"/>
          <w:sz w:val="22"/>
          <w:rtl/>
        </w:rPr>
        <w:t xml:space="preserve">חובת התביעה היא להוכיח, מעבר לכל ספק סביר, את כל </w:t>
      </w:r>
      <w:r>
        <w:rPr>
          <w:rFonts w:cs="Miriam" w:hint="cs"/>
          <w:sz w:val="19"/>
          <w:szCs w:val="19"/>
          <w:rtl/>
        </w:rPr>
        <w:t>יסודות</w:t>
      </w:r>
      <w:r>
        <w:rPr>
          <w:rFonts w:hint="cs"/>
          <w:sz w:val="22"/>
          <w:rtl/>
        </w:rPr>
        <w:t xml:space="preserve"> העבירה המיוחסת לנאשם. עדות מתלונן היא אמצעי </w:t>
      </w:r>
      <w:r>
        <w:rPr>
          <w:sz w:val="22"/>
          <w:rtl/>
        </w:rPr>
        <w:t>–</w:t>
      </w:r>
      <w:r>
        <w:rPr>
          <w:rFonts w:hint="cs"/>
          <w:sz w:val="22"/>
          <w:rtl/>
        </w:rPr>
        <w:t xml:space="preserve"> בדרך</w:t>
      </w:r>
      <w:r>
        <w:rPr>
          <w:rFonts w:hint="cs"/>
          <w:position w:val="4"/>
          <w:rtl/>
        </w:rPr>
        <w:t>-</w:t>
      </w:r>
      <w:r>
        <w:rPr>
          <w:rFonts w:hint="cs"/>
          <w:sz w:val="22"/>
          <w:rtl/>
        </w:rPr>
        <w:t xml:space="preserve">כלל הטוב ביותר </w:t>
      </w:r>
      <w:r>
        <w:rPr>
          <w:sz w:val="22"/>
          <w:rtl/>
        </w:rPr>
        <w:t>–</w:t>
      </w:r>
      <w:r>
        <w:rPr>
          <w:rFonts w:hint="cs"/>
          <w:sz w:val="22"/>
          <w:rtl/>
        </w:rPr>
        <w:t xml:space="preserve"> להוכחת יסודות </w:t>
      </w:r>
      <w:r>
        <w:rPr>
          <w:sz w:val="22"/>
          <w:rtl/>
        </w:rPr>
        <w:br/>
      </w:r>
      <w:r>
        <w:rPr>
          <w:rFonts w:hint="cs"/>
          <w:sz w:val="22"/>
          <w:rtl/>
        </w:rPr>
        <w:t xml:space="preserve">העבירה, אך </w:t>
      </w:r>
      <w:r>
        <w:rPr>
          <w:rFonts w:cs="Miriam" w:hint="cs"/>
          <w:sz w:val="19"/>
          <w:szCs w:val="19"/>
          <w:rtl/>
        </w:rPr>
        <w:t>אין</w:t>
      </w:r>
      <w:r>
        <w:rPr>
          <w:rFonts w:hint="cs"/>
          <w:sz w:val="22"/>
          <w:rtl/>
        </w:rPr>
        <w:t xml:space="preserve">  היא יסוד הכרחי והתביעה רשאית להוכיח את יסודות העבירה בראיות אחרות.</w:t>
      </w:r>
    </w:p>
    <w:p w14:paraId="7EF71CE7" w14:textId="77777777" w:rsidR="00144D22" w:rsidRDefault="00144D22">
      <w:pPr>
        <w:pStyle w:val="a0"/>
        <w:rPr>
          <w:rFonts w:hint="cs"/>
          <w:sz w:val="22"/>
          <w:rtl/>
        </w:rPr>
      </w:pPr>
      <w:r>
        <w:rPr>
          <w:rFonts w:hint="cs"/>
          <w:sz w:val="22"/>
          <w:rtl/>
        </w:rPr>
        <w:t>השאלה היחידה המונחת בפניי אפוא היא האם יש בראיות שהניחה התביעה בפני בית</w:t>
      </w:r>
      <w:r>
        <w:rPr>
          <w:rFonts w:hint="cs"/>
          <w:position w:val="4"/>
          <w:rtl/>
        </w:rPr>
        <w:t>-</w:t>
      </w:r>
      <w:r>
        <w:rPr>
          <w:rFonts w:hint="cs"/>
          <w:sz w:val="22"/>
          <w:rtl/>
        </w:rPr>
        <w:t>המשפט כדי להוכיח את אשמת הנאשם מעבר לכל ספק סביר.</w:t>
      </w:r>
    </w:p>
    <w:p w14:paraId="691CC8C5" w14:textId="77777777" w:rsidR="00144D22" w:rsidRDefault="00144D22">
      <w:pPr>
        <w:pStyle w:val="a0"/>
        <w:spacing w:after="220"/>
        <w:rPr>
          <w:rFonts w:hint="cs"/>
          <w:sz w:val="22"/>
          <w:rtl/>
        </w:rPr>
      </w:pPr>
      <w:r>
        <w:rPr>
          <w:rFonts w:hint="cs"/>
          <w:sz w:val="22"/>
          <w:rtl/>
        </w:rPr>
        <w:t xml:space="preserve">להלן תידון שאלה זו, בין היתר תוך התייחסות לכל טענות ההגנה כמפורט לעיל. </w:t>
      </w:r>
    </w:p>
    <w:p w14:paraId="104F1B57" w14:textId="77777777" w:rsidR="00144D22" w:rsidRDefault="00144D22">
      <w:pPr>
        <w:pStyle w:val="a0"/>
        <w:spacing w:after="220"/>
        <w:rPr>
          <w:rFonts w:cs="Miriam" w:hint="cs"/>
          <w:sz w:val="19"/>
          <w:szCs w:val="19"/>
          <w:rtl/>
        </w:rPr>
      </w:pPr>
      <w:r>
        <w:rPr>
          <w:rFonts w:cs="Miriam" w:hint="cs"/>
          <w:sz w:val="19"/>
          <w:szCs w:val="19"/>
          <w:rtl/>
        </w:rPr>
        <w:t>העבירה</w:t>
      </w:r>
    </w:p>
    <w:p w14:paraId="45D8900D" w14:textId="77777777" w:rsidR="00144D22" w:rsidRDefault="00144D22">
      <w:pPr>
        <w:pStyle w:val="a0"/>
        <w:spacing w:after="220"/>
        <w:rPr>
          <w:rFonts w:hint="cs"/>
          <w:sz w:val="22"/>
          <w:rtl/>
        </w:rPr>
      </w:pPr>
      <w:r>
        <w:rPr>
          <w:rFonts w:hint="cs"/>
          <w:sz w:val="22"/>
          <w:rtl/>
        </w:rPr>
        <w:t>15.</w:t>
      </w:r>
      <w:r>
        <w:rPr>
          <w:rFonts w:hint="cs"/>
          <w:sz w:val="22"/>
          <w:rtl/>
        </w:rPr>
        <w:tab/>
      </w:r>
      <w:hyperlink r:id="rId14" w:history="1">
        <w:r w:rsidR="00BE578E" w:rsidRPr="00BE578E">
          <w:rPr>
            <w:color w:val="0000FF"/>
            <w:sz w:val="22"/>
            <w:u w:val="single"/>
            <w:rtl/>
          </w:rPr>
          <w:t>סעיף 348(ג)</w:t>
        </w:r>
      </w:hyperlink>
      <w:r>
        <w:rPr>
          <w:rFonts w:hint="cs"/>
          <w:sz w:val="22"/>
          <w:rtl/>
        </w:rPr>
        <w:t xml:space="preserve"> ל</w:t>
      </w:r>
      <w:hyperlink r:id="rId15" w:history="1">
        <w:r w:rsidR="00E2755E" w:rsidRPr="00E2755E">
          <w:rPr>
            <w:rStyle w:val="Hyperlink"/>
            <w:rFonts w:hint="eastAsia"/>
            <w:sz w:val="22"/>
            <w:rtl/>
          </w:rPr>
          <w:t>חוק</w:t>
        </w:r>
        <w:r w:rsidR="00E2755E" w:rsidRPr="00E2755E">
          <w:rPr>
            <w:rStyle w:val="Hyperlink"/>
            <w:sz w:val="22"/>
            <w:rtl/>
          </w:rPr>
          <w:t xml:space="preserve"> העונשין</w:t>
        </w:r>
      </w:hyperlink>
      <w:r>
        <w:rPr>
          <w:rFonts w:hint="cs"/>
          <w:sz w:val="22"/>
          <w:rtl/>
        </w:rPr>
        <w:t xml:space="preserve"> בחלק הרלוונטי לענייננו קובע:</w:t>
      </w:r>
    </w:p>
    <w:p w14:paraId="201B2C73" w14:textId="77777777" w:rsidR="00144D22" w:rsidRDefault="00144D22">
      <w:pPr>
        <w:pStyle w:val="a"/>
        <w:spacing w:line="280" w:lineRule="exact"/>
        <w:rPr>
          <w:rFonts w:hint="cs"/>
          <w:rtl/>
        </w:rPr>
      </w:pPr>
      <w:r>
        <w:rPr>
          <w:rFonts w:hint="cs"/>
          <w:rtl/>
        </w:rPr>
        <w:t>"העושה מעשה מגונה באדם בלא הסכמתו... דינו – מאסר שלוש שנים".</w:t>
      </w:r>
    </w:p>
    <w:p w14:paraId="4D84F691" w14:textId="77777777" w:rsidR="00144D22" w:rsidRDefault="00BE578E">
      <w:pPr>
        <w:pStyle w:val="a0"/>
        <w:spacing w:after="220"/>
        <w:rPr>
          <w:rFonts w:hint="cs"/>
          <w:sz w:val="22"/>
          <w:rtl/>
        </w:rPr>
      </w:pPr>
      <w:hyperlink r:id="rId16" w:history="1">
        <w:r w:rsidRPr="00BE578E">
          <w:rPr>
            <w:color w:val="0000FF"/>
            <w:sz w:val="22"/>
            <w:u w:val="single"/>
            <w:rtl/>
          </w:rPr>
          <w:t>בסעיף 348(ו)</w:t>
        </w:r>
      </w:hyperlink>
      <w:r w:rsidR="00144D22">
        <w:rPr>
          <w:rFonts w:hint="cs"/>
          <w:sz w:val="22"/>
          <w:rtl/>
        </w:rPr>
        <w:t xml:space="preserve"> ל</w:t>
      </w:r>
      <w:hyperlink r:id="rId17" w:history="1">
        <w:r w:rsidR="00E2755E" w:rsidRPr="00E2755E">
          <w:rPr>
            <w:rStyle w:val="Hyperlink"/>
            <w:rFonts w:hint="eastAsia"/>
            <w:sz w:val="22"/>
            <w:rtl/>
          </w:rPr>
          <w:t>חוק</w:t>
        </w:r>
        <w:r w:rsidR="00E2755E" w:rsidRPr="00E2755E">
          <w:rPr>
            <w:rStyle w:val="Hyperlink"/>
            <w:sz w:val="22"/>
            <w:rtl/>
          </w:rPr>
          <w:t xml:space="preserve"> העונשין</w:t>
        </w:r>
      </w:hyperlink>
      <w:r w:rsidR="00144D22">
        <w:rPr>
          <w:rFonts w:hint="cs"/>
          <w:sz w:val="22"/>
          <w:rtl/>
        </w:rPr>
        <w:t xml:space="preserve"> נקבע:</w:t>
      </w:r>
    </w:p>
    <w:p w14:paraId="00F3FAC3" w14:textId="77777777" w:rsidR="00144D22" w:rsidRDefault="00144D22">
      <w:pPr>
        <w:pStyle w:val="a"/>
        <w:spacing w:line="280" w:lineRule="exact"/>
        <w:rPr>
          <w:rFonts w:hint="cs"/>
          <w:rtl/>
        </w:rPr>
      </w:pPr>
      <w:r>
        <w:rPr>
          <w:rFonts w:hint="cs"/>
          <w:rtl/>
        </w:rPr>
        <w:t>"'מעשה מגונה' – מעשה לשם גירוי, סיפוק או ביזוי מיניים".</w:t>
      </w:r>
    </w:p>
    <w:p w14:paraId="2AE7B567" w14:textId="77777777" w:rsidR="00144D22" w:rsidRDefault="00144D22">
      <w:pPr>
        <w:pStyle w:val="a0"/>
        <w:spacing w:after="220"/>
        <w:rPr>
          <w:rFonts w:hint="cs"/>
          <w:sz w:val="22"/>
          <w:rtl/>
        </w:rPr>
      </w:pPr>
      <w:r>
        <w:rPr>
          <w:rFonts w:hint="cs"/>
          <w:sz w:val="22"/>
          <w:rtl/>
        </w:rPr>
        <w:t>עבירת המעשה המגונה מורכבת מהיסודות האלה:</w:t>
      </w:r>
    </w:p>
    <w:p w14:paraId="1626EA7E" w14:textId="77777777" w:rsidR="00144D22" w:rsidRDefault="00144D22">
      <w:pPr>
        <w:pStyle w:val="a0"/>
        <w:spacing w:after="220"/>
        <w:rPr>
          <w:rFonts w:hint="cs"/>
          <w:rtl/>
        </w:rPr>
      </w:pPr>
      <w:r>
        <w:rPr>
          <w:rFonts w:hint="cs"/>
          <w:rtl/>
        </w:rPr>
        <w:t>(א)</w:t>
      </w:r>
      <w:r>
        <w:rPr>
          <w:rFonts w:hint="cs"/>
          <w:rtl/>
        </w:rPr>
        <w:tab/>
      </w:r>
      <w:r>
        <w:rPr>
          <w:rFonts w:cs="Miriam" w:hint="cs"/>
          <w:szCs w:val="19"/>
          <w:rtl/>
        </w:rPr>
        <w:t>יסוד עובדתי</w:t>
      </w:r>
      <w:r>
        <w:rPr>
          <w:rFonts w:hint="cs"/>
          <w:rtl/>
        </w:rPr>
        <w:t xml:space="preserve"> – הבנוי משני רכיבים:</w:t>
      </w:r>
    </w:p>
    <w:p w14:paraId="6DFE99FB" w14:textId="77777777" w:rsidR="00144D22" w:rsidRDefault="00144D22">
      <w:pPr>
        <w:pStyle w:val="a0"/>
        <w:spacing w:after="220"/>
        <w:rPr>
          <w:rFonts w:hint="cs"/>
          <w:sz w:val="22"/>
          <w:rtl/>
        </w:rPr>
      </w:pPr>
      <w:r>
        <w:rPr>
          <w:rFonts w:hint="cs"/>
          <w:sz w:val="22"/>
          <w:rtl/>
        </w:rPr>
        <w:t>(1)</w:t>
      </w:r>
      <w:r>
        <w:rPr>
          <w:rFonts w:hint="cs"/>
          <w:sz w:val="22"/>
          <w:rtl/>
        </w:rPr>
        <w:tab/>
        <w:t>הרכיב ההתנהגותי – עשיית מעשה מגונה.</w:t>
      </w:r>
    </w:p>
    <w:p w14:paraId="5B662F33" w14:textId="77777777" w:rsidR="00144D22" w:rsidRDefault="00144D22">
      <w:pPr>
        <w:pStyle w:val="a0"/>
        <w:spacing w:after="220"/>
        <w:rPr>
          <w:rFonts w:hint="cs"/>
          <w:sz w:val="22"/>
          <w:rtl/>
        </w:rPr>
      </w:pPr>
      <w:r>
        <w:rPr>
          <w:rFonts w:hint="cs"/>
          <w:sz w:val="22"/>
          <w:rtl/>
        </w:rPr>
        <w:t>(2)</w:t>
      </w:r>
      <w:r>
        <w:rPr>
          <w:rFonts w:hint="cs"/>
          <w:sz w:val="22"/>
          <w:rtl/>
        </w:rPr>
        <w:tab/>
        <w:t xml:space="preserve">הרכיב הנסיבתי – </w:t>
      </w:r>
    </w:p>
    <w:p w14:paraId="7A2DA73E" w14:textId="77777777" w:rsidR="00144D22" w:rsidRDefault="00144D22">
      <w:pPr>
        <w:pStyle w:val="a0"/>
        <w:spacing w:after="220"/>
        <w:ind w:left="1134" w:hanging="454"/>
        <w:rPr>
          <w:rFonts w:hint="cs"/>
          <w:sz w:val="22"/>
          <w:rtl/>
        </w:rPr>
      </w:pPr>
      <w:r>
        <w:rPr>
          <w:rFonts w:hint="cs"/>
          <w:sz w:val="22"/>
          <w:rtl/>
        </w:rPr>
        <w:t>(א)</w:t>
      </w:r>
      <w:r>
        <w:rPr>
          <w:rFonts w:hint="cs"/>
          <w:sz w:val="22"/>
          <w:rtl/>
        </w:rPr>
        <w:tab/>
        <w:t>באדם.</w:t>
      </w:r>
    </w:p>
    <w:p w14:paraId="4475EF0F" w14:textId="77777777" w:rsidR="00144D22" w:rsidRDefault="00144D22">
      <w:pPr>
        <w:pStyle w:val="a0"/>
        <w:spacing w:after="220"/>
        <w:ind w:left="1134" w:hanging="454"/>
        <w:rPr>
          <w:rFonts w:hint="cs"/>
          <w:sz w:val="22"/>
          <w:rtl/>
        </w:rPr>
      </w:pPr>
      <w:r>
        <w:rPr>
          <w:rFonts w:hint="cs"/>
          <w:sz w:val="22"/>
          <w:rtl/>
        </w:rPr>
        <w:t>(ב)</w:t>
      </w:r>
      <w:r>
        <w:rPr>
          <w:rFonts w:hint="cs"/>
          <w:sz w:val="22"/>
          <w:rtl/>
        </w:rPr>
        <w:tab/>
        <w:t>בלא הסכמתו.</w:t>
      </w:r>
    </w:p>
    <w:p w14:paraId="7B60DDE6" w14:textId="77777777" w:rsidR="00144D22" w:rsidRDefault="00144D22">
      <w:pPr>
        <w:pStyle w:val="a0"/>
        <w:spacing w:after="220"/>
        <w:rPr>
          <w:rFonts w:cs="Miriam" w:hint="cs"/>
          <w:sz w:val="19"/>
          <w:szCs w:val="19"/>
          <w:rtl/>
        </w:rPr>
      </w:pPr>
      <w:r>
        <w:rPr>
          <w:rFonts w:hint="cs"/>
          <w:sz w:val="22"/>
          <w:rtl/>
        </w:rPr>
        <w:t>(ב)</w:t>
      </w:r>
      <w:r>
        <w:rPr>
          <w:rFonts w:hint="cs"/>
          <w:sz w:val="22"/>
          <w:rtl/>
        </w:rPr>
        <w:tab/>
      </w:r>
      <w:r>
        <w:rPr>
          <w:rFonts w:cs="Miriam" w:hint="cs"/>
          <w:sz w:val="19"/>
          <w:szCs w:val="19"/>
          <w:rtl/>
        </w:rPr>
        <w:t>יסוד נפשי</w:t>
      </w:r>
      <w:r>
        <w:rPr>
          <w:rFonts w:hint="cs"/>
          <w:rtl/>
        </w:rPr>
        <w:t xml:space="preserve"> –</w:t>
      </w:r>
    </w:p>
    <w:p w14:paraId="4E2DBD62" w14:textId="77777777" w:rsidR="00144D22" w:rsidRDefault="00144D22">
      <w:pPr>
        <w:pStyle w:val="a0"/>
        <w:spacing w:after="220"/>
        <w:rPr>
          <w:rFonts w:hint="cs"/>
          <w:sz w:val="22"/>
          <w:rtl/>
        </w:rPr>
      </w:pPr>
      <w:r>
        <w:rPr>
          <w:rFonts w:hint="cs"/>
          <w:sz w:val="22"/>
          <w:rtl/>
        </w:rPr>
        <w:t>מטרת המעשה המגונה היא השגת אחד היעדים האלה: גירוי, סיפוק או ביזוי מיני.</w:t>
      </w:r>
    </w:p>
    <w:p w14:paraId="4BC74A1E" w14:textId="77777777" w:rsidR="00144D22" w:rsidRDefault="00144D22">
      <w:pPr>
        <w:pStyle w:val="a0"/>
        <w:spacing w:after="220"/>
        <w:rPr>
          <w:rFonts w:hint="cs"/>
          <w:sz w:val="22"/>
          <w:rtl/>
        </w:rPr>
      </w:pPr>
      <w:r>
        <w:rPr>
          <w:rFonts w:hint="cs"/>
          <w:sz w:val="22"/>
          <w:rtl/>
        </w:rPr>
        <w:t>עבירת המעשה המגונה היא עבירת התנהגות בצירוף מטרה מיוחדת, ואין צורך בהוכחת מימוש אותו יעד.</w:t>
      </w:r>
    </w:p>
    <w:p w14:paraId="377341DB" w14:textId="77777777" w:rsidR="00144D22" w:rsidRDefault="00144D22">
      <w:pPr>
        <w:pStyle w:val="a0"/>
        <w:spacing w:after="220"/>
        <w:rPr>
          <w:rFonts w:hint="cs"/>
          <w:sz w:val="22"/>
          <w:rtl/>
        </w:rPr>
      </w:pPr>
      <w:r>
        <w:rPr>
          <w:rFonts w:hint="cs"/>
          <w:sz w:val="22"/>
          <w:rtl/>
        </w:rPr>
        <w:t>להלן תיבחן השאלה האם, במקרה דנן, הוכחו כל יסודות העבירה.</w:t>
      </w:r>
    </w:p>
    <w:p w14:paraId="5BB24A0B" w14:textId="77777777" w:rsidR="00144D22" w:rsidRDefault="00144D22">
      <w:pPr>
        <w:pStyle w:val="a0"/>
        <w:spacing w:after="220"/>
        <w:rPr>
          <w:rFonts w:cs="Miriam" w:hint="cs"/>
          <w:sz w:val="19"/>
          <w:szCs w:val="19"/>
          <w:rtl/>
        </w:rPr>
      </w:pPr>
      <w:r>
        <w:rPr>
          <w:rFonts w:cs="Miriam" w:hint="cs"/>
          <w:sz w:val="19"/>
          <w:szCs w:val="19"/>
          <w:rtl/>
        </w:rPr>
        <w:t>היסוד העובדתי</w:t>
      </w:r>
    </w:p>
    <w:p w14:paraId="61CF7FE1" w14:textId="77777777" w:rsidR="00144D22" w:rsidRDefault="00144D22">
      <w:pPr>
        <w:pStyle w:val="a0"/>
        <w:rPr>
          <w:rFonts w:hint="cs"/>
          <w:sz w:val="22"/>
          <w:rtl/>
        </w:rPr>
      </w:pPr>
      <w:r>
        <w:rPr>
          <w:rFonts w:hint="cs"/>
          <w:sz w:val="22"/>
          <w:rtl/>
        </w:rPr>
        <w:t>16.</w:t>
      </w:r>
      <w:r>
        <w:rPr>
          <w:rFonts w:hint="cs"/>
          <w:sz w:val="22"/>
          <w:rtl/>
        </w:rPr>
        <w:tab/>
        <w:t>התשתית הראייתית לביסוס היסוד העובדתי מורכבת מהודאת הנאשם (ת/2) ומעדות הקצין.</w:t>
      </w:r>
    </w:p>
    <w:p w14:paraId="7069CC8D" w14:textId="77777777" w:rsidR="00144D22" w:rsidRDefault="00144D22">
      <w:pPr>
        <w:pStyle w:val="a0"/>
        <w:rPr>
          <w:rFonts w:cs="Miriam" w:hint="cs"/>
          <w:sz w:val="19"/>
          <w:szCs w:val="19"/>
          <w:rtl/>
        </w:rPr>
      </w:pPr>
      <w:r>
        <w:rPr>
          <w:rFonts w:cs="Miriam" w:hint="cs"/>
          <w:sz w:val="19"/>
          <w:szCs w:val="19"/>
          <w:rtl/>
        </w:rPr>
        <w:t>הודאת הנאשם (ת/2)</w:t>
      </w:r>
    </w:p>
    <w:p w14:paraId="25D93A0E" w14:textId="77777777" w:rsidR="00144D22" w:rsidRDefault="00144D22">
      <w:pPr>
        <w:pStyle w:val="a0"/>
        <w:rPr>
          <w:rFonts w:hint="cs"/>
          <w:sz w:val="22"/>
          <w:rtl/>
        </w:rPr>
      </w:pPr>
      <w:r>
        <w:rPr>
          <w:rFonts w:hint="cs"/>
          <w:sz w:val="22"/>
          <w:rtl/>
        </w:rPr>
        <w:t>17.</w:t>
      </w:r>
      <w:r>
        <w:rPr>
          <w:rFonts w:hint="cs"/>
          <w:sz w:val="22"/>
          <w:rtl/>
        </w:rPr>
        <w:tab/>
        <w:t xml:space="preserve">למען הסר ספק, במחלוקת העובדתית בין גירסת הנאשם – כי לא אמר את הדברים הרשומים בהודייתו (ת/2) </w:t>
      </w:r>
      <w:r>
        <w:rPr>
          <w:sz w:val="22"/>
          <w:rtl/>
        </w:rPr>
        <w:t>–</w:t>
      </w:r>
      <w:r>
        <w:rPr>
          <w:rFonts w:hint="cs"/>
          <w:sz w:val="22"/>
          <w:rtl/>
        </w:rPr>
        <w:t xml:space="preserve"> לבין עדות גובת ההודיה, החוקרת דינה אוסקר</w:t>
      </w:r>
      <w:r>
        <w:rPr>
          <w:rFonts w:hint="cs"/>
          <w:position w:val="4"/>
          <w:rtl/>
        </w:rPr>
        <w:t>-</w:t>
      </w:r>
      <w:r>
        <w:rPr>
          <w:rFonts w:hint="cs"/>
          <w:sz w:val="22"/>
          <w:rtl/>
        </w:rPr>
        <w:t>לוי, מעדיף אני את עדות האחרונה.</w:t>
      </w:r>
    </w:p>
    <w:p w14:paraId="1994F63E" w14:textId="77777777" w:rsidR="00144D22" w:rsidRDefault="00144D22">
      <w:pPr>
        <w:pStyle w:val="a0"/>
        <w:rPr>
          <w:rFonts w:hint="cs"/>
          <w:sz w:val="22"/>
          <w:rtl/>
        </w:rPr>
      </w:pPr>
      <w:r>
        <w:rPr>
          <w:rFonts w:hint="cs"/>
          <w:sz w:val="22"/>
          <w:rtl/>
        </w:rPr>
        <w:t>מעבר לעובדה שעדות הנאשם, בלשון המעטה, לא עוררה את אמוני, הרי שמדובר ב"עדות כבושה".</w:t>
      </w:r>
    </w:p>
    <w:p w14:paraId="02B7631F" w14:textId="77777777" w:rsidR="00144D22" w:rsidRDefault="00144D22">
      <w:pPr>
        <w:pStyle w:val="a0"/>
        <w:rPr>
          <w:rFonts w:hint="cs"/>
          <w:sz w:val="22"/>
          <w:rtl/>
        </w:rPr>
      </w:pPr>
      <w:r>
        <w:rPr>
          <w:rFonts w:hint="cs"/>
          <w:sz w:val="22"/>
          <w:rtl/>
        </w:rPr>
        <w:t>לראשונה העלה הנאשם את הטענה שלא אמר את הדברים בהודאתו (ת/2) בסיומה של חקירתו הראשית.</w:t>
      </w:r>
    </w:p>
    <w:p w14:paraId="50625163" w14:textId="77777777" w:rsidR="00144D22" w:rsidRDefault="00144D22">
      <w:pPr>
        <w:pStyle w:val="a0"/>
        <w:rPr>
          <w:rFonts w:hint="cs"/>
          <w:sz w:val="22"/>
          <w:rtl/>
        </w:rPr>
      </w:pPr>
      <w:r>
        <w:rPr>
          <w:rFonts w:hint="cs"/>
          <w:sz w:val="22"/>
          <w:rtl/>
        </w:rPr>
        <w:t>מאז גביית הודאתו (ביום 10.5.2000), משך כשנתיים עד מועד עדותו (18.4.2002), לא העלה הנאשם את הטענה.</w:t>
      </w:r>
    </w:p>
    <w:p w14:paraId="66D9147D" w14:textId="77777777" w:rsidR="00144D22" w:rsidRDefault="00144D22">
      <w:pPr>
        <w:pStyle w:val="a0"/>
        <w:rPr>
          <w:rFonts w:hint="cs"/>
          <w:sz w:val="22"/>
          <w:rtl/>
        </w:rPr>
      </w:pPr>
      <w:r>
        <w:rPr>
          <w:rFonts w:hint="cs"/>
          <w:sz w:val="22"/>
          <w:rtl/>
        </w:rPr>
        <w:t>אף בישיבת המענה כל שהועלה מפי הנאשם, באמצעות סניגורו, הן טענות כלפי קבילות ההודיה, דהיינו הנאשם אישר שהדברים נאמרו על</w:t>
      </w:r>
      <w:r>
        <w:rPr>
          <w:rFonts w:hint="cs"/>
          <w:position w:val="4"/>
          <w:rtl/>
        </w:rPr>
        <w:t>-</w:t>
      </w:r>
      <w:r>
        <w:rPr>
          <w:rFonts w:hint="cs"/>
          <w:sz w:val="22"/>
          <w:rtl/>
        </w:rPr>
        <w:t>ידיו אך טען כי חולצו מפיו בדרך פסולה.</w:t>
      </w:r>
    </w:p>
    <w:p w14:paraId="30F3E1DE" w14:textId="77777777" w:rsidR="00144D22" w:rsidRDefault="00144D22">
      <w:pPr>
        <w:pStyle w:val="a0"/>
        <w:rPr>
          <w:rFonts w:hint="cs"/>
          <w:sz w:val="22"/>
          <w:rtl/>
        </w:rPr>
      </w:pPr>
      <w:r>
        <w:rPr>
          <w:rFonts w:hint="cs"/>
          <w:sz w:val="22"/>
          <w:rtl/>
        </w:rPr>
        <w:t>לא מצאתי אמת בדברי הנאשם אף ביחס לנסיבות גביית ההודיה.</w:t>
      </w:r>
    </w:p>
    <w:p w14:paraId="172CCF0D" w14:textId="77777777" w:rsidR="00144D22" w:rsidRDefault="00144D22">
      <w:pPr>
        <w:pStyle w:val="a0"/>
        <w:rPr>
          <w:rFonts w:hint="cs"/>
          <w:sz w:val="22"/>
          <w:rtl/>
        </w:rPr>
      </w:pPr>
      <w:r>
        <w:rPr>
          <w:rFonts w:hint="cs"/>
          <w:sz w:val="22"/>
          <w:rtl/>
        </w:rPr>
        <w:t>איני מאמין לנאשם שהקצין איים עליו בדרך כלשהי.</w:t>
      </w:r>
    </w:p>
    <w:p w14:paraId="2D0FF18D" w14:textId="77777777" w:rsidR="00144D22" w:rsidRDefault="00144D22">
      <w:pPr>
        <w:pStyle w:val="a0"/>
        <w:rPr>
          <w:rFonts w:hint="cs"/>
          <w:sz w:val="22"/>
          <w:rtl/>
        </w:rPr>
      </w:pPr>
      <w:r>
        <w:rPr>
          <w:rFonts w:hint="cs"/>
          <w:sz w:val="22"/>
          <w:rtl/>
        </w:rPr>
        <w:t xml:space="preserve">מעמידת הנאשם בפניי עולה בבירור שמדובר באדם שמזהה ומבין מרות ומכפיף </w:t>
      </w:r>
      <w:r>
        <w:rPr>
          <w:sz w:val="22"/>
          <w:rtl/>
        </w:rPr>
        <w:br/>
      </w:r>
      <w:r>
        <w:rPr>
          <w:rFonts w:hint="cs"/>
          <w:sz w:val="22"/>
          <w:rtl/>
        </w:rPr>
        <w:t>עצמו אליה.</w:t>
      </w:r>
    </w:p>
    <w:p w14:paraId="57B2812B" w14:textId="77777777" w:rsidR="00144D22" w:rsidRDefault="00144D22">
      <w:pPr>
        <w:pStyle w:val="a0"/>
        <w:rPr>
          <w:rFonts w:hint="cs"/>
          <w:sz w:val="22"/>
          <w:rtl/>
        </w:rPr>
      </w:pPr>
      <w:r>
        <w:rPr>
          <w:rFonts w:hint="cs"/>
          <w:sz w:val="22"/>
          <w:rtl/>
        </w:rPr>
        <w:t>נוכח אישיותו של הנאשם ותגובותיו השתכנעתי, שכנוע עמוק ומלא, שהקצין לא נדרש לאיומים כלשהם, ואף לא לצל צלם של איומים, בכדי להטיל אימה בנאשם.</w:t>
      </w:r>
    </w:p>
    <w:p w14:paraId="76122B61" w14:textId="77777777" w:rsidR="00144D22" w:rsidRDefault="00144D22">
      <w:pPr>
        <w:pStyle w:val="a0"/>
        <w:rPr>
          <w:rFonts w:hint="cs"/>
          <w:sz w:val="22"/>
          <w:rtl/>
        </w:rPr>
      </w:pPr>
      <w:r>
        <w:rPr>
          <w:rFonts w:hint="cs"/>
          <w:sz w:val="22"/>
          <w:rtl/>
        </w:rPr>
        <w:t>עמידתו של הנאשם, כשלעצמה, אינה אומרת ביטחון עצמי, והתרשמותי היא שהיה נפחד דיו מעצם העובדה שנתפס בקלקלתו, כפי שגם אישר בעדותו בבית</w:t>
      </w:r>
      <w:r>
        <w:rPr>
          <w:rFonts w:hint="cs"/>
          <w:position w:val="4"/>
          <w:rtl/>
        </w:rPr>
        <w:t>-</w:t>
      </w:r>
      <w:r>
        <w:rPr>
          <w:rFonts w:hint="cs"/>
          <w:sz w:val="22"/>
          <w:rtl/>
        </w:rPr>
        <w:t xml:space="preserve">המשפט </w:t>
      </w:r>
      <w:r>
        <w:rPr>
          <w:sz w:val="22"/>
          <w:rtl/>
        </w:rPr>
        <w:br/>
      </w:r>
      <w:r>
        <w:rPr>
          <w:rFonts w:hint="cs"/>
          <w:sz w:val="22"/>
          <w:rtl/>
        </w:rPr>
        <w:t xml:space="preserve">(עמ' 15 לפרוטוקול, שורות 31-30). טעמים אלה מחזקים את מסקנתי שהקצין לא איים על הנאשם בדרך כלשהי. </w:t>
      </w:r>
    </w:p>
    <w:p w14:paraId="3217237F" w14:textId="77777777" w:rsidR="00144D22" w:rsidRDefault="00144D22">
      <w:pPr>
        <w:pStyle w:val="a0"/>
        <w:rPr>
          <w:rFonts w:hint="cs"/>
          <w:sz w:val="22"/>
          <w:rtl/>
        </w:rPr>
      </w:pPr>
      <w:r>
        <w:rPr>
          <w:rFonts w:hint="cs"/>
          <w:sz w:val="22"/>
          <w:rtl/>
        </w:rPr>
        <w:t>אין חולק שהקצין לא נתלווה לנאשם בניידת שהסיעה אותו מהבסיס לתחנת משטרת רחובות, וכי חלפו לפחות כשעה ו</w:t>
      </w:r>
      <w:r>
        <w:rPr>
          <w:rFonts w:hint="cs"/>
          <w:position w:val="4"/>
          <w:rtl/>
        </w:rPr>
        <w:t>-</w:t>
      </w:r>
      <w:r>
        <w:rPr>
          <w:rFonts w:hint="cs"/>
          <w:sz w:val="22"/>
          <w:rtl/>
        </w:rPr>
        <w:t>45 דקות מרגע שהנאשם "נפרד" מהקצין ועד שנגבתה הודייתו.</w:t>
      </w:r>
    </w:p>
    <w:p w14:paraId="3CB99155" w14:textId="77777777" w:rsidR="00144D22" w:rsidRDefault="00144D22">
      <w:pPr>
        <w:pStyle w:val="a0"/>
        <w:rPr>
          <w:rFonts w:hint="cs"/>
          <w:sz w:val="22"/>
          <w:rtl/>
        </w:rPr>
      </w:pPr>
      <w:r>
        <w:rPr>
          <w:rFonts w:hint="cs"/>
          <w:sz w:val="22"/>
          <w:rtl/>
        </w:rPr>
        <w:t xml:space="preserve">אין כל טענה </w:t>
      </w:r>
      <w:r>
        <w:rPr>
          <w:rFonts w:cs="Miriam" w:hint="cs"/>
          <w:sz w:val="19"/>
          <w:szCs w:val="19"/>
          <w:rtl/>
        </w:rPr>
        <w:t xml:space="preserve">שבמהלך </w:t>
      </w:r>
      <w:r>
        <w:rPr>
          <w:rFonts w:hint="cs"/>
          <w:sz w:val="22"/>
          <w:rtl/>
        </w:rPr>
        <w:t xml:space="preserve">גביית ההודיה (ת/2) הופעל כלפי הנאשם אמצעי פסול כלשהו. </w:t>
      </w:r>
    </w:p>
    <w:p w14:paraId="36094DAF" w14:textId="77777777" w:rsidR="00144D22" w:rsidRDefault="00144D22">
      <w:pPr>
        <w:pStyle w:val="a0"/>
        <w:rPr>
          <w:rFonts w:hint="cs"/>
          <w:sz w:val="22"/>
          <w:rtl/>
        </w:rPr>
      </w:pPr>
      <w:r>
        <w:rPr>
          <w:rFonts w:hint="cs"/>
          <w:sz w:val="22"/>
          <w:rtl/>
        </w:rPr>
        <w:t>הטענה היחידה, המכוונת כלפי משקל ההודיה, היא שאיומיו הנטענים של הקצין השפיעו, כביכול, על תוכן דבריו של הנאשם.</w:t>
      </w:r>
    </w:p>
    <w:p w14:paraId="1DF60A51" w14:textId="77777777" w:rsidR="00144D22" w:rsidRDefault="00144D22">
      <w:pPr>
        <w:pStyle w:val="a0"/>
        <w:rPr>
          <w:rFonts w:hint="cs"/>
          <w:rtl/>
        </w:rPr>
      </w:pPr>
      <w:r>
        <w:rPr>
          <w:rFonts w:hint="cs"/>
          <w:sz w:val="22"/>
          <w:rtl/>
        </w:rPr>
        <w:t xml:space="preserve">לא מצאתי כל ממש בטענה, הן לאור המשקל הנמוך שמצאתי לייחס לדברי הנאשם, </w:t>
      </w:r>
      <w:r>
        <w:rPr>
          <w:sz w:val="22"/>
          <w:rtl/>
        </w:rPr>
        <w:br/>
      </w:r>
      <w:r>
        <w:rPr>
          <w:rFonts w:hint="cs"/>
          <w:sz w:val="22"/>
          <w:rtl/>
        </w:rPr>
        <w:t>הן לאור חלוף הזמן כמתואר בין האיום הנטען, שדחיתי קיומו, לבין מועד גביית ההודיה והן לאור העובדה שהנאשם טען שבאותה הזדמנות שהקצין איים עליו, איים עליו גם</w:t>
      </w:r>
      <w:r>
        <w:rPr>
          <w:rFonts w:hint="cs"/>
          <w:rtl/>
        </w:rPr>
        <w:t xml:space="preserve"> "הבעל של מישהי 'סתם ככה'" (עמ' 15 לפרוטוקול, שורות 6-5).</w:t>
      </w:r>
    </w:p>
    <w:p w14:paraId="02F693CE" w14:textId="77777777" w:rsidR="00144D22" w:rsidRDefault="00144D22">
      <w:pPr>
        <w:pStyle w:val="a0"/>
        <w:rPr>
          <w:rFonts w:hint="cs"/>
          <w:sz w:val="22"/>
          <w:rtl/>
        </w:rPr>
      </w:pPr>
      <w:r>
        <w:rPr>
          <w:rFonts w:hint="cs"/>
          <w:sz w:val="22"/>
          <w:rtl/>
        </w:rPr>
        <w:t xml:space="preserve">לאור כל האמור, מצאתי ליתן משקל מלא לתוכן הודיית הנאשם (ת/2). </w:t>
      </w:r>
    </w:p>
    <w:p w14:paraId="4890F929" w14:textId="77777777" w:rsidR="00144D22" w:rsidRDefault="00144D22">
      <w:pPr>
        <w:pStyle w:val="a0"/>
        <w:rPr>
          <w:rFonts w:cs="Miriam" w:hint="cs"/>
          <w:sz w:val="19"/>
          <w:szCs w:val="19"/>
          <w:rtl/>
        </w:rPr>
      </w:pPr>
      <w:r>
        <w:rPr>
          <w:rFonts w:cs="Miriam" w:hint="cs"/>
          <w:sz w:val="19"/>
          <w:szCs w:val="19"/>
          <w:rtl/>
        </w:rPr>
        <w:t>תוכן הודיית הנאשם</w:t>
      </w:r>
    </w:p>
    <w:p w14:paraId="7CB383FE" w14:textId="77777777" w:rsidR="00144D22" w:rsidRDefault="00144D22">
      <w:pPr>
        <w:pStyle w:val="a0"/>
        <w:rPr>
          <w:rFonts w:hint="cs"/>
          <w:sz w:val="22"/>
          <w:rtl/>
        </w:rPr>
      </w:pPr>
      <w:r>
        <w:rPr>
          <w:rFonts w:hint="cs"/>
          <w:sz w:val="22"/>
          <w:rtl/>
        </w:rPr>
        <w:t>18.</w:t>
      </w:r>
      <w:r>
        <w:rPr>
          <w:rFonts w:hint="cs"/>
          <w:sz w:val="22"/>
          <w:rtl/>
        </w:rPr>
        <w:tab/>
        <w:t xml:space="preserve">הנאשם הודה כי עבר ונגע, באמצעות </w:t>
      </w:r>
      <w:r>
        <w:rPr>
          <w:rFonts w:cs="Miriam" w:hint="cs"/>
          <w:sz w:val="19"/>
          <w:szCs w:val="19"/>
          <w:rtl/>
        </w:rPr>
        <w:t>ידו</w:t>
      </w:r>
      <w:r>
        <w:rPr>
          <w:rFonts w:hint="cs"/>
          <w:sz w:val="22"/>
          <w:rtl/>
        </w:rPr>
        <w:t xml:space="preserve">, במספר בלתי ידוע של </w:t>
      </w:r>
      <w:r>
        <w:rPr>
          <w:rFonts w:cs="Miriam" w:hint="cs"/>
          <w:sz w:val="19"/>
          <w:szCs w:val="19"/>
          <w:rtl/>
        </w:rPr>
        <w:t>נשים</w:t>
      </w:r>
      <w:r>
        <w:rPr>
          <w:rFonts w:hint="cs"/>
          <w:rtl/>
        </w:rPr>
        <w:t>.</w:t>
      </w:r>
    </w:p>
    <w:p w14:paraId="0DDB9FE9" w14:textId="77777777" w:rsidR="00144D22" w:rsidRDefault="00144D22">
      <w:pPr>
        <w:pStyle w:val="a0"/>
        <w:rPr>
          <w:rFonts w:hint="cs"/>
          <w:sz w:val="22"/>
          <w:rtl/>
        </w:rPr>
      </w:pPr>
      <w:r>
        <w:rPr>
          <w:rFonts w:hint="cs"/>
          <w:sz w:val="22"/>
          <w:rtl/>
        </w:rPr>
        <w:t xml:space="preserve">בהתייחסו </w:t>
      </w:r>
      <w:r>
        <w:rPr>
          <w:rFonts w:cs="Miriam" w:hint="cs"/>
          <w:sz w:val="19"/>
          <w:szCs w:val="19"/>
          <w:rtl/>
        </w:rPr>
        <w:t>למיקום</w:t>
      </w:r>
      <w:r>
        <w:rPr>
          <w:rFonts w:hint="cs"/>
          <w:sz w:val="22"/>
          <w:rtl/>
        </w:rPr>
        <w:t xml:space="preserve"> נגיעותיו, מסר הנאשם: </w:t>
      </w:r>
    </w:p>
    <w:p w14:paraId="3D927234" w14:textId="77777777" w:rsidR="00144D22" w:rsidRDefault="00144D22">
      <w:pPr>
        <w:pStyle w:val="a"/>
        <w:rPr>
          <w:rFonts w:hint="cs"/>
          <w:rtl/>
        </w:rPr>
      </w:pPr>
      <w:r>
        <w:rPr>
          <w:rFonts w:hint="cs"/>
          <w:rtl/>
        </w:rPr>
        <w:t xml:space="preserve">"נגעתי להם </w:t>
      </w:r>
      <w:r>
        <w:rPr>
          <w:rFonts w:cs="Miriam" w:hint="cs"/>
          <w:szCs w:val="19"/>
          <w:rtl/>
        </w:rPr>
        <w:t>למטה מקדימה...</w:t>
      </w:r>
      <w:r>
        <w:rPr>
          <w:rFonts w:hint="cs"/>
          <w:rtl/>
        </w:rPr>
        <w:t xml:space="preserve"> </w:t>
      </w:r>
      <w:r>
        <w:rPr>
          <w:rFonts w:cs="Miriam" w:hint="cs"/>
          <w:szCs w:val="19"/>
          <w:rtl/>
        </w:rPr>
        <w:t>למטה, בין הרגליים</w:t>
      </w:r>
      <w:r>
        <w:rPr>
          <w:rFonts w:hint="cs"/>
          <w:rtl/>
        </w:rPr>
        <w:t>"  (ת/2, שורות 12-10; ההדגשה שלי – י' ל').</w:t>
      </w:r>
    </w:p>
    <w:p w14:paraId="36341673" w14:textId="77777777" w:rsidR="00144D22" w:rsidRDefault="00144D22">
      <w:pPr>
        <w:pStyle w:val="a0"/>
        <w:rPr>
          <w:rFonts w:cs="Miriam" w:hint="cs"/>
          <w:sz w:val="19"/>
          <w:szCs w:val="19"/>
          <w:rtl/>
        </w:rPr>
      </w:pPr>
      <w:r>
        <w:rPr>
          <w:rFonts w:cs="Miriam" w:hint="cs"/>
          <w:sz w:val="19"/>
          <w:szCs w:val="19"/>
          <w:rtl/>
        </w:rPr>
        <w:t>עדות הנאשם בבית</w:t>
      </w:r>
      <w:r>
        <w:rPr>
          <w:rFonts w:cs="Miriam" w:hint="cs"/>
          <w:position w:val="4"/>
          <w:sz w:val="19"/>
          <w:szCs w:val="19"/>
          <w:rtl/>
        </w:rPr>
        <w:t>-</w:t>
      </w:r>
      <w:r>
        <w:rPr>
          <w:rFonts w:cs="Miriam" w:hint="cs"/>
          <w:sz w:val="19"/>
          <w:szCs w:val="19"/>
          <w:rtl/>
        </w:rPr>
        <w:t>המשפט</w:t>
      </w:r>
    </w:p>
    <w:p w14:paraId="074E004A" w14:textId="77777777" w:rsidR="00144D22" w:rsidRDefault="00144D22">
      <w:pPr>
        <w:pStyle w:val="a0"/>
        <w:rPr>
          <w:rFonts w:hint="cs"/>
          <w:rtl/>
        </w:rPr>
      </w:pPr>
      <w:r>
        <w:rPr>
          <w:rFonts w:hint="cs"/>
          <w:sz w:val="22"/>
          <w:rtl/>
        </w:rPr>
        <w:t>19.</w:t>
      </w:r>
      <w:r>
        <w:rPr>
          <w:rFonts w:hint="cs"/>
          <w:sz w:val="22"/>
          <w:rtl/>
        </w:rPr>
        <w:tab/>
        <w:t>לשאלת סניגורו, בחקירה הראשית, האם נגע לבחורות בין הרגליים, השיב הנאשם</w:t>
      </w:r>
      <w:r>
        <w:rPr>
          <w:rFonts w:hint="cs"/>
          <w:rtl/>
        </w:rPr>
        <w:t xml:space="preserve">: </w:t>
      </w:r>
      <w:r>
        <w:rPr>
          <w:rFonts w:hint="cs"/>
          <w:rtl/>
        </w:rPr>
        <w:tab/>
        <w:t>"לא. אף אחת לא התלוננה".</w:t>
      </w:r>
    </w:p>
    <w:p w14:paraId="566DC76F" w14:textId="77777777" w:rsidR="00144D22" w:rsidRDefault="00144D22">
      <w:pPr>
        <w:pStyle w:val="a0"/>
        <w:rPr>
          <w:rFonts w:hint="cs"/>
          <w:rtl/>
        </w:rPr>
      </w:pPr>
      <w:r>
        <w:rPr>
          <w:rFonts w:hint="cs"/>
          <w:sz w:val="22"/>
          <w:rtl/>
        </w:rPr>
        <w:t xml:space="preserve">לשאלה: "בשביל מה אתה צריך לנגוע לבחורות בין הרגליים?" </w:t>
      </w:r>
      <w:r>
        <w:rPr>
          <w:rFonts w:hint="cs"/>
          <w:rtl/>
        </w:rPr>
        <w:t xml:space="preserve">השיב הנאשם: </w:t>
      </w:r>
      <w:r>
        <w:rPr>
          <w:rFonts w:hint="cs"/>
          <w:rtl/>
        </w:rPr>
        <w:tab/>
        <w:t>"היה צפוף וסתם היה צפוף ועברתי, נגעתי עם היד".</w:t>
      </w:r>
    </w:p>
    <w:p w14:paraId="4C88E223" w14:textId="77777777" w:rsidR="00144D22" w:rsidRDefault="00144D22">
      <w:pPr>
        <w:pStyle w:val="a0"/>
        <w:rPr>
          <w:rFonts w:hint="cs"/>
          <w:sz w:val="22"/>
          <w:rtl/>
        </w:rPr>
      </w:pPr>
      <w:r>
        <w:rPr>
          <w:rFonts w:hint="cs"/>
          <w:sz w:val="22"/>
          <w:rtl/>
        </w:rPr>
        <w:t>ולשאלה:  "איפה נגעת עם היד?" חזר לגירסתו המתכחשת והשיב</w:t>
      </w:r>
      <w:r>
        <w:rPr>
          <w:rFonts w:hint="cs"/>
          <w:rtl/>
        </w:rPr>
        <w:t xml:space="preserve">: "לא נגעתי" </w:t>
      </w:r>
      <w:r>
        <w:rPr>
          <w:rFonts w:hint="cs"/>
          <w:sz w:val="22"/>
          <w:rtl/>
        </w:rPr>
        <w:t>(עמ' 16 לפרוטוקול, שורה 31, עמ'</w:t>
      </w:r>
      <w:r w:rsidR="00E2755E">
        <w:rPr>
          <w:rFonts w:hint="eastAsia"/>
          <w:sz w:val="22"/>
          <w:rtl/>
        </w:rPr>
        <w:t xml:space="preserve"> </w:t>
      </w:r>
      <w:r>
        <w:rPr>
          <w:rFonts w:hint="cs"/>
          <w:sz w:val="22"/>
          <w:rtl/>
        </w:rPr>
        <w:t>17, שורות 6-1).</w:t>
      </w:r>
    </w:p>
    <w:p w14:paraId="3A58395F" w14:textId="77777777" w:rsidR="00144D22" w:rsidRDefault="00144D22">
      <w:pPr>
        <w:pStyle w:val="a0"/>
        <w:rPr>
          <w:rFonts w:hint="cs"/>
          <w:sz w:val="22"/>
          <w:rtl/>
        </w:rPr>
      </w:pPr>
      <w:r>
        <w:rPr>
          <w:rFonts w:hint="cs"/>
          <w:sz w:val="22"/>
          <w:rtl/>
        </w:rPr>
        <w:t>למעשה, אף בעדותו בבית</w:t>
      </w:r>
      <w:r>
        <w:rPr>
          <w:rFonts w:hint="cs"/>
          <w:position w:val="4"/>
          <w:rtl/>
        </w:rPr>
        <w:t>-</w:t>
      </w:r>
      <w:r>
        <w:rPr>
          <w:rFonts w:hint="cs"/>
          <w:sz w:val="22"/>
          <w:rtl/>
        </w:rPr>
        <w:t xml:space="preserve">המשפט הודה הנאשם שנגע </w:t>
      </w:r>
      <w:r>
        <w:rPr>
          <w:rFonts w:cs="Miriam" w:hint="cs"/>
          <w:sz w:val="19"/>
          <w:szCs w:val="19"/>
          <w:rtl/>
        </w:rPr>
        <w:t>בין רגליהן</w:t>
      </w:r>
      <w:r>
        <w:rPr>
          <w:rFonts w:hint="cs"/>
          <w:sz w:val="22"/>
          <w:rtl/>
        </w:rPr>
        <w:t xml:space="preserve"> של נשים.</w:t>
      </w:r>
    </w:p>
    <w:p w14:paraId="659DD77D" w14:textId="77777777" w:rsidR="00144D22" w:rsidRDefault="00144D22">
      <w:pPr>
        <w:pStyle w:val="a0"/>
        <w:rPr>
          <w:rFonts w:hint="cs"/>
          <w:sz w:val="22"/>
          <w:rtl/>
        </w:rPr>
      </w:pPr>
      <w:r>
        <w:rPr>
          <w:rFonts w:hint="cs"/>
          <w:sz w:val="22"/>
          <w:rtl/>
        </w:rPr>
        <w:t>גירסאותיו המשתנות של הנאשם בשאלה האם נגע או לא נגע באיברי המין של נשים מלמדות על הבנתו את הפגם שבמעשיו ועל ניסיונו להרחיק את עצמו ממעשה העבירה באופן שלא מצאתי ליתן אמון בדבריו.</w:t>
      </w:r>
    </w:p>
    <w:p w14:paraId="7360B86A" w14:textId="77777777" w:rsidR="00144D22" w:rsidRDefault="00144D22">
      <w:pPr>
        <w:pStyle w:val="a0"/>
        <w:rPr>
          <w:rFonts w:cs="Miriam" w:hint="cs"/>
          <w:sz w:val="19"/>
          <w:szCs w:val="19"/>
          <w:rtl/>
        </w:rPr>
      </w:pPr>
      <w:r>
        <w:rPr>
          <w:rFonts w:cs="Miriam" w:hint="cs"/>
          <w:sz w:val="19"/>
          <w:szCs w:val="19"/>
          <w:rtl/>
        </w:rPr>
        <w:t>עדות הקצין</w:t>
      </w:r>
    </w:p>
    <w:p w14:paraId="608FAAD3" w14:textId="77777777" w:rsidR="00144D22" w:rsidRDefault="00144D22">
      <w:pPr>
        <w:pStyle w:val="a0"/>
        <w:rPr>
          <w:rFonts w:hint="cs"/>
          <w:sz w:val="22"/>
          <w:rtl/>
        </w:rPr>
      </w:pPr>
      <w:r>
        <w:rPr>
          <w:rFonts w:hint="cs"/>
          <w:sz w:val="22"/>
          <w:rtl/>
        </w:rPr>
        <w:t>20.</w:t>
      </w:r>
      <w:r>
        <w:rPr>
          <w:rFonts w:hint="cs"/>
          <w:sz w:val="22"/>
          <w:rtl/>
        </w:rPr>
        <w:tab/>
        <w:t xml:space="preserve">הקצין העיד שהנאשם שינה את מקום עמידתו והתקרב לנשים, ושלח ידיו לתוך </w:t>
      </w:r>
      <w:r>
        <w:rPr>
          <w:rFonts w:cs="Miriam" w:hint="cs"/>
          <w:sz w:val="19"/>
          <w:szCs w:val="19"/>
          <w:rtl/>
        </w:rPr>
        <w:t>איבריהן האינטימיים של נשים, בין הרגליים</w:t>
      </w:r>
      <w:r>
        <w:rPr>
          <w:rFonts w:hint="cs"/>
          <w:sz w:val="22"/>
          <w:rtl/>
        </w:rPr>
        <w:t>.</w:t>
      </w:r>
    </w:p>
    <w:p w14:paraId="02994549" w14:textId="77777777" w:rsidR="00144D22" w:rsidRDefault="00144D22">
      <w:pPr>
        <w:pStyle w:val="a0"/>
        <w:rPr>
          <w:rFonts w:hint="cs"/>
          <w:sz w:val="22"/>
          <w:rtl/>
        </w:rPr>
      </w:pPr>
      <w:r>
        <w:rPr>
          <w:rFonts w:hint="cs"/>
          <w:sz w:val="22"/>
          <w:rtl/>
        </w:rPr>
        <w:t>עדות הקצין הותירה רושם מהימן בעיניי.</w:t>
      </w:r>
    </w:p>
    <w:p w14:paraId="4D03B2D2" w14:textId="77777777" w:rsidR="00144D22" w:rsidRDefault="00144D22">
      <w:pPr>
        <w:pStyle w:val="a0"/>
        <w:rPr>
          <w:rFonts w:hint="cs"/>
          <w:sz w:val="22"/>
          <w:rtl/>
        </w:rPr>
      </w:pPr>
      <w:r>
        <w:rPr>
          <w:rFonts w:hint="cs"/>
          <w:sz w:val="22"/>
          <w:rtl/>
        </w:rPr>
        <w:t xml:space="preserve">לא מצאתי שהקצין הזיד להפליל את הנאשם על לא עוול בכפו או שהפריז בתיאור מעשיו של הנאשם. </w:t>
      </w:r>
    </w:p>
    <w:p w14:paraId="21F01010" w14:textId="77777777" w:rsidR="00144D22" w:rsidRDefault="00144D22">
      <w:pPr>
        <w:pStyle w:val="a0"/>
        <w:rPr>
          <w:rFonts w:hint="cs"/>
          <w:sz w:val="22"/>
          <w:rtl/>
        </w:rPr>
      </w:pPr>
      <w:r>
        <w:rPr>
          <w:rFonts w:hint="cs"/>
          <w:sz w:val="22"/>
          <w:rtl/>
        </w:rPr>
        <w:t>הקצין שהה במקום, במסגרת משפחתית, ואין לי כל ספק שלא תר אחר תעסוקה מקצועית בהיותו עם בני משפחתו.</w:t>
      </w:r>
    </w:p>
    <w:p w14:paraId="11A50444" w14:textId="77777777" w:rsidR="00144D22" w:rsidRDefault="00144D22">
      <w:pPr>
        <w:pStyle w:val="a0"/>
        <w:rPr>
          <w:rFonts w:hint="cs"/>
          <w:sz w:val="22"/>
          <w:rtl/>
        </w:rPr>
      </w:pPr>
      <w:r>
        <w:rPr>
          <w:rFonts w:hint="cs"/>
          <w:sz w:val="22"/>
          <w:rtl/>
        </w:rPr>
        <w:t>למען הסר ספק, מצאתי ליתן אמון מלא בעדות הקצין.</w:t>
      </w:r>
    </w:p>
    <w:p w14:paraId="02A15F00" w14:textId="77777777" w:rsidR="00144D22" w:rsidRDefault="00144D22">
      <w:pPr>
        <w:pStyle w:val="a0"/>
        <w:rPr>
          <w:rFonts w:hint="cs"/>
          <w:sz w:val="22"/>
          <w:rtl/>
        </w:rPr>
      </w:pPr>
      <w:r>
        <w:rPr>
          <w:rFonts w:hint="cs"/>
          <w:sz w:val="22"/>
          <w:rtl/>
        </w:rPr>
        <w:t xml:space="preserve">אימוץ עדות הקצין שהנאשם שלח ידו לאיבריהן האינטימיים של נשים, בין הרגליים, ביחד עם הודיית הנאשם שנגע בנשים "למטה מקדימה... למטה, בין הרגליים", מוביל למסקנה שהנאשם שלח ידיו </w:t>
      </w:r>
      <w:r>
        <w:rPr>
          <w:rFonts w:cs="Miriam" w:hint="cs"/>
          <w:sz w:val="19"/>
          <w:szCs w:val="19"/>
          <w:rtl/>
        </w:rPr>
        <w:t>לאיברי מינן של</w:t>
      </w:r>
      <w:r>
        <w:rPr>
          <w:rFonts w:hint="cs"/>
          <w:sz w:val="22"/>
          <w:rtl/>
        </w:rPr>
        <w:t xml:space="preserve"> מספר נשים, שכן האיבר האינטימי היחיד המצוי בין רגלי נשים הוא </w:t>
      </w:r>
      <w:r>
        <w:rPr>
          <w:rFonts w:cs="Miriam" w:hint="cs"/>
          <w:sz w:val="19"/>
          <w:szCs w:val="19"/>
          <w:rtl/>
        </w:rPr>
        <w:t>איבר המין הנשי</w:t>
      </w:r>
      <w:r>
        <w:rPr>
          <w:rFonts w:hint="cs"/>
          <w:sz w:val="22"/>
          <w:rtl/>
        </w:rPr>
        <w:t>.</w:t>
      </w:r>
    </w:p>
    <w:p w14:paraId="03C6429E" w14:textId="77777777" w:rsidR="00144D22" w:rsidRDefault="00144D22">
      <w:pPr>
        <w:pStyle w:val="a0"/>
        <w:rPr>
          <w:rFonts w:cs="Miriam" w:hint="cs"/>
          <w:sz w:val="19"/>
          <w:szCs w:val="19"/>
          <w:rtl/>
        </w:rPr>
      </w:pPr>
      <w:r>
        <w:rPr>
          <w:rFonts w:cs="Miriam" w:hint="cs"/>
          <w:sz w:val="19"/>
          <w:szCs w:val="19"/>
          <w:rtl/>
        </w:rPr>
        <w:t xml:space="preserve">היסוד העובדתי </w:t>
      </w:r>
      <w:r>
        <w:rPr>
          <w:rFonts w:hint="eastAsia"/>
          <w:rtl/>
        </w:rPr>
        <w:t>–</w:t>
      </w:r>
      <w:r>
        <w:rPr>
          <w:rFonts w:cs="Miriam" w:hint="cs"/>
          <w:sz w:val="19"/>
          <w:szCs w:val="19"/>
          <w:rtl/>
        </w:rPr>
        <w:t xml:space="preserve"> סיכום</w:t>
      </w:r>
    </w:p>
    <w:p w14:paraId="67F6630B" w14:textId="77777777" w:rsidR="00144D22" w:rsidRDefault="00144D22">
      <w:pPr>
        <w:pStyle w:val="a0"/>
        <w:rPr>
          <w:rFonts w:hint="cs"/>
          <w:sz w:val="22"/>
          <w:rtl/>
        </w:rPr>
      </w:pPr>
      <w:r>
        <w:rPr>
          <w:rFonts w:hint="cs"/>
          <w:sz w:val="22"/>
          <w:rtl/>
        </w:rPr>
        <w:t>21.</w:t>
      </w:r>
      <w:r>
        <w:rPr>
          <w:rFonts w:hint="cs"/>
          <w:sz w:val="22"/>
          <w:rtl/>
        </w:rPr>
        <w:tab/>
        <w:t>על יסוד הודיית הנאשם (ת/2), עדות הקצין ועדות הנאשם בפניי, אני קובע שהוכחו בפניי, מעבר לכל ספק סביר, כל רכיבי היסוד העובדתי, כדלקמן:</w:t>
      </w:r>
    </w:p>
    <w:p w14:paraId="72427DF1" w14:textId="77777777" w:rsidR="00144D22" w:rsidRDefault="00144D22">
      <w:pPr>
        <w:pStyle w:val="a0"/>
        <w:rPr>
          <w:rFonts w:hint="cs"/>
          <w:sz w:val="22"/>
          <w:rtl/>
        </w:rPr>
      </w:pPr>
      <w:r>
        <w:rPr>
          <w:rFonts w:hint="cs"/>
          <w:sz w:val="22"/>
          <w:rtl/>
        </w:rPr>
        <w:t>(א)</w:t>
      </w:r>
      <w:r>
        <w:rPr>
          <w:rFonts w:hint="cs"/>
          <w:sz w:val="22"/>
          <w:rtl/>
        </w:rPr>
        <w:tab/>
      </w:r>
      <w:r>
        <w:rPr>
          <w:rFonts w:cs="Miriam" w:hint="cs"/>
          <w:sz w:val="19"/>
          <w:szCs w:val="19"/>
          <w:rtl/>
        </w:rPr>
        <w:t>הרכיב ההתנהגותי</w:t>
      </w:r>
      <w:r>
        <w:rPr>
          <w:rFonts w:hint="cs"/>
          <w:sz w:val="22"/>
          <w:rtl/>
        </w:rPr>
        <w:t xml:space="preserve"> </w:t>
      </w:r>
      <w:r>
        <w:rPr>
          <w:sz w:val="22"/>
          <w:rtl/>
        </w:rPr>
        <w:t>–</w:t>
      </w:r>
      <w:r>
        <w:rPr>
          <w:rFonts w:hint="cs"/>
          <w:sz w:val="22"/>
          <w:rtl/>
        </w:rPr>
        <w:t xml:space="preserve"> הנאשם שלח ידיו במתכוון ותוך ניצול הצפיפות במקום, נגע באיברי מינן של מספר בלתי ידוע של נשים, תוך שהוא משנה את מיקומו כדי להקל על ביצוע המעשים.</w:t>
      </w:r>
    </w:p>
    <w:p w14:paraId="7BE6791D" w14:textId="77777777" w:rsidR="00144D22" w:rsidRDefault="00144D22">
      <w:pPr>
        <w:pStyle w:val="a0"/>
        <w:rPr>
          <w:rFonts w:hint="cs"/>
          <w:sz w:val="22"/>
          <w:rtl/>
        </w:rPr>
      </w:pPr>
      <w:r>
        <w:rPr>
          <w:rFonts w:hint="cs"/>
          <w:sz w:val="22"/>
          <w:rtl/>
        </w:rPr>
        <w:t>מדובר במעשים הנגועים בפגם מוסרי בולט, הפוגעים בצנעת גופן של נשים וגורמים להשפלתן, ולפיכך מדובר במעשים המהווים "מעשה מגונה" בהקשרו העובדתי.</w:t>
      </w:r>
    </w:p>
    <w:p w14:paraId="53C14365" w14:textId="77777777" w:rsidR="00144D22" w:rsidRDefault="00144D22">
      <w:pPr>
        <w:pStyle w:val="a0"/>
        <w:rPr>
          <w:rFonts w:hint="cs"/>
          <w:sz w:val="22"/>
          <w:rtl/>
        </w:rPr>
      </w:pPr>
      <w:r>
        <w:rPr>
          <w:rFonts w:hint="cs"/>
          <w:sz w:val="22"/>
          <w:rtl/>
        </w:rPr>
        <w:t>(ב)</w:t>
      </w:r>
      <w:r>
        <w:rPr>
          <w:rFonts w:hint="cs"/>
          <w:sz w:val="22"/>
          <w:rtl/>
        </w:rPr>
        <w:tab/>
      </w:r>
      <w:r>
        <w:rPr>
          <w:rFonts w:cs="Miriam" w:hint="cs"/>
          <w:sz w:val="19"/>
          <w:szCs w:val="19"/>
          <w:rtl/>
        </w:rPr>
        <w:t>הרכיב הנסיבתי</w:t>
      </w:r>
      <w:r>
        <w:rPr>
          <w:rFonts w:hint="cs"/>
          <w:sz w:val="22"/>
          <w:rtl/>
        </w:rPr>
        <w:t xml:space="preserve"> </w:t>
      </w:r>
      <w:r>
        <w:rPr>
          <w:sz w:val="22"/>
          <w:rtl/>
        </w:rPr>
        <w:t>–</w:t>
      </w:r>
      <w:r>
        <w:rPr>
          <w:rFonts w:hint="cs"/>
          <w:sz w:val="22"/>
          <w:rtl/>
        </w:rPr>
        <w:t xml:space="preserve"> הוכח שהמעשים המגונים בוצעו בנשים.</w:t>
      </w:r>
    </w:p>
    <w:p w14:paraId="38436F41" w14:textId="77777777" w:rsidR="00144D22" w:rsidRDefault="00144D22">
      <w:pPr>
        <w:pStyle w:val="a0"/>
        <w:rPr>
          <w:rFonts w:hint="cs"/>
          <w:sz w:val="22"/>
          <w:rtl/>
        </w:rPr>
      </w:pPr>
      <w:r>
        <w:rPr>
          <w:rFonts w:hint="cs"/>
          <w:sz w:val="22"/>
          <w:rtl/>
        </w:rPr>
        <w:t>כפי שפורט בהרחבה לעיל, נטען על</w:t>
      </w:r>
      <w:r>
        <w:rPr>
          <w:rFonts w:hint="cs"/>
          <w:position w:val="4"/>
          <w:rtl/>
        </w:rPr>
        <w:t>-</w:t>
      </w:r>
      <w:r>
        <w:rPr>
          <w:rFonts w:hint="cs"/>
          <w:sz w:val="22"/>
          <w:rtl/>
        </w:rPr>
        <w:t>ידי ההגנה שלא הוכח שהמעשים נעשו בלא הסכמה, במיוחד לאור היעדר תלונה כלשהי.</w:t>
      </w:r>
    </w:p>
    <w:p w14:paraId="0E0FEA3B" w14:textId="77777777" w:rsidR="00144D22" w:rsidRDefault="00144D22">
      <w:pPr>
        <w:pStyle w:val="a0"/>
        <w:rPr>
          <w:rFonts w:hint="cs"/>
          <w:sz w:val="22"/>
          <w:rtl/>
        </w:rPr>
      </w:pPr>
      <w:r>
        <w:rPr>
          <w:rFonts w:hint="cs"/>
          <w:sz w:val="22"/>
          <w:rtl/>
        </w:rPr>
        <w:t>אין בידי לקבל הטענה.</w:t>
      </w:r>
    </w:p>
    <w:p w14:paraId="13999634" w14:textId="77777777" w:rsidR="00144D22" w:rsidRDefault="00144D22">
      <w:pPr>
        <w:pStyle w:val="a0"/>
        <w:rPr>
          <w:rFonts w:hint="cs"/>
          <w:sz w:val="22"/>
          <w:rtl/>
        </w:rPr>
      </w:pPr>
      <w:r>
        <w:rPr>
          <w:rFonts w:hint="cs"/>
          <w:sz w:val="22"/>
          <w:rtl/>
        </w:rPr>
        <w:t>הימנעות מהגשת תלונה אינה מובילה, באופן אוטומטי, למסקנה שלא נתבצעה עבירה או שהמעשה המגונה נעשה בהסכמה.</w:t>
      </w:r>
    </w:p>
    <w:p w14:paraId="06240849" w14:textId="77777777" w:rsidR="00144D22" w:rsidRDefault="00144D22">
      <w:pPr>
        <w:pStyle w:val="a0"/>
        <w:rPr>
          <w:rFonts w:hint="cs"/>
          <w:sz w:val="22"/>
          <w:rtl/>
        </w:rPr>
      </w:pPr>
      <w:r>
        <w:rPr>
          <w:rFonts w:hint="cs"/>
          <w:sz w:val="22"/>
          <w:rtl/>
        </w:rPr>
        <w:t>המסקנה היחידה שניתן להסיק מאי</w:t>
      </w:r>
      <w:r>
        <w:rPr>
          <w:rFonts w:hint="cs"/>
          <w:position w:val="4"/>
          <w:rtl/>
        </w:rPr>
        <w:t>-</w:t>
      </w:r>
      <w:r>
        <w:rPr>
          <w:rFonts w:hint="cs"/>
          <w:sz w:val="22"/>
          <w:rtl/>
        </w:rPr>
        <w:t>הגשת תלונה היא שהנשים, מסיבות רבות ומגוונות, ביקשו להימנע מכך. אין מדובר במעשה חריג ויוצא דופן, וכבר נשמעו מקרים של עבירות חמורות בהרבה מזו המיוחסת לנאשם, שמתלוננות נמנעו מהגשת תלונה.</w:t>
      </w:r>
    </w:p>
    <w:p w14:paraId="2F5E7F42" w14:textId="77777777" w:rsidR="00144D22" w:rsidRDefault="00144D22">
      <w:pPr>
        <w:pStyle w:val="a0"/>
        <w:rPr>
          <w:rFonts w:hint="cs"/>
          <w:sz w:val="22"/>
          <w:rtl/>
        </w:rPr>
      </w:pPr>
      <w:r>
        <w:rPr>
          <w:rFonts w:hint="cs"/>
          <w:sz w:val="22"/>
          <w:rtl/>
        </w:rPr>
        <w:t>בכל הכבוד הראוי, אף מהיעדרן של תלונות הנשים לא ניתן ללמוד על הסכמה.</w:t>
      </w:r>
    </w:p>
    <w:p w14:paraId="5744DD4B" w14:textId="77777777" w:rsidR="00144D22" w:rsidRDefault="00144D22">
      <w:pPr>
        <w:pStyle w:val="a0"/>
        <w:rPr>
          <w:rFonts w:hint="cs"/>
          <w:sz w:val="22"/>
          <w:rtl/>
        </w:rPr>
      </w:pPr>
      <w:r>
        <w:rPr>
          <w:rFonts w:hint="cs"/>
          <w:sz w:val="22"/>
          <w:rtl/>
        </w:rPr>
        <w:t>בנסיבות המקרה דנן, התמונה המצטיירת ממשקלן המצטבר של הודיית הנאשם (ת/2), עדות הנאשם בפניי ועדות הקצין היא שהנאשם ניצל את הצפיפות במקום ונגע באיברי מינן של נשים, תוך שינוי מיקומו בכדי להקל על עצמו את ביצוע המעשים.</w:t>
      </w:r>
    </w:p>
    <w:p w14:paraId="07EA69AE" w14:textId="77777777" w:rsidR="00144D22" w:rsidRDefault="00144D22">
      <w:pPr>
        <w:pStyle w:val="a0"/>
        <w:rPr>
          <w:rFonts w:hint="cs"/>
          <w:sz w:val="22"/>
          <w:rtl/>
        </w:rPr>
      </w:pPr>
      <w:r>
        <w:rPr>
          <w:rFonts w:hint="cs"/>
          <w:sz w:val="22"/>
          <w:rtl/>
        </w:rPr>
        <w:t>אילו היה מדובר באישה אחת בלבד, ייתכן שהיה בהיעדרה של תלונה כדי לעורר ספק סביר בעניין הוכחת יסוד אי</w:t>
      </w:r>
      <w:r>
        <w:rPr>
          <w:rFonts w:hint="cs"/>
          <w:position w:val="4"/>
          <w:rtl/>
        </w:rPr>
        <w:t>-</w:t>
      </w:r>
      <w:r>
        <w:rPr>
          <w:rFonts w:hint="cs"/>
          <w:sz w:val="22"/>
          <w:rtl/>
        </w:rPr>
        <w:t xml:space="preserve">ההסכמה, אך כשמדובר במספר נשים </w:t>
      </w:r>
      <w:r>
        <w:rPr>
          <w:sz w:val="22"/>
          <w:rtl/>
        </w:rPr>
        <w:t>–</w:t>
      </w:r>
      <w:r>
        <w:rPr>
          <w:rFonts w:hint="cs"/>
          <w:sz w:val="22"/>
          <w:rtl/>
        </w:rPr>
        <w:t xml:space="preserve"> </w:t>
      </w:r>
      <w:r>
        <w:rPr>
          <w:sz w:val="22"/>
          <w:rtl/>
        </w:rPr>
        <w:br/>
      </w:r>
      <w:r>
        <w:rPr>
          <w:rFonts w:hint="cs"/>
          <w:sz w:val="22"/>
          <w:rtl/>
        </w:rPr>
        <w:t xml:space="preserve">אף לשיטת הנאשם </w:t>
      </w:r>
      <w:r>
        <w:rPr>
          <w:sz w:val="22"/>
          <w:rtl/>
        </w:rPr>
        <w:t>–</w:t>
      </w:r>
      <w:r>
        <w:rPr>
          <w:rFonts w:hint="cs"/>
          <w:sz w:val="22"/>
          <w:rtl/>
        </w:rPr>
        <w:t xml:space="preserve"> אין זה סביר ואין זה מתקבל על הדעת שכולן הסכימו למעשיו המגונים של הנאשם.</w:t>
      </w:r>
    </w:p>
    <w:p w14:paraId="46E4ED1C" w14:textId="77777777" w:rsidR="00144D22" w:rsidRDefault="00144D22">
      <w:pPr>
        <w:pStyle w:val="a0"/>
        <w:rPr>
          <w:rFonts w:hint="cs"/>
          <w:sz w:val="22"/>
          <w:rtl/>
        </w:rPr>
      </w:pPr>
      <w:r>
        <w:rPr>
          <w:rFonts w:hint="cs"/>
          <w:sz w:val="22"/>
          <w:rtl/>
        </w:rPr>
        <w:t>המסקנה המתבקשת מנסיבות העניין ומניסיון החיים היא שהנאשם שלח ידו ונגע באיברי מינן של הנשים, בלא הסכמתן ובלא שטרח כלל לברר האם הן מסכימות.</w:t>
      </w:r>
    </w:p>
    <w:p w14:paraId="57692E27" w14:textId="77777777" w:rsidR="00144D22" w:rsidRDefault="00144D22">
      <w:pPr>
        <w:pStyle w:val="a0"/>
        <w:rPr>
          <w:rFonts w:hint="cs"/>
          <w:sz w:val="22"/>
          <w:rtl/>
        </w:rPr>
      </w:pPr>
      <w:r>
        <w:rPr>
          <w:rFonts w:hint="cs"/>
          <w:sz w:val="22"/>
          <w:rtl/>
        </w:rPr>
        <w:t xml:space="preserve">לסיכום, לאור כל האמור אני קובע שהוכחו בפניי במידת הוודאות הנדרשת </w:t>
      </w:r>
      <w:r>
        <w:rPr>
          <w:sz w:val="22"/>
          <w:rtl/>
        </w:rPr>
        <w:br/>
      </w:r>
      <w:r>
        <w:rPr>
          <w:rFonts w:hint="cs"/>
          <w:sz w:val="22"/>
          <w:rtl/>
        </w:rPr>
        <w:t>כל</w:t>
      </w:r>
      <w:r>
        <w:rPr>
          <w:rFonts w:hint="cs"/>
          <w:rtl/>
        </w:rPr>
        <w:t xml:space="preserve"> רכיבי היסוד העובדתי של העבירה, דהיינו שהנאשם עשה "מעשה מגונה" </w:t>
      </w:r>
      <w:r>
        <w:rPr>
          <w:rtl/>
        </w:rPr>
        <w:br/>
      </w:r>
      <w:r>
        <w:rPr>
          <w:rFonts w:hint="cs"/>
          <w:rtl/>
        </w:rPr>
        <w:t xml:space="preserve">(נגע באיברי מין) ב"אדם" (של מספר נשים) "בלא הסכמתו" (לאור הנסיבות </w:t>
      </w:r>
      <w:r>
        <w:rPr>
          <w:rtl/>
        </w:rPr>
        <w:t>–</w:t>
      </w:r>
      <w:r>
        <w:rPr>
          <w:rFonts w:hint="cs"/>
          <w:rtl/>
        </w:rPr>
        <w:t xml:space="preserve"> ניצול </w:t>
      </w:r>
      <w:r>
        <w:rPr>
          <w:rFonts w:hint="cs"/>
          <w:sz w:val="22"/>
          <w:rtl/>
        </w:rPr>
        <w:t>הצפיפות במקום).</w:t>
      </w:r>
    </w:p>
    <w:p w14:paraId="791C65FB" w14:textId="77777777" w:rsidR="00144D22" w:rsidRDefault="00144D22">
      <w:pPr>
        <w:pStyle w:val="a0"/>
        <w:rPr>
          <w:rFonts w:cs="Miriam" w:hint="cs"/>
          <w:sz w:val="19"/>
          <w:szCs w:val="19"/>
          <w:rtl/>
        </w:rPr>
      </w:pPr>
      <w:r>
        <w:rPr>
          <w:rFonts w:cs="Miriam" w:hint="cs"/>
          <w:sz w:val="19"/>
          <w:szCs w:val="19"/>
          <w:rtl/>
        </w:rPr>
        <w:t>היסוד הנפשי</w:t>
      </w:r>
    </w:p>
    <w:p w14:paraId="518149E4" w14:textId="77777777" w:rsidR="00144D22" w:rsidRDefault="00144D22">
      <w:pPr>
        <w:pStyle w:val="a0"/>
        <w:rPr>
          <w:rFonts w:hint="cs"/>
          <w:rtl/>
        </w:rPr>
      </w:pPr>
      <w:r>
        <w:rPr>
          <w:rFonts w:hint="cs"/>
          <w:sz w:val="22"/>
          <w:rtl/>
        </w:rPr>
        <w:t>22.</w:t>
      </w:r>
      <w:r>
        <w:rPr>
          <w:rFonts w:hint="cs"/>
          <w:sz w:val="22"/>
          <w:rtl/>
        </w:rPr>
        <w:tab/>
        <w:t xml:space="preserve">לשאלת מטרת מעשיו השיב הנאשם </w:t>
      </w:r>
      <w:r>
        <w:rPr>
          <w:sz w:val="22"/>
          <w:rtl/>
        </w:rPr>
        <w:t>–</w:t>
      </w:r>
      <w:r>
        <w:rPr>
          <w:rFonts w:hint="cs"/>
          <w:sz w:val="22"/>
          <w:rtl/>
        </w:rPr>
        <w:t xml:space="preserve"> הן בהודייתו במשטרה (ת/2, שורה 14) והן בעדותו בבית</w:t>
      </w:r>
      <w:r>
        <w:rPr>
          <w:rFonts w:hint="cs"/>
          <w:position w:val="4"/>
          <w:rtl/>
        </w:rPr>
        <w:t>-</w:t>
      </w:r>
      <w:r>
        <w:rPr>
          <w:rFonts w:hint="cs"/>
          <w:sz w:val="22"/>
          <w:rtl/>
        </w:rPr>
        <w:t xml:space="preserve">המשפט (עמ' 17 לפרוטוקול, </w:t>
      </w:r>
      <w:r>
        <w:rPr>
          <w:rFonts w:hint="cs"/>
          <w:rtl/>
        </w:rPr>
        <w:t xml:space="preserve">שורה 3) </w:t>
      </w:r>
      <w:r>
        <w:rPr>
          <w:rtl/>
        </w:rPr>
        <w:t>–</w:t>
      </w:r>
      <w:r>
        <w:rPr>
          <w:rFonts w:hint="cs"/>
          <w:rtl/>
        </w:rPr>
        <w:t xml:space="preserve"> במילה "סתם".</w:t>
      </w:r>
    </w:p>
    <w:p w14:paraId="67FC8578" w14:textId="77777777" w:rsidR="00144D22" w:rsidRDefault="00144D22">
      <w:pPr>
        <w:pStyle w:val="a0"/>
        <w:rPr>
          <w:rFonts w:hint="cs"/>
          <w:sz w:val="22"/>
          <w:rtl/>
        </w:rPr>
      </w:pPr>
      <w:r>
        <w:rPr>
          <w:rFonts w:hint="cs"/>
          <w:sz w:val="22"/>
          <w:rtl/>
        </w:rPr>
        <w:t>מדובר בתשובה מתחמקת ובלתי מהימנה, המאפיינת את כלל עדות הנאשם בפניי.</w:t>
      </w:r>
    </w:p>
    <w:p w14:paraId="5D993E09" w14:textId="77777777" w:rsidR="00144D22" w:rsidRDefault="00144D22">
      <w:pPr>
        <w:pStyle w:val="a0"/>
        <w:rPr>
          <w:rFonts w:hint="cs"/>
          <w:sz w:val="22"/>
          <w:rtl/>
        </w:rPr>
      </w:pPr>
      <w:r>
        <w:rPr>
          <w:rFonts w:hint="cs"/>
          <w:sz w:val="22"/>
          <w:rtl/>
        </w:rPr>
        <w:t>במצב דברים זה, האם ניתן ללמוד על תכלית מעשיו של הנאשם מהתשתית הראייתית שהונחה בפני בית</w:t>
      </w:r>
      <w:r>
        <w:rPr>
          <w:rFonts w:hint="cs"/>
          <w:position w:val="4"/>
          <w:rtl/>
        </w:rPr>
        <w:t>-</w:t>
      </w:r>
      <w:r>
        <w:rPr>
          <w:rFonts w:hint="cs"/>
          <w:sz w:val="22"/>
          <w:rtl/>
        </w:rPr>
        <w:t>המשפט?</w:t>
      </w:r>
    </w:p>
    <w:p w14:paraId="5AEDB942" w14:textId="77777777" w:rsidR="00144D22" w:rsidRDefault="00144D22">
      <w:pPr>
        <w:pStyle w:val="a0"/>
        <w:rPr>
          <w:rFonts w:hint="cs"/>
          <w:sz w:val="22"/>
          <w:rtl/>
        </w:rPr>
      </w:pPr>
      <w:r>
        <w:rPr>
          <w:rFonts w:hint="cs"/>
          <w:sz w:val="22"/>
          <w:rtl/>
        </w:rPr>
        <w:t>סבורני שיש להשיב בחיוב לשאלה זו.</w:t>
      </w:r>
    </w:p>
    <w:p w14:paraId="6CE8F895" w14:textId="77777777" w:rsidR="00144D22" w:rsidRDefault="00144D22">
      <w:pPr>
        <w:pStyle w:val="a0"/>
        <w:rPr>
          <w:rFonts w:hint="cs"/>
          <w:sz w:val="22"/>
          <w:rtl/>
        </w:rPr>
      </w:pPr>
      <w:r>
        <w:rPr>
          <w:rFonts w:hint="cs"/>
          <w:sz w:val="22"/>
          <w:rtl/>
        </w:rPr>
        <w:t>כל אדם מוחזק כמתכוון לתוצאות הנובעות בדרך הטבע ממעשהו, אלא אם כן הצליח לסתור את החזקה.</w:t>
      </w:r>
    </w:p>
    <w:p w14:paraId="409563A4" w14:textId="77777777" w:rsidR="00144D22" w:rsidRDefault="00144D22">
      <w:pPr>
        <w:pStyle w:val="a0"/>
        <w:rPr>
          <w:rFonts w:hint="cs"/>
          <w:sz w:val="22"/>
          <w:rtl/>
        </w:rPr>
      </w:pPr>
      <w:r>
        <w:rPr>
          <w:rFonts w:hint="cs"/>
          <w:sz w:val="22"/>
          <w:rtl/>
        </w:rPr>
        <w:t xml:space="preserve">ניסיון החיים מלמד כי התוצאות הטבעיות של נגיעה חוזרת, במתכוון, באיברי מינן של מספר נשים שלא בהסכמתן נועדה לשם </w:t>
      </w:r>
      <w:r>
        <w:rPr>
          <w:rFonts w:cs="Miriam" w:hint="cs"/>
          <w:sz w:val="19"/>
          <w:szCs w:val="19"/>
          <w:rtl/>
        </w:rPr>
        <w:t>גירוי או סיפוק מיניים</w:t>
      </w:r>
      <w:r>
        <w:rPr>
          <w:rFonts w:hint="cs"/>
          <w:sz w:val="22"/>
          <w:rtl/>
        </w:rPr>
        <w:t>.</w:t>
      </w:r>
    </w:p>
    <w:p w14:paraId="3E1C59A1" w14:textId="77777777" w:rsidR="00144D22" w:rsidRDefault="00144D22">
      <w:pPr>
        <w:pStyle w:val="a0"/>
        <w:rPr>
          <w:rFonts w:hint="cs"/>
          <w:sz w:val="22"/>
          <w:rtl/>
        </w:rPr>
      </w:pPr>
      <w:r>
        <w:rPr>
          <w:rFonts w:hint="cs"/>
          <w:sz w:val="22"/>
          <w:rtl/>
        </w:rPr>
        <w:t>ניסיונו של הנאשם להיחלץ מאחיזתה של "חזקת הכוונה" בטענה הקלושה שמטרת מעשיו הייתה "סתם" הינו עגום ומופרך, ואין בו ולו כדי לעורר ספק סביר בדבר הלך נפשו של הנאשם.</w:t>
      </w:r>
    </w:p>
    <w:p w14:paraId="60A7412A" w14:textId="77777777" w:rsidR="00144D22" w:rsidRDefault="00144D22">
      <w:pPr>
        <w:pStyle w:val="a0"/>
        <w:rPr>
          <w:rFonts w:hint="cs"/>
          <w:sz w:val="22"/>
          <w:rtl/>
        </w:rPr>
      </w:pPr>
      <w:r>
        <w:rPr>
          <w:rFonts w:hint="cs"/>
          <w:sz w:val="22"/>
          <w:rtl/>
        </w:rPr>
        <w:t xml:space="preserve">בנסיבות העניין סבורני שהוכחה בפניי אף התכלית השלישית, דהיינו שהנאשם עשה את המעשים המגונים לשם </w:t>
      </w:r>
      <w:r>
        <w:rPr>
          <w:rFonts w:cs="Miriam" w:hint="cs"/>
          <w:sz w:val="19"/>
          <w:szCs w:val="19"/>
          <w:rtl/>
        </w:rPr>
        <w:t>ביזוי מיני</w:t>
      </w:r>
      <w:r>
        <w:rPr>
          <w:rFonts w:hint="cs"/>
          <w:sz w:val="22"/>
          <w:rtl/>
        </w:rPr>
        <w:t>.</w:t>
      </w:r>
    </w:p>
    <w:p w14:paraId="0B7BD3A2" w14:textId="77777777" w:rsidR="00144D22" w:rsidRDefault="00144D22">
      <w:pPr>
        <w:pStyle w:val="a0"/>
        <w:rPr>
          <w:rFonts w:hint="cs"/>
          <w:sz w:val="22"/>
          <w:rtl/>
        </w:rPr>
      </w:pPr>
      <w:r>
        <w:rPr>
          <w:rFonts w:hint="cs"/>
          <w:sz w:val="22"/>
          <w:rtl/>
        </w:rPr>
        <w:t xml:space="preserve">הלכה היא שניתן להחיל את "הילכת הצפיות" אף בעבירה של מעשה מגונה. ראו </w:t>
      </w:r>
      <w:hyperlink r:id="rId18" w:history="1">
        <w:r w:rsidR="00E2755E" w:rsidRPr="00E2755E">
          <w:rPr>
            <w:rStyle w:val="Hyperlink"/>
            <w:rFonts w:cs="Miriam" w:hint="eastAsia"/>
            <w:sz w:val="19"/>
            <w:szCs w:val="19"/>
            <w:rtl/>
          </w:rPr>
          <w:t>ע</w:t>
        </w:r>
        <w:r w:rsidR="00E2755E" w:rsidRPr="00E2755E">
          <w:rPr>
            <w:rStyle w:val="Hyperlink"/>
            <w:rFonts w:cs="Miriam"/>
            <w:sz w:val="19"/>
            <w:szCs w:val="19"/>
            <w:rtl/>
          </w:rPr>
          <w:t>"פ 6269/99</w:t>
        </w:r>
      </w:hyperlink>
      <w:r>
        <w:rPr>
          <w:rFonts w:cs="Miriam" w:hint="cs"/>
          <w:sz w:val="19"/>
          <w:szCs w:val="19"/>
          <w:rtl/>
        </w:rPr>
        <w:t xml:space="preserve"> כהן נ' מדינת ישראל [1]</w:t>
      </w:r>
      <w:r>
        <w:rPr>
          <w:rFonts w:hint="cs"/>
          <w:sz w:val="22"/>
          <w:rtl/>
        </w:rPr>
        <w:t>.</w:t>
      </w:r>
    </w:p>
    <w:p w14:paraId="2872AC7E" w14:textId="77777777" w:rsidR="00144D22" w:rsidRDefault="00144D22">
      <w:pPr>
        <w:pStyle w:val="a0"/>
        <w:rPr>
          <w:rFonts w:hint="cs"/>
          <w:sz w:val="22"/>
          <w:rtl/>
        </w:rPr>
      </w:pPr>
      <w:r>
        <w:rPr>
          <w:rFonts w:hint="cs"/>
          <w:sz w:val="22"/>
          <w:rtl/>
        </w:rPr>
        <w:t>אף אם מטרת התנהגות הנאשם לא הייתה לספק את יצרו המיני או לבזות את הנשים ביזוי מינוי, הרי שלצורך גיבוש היסוד הנפשי בעבירה של מעשה מגונה די בכך שהנאשם היה מודע, בדרגת הסתברות קרובה לוודאי, כי מעשיו יסבו לנשים ביזוי מיני, גם אם לא חפץ בכך כמטרה עצמאית.</w:t>
      </w:r>
    </w:p>
    <w:p w14:paraId="525031EB" w14:textId="77777777" w:rsidR="00144D22" w:rsidRDefault="00144D22">
      <w:pPr>
        <w:pStyle w:val="a0"/>
        <w:rPr>
          <w:rFonts w:hint="cs"/>
          <w:sz w:val="22"/>
          <w:rtl/>
        </w:rPr>
      </w:pPr>
      <w:r>
        <w:rPr>
          <w:rFonts w:hint="cs"/>
          <w:sz w:val="22"/>
          <w:rtl/>
        </w:rPr>
        <w:t>משנשאל הנאשם לתגובתו לנגיעה</w:t>
      </w:r>
      <w:r>
        <w:rPr>
          <w:rFonts w:hint="cs"/>
          <w:b/>
          <w:bCs/>
          <w:sz w:val="22"/>
          <w:rtl/>
        </w:rPr>
        <w:t xml:space="preserve"> </w:t>
      </w:r>
      <w:r>
        <w:rPr>
          <w:rFonts w:hint="cs"/>
          <w:sz w:val="22"/>
          <w:rtl/>
        </w:rPr>
        <w:t xml:space="preserve">"בין רגליהן" של מי מבנותיו, השיב הנאשם כי </w:t>
      </w:r>
      <w:r>
        <w:rPr>
          <w:rFonts w:hint="cs"/>
          <w:rtl/>
        </w:rPr>
        <w:t xml:space="preserve">זה "לא" </w:t>
      </w:r>
      <w:r>
        <w:rPr>
          <w:rFonts w:hint="cs"/>
          <w:sz w:val="22"/>
          <w:rtl/>
        </w:rPr>
        <w:t xml:space="preserve">בסדר. משנשאל </w:t>
      </w:r>
      <w:r>
        <w:rPr>
          <w:rFonts w:hint="cs"/>
          <w:rtl/>
        </w:rPr>
        <w:t>הנאשם מדוע, השיב: "זה בטח היה מעליב" (עמ' 18 לפרוטוקול</w:t>
      </w:r>
      <w:r>
        <w:rPr>
          <w:rFonts w:hint="cs"/>
          <w:sz w:val="22"/>
          <w:rtl/>
        </w:rPr>
        <w:t>, שורות 24-21).</w:t>
      </w:r>
    </w:p>
    <w:p w14:paraId="6997DD89" w14:textId="77777777" w:rsidR="00144D22" w:rsidRDefault="00144D22">
      <w:pPr>
        <w:pStyle w:val="a0"/>
        <w:rPr>
          <w:rFonts w:hint="cs"/>
          <w:sz w:val="22"/>
          <w:rtl/>
        </w:rPr>
      </w:pPr>
      <w:r>
        <w:rPr>
          <w:rFonts w:hint="cs"/>
          <w:sz w:val="22"/>
          <w:rtl/>
        </w:rPr>
        <w:t>הנה</w:t>
      </w:r>
      <w:r>
        <w:rPr>
          <w:rFonts w:hint="cs"/>
          <w:position w:val="4"/>
          <w:rtl/>
        </w:rPr>
        <w:t>-</w:t>
      </w:r>
      <w:r>
        <w:rPr>
          <w:rFonts w:hint="cs"/>
          <w:sz w:val="22"/>
          <w:rtl/>
        </w:rPr>
        <w:t>כי</w:t>
      </w:r>
      <w:r>
        <w:rPr>
          <w:rFonts w:hint="cs"/>
          <w:position w:val="4"/>
          <w:rtl/>
        </w:rPr>
        <w:t>-</w:t>
      </w:r>
      <w:r>
        <w:rPr>
          <w:rFonts w:hint="cs"/>
          <w:sz w:val="22"/>
          <w:rtl/>
        </w:rPr>
        <w:t xml:space="preserve">כן, אף בנאשם </w:t>
      </w:r>
      <w:r>
        <w:rPr>
          <w:sz w:val="22"/>
          <w:rtl/>
        </w:rPr>
        <w:t>–</w:t>
      </w:r>
      <w:r>
        <w:rPr>
          <w:rFonts w:hint="cs"/>
          <w:sz w:val="22"/>
          <w:rtl/>
        </w:rPr>
        <w:t xml:space="preserve"> למרות אישיותו ומוגבלותו </w:t>
      </w:r>
      <w:r>
        <w:rPr>
          <w:sz w:val="22"/>
          <w:rtl/>
        </w:rPr>
        <w:t>–</w:t>
      </w:r>
      <w:r>
        <w:rPr>
          <w:rFonts w:hint="cs"/>
          <w:sz w:val="22"/>
          <w:rtl/>
        </w:rPr>
        <w:t xml:space="preserve"> נתקיימה מודעות בפועל לכך שמעשי הנגיעה באיברי מינן של נשים בלא הסכמתן פוגעים בזכויותיהן של הנשים לצנעת גופן ומסבים להן ביזוי מיני.</w:t>
      </w:r>
    </w:p>
    <w:p w14:paraId="021AB075" w14:textId="77777777" w:rsidR="00144D22" w:rsidRDefault="00144D22">
      <w:pPr>
        <w:pStyle w:val="a0"/>
        <w:rPr>
          <w:rFonts w:hint="cs"/>
          <w:sz w:val="22"/>
          <w:rtl/>
        </w:rPr>
      </w:pPr>
      <w:r>
        <w:rPr>
          <w:rFonts w:hint="cs"/>
          <w:sz w:val="22"/>
          <w:rtl/>
        </w:rPr>
        <w:t>לסיכום פרק היסוד הנפשי, אני קובע שהוכח במידת הוודאות הנדרשת שהנאשם עשה את המעשים המגונים, כמתואר לעיל, לשם גירוי, סיפוק או ביזוי מיניים.</w:t>
      </w:r>
    </w:p>
    <w:p w14:paraId="54F02A41" w14:textId="77777777" w:rsidR="00144D22" w:rsidRDefault="00144D22">
      <w:pPr>
        <w:pStyle w:val="a0"/>
        <w:rPr>
          <w:rFonts w:cs="Miriam" w:hint="cs"/>
          <w:sz w:val="19"/>
          <w:szCs w:val="19"/>
          <w:rtl/>
        </w:rPr>
      </w:pPr>
      <w:r>
        <w:rPr>
          <w:rFonts w:cs="Miriam" w:hint="cs"/>
          <w:sz w:val="19"/>
          <w:szCs w:val="19"/>
          <w:rtl/>
        </w:rPr>
        <w:t>מחדלי החקירה</w:t>
      </w:r>
    </w:p>
    <w:p w14:paraId="1C91F0D6" w14:textId="77777777" w:rsidR="00144D22" w:rsidRDefault="00144D22">
      <w:pPr>
        <w:pStyle w:val="a0"/>
        <w:rPr>
          <w:rFonts w:hint="cs"/>
          <w:sz w:val="22"/>
          <w:rtl/>
        </w:rPr>
      </w:pPr>
      <w:r>
        <w:rPr>
          <w:rFonts w:hint="cs"/>
          <w:sz w:val="22"/>
          <w:rtl/>
        </w:rPr>
        <w:t>23.</w:t>
      </w:r>
      <w:r>
        <w:rPr>
          <w:rFonts w:hint="cs"/>
          <w:sz w:val="22"/>
          <w:rtl/>
        </w:rPr>
        <w:tab/>
        <w:t xml:space="preserve">מחדלי החקירה בתיק זה מתפרשים על פני מישורים רבים ויש בהם </w:t>
      </w:r>
      <w:r>
        <w:rPr>
          <w:sz w:val="22"/>
          <w:rtl/>
        </w:rPr>
        <w:br/>
      </w:r>
      <w:r>
        <w:rPr>
          <w:rFonts w:hint="cs"/>
          <w:sz w:val="22"/>
          <w:rtl/>
        </w:rPr>
        <w:t>כדי לקומם.</w:t>
      </w:r>
    </w:p>
    <w:p w14:paraId="25D0F778" w14:textId="77777777" w:rsidR="00144D22" w:rsidRDefault="00144D22">
      <w:pPr>
        <w:pStyle w:val="a0"/>
        <w:rPr>
          <w:rFonts w:hint="cs"/>
          <w:sz w:val="22"/>
          <w:rtl/>
        </w:rPr>
      </w:pPr>
      <w:r>
        <w:rPr>
          <w:rFonts w:hint="cs"/>
          <w:sz w:val="22"/>
          <w:rtl/>
        </w:rPr>
        <w:t>כך למשל, לא ברור מדוע לא נגבו עדויות מהנשים, קורבנות העבירות, או, למצער, מדוע לא נטל הקצין את פרטיהן או פרטי מי מהן.</w:t>
      </w:r>
    </w:p>
    <w:p w14:paraId="5CB27322" w14:textId="77777777" w:rsidR="00144D22" w:rsidRDefault="00144D22">
      <w:pPr>
        <w:pStyle w:val="a0"/>
        <w:rPr>
          <w:rFonts w:hint="cs"/>
          <w:sz w:val="22"/>
          <w:rtl/>
        </w:rPr>
      </w:pPr>
      <w:r>
        <w:rPr>
          <w:rFonts w:hint="cs"/>
          <w:sz w:val="22"/>
          <w:rtl/>
        </w:rPr>
        <w:t>לא ברור מדוע לא העלה הקצין על הכתב את פניותיו לנשים ואת סירובן להתלונן, כטענתו.</w:t>
      </w:r>
    </w:p>
    <w:p w14:paraId="44F7D690" w14:textId="77777777" w:rsidR="00144D22" w:rsidRDefault="00144D22">
      <w:pPr>
        <w:pStyle w:val="a0"/>
        <w:rPr>
          <w:rFonts w:hint="cs"/>
          <w:sz w:val="22"/>
          <w:rtl/>
        </w:rPr>
      </w:pPr>
      <w:r>
        <w:rPr>
          <w:rFonts w:hint="cs"/>
          <w:sz w:val="22"/>
          <w:rtl/>
        </w:rPr>
        <w:t>לא ברור מדוע לא נגבתה מהקצין הודעה מפורטת במשטרה, כדרך כל עד ראייה.</w:t>
      </w:r>
    </w:p>
    <w:p w14:paraId="72EF2BC6" w14:textId="77777777" w:rsidR="00144D22" w:rsidRDefault="00144D22">
      <w:pPr>
        <w:pStyle w:val="a0"/>
        <w:rPr>
          <w:rFonts w:hint="cs"/>
          <w:sz w:val="22"/>
          <w:rtl/>
        </w:rPr>
      </w:pPr>
      <w:r>
        <w:rPr>
          <w:rFonts w:hint="cs"/>
          <w:sz w:val="22"/>
          <w:rtl/>
        </w:rPr>
        <w:t xml:space="preserve">לא ירדתי לסוף דעתן של רשויות החקירה: כשמדובר בעד ראייה יחיד </w:t>
      </w:r>
      <w:r>
        <w:rPr>
          <w:sz w:val="22"/>
          <w:rtl/>
        </w:rPr>
        <w:t>–</w:t>
      </w:r>
      <w:r>
        <w:rPr>
          <w:rFonts w:hint="cs"/>
          <w:sz w:val="22"/>
          <w:rtl/>
        </w:rPr>
        <w:t xml:space="preserve"> ולפיכך כה חיוני </w:t>
      </w:r>
      <w:r>
        <w:rPr>
          <w:sz w:val="22"/>
          <w:rtl/>
        </w:rPr>
        <w:t>–</w:t>
      </w:r>
      <w:r>
        <w:rPr>
          <w:rFonts w:hint="cs"/>
          <w:sz w:val="22"/>
          <w:rtl/>
        </w:rPr>
        <w:t xml:space="preserve"> מה מותר קצין המשטרה מאחד האדם?</w:t>
      </w:r>
    </w:p>
    <w:p w14:paraId="5C6F467C" w14:textId="77777777" w:rsidR="00144D22" w:rsidRDefault="00144D22">
      <w:pPr>
        <w:pStyle w:val="a0"/>
        <w:rPr>
          <w:rFonts w:hint="cs"/>
          <w:sz w:val="22"/>
          <w:rtl/>
        </w:rPr>
      </w:pPr>
      <w:r>
        <w:rPr>
          <w:rFonts w:hint="cs"/>
          <w:sz w:val="22"/>
          <w:rtl/>
        </w:rPr>
        <w:t>ספק רב בעיניי אם המשטרה מסתפקת ב"תקציר" שנערך על</w:t>
      </w:r>
      <w:r>
        <w:rPr>
          <w:rFonts w:hint="cs"/>
          <w:position w:val="4"/>
          <w:rtl/>
        </w:rPr>
        <w:t>-</w:t>
      </w:r>
      <w:r>
        <w:rPr>
          <w:rFonts w:hint="cs"/>
          <w:sz w:val="22"/>
          <w:rtl/>
        </w:rPr>
        <w:t>ידי עד ראייה, שאינו קצין משטרה, לצורך הגשת כתב</w:t>
      </w:r>
      <w:r>
        <w:rPr>
          <w:rFonts w:hint="cs"/>
          <w:position w:val="4"/>
          <w:rtl/>
        </w:rPr>
        <w:t>-</w:t>
      </w:r>
      <w:r>
        <w:rPr>
          <w:rFonts w:hint="cs"/>
          <w:sz w:val="22"/>
          <w:rtl/>
        </w:rPr>
        <w:t xml:space="preserve">אישום. </w:t>
      </w:r>
    </w:p>
    <w:p w14:paraId="33EFF11E" w14:textId="77777777" w:rsidR="00144D22" w:rsidRDefault="00144D22">
      <w:pPr>
        <w:pStyle w:val="a0"/>
        <w:rPr>
          <w:rFonts w:hint="cs"/>
          <w:sz w:val="22"/>
          <w:rtl/>
        </w:rPr>
      </w:pPr>
      <w:r>
        <w:rPr>
          <w:rFonts w:hint="cs"/>
          <w:sz w:val="22"/>
          <w:rtl/>
        </w:rPr>
        <w:t>נוכח דלות פעולות החקירה בתיק, לא ברור לי השיהוי של ארבע</w:t>
      </w:r>
      <w:r>
        <w:rPr>
          <w:rFonts w:hint="cs"/>
          <w:position w:val="4"/>
          <w:rtl/>
        </w:rPr>
        <w:t>-</w:t>
      </w:r>
      <w:r>
        <w:rPr>
          <w:rFonts w:hint="cs"/>
          <w:sz w:val="22"/>
          <w:rtl/>
        </w:rPr>
        <w:t>עשר חודשים בהגשת כתב</w:t>
      </w:r>
      <w:r>
        <w:rPr>
          <w:rFonts w:hint="cs"/>
          <w:position w:val="4"/>
          <w:rtl/>
        </w:rPr>
        <w:t>-</w:t>
      </w:r>
      <w:r>
        <w:rPr>
          <w:rFonts w:hint="cs"/>
          <w:sz w:val="22"/>
          <w:rtl/>
        </w:rPr>
        <w:t>האישום. האירוע התרחש ביום 10 במאי 2000 וכתב</w:t>
      </w:r>
      <w:r>
        <w:rPr>
          <w:rFonts w:hint="cs"/>
          <w:position w:val="4"/>
          <w:rtl/>
        </w:rPr>
        <w:t>-</w:t>
      </w:r>
      <w:r>
        <w:rPr>
          <w:rFonts w:hint="cs"/>
          <w:sz w:val="22"/>
          <w:rtl/>
        </w:rPr>
        <w:t>האישום הוגש רק ביום 30 ביולי 2001.</w:t>
      </w:r>
    </w:p>
    <w:p w14:paraId="1701DF39" w14:textId="77777777" w:rsidR="00144D22" w:rsidRDefault="00144D22">
      <w:pPr>
        <w:pStyle w:val="a0"/>
        <w:rPr>
          <w:rFonts w:hint="cs"/>
          <w:sz w:val="22"/>
          <w:rtl/>
        </w:rPr>
      </w:pPr>
      <w:r>
        <w:rPr>
          <w:rFonts w:hint="cs"/>
          <w:sz w:val="22"/>
          <w:rtl/>
        </w:rPr>
        <w:t>אף חקירת הנאשם רחוקה מלהוות מודל לחקירת עבירות מין.</w:t>
      </w:r>
    </w:p>
    <w:p w14:paraId="3DDD4095" w14:textId="77777777" w:rsidR="00144D22" w:rsidRDefault="00144D22">
      <w:pPr>
        <w:pStyle w:val="a0"/>
        <w:rPr>
          <w:rFonts w:cs="Miriam" w:hint="cs"/>
          <w:color w:val="FFFFFF"/>
          <w:sz w:val="4"/>
          <w:szCs w:val="4"/>
          <w:rtl/>
        </w:rPr>
      </w:pPr>
      <w:r>
        <w:rPr>
          <w:rFonts w:hint="cs"/>
          <w:sz w:val="22"/>
          <w:rtl/>
        </w:rPr>
        <w:t>24.</w:t>
      </w:r>
      <w:r>
        <w:rPr>
          <w:rFonts w:hint="cs"/>
          <w:sz w:val="22"/>
          <w:rtl/>
        </w:rPr>
        <w:tab/>
        <w:t>שקלתי בקפידה ובכובד ראש מחדלי חקירה אלה ואחרים, כפי שנטען על</w:t>
      </w:r>
      <w:r>
        <w:rPr>
          <w:rFonts w:hint="cs"/>
          <w:position w:val="4"/>
          <w:rtl/>
        </w:rPr>
        <w:t>-</w:t>
      </w:r>
      <w:r>
        <w:rPr>
          <w:rFonts w:hint="cs"/>
          <w:sz w:val="22"/>
          <w:rtl/>
        </w:rPr>
        <w:t>ידי הסניגור, ובסיכומו של דבר הגעתי למסקנה שלמרות מחדלים אלה, מִכְּלָל ראיות שהונחו בפניי הוכחה אשמת הנאשם מעבר לכל ספק סביר.</w:t>
      </w:r>
    </w:p>
    <w:p w14:paraId="6C037AC7" w14:textId="77777777" w:rsidR="00144D22" w:rsidRDefault="00144D22">
      <w:pPr>
        <w:pStyle w:val="a0"/>
        <w:rPr>
          <w:rFonts w:cs="Miriam" w:hint="cs"/>
          <w:sz w:val="19"/>
          <w:szCs w:val="19"/>
          <w:rtl/>
        </w:rPr>
      </w:pPr>
      <w:r>
        <w:rPr>
          <w:rFonts w:cs="Miriam"/>
          <w:color w:val="FFFFFF"/>
          <w:sz w:val="4"/>
          <w:szCs w:val="4"/>
          <w:rtl/>
        </w:rPr>
        <w:t>5129371</w:t>
      </w:r>
      <w:r>
        <w:rPr>
          <w:rFonts w:cs="Miriam" w:hint="cs"/>
          <w:sz w:val="19"/>
          <w:szCs w:val="19"/>
          <w:rtl/>
        </w:rPr>
        <w:t>סוף דבר</w:t>
      </w:r>
    </w:p>
    <w:p w14:paraId="5C8A1EA6" w14:textId="77777777" w:rsidR="00144D22" w:rsidRDefault="00144D22">
      <w:pPr>
        <w:pStyle w:val="a0"/>
        <w:rPr>
          <w:rFonts w:hint="cs"/>
          <w:sz w:val="22"/>
          <w:rtl/>
        </w:rPr>
      </w:pPr>
      <w:r>
        <w:rPr>
          <w:rFonts w:hint="cs"/>
          <w:sz w:val="22"/>
          <w:rtl/>
        </w:rPr>
        <w:t>25.</w:t>
      </w:r>
      <w:r>
        <w:rPr>
          <w:rFonts w:hint="cs"/>
          <w:sz w:val="22"/>
          <w:rtl/>
        </w:rPr>
        <w:tab/>
        <w:t xml:space="preserve">משהוכחו היסוד העובדתי והיסוד הנפשי, כמפורט לעיל, מורשע בזאת הנאשם בעבירה של מעשה מגונה לפי </w:t>
      </w:r>
      <w:hyperlink r:id="rId19" w:history="1">
        <w:r w:rsidR="00BE578E" w:rsidRPr="00BE578E">
          <w:rPr>
            <w:color w:val="0000FF"/>
            <w:sz w:val="22"/>
            <w:u w:val="single"/>
            <w:rtl/>
          </w:rPr>
          <w:t>סעיף 348(ג)</w:t>
        </w:r>
      </w:hyperlink>
      <w:r>
        <w:rPr>
          <w:rFonts w:hint="cs"/>
          <w:sz w:val="22"/>
          <w:rtl/>
        </w:rPr>
        <w:t xml:space="preserve"> ל</w:t>
      </w:r>
      <w:hyperlink r:id="rId20" w:history="1">
        <w:r w:rsidR="00E2755E" w:rsidRPr="00E2755E">
          <w:rPr>
            <w:rStyle w:val="Hyperlink"/>
            <w:rFonts w:hint="eastAsia"/>
            <w:sz w:val="22"/>
            <w:rtl/>
          </w:rPr>
          <w:t>חוק</w:t>
        </w:r>
        <w:r w:rsidR="00E2755E" w:rsidRPr="00E2755E">
          <w:rPr>
            <w:rStyle w:val="Hyperlink"/>
            <w:sz w:val="22"/>
            <w:rtl/>
          </w:rPr>
          <w:t xml:space="preserve"> העונשין</w:t>
        </w:r>
      </w:hyperlink>
      <w:r>
        <w:rPr>
          <w:rFonts w:hint="cs"/>
          <w:sz w:val="22"/>
          <w:rtl/>
        </w:rPr>
        <w:t xml:space="preserve">, כמיוחס לו </w:t>
      </w:r>
      <w:r>
        <w:rPr>
          <w:sz w:val="22"/>
          <w:rtl/>
        </w:rPr>
        <w:br/>
      </w:r>
      <w:r>
        <w:rPr>
          <w:rFonts w:hint="cs"/>
          <w:sz w:val="22"/>
          <w:rtl/>
        </w:rPr>
        <w:t>בכתב</w:t>
      </w:r>
      <w:r>
        <w:rPr>
          <w:rFonts w:hint="cs"/>
          <w:position w:val="4"/>
          <w:rtl/>
        </w:rPr>
        <w:t>-</w:t>
      </w:r>
      <w:r>
        <w:rPr>
          <w:rFonts w:hint="cs"/>
          <w:sz w:val="22"/>
          <w:rtl/>
        </w:rPr>
        <w:t>האישום.</w:t>
      </w:r>
    </w:p>
    <w:p w14:paraId="39C6B7F9" w14:textId="77777777" w:rsidR="00144D22" w:rsidRDefault="00144D22">
      <w:pPr>
        <w:pStyle w:val="a0"/>
        <w:rPr>
          <w:color w:val="000000"/>
          <w:sz w:val="22"/>
          <w:rtl/>
        </w:rPr>
      </w:pPr>
      <w:r>
        <w:rPr>
          <w:rFonts w:hint="cs"/>
          <w:color w:val="000000"/>
          <w:sz w:val="22"/>
          <w:rtl/>
        </w:rPr>
        <w:t>ניתנה היום, ה</w:t>
      </w:r>
      <w:r>
        <w:rPr>
          <w:color w:val="000000"/>
          <w:sz w:val="22"/>
          <w:rtl/>
        </w:rPr>
        <w:t>' באב תשס"ב (</w:t>
      </w:r>
      <w:r>
        <w:rPr>
          <w:rFonts w:hint="cs"/>
          <w:color w:val="000000"/>
          <w:sz w:val="22"/>
          <w:rtl/>
        </w:rPr>
        <w:t>14.7.2002</w:t>
      </w:r>
      <w:r>
        <w:rPr>
          <w:color w:val="000000"/>
          <w:sz w:val="22"/>
          <w:rtl/>
        </w:rPr>
        <w:t>)</w:t>
      </w:r>
      <w:r>
        <w:rPr>
          <w:rFonts w:hint="cs"/>
          <w:color w:val="000000"/>
          <w:sz w:val="22"/>
          <w:rtl/>
        </w:rPr>
        <w:t>, במעמד התובעת, הנאשם ובא</w:t>
      </w:r>
      <w:r>
        <w:rPr>
          <w:rFonts w:hint="cs"/>
          <w:position w:val="4"/>
          <w:rtl/>
        </w:rPr>
        <w:t>-</w:t>
      </w:r>
      <w:r>
        <w:rPr>
          <w:rFonts w:hint="cs"/>
          <w:color w:val="000000"/>
          <w:sz w:val="22"/>
          <w:rtl/>
        </w:rPr>
        <w:t>כוחו.</w:t>
      </w:r>
      <w:bookmarkStart w:id="3" w:name="סוג_מסמך"/>
      <w:bookmarkEnd w:id="3"/>
    </w:p>
    <w:p w14:paraId="178C93FE" w14:textId="77777777" w:rsidR="00144D22" w:rsidRDefault="00144D22">
      <w:pPr>
        <w:pStyle w:val="a0"/>
        <w:spacing w:after="0"/>
        <w:rPr>
          <w:rFonts w:hint="cs"/>
          <w:color w:val="000000"/>
          <w:sz w:val="22"/>
          <w:rtl/>
        </w:rPr>
      </w:pPr>
      <w:r>
        <w:rPr>
          <w:color w:val="000000"/>
          <w:sz w:val="22"/>
          <w:rtl/>
        </w:rPr>
        <w:br w:type="page"/>
      </w:r>
      <w:bookmarkStart w:id="4" w:name="ABSTRACT_START"/>
      <w:bookmarkEnd w:id="4"/>
      <w:r>
        <w:rPr>
          <w:rFonts w:hint="cs"/>
          <w:color w:val="000000"/>
          <w:sz w:val="22"/>
          <w:rtl/>
        </w:rPr>
        <w:t>מיני-רציו:</w:t>
      </w:r>
    </w:p>
    <w:p w14:paraId="07162429" w14:textId="77777777" w:rsidR="00144D22" w:rsidRDefault="00144D22">
      <w:pPr>
        <w:pStyle w:val="a0"/>
        <w:spacing w:after="0"/>
        <w:rPr>
          <w:rFonts w:cs="Miriam" w:hint="cs"/>
          <w:szCs w:val="20"/>
          <w:rtl/>
        </w:rPr>
      </w:pPr>
      <w:r>
        <w:rPr>
          <w:rFonts w:cs="Miriam"/>
          <w:color w:val="000000"/>
          <w:rtl/>
        </w:rPr>
        <w:t>עונשין</w:t>
      </w:r>
      <w:r>
        <w:rPr>
          <w:color w:val="000000"/>
          <w:rtl/>
        </w:rPr>
        <w:t xml:space="preserve"> – </w:t>
      </w:r>
      <w:r>
        <w:rPr>
          <w:rFonts w:cs="Miriam" w:hint="cs"/>
          <w:color w:val="000000"/>
          <w:sz w:val="18"/>
          <w:rtl/>
        </w:rPr>
        <w:t>עבירות</w:t>
      </w:r>
      <w:r>
        <w:rPr>
          <w:color w:val="000000"/>
          <w:rtl/>
        </w:rPr>
        <w:t xml:space="preserve"> – </w:t>
      </w:r>
      <w:r>
        <w:rPr>
          <w:rFonts w:cs="Miriam" w:hint="cs"/>
          <w:szCs w:val="20"/>
          <w:rtl/>
        </w:rPr>
        <w:t>מעשה מגונה</w:t>
      </w:r>
    </w:p>
    <w:p w14:paraId="7775E4CD" w14:textId="77777777" w:rsidR="00144D22" w:rsidRDefault="00144D22">
      <w:pPr>
        <w:pStyle w:val="a0"/>
        <w:spacing w:after="0"/>
        <w:rPr>
          <w:rFonts w:hint="cs"/>
          <w:sz w:val="24"/>
          <w:rtl/>
        </w:rPr>
      </w:pPr>
      <w:r>
        <w:rPr>
          <w:rFonts w:hint="cs"/>
          <w:sz w:val="24"/>
          <w:rtl/>
        </w:rPr>
        <w:t xml:space="preserve">יסודות העבירה – הוכחתם – </w:t>
      </w:r>
      <w:r>
        <w:rPr>
          <w:rFonts w:hint="eastAsia"/>
          <w:sz w:val="24"/>
          <w:rtl/>
        </w:rPr>
        <w:t>הרשעה</w:t>
      </w:r>
      <w:r>
        <w:rPr>
          <w:sz w:val="24"/>
          <w:rtl/>
        </w:rPr>
        <w:t xml:space="preserve"> </w:t>
      </w:r>
      <w:r>
        <w:rPr>
          <w:rFonts w:hint="eastAsia"/>
          <w:sz w:val="24"/>
          <w:rtl/>
        </w:rPr>
        <w:t>בעבירת</w:t>
      </w:r>
      <w:r>
        <w:rPr>
          <w:sz w:val="24"/>
        </w:rPr>
        <w:t xml:space="preserve"> </w:t>
      </w:r>
      <w:r>
        <w:rPr>
          <w:sz w:val="24"/>
          <w:rtl/>
        </w:rPr>
        <w:t>מין בהיעדר עדות מתלוננת</w:t>
      </w:r>
      <w:bookmarkStart w:id="5" w:name="ABSTRACT_END"/>
      <w:bookmarkEnd w:id="5"/>
      <w:r>
        <w:rPr>
          <w:rFonts w:hint="cs"/>
          <w:sz w:val="24"/>
          <w:rtl/>
        </w:rPr>
        <w:t>.</w:t>
      </w:r>
    </w:p>
    <w:sectPr w:rsidR="00144D22">
      <w:headerReference w:type="even" r:id="rId21"/>
      <w:headerReference w:type="default" r:id="rId22"/>
      <w:footerReference w:type="even" r:id="rId23"/>
      <w:footerReference w:type="default" r:id="rId24"/>
      <w:headerReference w:type="first" r:id="rId25"/>
      <w:footerReference w:type="first" r:id="rId26"/>
      <w:type w:val="continuous"/>
      <w:pgSz w:w="11907" w:h="16840" w:code="9"/>
      <w:pgMar w:top="3600" w:right="2693" w:bottom="3686" w:left="2693" w:header="2580" w:footer="2268" w:gutter="0"/>
      <w:pgNumType w:start="1"/>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B43D2" w14:textId="77777777" w:rsidR="009F25BD" w:rsidRDefault="009F25BD">
      <w:r>
        <w:separator/>
      </w:r>
    </w:p>
  </w:endnote>
  <w:endnote w:type="continuationSeparator" w:id="0">
    <w:p w14:paraId="14E0DAE6" w14:textId="77777777" w:rsidR="009F25BD" w:rsidRDefault="009F2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DavidFix">
    <w:altName w:val="Arial"/>
    <w:panose1 w:val="00000000000000000000"/>
    <w:charset w:val="B1"/>
    <w:family w:val="auto"/>
    <w:notTrueType/>
    <w:pitch w:val="variable"/>
    <w:sig w:usb0="00001801" w:usb1="00000000" w:usb2="00000000" w:usb3="00000000" w:csb0="00000020"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8E2E8" w14:textId="77777777" w:rsidR="004026C4" w:rsidRDefault="004026C4">
    <w:pPr>
      <w:pStyle w:val="Footer"/>
      <w:tabs>
        <w:tab w:val="clear" w:pos="4153"/>
        <w:tab w:val="clear" w:pos="8306"/>
        <w:tab w:val="right" w:pos="6521"/>
        <w:tab w:val="center" w:pos="9640"/>
      </w:tabs>
      <w:spacing w:after="60"/>
      <w:rPr>
        <w:szCs w:val="21"/>
        <w:rtl/>
      </w:rPr>
    </w:pPr>
    <w:r>
      <w:rPr>
        <w:rStyle w:val="PageNumber"/>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Pr>
      <w:fldChar w:fldCharType="separate"/>
    </w:r>
    <w:r w:rsidR="00694411">
      <w:rPr>
        <w:rStyle w:val="PageNumber"/>
        <w:noProof/>
        <w:rtl/>
      </w:rPr>
      <w:t>2</w:t>
    </w:r>
    <w:r>
      <w:rPr>
        <w:rStyle w:val="PageNumber"/>
      </w:rPr>
      <w:fldChar w:fldCharType="end"/>
    </w:r>
    <w:r>
      <w:rPr>
        <w:rStyle w:val="PageNumber"/>
        <w:rtl/>
      </w:rPr>
      <w:tab/>
    </w:r>
    <w:r>
      <w:rPr>
        <w:szCs w:val="21"/>
        <w:rtl/>
      </w:rPr>
      <w:t>פ</w:t>
    </w:r>
    <w:r>
      <w:rPr>
        <w:rFonts w:hint="cs"/>
        <w:szCs w:val="21"/>
        <w:rtl/>
      </w:rPr>
      <w:t>"מ</w:t>
    </w:r>
    <w:r>
      <w:rPr>
        <w:szCs w:val="21"/>
        <w:rtl/>
      </w:rPr>
      <w:t xml:space="preserve">, כרך </w:t>
    </w:r>
    <w:r>
      <w:rPr>
        <w:rFonts w:hint="cs"/>
        <w:szCs w:val="21"/>
        <w:rtl/>
      </w:rPr>
      <w:t>תשס"ב</w:t>
    </w:r>
    <w:r>
      <w:rPr>
        <w:szCs w:val="21"/>
        <w:rtl/>
      </w:rPr>
      <w:t xml:space="preserve">, חלק </w:t>
    </w:r>
    <w:r>
      <w:rPr>
        <w:rFonts w:hint="cs"/>
        <w:szCs w:val="21"/>
        <w:rtl/>
      </w:rPr>
      <w:t>שלישי</w:t>
    </w:r>
    <w:r>
      <w:rPr>
        <w:szCs w:val="21"/>
        <w:rtl/>
      </w:rPr>
      <w:t>, תשס"ב</w:t>
    </w:r>
    <w:r>
      <w:rPr>
        <w:rFonts w:hint="cs"/>
        <w:szCs w:val="21"/>
        <w:rtl/>
      </w:rPr>
      <w:t>-</w:t>
    </w:r>
    <w:r>
      <w:rPr>
        <w:szCs w:val="21"/>
        <w:rtl/>
      </w:rPr>
      <w:t>2002</w:t>
    </w:r>
  </w:p>
  <w:p w14:paraId="6315B63F" w14:textId="77777777" w:rsidR="004026C4" w:rsidRDefault="004026C4">
    <w:pPr>
      <w:pStyle w:val="Footer"/>
      <w:pBdr>
        <w:top w:val="single" w:sz="4" w:space="1" w:color="auto"/>
        <w:between w:val="single" w:sz="4" w:space="0" w:color="auto"/>
      </w:pBdr>
      <w:tabs>
        <w:tab w:val="clear" w:pos="4153"/>
        <w:tab w:val="clear" w:pos="8306"/>
        <w:tab w:val="right" w:pos="6521"/>
        <w:tab w:val="center" w:pos="9640"/>
      </w:tabs>
      <w:spacing w:after="60"/>
      <w:jc w:val="center"/>
      <w:rPr>
        <w:rStyle w:val="PageNumber"/>
        <w:rFonts w:cs="TopType Jerushalmi"/>
        <w:color w:val="000000"/>
        <w:sz w:val="28"/>
        <w:szCs w:val="22"/>
        <w:rtl/>
      </w:rPr>
    </w:pPr>
    <w:r>
      <w:rPr>
        <w:rStyle w:val="PageNumber"/>
        <w:rFonts w:cs="TopType Jerushalmi"/>
        <w:color w:val="000000"/>
        <w:sz w:val="28"/>
        <w:szCs w:val="22"/>
        <w:rtl/>
      </w:rPr>
      <w:t xml:space="preserve">נבו הוצאה לאור בע"מ  </w:t>
    </w:r>
    <w:r>
      <w:rPr>
        <w:rStyle w:val="PageNumber"/>
        <w:rFonts w:cs="TopType Jerushalmi"/>
        <w:color w:val="000000"/>
        <w:sz w:val="28"/>
        <w:szCs w:val="22"/>
      </w:rPr>
      <w:t>nevo.co.il</w:t>
    </w:r>
    <w:r>
      <w:rPr>
        <w:rStyle w:val="PageNumber"/>
        <w:rFonts w:cs="TopType Jerushalmi"/>
        <w:color w:val="000000"/>
        <w:sz w:val="28"/>
        <w:szCs w:val="22"/>
        <w:rtl/>
      </w:rPr>
      <w:t xml:space="preserve">   המאגר המשפטי הישראלי</w:t>
    </w:r>
  </w:p>
  <w:p w14:paraId="52FD722A" w14:textId="77777777" w:rsidR="004026C4" w:rsidRDefault="004026C4">
    <w:pPr>
      <w:pStyle w:val="Footer"/>
      <w:pBdr>
        <w:top w:val="single" w:sz="4" w:space="1" w:color="auto"/>
        <w:between w:val="single" w:sz="4" w:space="0" w:color="auto"/>
      </w:pBdr>
      <w:tabs>
        <w:tab w:val="clear" w:pos="4153"/>
        <w:tab w:val="clear" w:pos="8306"/>
        <w:tab w:val="right" w:pos="6521"/>
        <w:tab w:val="center" w:pos="9640"/>
      </w:tabs>
      <w:rPr>
        <w:rStyle w:val="PageNumber"/>
        <w:rFonts w:cs="TopType Jerushalmi"/>
        <w:color w:val="000000"/>
        <w:sz w:val="14"/>
        <w:szCs w:val="14"/>
        <w:rtl/>
      </w:rPr>
    </w:pPr>
    <w:r>
      <w:rPr>
        <w:rStyle w:val="PageNumber"/>
        <w:rFonts w:cs="TopType Jerushalmi"/>
        <w:color w:val="000000"/>
        <w:sz w:val="14"/>
        <w:szCs w:val="14"/>
        <w:rtl/>
      </w:rPr>
      <w:fldChar w:fldCharType="begin"/>
    </w:r>
    <w:r>
      <w:rPr>
        <w:rStyle w:val="PageNumber"/>
        <w:rFonts w:cs="TopType Jerushalmi"/>
        <w:color w:val="000000"/>
        <w:sz w:val="14"/>
        <w:szCs w:val="14"/>
        <w:rtl/>
      </w:rPr>
      <w:instrText xml:space="preserve"> </w:instrText>
    </w:r>
    <w:r>
      <w:rPr>
        <w:rStyle w:val="PageNumber"/>
        <w:rFonts w:cs="TopType Jerushalmi"/>
        <w:color w:val="000000"/>
        <w:sz w:val="14"/>
        <w:szCs w:val="14"/>
      </w:rPr>
      <w:instrText>FILENAME \p  \* MERGEFORMAT</w:instrText>
    </w:r>
    <w:r>
      <w:rPr>
        <w:rStyle w:val="PageNumber"/>
        <w:rFonts w:cs="TopType Jerushalmi"/>
        <w:color w:val="000000"/>
        <w:sz w:val="14"/>
        <w:szCs w:val="14"/>
        <w:rtl/>
      </w:rPr>
      <w:instrText xml:space="preserve"> </w:instrText>
    </w:r>
    <w:r>
      <w:rPr>
        <w:rStyle w:val="PageNumber"/>
        <w:rFonts w:cs="TopType Jerushalmi"/>
        <w:color w:val="000000"/>
        <w:sz w:val="14"/>
        <w:szCs w:val="14"/>
        <w:rtl/>
      </w:rPr>
      <w:fldChar w:fldCharType="separate"/>
    </w:r>
    <w:r w:rsidR="00E2755E" w:rsidRPr="00E2755E">
      <w:rPr>
        <w:rStyle w:val="PageNumber"/>
        <w:noProof/>
      </w:rPr>
      <w:t>Z:\000000000000000000000000000000=2015--------------------\HAKIKA-KIDUD\01-03\shalom\word\outdoc-nohyper\OutDoc-Makor\s013027-padi.doc</w:t>
    </w:r>
    <w:r>
      <w:rPr>
        <w:rStyle w:val="PageNumbe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3724" w14:textId="77777777" w:rsidR="004026C4" w:rsidRDefault="004026C4">
    <w:pPr>
      <w:pStyle w:val="Footer"/>
      <w:tabs>
        <w:tab w:val="clear" w:pos="4153"/>
        <w:tab w:val="clear" w:pos="8306"/>
        <w:tab w:val="right" w:pos="6521"/>
        <w:tab w:val="center" w:pos="9640"/>
      </w:tabs>
      <w:spacing w:after="60"/>
      <w:rPr>
        <w:rStyle w:val="PageNumber"/>
        <w:rtl/>
      </w:rPr>
    </w:pPr>
    <w:r>
      <w:rPr>
        <w:szCs w:val="21"/>
        <w:rtl/>
      </w:rPr>
      <w:t>פ</w:t>
    </w:r>
    <w:r>
      <w:rPr>
        <w:rFonts w:hint="cs"/>
        <w:szCs w:val="21"/>
        <w:rtl/>
      </w:rPr>
      <w:t>"מ</w:t>
    </w:r>
    <w:r>
      <w:rPr>
        <w:szCs w:val="21"/>
        <w:rtl/>
      </w:rPr>
      <w:t xml:space="preserve">, כרך </w:t>
    </w:r>
    <w:r>
      <w:rPr>
        <w:rFonts w:hint="cs"/>
        <w:szCs w:val="21"/>
        <w:rtl/>
      </w:rPr>
      <w:t>תשס"ב</w:t>
    </w:r>
    <w:r>
      <w:rPr>
        <w:szCs w:val="21"/>
        <w:rtl/>
      </w:rPr>
      <w:t xml:space="preserve">, חלק </w:t>
    </w:r>
    <w:r>
      <w:rPr>
        <w:rFonts w:hint="cs"/>
        <w:szCs w:val="21"/>
        <w:rtl/>
      </w:rPr>
      <w:t>שלישי</w:t>
    </w:r>
    <w:r>
      <w:rPr>
        <w:szCs w:val="21"/>
        <w:rtl/>
      </w:rPr>
      <w:t>, תשס"ב</w:t>
    </w:r>
    <w:r>
      <w:rPr>
        <w:rFonts w:hint="cs"/>
        <w:szCs w:val="21"/>
        <w:rtl/>
      </w:rPr>
      <w:t>-</w:t>
    </w:r>
    <w:r>
      <w:rPr>
        <w:szCs w:val="21"/>
        <w:rtl/>
      </w:rPr>
      <w:t>2002</w:t>
    </w:r>
    <w:r>
      <w:rPr>
        <w:rFonts w:hint="cs"/>
        <w:szCs w:val="21"/>
        <w:rtl/>
      </w:rPr>
      <w:tab/>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694411">
      <w:rPr>
        <w:rStyle w:val="PageNumber"/>
        <w:noProof/>
        <w:rtl/>
      </w:rPr>
      <w:t>1</w:t>
    </w:r>
    <w:r>
      <w:rPr>
        <w:rStyle w:val="PageNumber"/>
        <w:rtl/>
      </w:rPr>
      <w:fldChar w:fldCharType="end"/>
    </w:r>
  </w:p>
  <w:p w14:paraId="17CF10C9" w14:textId="77777777" w:rsidR="004026C4" w:rsidRDefault="004026C4">
    <w:pPr>
      <w:pStyle w:val="Footer"/>
      <w:pBdr>
        <w:top w:val="single" w:sz="4" w:space="1" w:color="auto"/>
        <w:between w:val="single" w:sz="4" w:space="0" w:color="auto"/>
      </w:pBdr>
      <w:tabs>
        <w:tab w:val="clear" w:pos="4153"/>
        <w:tab w:val="clear" w:pos="8306"/>
        <w:tab w:val="right" w:pos="6521"/>
        <w:tab w:val="center" w:pos="9640"/>
      </w:tabs>
      <w:spacing w:after="60"/>
      <w:jc w:val="center"/>
      <w:rPr>
        <w:rStyle w:val="PageNumber"/>
        <w:rFonts w:cs="TopType Jerushalmi"/>
        <w:color w:val="000000"/>
        <w:sz w:val="28"/>
        <w:szCs w:val="22"/>
        <w:rtl/>
      </w:rPr>
    </w:pPr>
    <w:r>
      <w:rPr>
        <w:rStyle w:val="PageNumber"/>
        <w:rFonts w:cs="TopType Jerushalmi"/>
        <w:color w:val="000000"/>
        <w:sz w:val="28"/>
        <w:szCs w:val="22"/>
        <w:rtl/>
      </w:rPr>
      <w:t xml:space="preserve">נבו הוצאה לאור בע"מ  </w:t>
    </w:r>
    <w:r>
      <w:rPr>
        <w:rStyle w:val="PageNumber"/>
        <w:rFonts w:cs="TopType Jerushalmi"/>
        <w:color w:val="000000"/>
        <w:sz w:val="28"/>
        <w:szCs w:val="22"/>
      </w:rPr>
      <w:t>nevo.co.il</w:t>
    </w:r>
    <w:r>
      <w:rPr>
        <w:rStyle w:val="PageNumber"/>
        <w:rFonts w:cs="TopType Jerushalmi"/>
        <w:color w:val="000000"/>
        <w:sz w:val="28"/>
        <w:szCs w:val="22"/>
        <w:rtl/>
      </w:rPr>
      <w:t xml:space="preserve">   המאגר המשפטי הישראלי</w:t>
    </w:r>
  </w:p>
  <w:p w14:paraId="7DC3A50A" w14:textId="77777777" w:rsidR="004026C4" w:rsidRDefault="004026C4">
    <w:pPr>
      <w:pStyle w:val="Footer"/>
      <w:pBdr>
        <w:top w:val="single" w:sz="4" w:space="1" w:color="auto"/>
        <w:between w:val="single" w:sz="4" w:space="0" w:color="auto"/>
      </w:pBdr>
      <w:tabs>
        <w:tab w:val="clear" w:pos="4153"/>
        <w:tab w:val="clear" w:pos="8306"/>
        <w:tab w:val="right" w:pos="6521"/>
        <w:tab w:val="center" w:pos="9640"/>
      </w:tabs>
      <w:rPr>
        <w:rStyle w:val="PageNumber"/>
        <w:rFonts w:cs="TopType Jerushalmi" w:hint="cs"/>
        <w:color w:val="000000"/>
        <w:sz w:val="14"/>
        <w:szCs w:val="14"/>
      </w:rPr>
    </w:pPr>
    <w:r>
      <w:rPr>
        <w:rStyle w:val="PageNumber"/>
        <w:rFonts w:cs="TopType Jerushalmi"/>
        <w:color w:val="000000"/>
        <w:sz w:val="14"/>
        <w:szCs w:val="14"/>
        <w:rtl/>
      </w:rPr>
      <w:fldChar w:fldCharType="begin"/>
    </w:r>
    <w:r>
      <w:rPr>
        <w:rStyle w:val="PageNumber"/>
        <w:rFonts w:cs="TopType Jerushalmi"/>
        <w:color w:val="000000"/>
        <w:sz w:val="14"/>
        <w:szCs w:val="14"/>
        <w:rtl/>
      </w:rPr>
      <w:instrText xml:space="preserve"> </w:instrText>
    </w:r>
    <w:r>
      <w:rPr>
        <w:rStyle w:val="PageNumber"/>
        <w:rFonts w:cs="TopType Jerushalmi"/>
        <w:color w:val="000000"/>
        <w:sz w:val="14"/>
        <w:szCs w:val="14"/>
      </w:rPr>
      <w:instrText>FILENAME \p  \* MERGEFORMAT</w:instrText>
    </w:r>
    <w:r>
      <w:rPr>
        <w:rStyle w:val="PageNumber"/>
        <w:rFonts w:cs="TopType Jerushalmi"/>
        <w:color w:val="000000"/>
        <w:sz w:val="14"/>
        <w:szCs w:val="14"/>
        <w:rtl/>
      </w:rPr>
      <w:instrText xml:space="preserve"> </w:instrText>
    </w:r>
    <w:r>
      <w:rPr>
        <w:rStyle w:val="PageNumber"/>
        <w:rFonts w:cs="TopType Jerushalmi"/>
        <w:color w:val="000000"/>
        <w:sz w:val="14"/>
        <w:szCs w:val="14"/>
        <w:rtl/>
      </w:rPr>
      <w:fldChar w:fldCharType="separate"/>
    </w:r>
    <w:r w:rsidR="00E2755E" w:rsidRPr="00E2755E">
      <w:rPr>
        <w:rStyle w:val="PageNumber"/>
        <w:noProof/>
      </w:rPr>
      <w:t>Z:\000000000000000000000000000000=2015--------------------\HAKIKA-KIDUD\01-03\shalom\word\outdoc-nohyper\OutDoc-Makor\s013027-padi.doc</w:t>
    </w:r>
    <w:r>
      <w:rPr>
        <w:rStyle w:val="PageNumbe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9ABED" w14:textId="77777777" w:rsidR="004026C4" w:rsidRDefault="004026C4">
    <w:pPr>
      <w:pStyle w:val="Footer"/>
      <w:tabs>
        <w:tab w:val="clear" w:pos="4153"/>
        <w:tab w:val="clear" w:pos="8306"/>
        <w:tab w:val="right" w:pos="6521"/>
        <w:tab w:val="center" w:pos="9640"/>
      </w:tabs>
      <w:spacing w:after="60"/>
      <w:rPr>
        <w:rStyle w:val="PageNumber"/>
        <w:sz w:val="24"/>
        <w:rtl/>
      </w:rPr>
    </w:pPr>
    <w:r>
      <w:rPr>
        <w:szCs w:val="21"/>
        <w:rtl/>
      </w:rPr>
      <w:t>פ</w:t>
    </w:r>
    <w:r>
      <w:rPr>
        <w:rFonts w:hint="cs"/>
        <w:szCs w:val="21"/>
        <w:rtl/>
      </w:rPr>
      <w:t>"מ</w:t>
    </w:r>
    <w:r>
      <w:rPr>
        <w:szCs w:val="21"/>
        <w:rtl/>
      </w:rPr>
      <w:t xml:space="preserve">, כרך </w:t>
    </w:r>
    <w:r>
      <w:rPr>
        <w:rFonts w:hint="cs"/>
        <w:szCs w:val="21"/>
        <w:rtl/>
      </w:rPr>
      <w:t>תשס"ב</w:t>
    </w:r>
    <w:r>
      <w:rPr>
        <w:szCs w:val="21"/>
        <w:rtl/>
      </w:rPr>
      <w:t xml:space="preserve">, חלק </w:t>
    </w:r>
    <w:r>
      <w:rPr>
        <w:rFonts w:hint="cs"/>
        <w:szCs w:val="21"/>
        <w:rtl/>
      </w:rPr>
      <w:t>שלישי</w:t>
    </w:r>
    <w:r>
      <w:rPr>
        <w:szCs w:val="21"/>
        <w:rtl/>
      </w:rPr>
      <w:t>, תשס"ב</w:t>
    </w:r>
    <w:r>
      <w:rPr>
        <w:rFonts w:hint="cs"/>
        <w:szCs w:val="21"/>
        <w:rtl/>
      </w:rPr>
      <w:t>-</w:t>
    </w:r>
    <w:r>
      <w:rPr>
        <w:szCs w:val="21"/>
        <w:rtl/>
      </w:rPr>
      <w:t>2002</w:t>
    </w:r>
    <w:r>
      <w:rPr>
        <w:rFonts w:hint="cs"/>
        <w:szCs w:val="21"/>
        <w:rtl/>
      </w:rPr>
      <w:tab/>
    </w:r>
    <w:r>
      <w:rPr>
        <w:rStyle w:val="PageNumber"/>
        <w:sz w:val="24"/>
        <w:rtl/>
      </w:rPr>
      <w:fldChar w:fldCharType="begin"/>
    </w:r>
    <w:r>
      <w:rPr>
        <w:rStyle w:val="PageNumber"/>
        <w:sz w:val="24"/>
        <w:rtl/>
      </w:rPr>
      <w:instrText xml:space="preserve"> </w:instrText>
    </w:r>
    <w:r>
      <w:rPr>
        <w:rStyle w:val="PageNumber"/>
        <w:sz w:val="24"/>
      </w:rPr>
      <w:instrText>PAGE</w:instrText>
    </w:r>
    <w:r>
      <w:rPr>
        <w:rStyle w:val="PageNumber"/>
        <w:sz w:val="24"/>
        <w:rtl/>
      </w:rPr>
      <w:instrText xml:space="preserve"> </w:instrText>
    </w:r>
    <w:r>
      <w:rPr>
        <w:rStyle w:val="PageNumber"/>
        <w:sz w:val="24"/>
        <w:rtl/>
      </w:rPr>
      <w:fldChar w:fldCharType="separate"/>
    </w:r>
    <w:r>
      <w:rPr>
        <w:rStyle w:val="PageNumber"/>
        <w:sz w:val="24"/>
        <w:rtl/>
      </w:rPr>
      <w:t>1</w:t>
    </w:r>
    <w:r>
      <w:rPr>
        <w:rStyle w:val="PageNumber"/>
        <w:sz w:val="24"/>
        <w:rtl/>
      </w:rPr>
      <w:fldChar w:fldCharType="end"/>
    </w:r>
  </w:p>
  <w:p w14:paraId="45B58B79" w14:textId="77777777" w:rsidR="004026C4" w:rsidRDefault="004026C4">
    <w:pPr>
      <w:pStyle w:val="Footer"/>
      <w:pBdr>
        <w:top w:val="single" w:sz="4" w:space="1" w:color="auto"/>
        <w:between w:val="single" w:sz="4" w:space="0" w:color="auto"/>
      </w:pBdr>
      <w:tabs>
        <w:tab w:val="clear" w:pos="4153"/>
        <w:tab w:val="clear" w:pos="8306"/>
        <w:tab w:val="right" w:pos="6521"/>
        <w:tab w:val="center" w:pos="9640"/>
      </w:tabs>
      <w:spacing w:after="60"/>
      <w:jc w:val="center"/>
      <w:rPr>
        <w:rStyle w:val="PageNumber"/>
        <w:rFonts w:cs="TopType Jerushalmi"/>
        <w:color w:val="000000"/>
        <w:sz w:val="28"/>
        <w:szCs w:val="22"/>
        <w:rtl/>
      </w:rPr>
    </w:pPr>
    <w:r>
      <w:rPr>
        <w:rStyle w:val="PageNumber"/>
        <w:rFonts w:cs="TopType Jerushalmi"/>
        <w:color w:val="000000"/>
        <w:sz w:val="28"/>
        <w:szCs w:val="22"/>
        <w:rtl/>
      </w:rPr>
      <w:t xml:space="preserve">נבו הוצאה לאור בע"מ  </w:t>
    </w:r>
    <w:r>
      <w:rPr>
        <w:rStyle w:val="PageNumber"/>
        <w:rFonts w:cs="TopType Jerushalmi"/>
        <w:color w:val="000000"/>
        <w:sz w:val="28"/>
        <w:szCs w:val="22"/>
      </w:rPr>
      <w:t>nevo.co.il</w:t>
    </w:r>
    <w:r>
      <w:rPr>
        <w:rStyle w:val="PageNumber"/>
        <w:rFonts w:cs="TopType Jerushalmi"/>
        <w:color w:val="000000"/>
        <w:sz w:val="28"/>
        <w:szCs w:val="22"/>
        <w:rtl/>
      </w:rPr>
      <w:t xml:space="preserve">   המאגר המשפטי הישראלי</w:t>
    </w:r>
  </w:p>
  <w:p w14:paraId="60B47BC5" w14:textId="77777777" w:rsidR="004026C4" w:rsidRDefault="004026C4">
    <w:pPr>
      <w:pStyle w:val="Footer"/>
      <w:pBdr>
        <w:top w:val="single" w:sz="4" w:space="1" w:color="auto"/>
        <w:between w:val="single" w:sz="4" w:space="0" w:color="auto"/>
      </w:pBdr>
      <w:tabs>
        <w:tab w:val="clear" w:pos="4153"/>
        <w:tab w:val="clear" w:pos="8306"/>
        <w:tab w:val="right" w:pos="6521"/>
        <w:tab w:val="center" w:pos="9640"/>
      </w:tabs>
      <w:rPr>
        <w:rStyle w:val="PageNumber"/>
        <w:rFonts w:cs="TopType Jerushalmi" w:hint="cs"/>
        <w:color w:val="000000"/>
        <w:sz w:val="14"/>
        <w:szCs w:val="14"/>
      </w:rPr>
    </w:pPr>
    <w:r>
      <w:rPr>
        <w:rStyle w:val="PageNumber"/>
        <w:rFonts w:cs="TopType Jerushalmi"/>
        <w:color w:val="000000"/>
        <w:sz w:val="14"/>
        <w:szCs w:val="14"/>
        <w:rtl/>
      </w:rPr>
      <w:fldChar w:fldCharType="begin"/>
    </w:r>
    <w:r>
      <w:rPr>
        <w:rStyle w:val="PageNumber"/>
        <w:rFonts w:cs="TopType Jerushalmi"/>
        <w:color w:val="000000"/>
        <w:sz w:val="14"/>
        <w:szCs w:val="14"/>
        <w:rtl/>
      </w:rPr>
      <w:instrText xml:space="preserve"> </w:instrText>
    </w:r>
    <w:r>
      <w:rPr>
        <w:rStyle w:val="PageNumber"/>
        <w:rFonts w:cs="TopType Jerushalmi"/>
        <w:color w:val="000000"/>
        <w:sz w:val="14"/>
        <w:szCs w:val="14"/>
      </w:rPr>
      <w:instrText>FILENAME \p  \* MERGEFORMAT</w:instrText>
    </w:r>
    <w:r>
      <w:rPr>
        <w:rStyle w:val="PageNumber"/>
        <w:rFonts w:cs="TopType Jerushalmi"/>
        <w:color w:val="000000"/>
        <w:sz w:val="14"/>
        <w:szCs w:val="14"/>
        <w:rtl/>
      </w:rPr>
      <w:instrText xml:space="preserve"> </w:instrText>
    </w:r>
    <w:r>
      <w:rPr>
        <w:rStyle w:val="PageNumber"/>
        <w:rFonts w:cs="TopType Jerushalmi"/>
        <w:color w:val="000000"/>
        <w:sz w:val="14"/>
        <w:szCs w:val="14"/>
        <w:rtl/>
      </w:rPr>
      <w:fldChar w:fldCharType="separate"/>
    </w:r>
    <w:r w:rsidR="00E2755E" w:rsidRPr="00E2755E">
      <w:rPr>
        <w:rStyle w:val="PageNumber"/>
        <w:noProof/>
      </w:rPr>
      <w:t>Z:\000000000000000000000000000000=2015--------------------\HAKIKA-KIDUD\01-03\shalom\word\outdoc-nohyper\OutDoc-Makor\s013027-padi.doc</w:t>
    </w:r>
    <w:r>
      <w:rPr>
        <w:rStyle w:val="PageNumbe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77740" w14:textId="77777777" w:rsidR="009F25BD" w:rsidRDefault="009F25BD">
      <w:r>
        <w:separator/>
      </w:r>
    </w:p>
  </w:footnote>
  <w:footnote w:type="continuationSeparator" w:id="0">
    <w:p w14:paraId="45594CD9" w14:textId="77777777" w:rsidR="009F25BD" w:rsidRDefault="009F2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624A9" w14:textId="77777777" w:rsidR="004026C4" w:rsidRDefault="004026C4">
    <w:pPr>
      <w:pStyle w:val="Header"/>
      <w:pBdr>
        <w:bottom w:val="single" w:sz="6" w:space="1" w:color="auto"/>
      </w:pBdr>
      <w:tabs>
        <w:tab w:val="clear" w:pos="4153"/>
        <w:tab w:val="clear" w:pos="8306"/>
        <w:tab w:val="right" w:pos="6521"/>
        <w:tab w:val="center" w:pos="9498"/>
      </w:tabs>
      <w:rPr>
        <w:rtl/>
      </w:rPr>
    </w:pPr>
    <w:r>
      <w:rPr>
        <w:noProof/>
      </w:rPr>
      <w:pict w14:anchorId="2AA71439">
        <v:group id="_x0000_s2049" style="position:absolute;left:0;text-align:left;margin-left:-36.85pt;margin-top:25.5pt;width:14.25pt;height:408.3pt;z-index:251656704;mso-position-vertical-relative:margin" coordsize="20000,20000" o:allowincell="f">
          <v:rect id="_x0000_s2050" style="position:absolute;width:20000;height:698" filled="f" stroked="f" strokeweight=".25pt">
            <v:textbox inset="1pt,1pt,1pt,1pt">
              <w:txbxContent>
                <w:p w14:paraId="5D42882D" w14:textId="77777777" w:rsidR="004026C4" w:rsidRDefault="004026C4">
                  <w:pPr>
                    <w:rPr>
                      <w:rtl/>
                    </w:rPr>
                  </w:pPr>
                  <w:r>
                    <w:rPr>
                      <w:rFonts w:cs="Miriam"/>
                      <w:szCs w:val="29"/>
                      <w:rtl/>
                    </w:rPr>
                    <w:t>א</w:t>
                  </w:r>
                </w:p>
              </w:txbxContent>
            </v:textbox>
          </v:rect>
          <v:rect id="_x0000_s2051" style="position:absolute;top:3262;width:20000;height:698" filled="f" stroked="f">
            <v:textbox inset="1pt,1pt,1pt,1pt">
              <w:txbxContent>
                <w:p w14:paraId="28CBCA18" w14:textId="77777777" w:rsidR="004026C4" w:rsidRDefault="004026C4">
                  <w:pPr>
                    <w:rPr>
                      <w:rtl/>
                    </w:rPr>
                  </w:pPr>
                  <w:r>
                    <w:rPr>
                      <w:rFonts w:cs="Miriam"/>
                      <w:szCs w:val="29"/>
                      <w:rtl/>
                    </w:rPr>
                    <w:t>ב</w:t>
                  </w:r>
                </w:p>
              </w:txbxContent>
            </v:textbox>
          </v:rect>
          <v:rect id="_x0000_s2052" style="position:absolute;top:6458;width:20000;height:698" filled="f" stroked="f">
            <v:textbox inset="1pt,1pt,1pt,1pt">
              <w:txbxContent>
                <w:p w14:paraId="11F4D197" w14:textId="77777777" w:rsidR="004026C4" w:rsidRDefault="004026C4">
                  <w:pPr>
                    <w:rPr>
                      <w:rtl/>
                    </w:rPr>
                  </w:pPr>
                  <w:r>
                    <w:rPr>
                      <w:rFonts w:cs="Miriam"/>
                      <w:szCs w:val="28"/>
                      <w:rtl/>
                    </w:rPr>
                    <w:t>ג</w:t>
                  </w:r>
                </w:p>
              </w:txbxContent>
            </v:textbox>
          </v:rect>
          <v:rect id="_x0000_s2053" style="position:absolute;top:9652;width:20000;height:698" filled="f" stroked="f">
            <v:textbox inset="1pt,1pt,1pt,1pt">
              <w:txbxContent>
                <w:p w14:paraId="7F50447E" w14:textId="77777777" w:rsidR="004026C4" w:rsidRDefault="004026C4">
                  <w:pPr>
                    <w:rPr>
                      <w:rtl/>
                    </w:rPr>
                  </w:pPr>
                  <w:r>
                    <w:rPr>
                      <w:rFonts w:cs="Miriam"/>
                      <w:szCs w:val="28"/>
                      <w:rtl/>
                    </w:rPr>
                    <w:t>ד</w:t>
                  </w:r>
                </w:p>
              </w:txbxContent>
            </v:textbox>
          </v:rect>
          <v:rect id="_x0000_s2054" style="position:absolute;top:12846;width:20000;height:698" filled="f" stroked="f">
            <v:textbox inset="1pt,1pt,1pt,1pt">
              <w:txbxContent>
                <w:p w14:paraId="22CB8793" w14:textId="77777777" w:rsidR="004026C4" w:rsidRDefault="004026C4">
                  <w:pPr>
                    <w:rPr>
                      <w:rtl/>
                    </w:rPr>
                  </w:pPr>
                  <w:r>
                    <w:rPr>
                      <w:rFonts w:cs="Miriam"/>
                      <w:szCs w:val="28"/>
                      <w:rtl/>
                    </w:rPr>
                    <w:t>ה</w:t>
                  </w:r>
                </w:p>
              </w:txbxContent>
            </v:textbox>
          </v:rect>
          <v:rect id="_x0000_s2055" style="position:absolute;top:16108;width:20000;height:698" filled="f" stroked="f">
            <v:textbox inset="1pt,1pt,1pt,1pt">
              <w:txbxContent>
                <w:p w14:paraId="6C673454" w14:textId="77777777" w:rsidR="004026C4" w:rsidRDefault="004026C4">
                  <w:pPr>
                    <w:rPr>
                      <w:rtl/>
                    </w:rPr>
                  </w:pPr>
                  <w:r>
                    <w:rPr>
                      <w:rFonts w:cs="Miriam"/>
                      <w:szCs w:val="28"/>
                      <w:rtl/>
                    </w:rPr>
                    <w:t>ו</w:t>
                  </w:r>
                </w:p>
              </w:txbxContent>
            </v:textbox>
          </v:rect>
          <v:rect id="_x0000_s2056" style="position:absolute;top:19302;width:20000;height:698" filled="f" stroked="f">
            <v:textbox inset="1pt,1pt,1pt,1pt">
              <w:txbxContent>
                <w:p w14:paraId="59CD7A78" w14:textId="77777777" w:rsidR="004026C4" w:rsidRDefault="004026C4">
                  <w:pPr>
                    <w:rPr>
                      <w:rtl/>
                    </w:rPr>
                  </w:pPr>
                  <w:r>
                    <w:rPr>
                      <w:rFonts w:cs="Miriam"/>
                      <w:szCs w:val="28"/>
                      <w:rtl/>
                    </w:rPr>
                    <w:t>ז</w:t>
                  </w:r>
                </w:p>
              </w:txbxContent>
            </v:textbox>
          </v:rect>
          <w10:wrap anchory="margin"/>
        </v:group>
      </w:pict>
    </w:r>
    <w:r>
      <w:rPr>
        <w:rFonts w:hint="cs"/>
        <w:rtl/>
      </w:rPr>
      <w:t>ת"פ (רח')</w:t>
    </w:r>
    <w:r>
      <w:rPr>
        <w:rtl/>
      </w:rPr>
      <w:t xml:space="preserve"> </w:t>
    </w:r>
    <w:r>
      <w:rPr>
        <w:rFonts w:hint="cs"/>
        <w:rtl/>
      </w:rPr>
      <w:t>3027/01</w:t>
    </w:r>
    <w:r>
      <w:rPr>
        <w:rtl/>
      </w:rPr>
      <w:tab/>
    </w:r>
    <w:r>
      <w:rPr>
        <w:rFonts w:hint="cs"/>
        <w:rtl/>
      </w:rPr>
      <w:t>מדינת ישראל נ' מחפוד</w:t>
    </w:r>
  </w:p>
  <w:p w14:paraId="3D490A9C" w14:textId="77777777" w:rsidR="004026C4" w:rsidRDefault="004026C4">
    <w:pPr>
      <w:pStyle w:val="2"/>
      <w:jc w:val="left"/>
      <w:rPr>
        <w:rtl/>
      </w:rPr>
    </w:pPr>
    <w:r>
      <w:rPr>
        <w:rFonts w:cs="FrankRuehl"/>
        <w:szCs w:val="22"/>
        <w:rtl/>
      </w:rPr>
      <w:t>פ"</w:t>
    </w:r>
    <w:r>
      <w:rPr>
        <w:rFonts w:cs="FrankRuehl" w:hint="cs"/>
        <w:szCs w:val="22"/>
        <w:rtl/>
      </w:rPr>
      <w:t>מ,</w:t>
    </w:r>
    <w:r>
      <w:rPr>
        <w:rFonts w:cs="FrankRuehl"/>
        <w:szCs w:val="22"/>
        <w:rtl/>
      </w:rPr>
      <w:t xml:space="preserve"> </w:t>
    </w:r>
    <w:r>
      <w:rPr>
        <w:rFonts w:cs="FrankRuehl" w:hint="cs"/>
        <w:szCs w:val="22"/>
        <w:rtl/>
      </w:rPr>
      <w:t>תשס"ב</w:t>
    </w:r>
    <w:r>
      <w:rPr>
        <w:rFonts w:cs="FrankRuehl"/>
        <w:szCs w:val="22"/>
        <w:rtl/>
      </w:rPr>
      <w:t>(</w:t>
    </w:r>
    <w:r>
      <w:rPr>
        <w:rFonts w:cs="FrankRuehl" w:hint="cs"/>
        <w:szCs w:val="22"/>
        <w:rtl/>
      </w:rPr>
      <w:t>3</w:t>
    </w:r>
    <w:r>
      <w:rPr>
        <w:rFonts w:cs="FrankRuehl"/>
        <w:szCs w:val="22"/>
        <w:rtl/>
      </w:rPr>
      <w:t xml:space="preserve">) </w:t>
    </w:r>
    <w:r>
      <w:rPr>
        <w:rFonts w:cs="FrankRuehl" w:hint="cs"/>
        <w:szCs w:val="22"/>
        <w:rtl/>
      </w:rPr>
      <w:t>1</w:t>
    </w:r>
    <w:r>
      <w:rPr>
        <w:rtl/>
      </w:rPr>
      <w:tab/>
      <w:t xml:space="preserve">השופט </w:t>
    </w:r>
    <w:r>
      <w:rPr>
        <w:rFonts w:hint="cs"/>
        <w:rtl/>
      </w:rPr>
      <w:t>י</w:t>
    </w:r>
    <w:r>
      <w:rPr>
        <w:rtl/>
      </w:rPr>
      <w:t xml:space="preserve">' </w:t>
    </w:r>
    <w:r>
      <w:rPr>
        <w:rFonts w:hint="cs"/>
        <w:rtl/>
      </w:rPr>
      <w:t>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286B0" w14:textId="77777777" w:rsidR="004026C4" w:rsidRDefault="004026C4">
    <w:pPr>
      <w:pStyle w:val="Header"/>
      <w:pBdr>
        <w:bottom w:val="single" w:sz="6" w:space="1" w:color="auto"/>
      </w:pBdr>
      <w:tabs>
        <w:tab w:val="clear" w:pos="4153"/>
        <w:tab w:val="clear" w:pos="8306"/>
        <w:tab w:val="right" w:pos="6521"/>
        <w:tab w:val="center" w:pos="9498"/>
      </w:tabs>
      <w:rPr>
        <w:rtl/>
      </w:rPr>
    </w:pPr>
    <w:r>
      <w:rPr>
        <w:noProof/>
      </w:rPr>
      <w:pict w14:anchorId="66BF930A">
        <v:group id="_x0000_s2065" style="position:absolute;left:0;text-align:left;margin-left:348.7pt;margin-top:25.5pt;width:14.25pt;height:408.3pt;z-index:251658752;mso-position-vertical-relative:margin" coordsize="20000,20000" o:allowincell="f">
          <v:rect id="_x0000_s2066" style="position:absolute;width:20000;height:698" filled="f" stroked="f" strokeweight=".25pt">
            <v:textbox inset="1pt,1pt,1pt,1pt">
              <w:txbxContent>
                <w:p w14:paraId="46976500" w14:textId="77777777" w:rsidR="004026C4" w:rsidRDefault="004026C4">
                  <w:pPr>
                    <w:rPr>
                      <w:rtl/>
                    </w:rPr>
                  </w:pPr>
                  <w:r>
                    <w:rPr>
                      <w:rFonts w:cs="Miriam"/>
                      <w:szCs w:val="29"/>
                      <w:rtl/>
                    </w:rPr>
                    <w:t>א</w:t>
                  </w:r>
                </w:p>
              </w:txbxContent>
            </v:textbox>
          </v:rect>
          <v:rect id="_x0000_s2067" style="position:absolute;top:3262;width:20000;height:698" filled="f" stroked="f">
            <v:textbox inset="1pt,1pt,1pt,1pt">
              <w:txbxContent>
                <w:p w14:paraId="66C4B186" w14:textId="77777777" w:rsidR="004026C4" w:rsidRDefault="004026C4">
                  <w:pPr>
                    <w:rPr>
                      <w:rtl/>
                    </w:rPr>
                  </w:pPr>
                  <w:r>
                    <w:rPr>
                      <w:rFonts w:cs="Miriam"/>
                      <w:szCs w:val="29"/>
                      <w:rtl/>
                    </w:rPr>
                    <w:t>ב</w:t>
                  </w:r>
                </w:p>
              </w:txbxContent>
            </v:textbox>
          </v:rect>
          <v:rect id="_x0000_s2068" style="position:absolute;top:6458;width:20000;height:698" filled="f" stroked="f">
            <v:textbox inset="1pt,1pt,1pt,1pt">
              <w:txbxContent>
                <w:p w14:paraId="509282F6" w14:textId="77777777" w:rsidR="004026C4" w:rsidRDefault="004026C4">
                  <w:pPr>
                    <w:rPr>
                      <w:rtl/>
                    </w:rPr>
                  </w:pPr>
                  <w:r>
                    <w:rPr>
                      <w:rFonts w:cs="Miriam"/>
                      <w:szCs w:val="28"/>
                      <w:rtl/>
                    </w:rPr>
                    <w:t>ג</w:t>
                  </w:r>
                </w:p>
              </w:txbxContent>
            </v:textbox>
          </v:rect>
          <v:rect id="_x0000_s2069" style="position:absolute;top:9652;width:20000;height:698" filled="f" stroked="f">
            <v:textbox inset="1pt,1pt,1pt,1pt">
              <w:txbxContent>
                <w:p w14:paraId="484D700E" w14:textId="77777777" w:rsidR="004026C4" w:rsidRDefault="004026C4">
                  <w:pPr>
                    <w:rPr>
                      <w:rtl/>
                    </w:rPr>
                  </w:pPr>
                  <w:r>
                    <w:rPr>
                      <w:rFonts w:cs="Miriam"/>
                      <w:szCs w:val="28"/>
                      <w:rtl/>
                    </w:rPr>
                    <w:t>ד</w:t>
                  </w:r>
                </w:p>
              </w:txbxContent>
            </v:textbox>
          </v:rect>
          <v:rect id="_x0000_s2070" style="position:absolute;top:12846;width:20000;height:698" filled="f" stroked="f">
            <v:textbox inset="1pt,1pt,1pt,1pt">
              <w:txbxContent>
                <w:p w14:paraId="2894096F" w14:textId="77777777" w:rsidR="004026C4" w:rsidRDefault="004026C4">
                  <w:pPr>
                    <w:rPr>
                      <w:rtl/>
                    </w:rPr>
                  </w:pPr>
                  <w:r>
                    <w:rPr>
                      <w:rFonts w:cs="Miriam"/>
                      <w:szCs w:val="28"/>
                      <w:rtl/>
                    </w:rPr>
                    <w:t>ה</w:t>
                  </w:r>
                </w:p>
              </w:txbxContent>
            </v:textbox>
          </v:rect>
          <v:rect id="_x0000_s2071" style="position:absolute;top:16108;width:20000;height:698" filled="f" stroked="f">
            <v:textbox inset="1pt,1pt,1pt,1pt">
              <w:txbxContent>
                <w:p w14:paraId="317BEC2A" w14:textId="77777777" w:rsidR="004026C4" w:rsidRDefault="004026C4">
                  <w:pPr>
                    <w:rPr>
                      <w:rtl/>
                    </w:rPr>
                  </w:pPr>
                  <w:r>
                    <w:rPr>
                      <w:rFonts w:cs="Miriam"/>
                      <w:szCs w:val="28"/>
                      <w:rtl/>
                    </w:rPr>
                    <w:t>ו</w:t>
                  </w:r>
                </w:p>
              </w:txbxContent>
            </v:textbox>
          </v:rect>
          <v:rect id="_x0000_s2072" style="position:absolute;top:19302;width:20000;height:698" filled="f" stroked="f">
            <v:textbox inset="1pt,1pt,1pt,1pt">
              <w:txbxContent>
                <w:p w14:paraId="34D1A4D5" w14:textId="77777777" w:rsidR="004026C4" w:rsidRDefault="004026C4">
                  <w:pPr>
                    <w:rPr>
                      <w:rtl/>
                    </w:rPr>
                  </w:pPr>
                  <w:r>
                    <w:rPr>
                      <w:rFonts w:cs="Miriam"/>
                      <w:szCs w:val="28"/>
                      <w:rtl/>
                    </w:rPr>
                    <w:t>ז</w:t>
                  </w:r>
                </w:p>
              </w:txbxContent>
            </v:textbox>
          </v:rect>
          <w10:wrap anchory="margin"/>
        </v:group>
      </w:pict>
    </w:r>
    <w:r>
      <w:rPr>
        <w:rFonts w:hint="cs"/>
        <w:rtl/>
      </w:rPr>
      <w:t>ת"פ (רח')</w:t>
    </w:r>
    <w:r>
      <w:rPr>
        <w:rtl/>
      </w:rPr>
      <w:t xml:space="preserve"> </w:t>
    </w:r>
    <w:r>
      <w:rPr>
        <w:rFonts w:hint="cs"/>
        <w:rtl/>
      </w:rPr>
      <w:t>3027/01</w:t>
    </w:r>
    <w:r>
      <w:rPr>
        <w:rtl/>
      </w:rPr>
      <w:tab/>
    </w:r>
    <w:r>
      <w:rPr>
        <w:rFonts w:hint="cs"/>
        <w:rtl/>
      </w:rPr>
      <w:t>מדינת ישראל נ' מחפוד</w:t>
    </w:r>
  </w:p>
  <w:p w14:paraId="73B5FDF4" w14:textId="77777777" w:rsidR="004026C4" w:rsidRDefault="004026C4">
    <w:pPr>
      <w:pStyle w:val="2"/>
      <w:jc w:val="left"/>
      <w:rPr>
        <w:rtl/>
      </w:rPr>
    </w:pPr>
    <w:r>
      <w:rPr>
        <w:rFonts w:cs="FrankRuehl"/>
        <w:szCs w:val="22"/>
        <w:rtl/>
      </w:rPr>
      <w:t>פ"</w:t>
    </w:r>
    <w:r>
      <w:rPr>
        <w:rFonts w:cs="FrankRuehl" w:hint="cs"/>
        <w:szCs w:val="22"/>
        <w:rtl/>
      </w:rPr>
      <w:t>מ,</w:t>
    </w:r>
    <w:r>
      <w:rPr>
        <w:rFonts w:cs="FrankRuehl"/>
        <w:szCs w:val="22"/>
        <w:rtl/>
      </w:rPr>
      <w:t xml:space="preserve"> </w:t>
    </w:r>
    <w:r>
      <w:rPr>
        <w:rFonts w:cs="FrankRuehl" w:hint="cs"/>
        <w:szCs w:val="22"/>
        <w:rtl/>
      </w:rPr>
      <w:t>תשס"ב</w:t>
    </w:r>
    <w:r>
      <w:rPr>
        <w:rFonts w:cs="FrankRuehl"/>
        <w:szCs w:val="22"/>
        <w:rtl/>
      </w:rPr>
      <w:t>(</w:t>
    </w:r>
    <w:r>
      <w:rPr>
        <w:rFonts w:cs="FrankRuehl" w:hint="cs"/>
        <w:szCs w:val="22"/>
        <w:rtl/>
      </w:rPr>
      <w:t>3</w:t>
    </w:r>
    <w:r>
      <w:rPr>
        <w:rFonts w:cs="FrankRuehl"/>
        <w:szCs w:val="22"/>
        <w:rtl/>
      </w:rPr>
      <w:t xml:space="preserve">) </w:t>
    </w:r>
    <w:r>
      <w:rPr>
        <w:rFonts w:cs="FrankRuehl" w:hint="cs"/>
        <w:szCs w:val="22"/>
        <w:rtl/>
      </w:rPr>
      <w:t>1</w:t>
    </w:r>
    <w:r>
      <w:rPr>
        <w:rtl/>
      </w:rPr>
      <w:tab/>
      <w:t xml:space="preserve">השופט </w:t>
    </w:r>
    <w:r>
      <w:rPr>
        <w:rFonts w:hint="cs"/>
        <w:rtl/>
      </w:rPr>
      <w:t>י</w:t>
    </w:r>
    <w:r>
      <w:rPr>
        <w:rtl/>
      </w:rPr>
      <w:t xml:space="preserve">' </w:t>
    </w:r>
    <w:r>
      <w:rPr>
        <w:rFonts w:hint="cs"/>
        <w:rtl/>
      </w:rPr>
      <w:t>לוי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F5DF" w14:textId="77777777" w:rsidR="004026C4" w:rsidRDefault="004026C4">
    <w:pPr>
      <w:pStyle w:val="Header"/>
    </w:pPr>
    <w:r>
      <w:rPr>
        <w:noProof/>
      </w:rPr>
      <w:pict w14:anchorId="5E78D9A5">
        <v:group id="_x0000_s2057" style="position:absolute;left:0;text-align:left;margin-left:348.7pt;margin-top:25.5pt;width:14.25pt;height:408.3pt;z-index:251657728;mso-position-vertical-relative:margin" coordsize="20000,20000" o:allowincell="f">
          <v:rect id="_x0000_s2058" style="position:absolute;width:20000;height:698" filled="f" stroked="f" strokeweight=".25pt">
            <v:textbox inset="1pt,1pt,1pt,1pt">
              <w:txbxContent>
                <w:p w14:paraId="37D7A6F3" w14:textId="77777777" w:rsidR="004026C4" w:rsidRDefault="004026C4">
                  <w:pPr>
                    <w:rPr>
                      <w:rtl/>
                    </w:rPr>
                  </w:pPr>
                  <w:r>
                    <w:rPr>
                      <w:rFonts w:cs="Miriam"/>
                      <w:szCs w:val="29"/>
                      <w:rtl/>
                    </w:rPr>
                    <w:t>א</w:t>
                  </w:r>
                </w:p>
              </w:txbxContent>
            </v:textbox>
          </v:rect>
          <v:rect id="_x0000_s2059" style="position:absolute;top:3262;width:20000;height:698" filled="f" stroked="f">
            <v:textbox inset="1pt,1pt,1pt,1pt">
              <w:txbxContent>
                <w:p w14:paraId="35080DE6" w14:textId="77777777" w:rsidR="004026C4" w:rsidRDefault="004026C4">
                  <w:pPr>
                    <w:rPr>
                      <w:rtl/>
                    </w:rPr>
                  </w:pPr>
                  <w:r>
                    <w:rPr>
                      <w:rFonts w:cs="Miriam"/>
                      <w:szCs w:val="29"/>
                      <w:rtl/>
                    </w:rPr>
                    <w:t>ב</w:t>
                  </w:r>
                </w:p>
              </w:txbxContent>
            </v:textbox>
          </v:rect>
          <v:rect id="_x0000_s2060" style="position:absolute;top:6458;width:20000;height:698" filled="f" stroked="f">
            <v:textbox inset="1pt,1pt,1pt,1pt">
              <w:txbxContent>
                <w:p w14:paraId="46243A0F" w14:textId="77777777" w:rsidR="004026C4" w:rsidRDefault="004026C4">
                  <w:pPr>
                    <w:rPr>
                      <w:rtl/>
                    </w:rPr>
                  </w:pPr>
                  <w:r>
                    <w:rPr>
                      <w:rFonts w:cs="Miriam"/>
                      <w:szCs w:val="28"/>
                      <w:rtl/>
                    </w:rPr>
                    <w:t>ג</w:t>
                  </w:r>
                </w:p>
              </w:txbxContent>
            </v:textbox>
          </v:rect>
          <v:rect id="_x0000_s2061" style="position:absolute;top:9652;width:20000;height:698" filled="f" stroked="f">
            <v:textbox inset="1pt,1pt,1pt,1pt">
              <w:txbxContent>
                <w:p w14:paraId="4276DF9C" w14:textId="77777777" w:rsidR="004026C4" w:rsidRDefault="004026C4">
                  <w:pPr>
                    <w:rPr>
                      <w:rtl/>
                    </w:rPr>
                  </w:pPr>
                  <w:r>
                    <w:rPr>
                      <w:rFonts w:cs="Miriam"/>
                      <w:szCs w:val="28"/>
                      <w:rtl/>
                    </w:rPr>
                    <w:t>ד</w:t>
                  </w:r>
                </w:p>
              </w:txbxContent>
            </v:textbox>
          </v:rect>
          <v:rect id="_x0000_s2062" style="position:absolute;top:12846;width:20000;height:698" filled="f" stroked="f">
            <v:textbox inset="1pt,1pt,1pt,1pt">
              <w:txbxContent>
                <w:p w14:paraId="2AAF9E55" w14:textId="77777777" w:rsidR="004026C4" w:rsidRDefault="004026C4">
                  <w:pPr>
                    <w:rPr>
                      <w:rtl/>
                    </w:rPr>
                  </w:pPr>
                  <w:r>
                    <w:rPr>
                      <w:rFonts w:cs="Miriam"/>
                      <w:szCs w:val="28"/>
                      <w:rtl/>
                    </w:rPr>
                    <w:t>ה</w:t>
                  </w:r>
                </w:p>
              </w:txbxContent>
            </v:textbox>
          </v:rect>
          <v:rect id="_x0000_s2063" style="position:absolute;top:16108;width:20000;height:698" filled="f" stroked="f">
            <v:textbox inset="1pt,1pt,1pt,1pt">
              <w:txbxContent>
                <w:p w14:paraId="4B91C3EA" w14:textId="77777777" w:rsidR="004026C4" w:rsidRDefault="004026C4">
                  <w:pPr>
                    <w:rPr>
                      <w:rtl/>
                    </w:rPr>
                  </w:pPr>
                  <w:r>
                    <w:rPr>
                      <w:rFonts w:cs="Miriam"/>
                      <w:szCs w:val="28"/>
                      <w:rtl/>
                    </w:rPr>
                    <w:t>ו</w:t>
                  </w:r>
                </w:p>
              </w:txbxContent>
            </v:textbox>
          </v:rect>
          <v:rect id="_x0000_s2064" style="position:absolute;top:19302;width:20000;height:698" filled="f" stroked="f">
            <v:textbox inset="1pt,1pt,1pt,1pt">
              <w:txbxContent>
                <w:p w14:paraId="084FECC8" w14:textId="77777777" w:rsidR="004026C4" w:rsidRDefault="004026C4">
                  <w:pPr>
                    <w:rPr>
                      <w:rtl/>
                    </w:rPr>
                  </w:pPr>
                  <w:r>
                    <w:rPr>
                      <w:rFonts w:cs="Miriam"/>
                      <w:szCs w:val="28"/>
                      <w:rtl/>
                    </w:rPr>
                    <w:t>ז</w:t>
                  </w:r>
                </w:p>
              </w:txbxContent>
            </v:textbox>
          </v:rect>
          <w10:wrap anchory="margin"/>
        </v:group>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120"/>
  <w:drawingGridVerticalSpacing w:val="163"/>
  <w:displayHorizontalDrawingGridEvery w:val="2"/>
  <w:displayVerticalDrawingGridEvery w:val="2"/>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4D22"/>
    <w:rsid w:val="00144D22"/>
    <w:rsid w:val="004026C4"/>
    <w:rsid w:val="00462AC6"/>
    <w:rsid w:val="00694411"/>
    <w:rsid w:val="009F25BD"/>
    <w:rsid w:val="00BE578E"/>
    <w:rsid w:val="00E275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51F5E1C"/>
  <w15:chartTrackingRefBased/>
  <w15:docId w15:val="{3AB3C193-859A-4D6D-8FE7-4410C4C2B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eastAsia="he-IL"/>
    </w:rPr>
  </w:style>
  <w:style w:type="paragraph" w:styleId="Heading1">
    <w:name w:val="heading 1"/>
    <w:basedOn w:val="Normal"/>
    <w:next w:val="Normal"/>
    <w:qFormat/>
    <w:pPr>
      <w:keepNext/>
      <w:spacing w:line="360" w:lineRule="auto"/>
      <w:jc w:val="center"/>
      <w:outlineLvl w:val="0"/>
    </w:pPr>
    <w:rPr>
      <w:rFonts w:cs="David"/>
      <w:b/>
      <w:bCs/>
      <w:noProof/>
      <w:sz w:val="32"/>
      <w:szCs w:val="32"/>
      <w:u w:val="single"/>
    </w:rPr>
  </w:style>
  <w:style w:type="paragraph" w:styleId="Heading4">
    <w:name w:val="heading 4"/>
    <w:basedOn w:val="Normal"/>
    <w:next w:val="Normal"/>
    <w:qFormat/>
    <w:pPr>
      <w:keepNext/>
      <w:spacing w:line="360" w:lineRule="auto"/>
      <w:ind w:left="720" w:hanging="720"/>
      <w:jc w:val="both"/>
      <w:outlineLvl w:val="3"/>
    </w:pPr>
    <w:rPr>
      <w:rFonts w:cs="David"/>
      <w:b/>
      <w:bCs/>
      <w:noProof/>
      <w:sz w:val="20"/>
      <w:u w:val="single"/>
    </w:rPr>
  </w:style>
  <w:style w:type="paragraph" w:styleId="Heading5">
    <w:name w:val="heading 5"/>
    <w:basedOn w:val="Normal"/>
    <w:next w:val="Normal"/>
    <w:qFormat/>
    <w:pPr>
      <w:keepNext/>
      <w:spacing w:line="360" w:lineRule="auto"/>
      <w:ind w:left="720" w:hanging="720"/>
      <w:jc w:val="both"/>
      <w:outlineLvl w:val="4"/>
    </w:pPr>
    <w:rPr>
      <w:rFonts w:cs="David"/>
      <w:b/>
      <w:bCs/>
      <w:noProof/>
      <w:sz w:val="20"/>
      <w:u w:val="single"/>
    </w:rPr>
  </w:style>
  <w:style w:type="paragraph" w:styleId="Heading6">
    <w:name w:val="heading 6"/>
    <w:basedOn w:val="Normal"/>
    <w:next w:val="Normal"/>
    <w:qFormat/>
    <w:pPr>
      <w:keepNext/>
      <w:spacing w:line="360" w:lineRule="auto"/>
      <w:ind w:left="720" w:hanging="720"/>
      <w:jc w:val="both"/>
      <w:outlineLvl w:val="5"/>
    </w:pPr>
    <w:rPr>
      <w:rFonts w:cs="David"/>
      <w:b/>
      <w:bCs/>
      <w:noProof/>
      <w:sz w:val="20"/>
      <w:u w:val="single"/>
    </w:rPr>
  </w:style>
  <w:style w:type="paragraph" w:styleId="Heading7">
    <w:name w:val="heading 7"/>
    <w:basedOn w:val="Normal"/>
    <w:next w:val="Normal"/>
    <w:qFormat/>
    <w:pPr>
      <w:keepNext/>
      <w:spacing w:line="360" w:lineRule="auto"/>
      <w:ind w:left="720" w:hanging="720"/>
      <w:jc w:val="both"/>
      <w:outlineLvl w:val="6"/>
    </w:pPr>
    <w:rPr>
      <w:rFonts w:cs="David"/>
      <w:b/>
      <w:bCs/>
      <w:noProof/>
      <w:sz w:val="20"/>
      <w:u w:val="single"/>
    </w:rPr>
  </w:style>
  <w:style w:type="paragraph" w:styleId="Heading8">
    <w:name w:val="heading 8"/>
    <w:basedOn w:val="Normal"/>
    <w:next w:val="Normal"/>
    <w:qFormat/>
    <w:pPr>
      <w:keepNext/>
      <w:spacing w:line="360" w:lineRule="auto"/>
      <w:ind w:left="720" w:hanging="720"/>
      <w:jc w:val="both"/>
      <w:outlineLvl w:val="7"/>
    </w:pPr>
    <w:rPr>
      <w:rFonts w:cs="David"/>
      <w:b/>
      <w:bCs/>
      <w:noProof/>
      <w:sz w:val="2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ציטוט"/>
    <w:basedOn w:val="Normal"/>
    <w:qFormat/>
    <w:pPr>
      <w:overflowPunct w:val="0"/>
      <w:autoSpaceDE w:val="0"/>
      <w:autoSpaceDN w:val="0"/>
      <w:adjustRightInd w:val="0"/>
      <w:spacing w:after="220" w:line="270" w:lineRule="exact"/>
      <w:ind w:left="454" w:right="454"/>
      <w:jc w:val="both"/>
      <w:textAlignment w:val="baseline"/>
    </w:pPr>
    <w:rPr>
      <w:rFonts w:cs="FrankRuehl"/>
      <w:sz w:val="20"/>
    </w:rPr>
  </w:style>
  <w:style w:type="paragraph" w:styleId="Header">
    <w:name w:val="header"/>
    <w:basedOn w:val="Normal"/>
    <w:pPr>
      <w:tabs>
        <w:tab w:val="center" w:pos="4153"/>
        <w:tab w:val="right" w:pos="8306"/>
      </w:tabs>
      <w:overflowPunct w:val="0"/>
      <w:autoSpaceDE w:val="0"/>
      <w:autoSpaceDN w:val="0"/>
      <w:adjustRightInd w:val="0"/>
      <w:textAlignment w:val="baseline"/>
    </w:pPr>
    <w:rPr>
      <w:rFonts w:cs="FrankRuehl"/>
      <w:sz w:val="20"/>
    </w:rPr>
  </w:style>
  <w:style w:type="paragraph" w:styleId="Footer">
    <w:name w:val="footer"/>
    <w:basedOn w:val="Normal"/>
    <w:pPr>
      <w:tabs>
        <w:tab w:val="center" w:pos="4153"/>
        <w:tab w:val="right" w:pos="8306"/>
      </w:tabs>
      <w:overflowPunct w:val="0"/>
      <w:autoSpaceDE w:val="0"/>
      <w:autoSpaceDN w:val="0"/>
      <w:adjustRightInd w:val="0"/>
      <w:textAlignment w:val="baseline"/>
    </w:pPr>
    <w:rPr>
      <w:rFonts w:cs="FrankRuehl"/>
      <w:sz w:val="20"/>
    </w:rPr>
  </w:style>
  <w:style w:type="character" w:styleId="PageNumber">
    <w:name w:val="page number"/>
    <w:basedOn w:val="DefaultParagraphFont"/>
  </w:style>
  <w:style w:type="paragraph" w:customStyle="1" w:styleId="2">
    <w:name w:val="כותרת_רצה_עליונה2"/>
    <w:basedOn w:val="Header"/>
    <w:pPr>
      <w:tabs>
        <w:tab w:val="clear" w:pos="4153"/>
        <w:tab w:val="clear" w:pos="8306"/>
        <w:tab w:val="right" w:pos="6521"/>
        <w:tab w:val="center" w:pos="9498"/>
      </w:tabs>
      <w:spacing w:before="40"/>
      <w:jc w:val="right"/>
    </w:pPr>
    <w:rPr>
      <w:rFonts w:cs="Miriam"/>
      <w:szCs w:val="20"/>
    </w:rPr>
  </w:style>
  <w:style w:type="paragraph" w:customStyle="1" w:styleId="a0">
    <w:name w:val="כללי"/>
    <w:basedOn w:val="Normal"/>
    <w:pPr>
      <w:overflowPunct w:val="0"/>
      <w:autoSpaceDE w:val="0"/>
      <w:autoSpaceDN w:val="0"/>
      <w:adjustRightInd w:val="0"/>
      <w:spacing w:after="240" w:line="280" w:lineRule="exact"/>
      <w:ind w:firstLine="284"/>
      <w:jc w:val="both"/>
      <w:textAlignment w:val="baseline"/>
    </w:pPr>
    <w:rPr>
      <w:rFonts w:cs="FrankRuehl"/>
      <w:sz w:val="20"/>
    </w:rPr>
  </w:style>
  <w:style w:type="paragraph" w:customStyle="1" w:styleId="-1">
    <w:name w:val="נגד-1"/>
    <w:basedOn w:val="a0"/>
    <w:pPr>
      <w:spacing w:after="100" w:line="240" w:lineRule="exact"/>
      <w:ind w:firstLine="0"/>
    </w:pPr>
    <w:rPr>
      <w:sz w:val="22"/>
      <w:szCs w:val="28"/>
    </w:rPr>
  </w:style>
  <w:style w:type="paragraph" w:customStyle="1" w:styleId="-10">
    <w:name w:val="כותרת-1"/>
    <w:basedOn w:val="a0"/>
    <w:pPr>
      <w:spacing w:after="120"/>
      <w:ind w:firstLine="0"/>
      <w:jc w:val="center"/>
    </w:pPr>
  </w:style>
  <w:style w:type="paragraph" w:customStyle="1" w:styleId="-">
    <w:name w:val="פסק-דין"/>
    <w:basedOn w:val="a0"/>
    <w:pPr>
      <w:spacing w:after="0"/>
      <w:jc w:val="center"/>
    </w:pPr>
    <w:rPr>
      <w:rFonts w:ascii="Arial TUR" w:hAnsi="Arial TUR"/>
      <w:b/>
      <w:szCs w:val="28"/>
      <w:u w:val="single"/>
    </w:rPr>
  </w:style>
  <w:style w:type="paragraph" w:customStyle="1" w:styleId="1">
    <w:name w:val="כניסה1"/>
    <w:basedOn w:val="Normal"/>
    <w:pPr>
      <w:tabs>
        <w:tab w:val="left" w:pos="340"/>
        <w:tab w:val="left" w:pos="680"/>
      </w:tabs>
      <w:overflowPunct w:val="0"/>
      <w:autoSpaceDE w:val="0"/>
      <w:autoSpaceDN w:val="0"/>
      <w:adjustRightInd w:val="0"/>
      <w:spacing w:line="250" w:lineRule="exact"/>
      <w:ind w:left="680" w:hanging="680"/>
      <w:jc w:val="both"/>
      <w:textAlignment w:val="baseline"/>
    </w:pPr>
    <w:rPr>
      <w:rFonts w:cs="FrankRuehl"/>
      <w:sz w:val="18"/>
      <w:szCs w:val="22"/>
    </w:rPr>
  </w:style>
  <w:style w:type="paragraph" w:customStyle="1" w:styleId="a1">
    <w:name w:val="תקציר"/>
    <w:basedOn w:val="1"/>
    <w:pPr>
      <w:ind w:left="0" w:firstLine="284"/>
    </w:pPr>
  </w:style>
  <w:style w:type="paragraph" w:customStyle="1" w:styleId="a2">
    <w:name w:val="אזכורים"/>
    <w:basedOn w:val="a0"/>
    <w:pPr>
      <w:tabs>
        <w:tab w:val="left" w:pos="567"/>
      </w:tabs>
      <w:spacing w:after="40" w:line="270" w:lineRule="exact"/>
      <w:ind w:left="567" w:hanging="567"/>
    </w:pPr>
  </w:style>
  <w:style w:type="paragraph" w:customStyle="1" w:styleId="a3">
    <w:name w:val="שםשופט"/>
    <w:basedOn w:val="a0"/>
    <w:rPr>
      <w:rFonts w:ascii="Arial TUR" w:hAnsi="Arial TUR" w:cs="Miriam"/>
    </w:rPr>
  </w:style>
  <w:style w:type="paragraph" w:customStyle="1" w:styleId="a4">
    <w:name w:val="מספר הליך"/>
    <w:basedOn w:val="a0"/>
    <w:pPr>
      <w:jc w:val="right"/>
    </w:pPr>
    <w:rPr>
      <w:szCs w:val="28"/>
    </w:rPr>
  </w:style>
  <w:style w:type="paragraph" w:customStyle="1" w:styleId="a5">
    <w:name w:val="שמות"/>
    <w:basedOn w:val="Normal"/>
    <w:pPr>
      <w:suppressLineNumbers/>
      <w:spacing w:line="360" w:lineRule="auto"/>
      <w:jc w:val="both"/>
    </w:pPr>
    <w:rPr>
      <w:rFonts w:cs="David"/>
      <w:b/>
      <w:bCs/>
      <w:snapToGrid w:val="0"/>
      <w:sz w:val="22"/>
    </w:rPr>
  </w:style>
  <w:style w:type="paragraph" w:styleId="BodyTextIndent2">
    <w:name w:val="Body Text Indent 2"/>
    <w:basedOn w:val="Normal"/>
    <w:pPr>
      <w:spacing w:line="360" w:lineRule="auto"/>
      <w:ind w:left="720" w:hanging="720"/>
      <w:jc w:val="both"/>
    </w:pPr>
    <w:rPr>
      <w:rFonts w:cs="David"/>
      <w:noProof/>
      <w:sz w:val="20"/>
    </w:rPr>
  </w:style>
  <w:style w:type="paragraph" w:styleId="BodyTextIndent">
    <w:name w:val="Body Text Indent"/>
    <w:basedOn w:val="Normal"/>
    <w:pPr>
      <w:spacing w:line="360" w:lineRule="auto"/>
      <w:ind w:left="720" w:hanging="720"/>
      <w:jc w:val="both"/>
    </w:pPr>
    <w:rPr>
      <w:rFonts w:cs="David"/>
      <w:noProof/>
      <w:sz w:val="20"/>
    </w:rPr>
  </w:style>
  <w:style w:type="paragraph" w:styleId="BodyTextIndent3">
    <w:name w:val="Body Text Indent 3"/>
    <w:basedOn w:val="Normal"/>
    <w:pPr>
      <w:spacing w:line="360" w:lineRule="auto"/>
      <w:ind w:left="720" w:hanging="720"/>
      <w:jc w:val="both"/>
    </w:pPr>
    <w:rPr>
      <w:rFonts w:cs="David"/>
      <w:noProof/>
      <w:sz w:val="20"/>
    </w:rPr>
  </w:style>
  <w:style w:type="paragraph" w:styleId="BodyText">
    <w:name w:val="Body Text"/>
    <w:basedOn w:val="Normal"/>
    <w:pPr>
      <w:spacing w:line="360" w:lineRule="auto"/>
      <w:jc w:val="both"/>
    </w:pPr>
    <w:rPr>
      <w:rFonts w:cs="David"/>
      <w:noProof/>
      <w:sz w:val="20"/>
    </w:rPr>
  </w:style>
  <w:style w:type="paragraph" w:styleId="BodyText2">
    <w:name w:val="Body Text 2"/>
    <w:basedOn w:val="Normal"/>
    <w:pPr>
      <w:spacing w:line="360" w:lineRule="auto"/>
      <w:jc w:val="both"/>
    </w:pPr>
    <w:rPr>
      <w:rFonts w:cs="David"/>
      <w:noProof/>
      <w:sz w:val="20"/>
    </w:rPr>
  </w:style>
  <w:style w:type="paragraph" w:styleId="BodyText3">
    <w:name w:val="Body Text 3"/>
    <w:basedOn w:val="Normal"/>
    <w:pPr>
      <w:spacing w:line="360" w:lineRule="auto"/>
      <w:jc w:val="both"/>
    </w:pPr>
    <w:rPr>
      <w:rFonts w:cs="David"/>
      <w:noProof/>
      <w:sz w:val="20"/>
    </w:rPr>
  </w:style>
  <w:style w:type="paragraph" w:styleId="Title">
    <w:name w:val="Title"/>
    <w:basedOn w:val="Normal"/>
    <w:qFormat/>
    <w:pPr>
      <w:spacing w:line="360" w:lineRule="auto"/>
      <w:jc w:val="center"/>
    </w:pPr>
    <w:rPr>
      <w:rFonts w:cs="David"/>
      <w:b/>
      <w:bCs/>
      <w:noProof/>
      <w:sz w:val="28"/>
      <w:szCs w:val="28"/>
      <w:u w:val="single"/>
    </w:rPr>
  </w:style>
  <w:style w:type="paragraph" w:customStyle="1" w:styleId="0">
    <w:name w:val="כניסה0"/>
    <w:basedOn w:val="1"/>
    <w:pPr>
      <w:tabs>
        <w:tab w:val="clear" w:pos="680"/>
      </w:tabs>
      <w:ind w:left="340" w:hanging="340"/>
    </w:pPr>
  </w:style>
  <w:style w:type="paragraph" w:customStyle="1" w:styleId="a6">
    <w:name w:val="תאריך טיוטה"/>
    <w:basedOn w:val="Normal"/>
    <w:pPr>
      <w:overflowPunct w:val="0"/>
      <w:autoSpaceDE w:val="0"/>
      <w:autoSpaceDN w:val="0"/>
      <w:adjustRightInd w:val="0"/>
      <w:jc w:val="center"/>
      <w:textAlignment w:val="baseline"/>
    </w:pPr>
    <w:rPr>
      <w:rFonts w:cs="DavidFix"/>
      <w:b/>
      <w:bCs/>
      <w:i/>
      <w:iCs/>
      <w:sz w:val="28"/>
      <w:szCs w:val="28"/>
    </w:rPr>
  </w:style>
  <w:style w:type="character" w:styleId="Hyperlink">
    <w:name w:val="Hyperlink"/>
    <w:rsid w:val="00E275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5676920" TargetMode="External"/><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348.c" TargetMode="External"/><Relationship Id="rId17" Type="http://schemas.openxmlformats.org/officeDocument/2006/relationships/hyperlink" Target="http://www.nevo.co.il/law/70301" TargetMode="External"/><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www.nevo.co.il/law/70301/348.f" TargetMode="External"/><Relationship Id="rId20"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nevo.co.il/case/5676920" TargetMode="External"/><Relationship Id="rId19" Type="http://schemas.openxmlformats.org/officeDocument/2006/relationships/hyperlink" Target="http://www.nevo.co.il/law/70301/348.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348.c"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3354</Words>
  <Characters>19123</Characters>
  <Application>Microsoft Office Word</Application>
  <DocSecurity>0</DocSecurity>
  <Lines>159</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22433</CharactersWithSpaces>
  <SharedDoc>false</SharedDoc>
  <HLinks>
    <vt:vector size="90" baseType="variant">
      <vt:variant>
        <vt:i4>7995492</vt:i4>
      </vt:variant>
      <vt:variant>
        <vt:i4>42</vt:i4>
      </vt:variant>
      <vt:variant>
        <vt:i4>0</vt:i4>
      </vt:variant>
      <vt:variant>
        <vt:i4>5</vt:i4>
      </vt:variant>
      <vt:variant>
        <vt:lpwstr>http://www.nevo.co.il/law/70301</vt:lpwstr>
      </vt:variant>
      <vt:variant>
        <vt:lpwstr/>
      </vt:variant>
      <vt:variant>
        <vt:i4>5177438</vt:i4>
      </vt:variant>
      <vt:variant>
        <vt:i4>39</vt:i4>
      </vt:variant>
      <vt:variant>
        <vt:i4>0</vt:i4>
      </vt:variant>
      <vt:variant>
        <vt:i4>5</vt:i4>
      </vt:variant>
      <vt:variant>
        <vt:lpwstr>http://www.nevo.co.il/law/70301/348.c</vt:lpwstr>
      </vt:variant>
      <vt:variant>
        <vt:lpwstr/>
      </vt:variant>
      <vt:variant>
        <vt:i4>3866742</vt:i4>
      </vt:variant>
      <vt:variant>
        <vt:i4>36</vt:i4>
      </vt:variant>
      <vt:variant>
        <vt:i4>0</vt:i4>
      </vt:variant>
      <vt:variant>
        <vt:i4>5</vt:i4>
      </vt:variant>
      <vt:variant>
        <vt:lpwstr>http://www.nevo.co.il/case/5676920</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5177438</vt:i4>
      </vt:variant>
      <vt:variant>
        <vt:i4>30</vt:i4>
      </vt:variant>
      <vt:variant>
        <vt:i4>0</vt:i4>
      </vt:variant>
      <vt:variant>
        <vt:i4>5</vt:i4>
      </vt:variant>
      <vt:variant>
        <vt:lpwstr>http://www.nevo.co.il/law/70301/348.f</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7995492</vt:i4>
      </vt:variant>
      <vt:variant>
        <vt:i4>15</vt:i4>
      </vt:variant>
      <vt:variant>
        <vt:i4>0</vt:i4>
      </vt:variant>
      <vt:variant>
        <vt:i4>5</vt:i4>
      </vt:variant>
      <vt:variant>
        <vt:lpwstr>http://www.nevo.co.il/law/70301</vt:lpwstr>
      </vt:variant>
      <vt:variant>
        <vt:lpwstr/>
      </vt:variant>
      <vt:variant>
        <vt:i4>3866742</vt:i4>
      </vt:variant>
      <vt:variant>
        <vt:i4>12</vt:i4>
      </vt:variant>
      <vt:variant>
        <vt:i4>0</vt:i4>
      </vt:variant>
      <vt:variant>
        <vt:i4>5</vt:i4>
      </vt:variant>
      <vt:variant>
        <vt:lpwstr>http://www.nevo.co.il/case/5676920</vt:lpwstr>
      </vt:variant>
      <vt:variant>
        <vt:lpwstr/>
      </vt:variant>
      <vt:variant>
        <vt:i4>7995492</vt:i4>
      </vt:variant>
      <vt:variant>
        <vt:i4>9</vt:i4>
      </vt:variant>
      <vt:variant>
        <vt:i4>0</vt:i4>
      </vt:variant>
      <vt:variant>
        <vt:i4>5</vt:i4>
      </vt:variant>
      <vt:variant>
        <vt:lpwstr>http://www.nevo.co.il/law/70301</vt:lpwstr>
      </vt:variant>
      <vt:variant>
        <vt:lpwstr/>
      </vt:variant>
      <vt:variant>
        <vt:i4>7995492</vt:i4>
      </vt:variant>
      <vt:variant>
        <vt:i4>6</vt:i4>
      </vt:variant>
      <vt:variant>
        <vt:i4>0</vt:i4>
      </vt:variant>
      <vt:variant>
        <vt:i4>5</vt:i4>
      </vt:variant>
      <vt:variant>
        <vt:lpwstr>http://www.nevo.co.il/law/70301</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2003-03-19T12:17:00Z</cp:lastPrinted>
  <dcterms:created xsi:type="dcterms:W3CDTF">2022-05-24T10:12:00Z</dcterms:created>
  <dcterms:modified xsi:type="dcterms:W3CDTF">2022-05-24T10:12:00Z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DNUMPAGES">
    <vt:lpwstr>18</vt:lpwstr>
  </property>
  <property fmtid="{D5CDD505-2E9C-101B-9397-08002B2CF9AE}" pid="3" name="ISABSTRACT">
    <vt:lpwstr>Y</vt:lpwstr>
  </property>
  <property fmtid="{D5CDD505-2E9C-101B-9397-08002B2CF9AE}" pid="4" name="PADIMAIL">
    <vt:lpwstr>YES</vt:lpwstr>
  </property>
  <property fmtid="{D5CDD505-2E9C-101B-9397-08002B2CF9AE}" pid="5" name="PROCESS">
    <vt:lpwstr>תפ</vt:lpwstr>
  </property>
  <property fmtid="{D5CDD505-2E9C-101B-9397-08002B2CF9AE}" pid="6" name="PROCNUM">
    <vt:lpwstr>3027</vt:lpwstr>
  </property>
  <property fmtid="{D5CDD505-2E9C-101B-9397-08002B2CF9AE}" pid="7" name="PROCYEAR">
    <vt:lpwstr>01</vt:lpwstr>
  </property>
  <property fmtid="{D5CDD505-2E9C-101B-9397-08002B2CF9AE}" pid="8" name="APPELLANT">
    <vt:lpwstr>מדינת ישראל</vt:lpwstr>
  </property>
  <property fmtid="{D5CDD505-2E9C-101B-9397-08002B2CF9AE}" pid="9" name="APPELLEE">
    <vt:lpwstr>שלום מחפוד</vt:lpwstr>
  </property>
  <property fmtid="{D5CDD505-2E9C-101B-9397-08002B2CF9AE}" pid="10" name="CITY">
    <vt:lpwstr>רח'</vt:lpwstr>
  </property>
  <property fmtid="{D5CDD505-2E9C-101B-9397-08002B2CF9AE}" pid="11" name="DATE">
    <vt:lpwstr>20020714</vt:lpwstr>
  </property>
  <property fmtid="{D5CDD505-2E9C-101B-9397-08002B2CF9AE}" pid="12" name="JUDGE">
    <vt:lpwstr>י' לוי</vt:lpwstr>
  </property>
  <property fmtid="{D5CDD505-2E9C-101B-9397-08002B2CF9AE}" pid="13" name="LAWYER">
    <vt:lpwstr>שרון תשבי, לימור פרץ;מנחם זרסקי</vt:lpwstr>
  </property>
  <property fmtid="{D5CDD505-2E9C-101B-9397-08002B2CF9AE}" pid="14" name="PSAKDIN">
    <vt:lpwstr>הכרעת-דין</vt:lpwstr>
  </property>
  <property fmtid="{D5CDD505-2E9C-101B-9397-08002B2CF9AE}" pid="15" name="TYPE">
    <vt:lpwstr>3</vt:lpwstr>
  </property>
  <property fmtid="{D5CDD505-2E9C-101B-9397-08002B2CF9AE}" pid="16" name="VOLUME">
    <vt:lpwstr>תשסב</vt:lpwstr>
  </property>
  <property fmtid="{D5CDD505-2E9C-101B-9397-08002B2CF9AE}" pid="17" name="PART">
    <vt:lpwstr>3</vt:lpwstr>
  </property>
  <property fmtid="{D5CDD505-2E9C-101B-9397-08002B2CF9AE}" pid="18" name="PAGE">
    <vt:lpwstr>1</vt:lpwstr>
  </property>
  <property fmtid="{D5CDD505-2E9C-101B-9397-08002B2CF9AE}" pid="19" name="NOSE1">
    <vt:lpwstr/>
  </property>
  <property fmtid="{D5CDD505-2E9C-101B-9397-08002B2CF9AE}" pid="20" name="NOSE2">
    <vt:lpwstr/>
  </property>
  <property fmtid="{D5CDD505-2E9C-101B-9397-08002B2CF9AE}" pid="21" name="NOSE3">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CASESLISTTMP1">
    <vt:lpwstr>5676920:2</vt:lpwstr>
  </property>
  <property fmtid="{D5CDD505-2E9C-101B-9397-08002B2CF9AE}" pid="35" name="LAWLISTTMP1">
    <vt:lpwstr>70301/348.c:3;348.f</vt:lpwstr>
  </property>
</Properties>
</file>