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806CD" w14:textId="77777777" w:rsidR="007463DF" w:rsidRDefault="007463DF">
      <w:pPr>
        <w:spacing w:after="80" w:line="320" w:lineRule="exact"/>
        <w:ind w:firstLine="283"/>
        <w:rPr>
          <w:rFonts w:cs="David"/>
          <w:bCs w:val="0"/>
          <w:sz w:val="22"/>
          <w:szCs w:val="24"/>
          <w:rtl/>
          <w:lang w:eastAsia="en-US"/>
        </w:rPr>
      </w:pPr>
      <w:bookmarkStart w:id="0" w:name="LastJudge"/>
      <w:r>
        <w:rPr>
          <w:rFonts w:cs="David"/>
          <w:bCs w:val="0"/>
          <w:sz w:val="22"/>
          <w:szCs w:val="24"/>
          <w:lang w:eastAsia="en-US"/>
        </w:rPr>
        <w:t xml:space="preserve">    </w:t>
      </w:r>
    </w:p>
    <w:p w14:paraId="7849AC87" w14:textId="77777777" w:rsidR="007463DF" w:rsidRDefault="007463DF">
      <w:pPr>
        <w:pStyle w:val="Heading8"/>
        <w:rPr>
          <w:bCs w:val="0"/>
          <w:rtl/>
        </w:rPr>
      </w:pPr>
      <w:r>
        <w:rPr>
          <w:rtl/>
        </w:rPr>
        <w:t>בתי המשפט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394"/>
        <w:gridCol w:w="992"/>
        <w:gridCol w:w="2235"/>
      </w:tblGrid>
      <w:tr w:rsidR="000F6B81" w14:paraId="291F8760" w14:textId="77777777">
        <w:trPr>
          <w:cantSplit/>
          <w:trHeight w:val="195"/>
        </w:trPr>
        <w:tc>
          <w:tcPr>
            <w:tcW w:w="5302" w:type="dxa"/>
            <w:gridSpan w:val="2"/>
            <w:vMerge w:val="restart"/>
            <w:tcBorders>
              <w:top w:val="single" w:sz="4" w:space="0" w:color="auto"/>
              <w:left w:val="single" w:sz="4" w:space="0" w:color="auto"/>
              <w:bottom w:val="single" w:sz="4" w:space="0" w:color="auto"/>
              <w:right w:val="single" w:sz="4" w:space="0" w:color="auto"/>
            </w:tcBorders>
          </w:tcPr>
          <w:p w14:paraId="3D6CB0E0" w14:textId="77777777" w:rsidR="000F6B81" w:rsidRDefault="000F6B81">
            <w:pPr>
              <w:spacing w:after="80" w:line="320" w:lineRule="exact"/>
              <w:ind w:firstLine="283"/>
              <w:rPr>
                <w:rFonts w:cs="David"/>
                <w:b/>
                <w:sz w:val="22"/>
                <w:szCs w:val="24"/>
                <w:lang w:eastAsia="en-US"/>
              </w:rPr>
            </w:pPr>
            <w:r>
              <w:rPr>
                <w:rFonts w:cs="David"/>
                <w:b/>
                <w:sz w:val="22"/>
                <w:szCs w:val="24"/>
                <w:rtl/>
                <w:lang w:eastAsia="en-US"/>
              </w:rPr>
              <w:t>בית משפט השלום פתח-תקוה</w:t>
            </w:r>
          </w:p>
        </w:tc>
        <w:tc>
          <w:tcPr>
            <w:tcW w:w="3227" w:type="dxa"/>
            <w:gridSpan w:val="2"/>
            <w:tcBorders>
              <w:top w:val="single" w:sz="4" w:space="0" w:color="auto"/>
              <w:left w:val="single" w:sz="4" w:space="0" w:color="auto"/>
              <w:bottom w:val="single" w:sz="4" w:space="0" w:color="auto"/>
              <w:right w:val="single" w:sz="4" w:space="0" w:color="auto"/>
            </w:tcBorders>
          </w:tcPr>
          <w:p w14:paraId="0DCA68B4" w14:textId="77777777" w:rsidR="000F6B81" w:rsidRDefault="000F6B81">
            <w:pPr>
              <w:spacing w:after="80" w:line="320" w:lineRule="exact"/>
              <w:ind w:firstLine="283"/>
              <w:rPr>
                <w:rFonts w:cs="David"/>
                <w:sz w:val="22"/>
                <w:szCs w:val="24"/>
                <w:lang w:eastAsia="en-US"/>
              </w:rPr>
            </w:pPr>
            <w:r>
              <w:rPr>
                <w:rFonts w:cs="David"/>
                <w:sz w:val="22"/>
                <w:szCs w:val="24"/>
                <w:rtl/>
                <w:lang w:eastAsia="en-US"/>
              </w:rPr>
              <w:t>פ  002015/02</w:t>
            </w:r>
          </w:p>
        </w:tc>
      </w:tr>
      <w:tr w:rsidR="000F6B81" w14:paraId="20B35606"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9993A61" w14:textId="77777777" w:rsidR="000F6B81" w:rsidRDefault="000F6B81">
            <w:pPr>
              <w:spacing w:after="80" w:line="320" w:lineRule="exact"/>
              <w:ind w:firstLine="283"/>
              <w:rPr>
                <w:rFonts w:cs="David"/>
                <w:b/>
                <w:sz w:val="22"/>
                <w:szCs w:val="24"/>
                <w:lang w:eastAsia="en-US"/>
              </w:rPr>
            </w:pPr>
          </w:p>
        </w:tc>
        <w:tc>
          <w:tcPr>
            <w:tcW w:w="3227" w:type="dxa"/>
            <w:gridSpan w:val="2"/>
            <w:tcBorders>
              <w:top w:val="single" w:sz="4" w:space="0" w:color="auto"/>
              <w:left w:val="single" w:sz="4" w:space="0" w:color="auto"/>
              <w:bottom w:val="single" w:sz="4" w:space="0" w:color="auto"/>
              <w:right w:val="single" w:sz="4" w:space="0" w:color="auto"/>
            </w:tcBorders>
          </w:tcPr>
          <w:p w14:paraId="4661602C" w14:textId="77777777" w:rsidR="000F6B81" w:rsidRDefault="000F6B81">
            <w:pPr>
              <w:spacing w:after="80" w:line="320" w:lineRule="exact"/>
              <w:ind w:firstLine="283"/>
              <w:rPr>
                <w:rFonts w:cs="David"/>
                <w:sz w:val="22"/>
                <w:szCs w:val="24"/>
                <w:lang w:eastAsia="en-US"/>
              </w:rPr>
            </w:pPr>
          </w:p>
        </w:tc>
      </w:tr>
      <w:tr w:rsidR="000F6B81" w14:paraId="5A3E4C1B"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1AF7D616" w14:textId="77777777" w:rsidR="000F6B81" w:rsidRDefault="000F6B81">
            <w:pPr>
              <w:spacing w:after="80" w:line="320" w:lineRule="exact"/>
              <w:ind w:firstLine="283"/>
              <w:rPr>
                <w:rFonts w:cs="David"/>
                <w:b/>
                <w:sz w:val="22"/>
                <w:szCs w:val="24"/>
                <w:lang w:eastAsia="en-US"/>
              </w:rPr>
            </w:pPr>
            <w:r>
              <w:rPr>
                <w:rFonts w:cs="David"/>
                <w:b/>
                <w:sz w:val="22"/>
                <w:szCs w:val="24"/>
                <w:rtl/>
                <w:lang w:eastAsia="en-US"/>
              </w:rPr>
              <w:t>בפני:</w:t>
            </w:r>
          </w:p>
        </w:tc>
        <w:tc>
          <w:tcPr>
            <w:tcW w:w="4394" w:type="dxa"/>
            <w:tcBorders>
              <w:top w:val="single" w:sz="4" w:space="0" w:color="auto"/>
              <w:left w:val="single" w:sz="4" w:space="0" w:color="auto"/>
              <w:bottom w:val="single" w:sz="4" w:space="0" w:color="auto"/>
              <w:right w:val="single" w:sz="4" w:space="0" w:color="auto"/>
            </w:tcBorders>
          </w:tcPr>
          <w:p w14:paraId="30DCBC6C" w14:textId="77777777" w:rsidR="000F6B81" w:rsidRDefault="000F6B81">
            <w:pPr>
              <w:spacing w:after="80" w:line="320" w:lineRule="exact"/>
              <w:ind w:firstLine="283"/>
              <w:rPr>
                <w:rFonts w:cs="David"/>
                <w:sz w:val="22"/>
                <w:szCs w:val="24"/>
              </w:rPr>
            </w:pPr>
            <w:r>
              <w:rPr>
                <w:rFonts w:cs="David"/>
                <w:sz w:val="22"/>
                <w:szCs w:val="24"/>
                <w:rtl/>
              </w:rPr>
              <w:t>כב' השופטת ליה לב און</w:t>
            </w:r>
          </w:p>
        </w:tc>
        <w:tc>
          <w:tcPr>
            <w:tcW w:w="99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F353814" w14:textId="77777777" w:rsidR="000F6B81" w:rsidRDefault="000F6B81">
            <w:pPr>
              <w:spacing w:after="80" w:line="320" w:lineRule="exact"/>
              <w:ind w:firstLine="283"/>
              <w:rPr>
                <w:rFonts w:cs="David"/>
                <w:b/>
                <w:sz w:val="22"/>
                <w:szCs w:val="24"/>
                <w:lang w:eastAsia="en-US"/>
              </w:rPr>
            </w:pPr>
            <w:r>
              <w:rPr>
                <w:rFonts w:cs="David"/>
                <w:b/>
                <w:sz w:val="22"/>
                <w:szCs w:val="24"/>
                <w:rtl/>
                <w:lang w:eastAsia="en-US"/>
              </w:rPr>
              <w:t>תאריך:</w:t>
            </w:r>
          </w:p>
        </w:tc>
        <w:tc>
          <w:tcPr>
            <w:tcW w:w="2235" w:type="dxa"/>
            <w:tcBorders>
              <w:top w:val="single" w:sz="4" w:space="0" w:color="auto"/>
              <w:left w:val="single" w:sz="4" w:space="0" w:color="auto"/>
              <w:bottom w:val="single" w:sz="4" w:space="0" w:color="auto"/>
              <w:right w:val="single" w:sz="4" w:space="0" w:color="auto"/>
            </w:tcBorders>
          </w:tcPr>
          <w:p w14:paraId="57B51D9F" w14:textId="77777777" w:rsidR="000F6B81" w:rsidRDefault="000F6B81">
            <w:pPr>
              <w:spacing w:after="80" w:line="320" w:lineRule="exact"/>
              <w:ind w:firstLine="283"/>
              <w:rPr>
                <w:rFonts w:cs="David"/>
                <w:sz w:val="22"/>
                <w:szCs w:val="24"/>
                <w:lang w:eastAsia="en-US"/>
              </w:rPr>
            </w:pPr>
            <w:r>
              <w:rPr>
                <w:rFonts w:cs="David"/>
                <w:sz w:val="22"/>
                <w:szCs w:val="24"/>
                <w:rtl/>
                <w:lang w:eastAsia="en-US"/>
              </w:rPr>
              <w:t>10/12/2003</w:t>
            </w:r>
          </w:p>
        </w:tc>
      </w:tr>
    </w:tbl>
    <w:p w14:paraId="22FA7E81" w14:textId="77777777" w:rsidR="007463DF" w:rsidRDefault="007463DF">
      <w:pPr>
        <w:pStyle w:val="Header"/>
        <w:spacing w:after="80" w:line="320" w:lineRule="exact"/>
        <w:ind w:firstLine="283"/>
        <w:rPr>
          <w:bCs w:val="0"/>
          <w:sz w:val="22"/>
          <w:rtl/>
          <w:lang w:eastAsia="en-US"/>
        </w:rPr>
      </w:pPr>
    </w:p>
    <w:p w14:paraId="7ED3D468" w14:textId="77777777" w:rsidR="007463DF" w:rsidRDefault="007463DF">
      <w:pPr>
        <w:spacing w:after="80" w:line="320" w:lineRule="exact"/>
        <w:ind w:firstLine="283"/>
        <w:rPr>
          <w:rFonts w:cs="David"/>
          <w:b/>
          <w:sz w:val="22"/>
          <w:szCs w:val="24"/>
          <w:rtl/>
          <w:lang w:eastAsia="en-US"/>
        </w:rPr>
      </w:pPr>
    </w:p>
    <w:tbl>
      <w:tblPr>
        <w:bidiVisual/>
        <w:tblW w:w="8647" w:type="dxa"/>
        <w:tblCellMar>
          <w:left w:w="107" w:type="dxa"/>
          <w:right w:w="107" w:type="dxa"/>
        </w:tblCellMar>
        <w:tblLook w:val="0000" w:firstRow="0" w:lastRow="0" w:firstColumn="0" w:lastColumn="0" w:noHBand="0" w:noVBand="0"/>
      </w:tblPr>
      <w:tblGrid>
        <w:gridCol w:w="1332"/>
        <w:gridCol w:w="86"/>
        <w:gridCol w:w="1757"/>
        <w:gridCol w:w="3063"/>
        <w:gridCol w:w="2324"/>
        <w:gridCol w:w="85"/>
      </w:tblGrid>
      <w:tr w:rsidR="000F6B81" w14:paraId="08CF5382" w14:textId="77777777">
        <w:tc>
          <w:tcPr>
            <w:tcW w:w="1418" w:type="dxa"/>
            <w:gridSpan w:val="2"/>
          </w:tcPr>
          <w:p w14:paraId="1F8886CE" w14:textId="77777777" w:rsidR="000F6B81" w:rsidRDefault="000F6B81">
            <w:pPr>
              <w:spacing w:after="80" w:line="320" w:lineRule="exact"/>
              <w:ind w:firstLine="283"/>
              <w:rPr>
                <w:rFonts w:cs="David"/>
                <w:bCs w:val="0"/>
                <w:sz w:val="22"/>
                <w:szCs w:val="24"/>
                <w:lang w:eastAsia="en-US"/>
              </w:rPr>
            </w:pPr>
            <w:bookmarkStart w:id="1" w:name="FirstAppellant"/>
            <w:r>
              <w:rPr>
                <w:rFonts w:cs="David"/>
                <w:bCs w:val="0"/>
                <w:sz w:val="22"/>
                <w:szCs w:val="24"/>
                <w:rtl/>
                <w:lang w:eastAsia="en-US"/>
              </w:rPr>
              <w:t>בעניין:</w:t>
            </w:r>
          </w:p>
        </w:tc>
        <w:tc>
          <w:tcPr>
            <w:tcW w:w="4820" w:type="dxa"/>
            <w:gridSpan w:val="2"/>
          </w:tcPr>
          <w:p w14:paraId="53A84B66" w14:textId="77777777" w:rsidR="000F6B81" w:rsidRDefault="000F6B81">
            <w:pPr>
              <w:spacing w:after="80" w:line="320" w:lineRule="exact"/>
              <w:ind w:firstLine="283"/>
              <w:rPr>
                <w:rFonts w:cs="David"/>
                <w:bCs w:val="0"/>
                <w:sz w:val="22"/>
                <w:szCs w:val="24"/>
                <w:lang w:eastAsia="en-US"/>
              </w:rPr>
            </w:pPr>
            <w:r>
              <w:rPr>
                <w:rFonts w:cs="David"/>
                <w:bCs w:val="0"/>
                <w:sz w:val="22"/>
                <w:szCs w:val="24"/>
                <w:rtl/>
                <w:lang w:eastAsia="en-US"/>
              </w:rPr>
              <w:t>מדינת ישראל</w:t>
            </w:r>
          </w:p>
        </w:tc>
        <w:tc>
          <w:tcPr>
            <w:tcW w:w="2409" w:type="dxa"/>
            <w:gridSpan w:val="2"/>
          </w:tcPr>
          <w:p w14:paraId="7A617B97" w14:textId="77777777" w:rsidR="000F6B81" w:rsidRDefault="000F6B81">
            <w:pPr>
              <w:spacing w:after="80" w:line="320" w:lineRule="exact"/>
              <w:ind w:firstLine="283"/>
              <w:rPr>
                <w:rFonts w:cs="David"/>
                <w:bCs w:val="0"/>
                <w:sz w:val="22"/>
                <w:szCs w:val="24"/>
                <w:lang w:eastAsia="en-US"/>
              </w:rPr>
            </w:pPr>
          </w:p>
        </w:tc>
      </w:tr>
      <w:tr w:rsidR="000F6B81" w14:paraId="0646F3F6" w14:textId="77777777">
        <w:tc>
          <w:tcPr>
            <w:tcW w:w="1418" w:type="dxa"/>
            <w:gridSpan w:val="2"/>
          </w:tcPr>
          <w:p w14:paraId="14C35B40" w14:textId="77777777" w:rsidR="000F6B81" w:rsidRDefault="000F6B81">
            <w:pPr>
              <w:pStyle w:val="Heading5"/>
              <w:keepNext w:val="0"/>
              <w:spacing w:after="80" w:line="320" w:lineRule="exact"/>
              <w:ind w:firstLine="283"/>
              <w:rPr>
                <w:rFonts w:ascii="Times New Roman" w:hAnsi="Times New Roman" w:cs="David"/>
                <w:sz w:val="22"/>
                <w:szCs w:val="24"/>
                <w:u w:val="none"/>
              </w:rPr>
            </w:pPr>
            <w:bookmarkStart w:id="2" w:name="בא_כוח_א" w:colFirst="1" w:colLast="1"/>
            <w:bookmarkStart w:id="3" w:name="FirstLawyer"/>
            <w:bookmarkEnd w:id="1"/>
          </w:p>
        </w:tc>
        <w:tc>
          <w:tcPr>
            <w:tcW w:w="1757" w:type="dxa"/>
          </w:tcPr>
          <w:p w14:paraId="2590627F" w14:textId="77777777" w:rsidR="000F6B81" w:rsidRDefault="000F6B81">
            <w:pPr>
              <w:spacing w:after="80" w:line="320" w:lineRule="exact"/>
              <w:ind w:firstLine="283"/>
              <w:rPr>
                <w:rFonts w:cs="David"/>
                <w:bCs w:val="0"/>
                <w:sz w:val="22"/>
                <w:szCs w:val="24"/>
                <w:lang w:eastAsia="en-US"/>
              </w:rPr>
            </w:pPr>
            <w:r>
              <w:rPr>
                <w:rFonts w:cs="David"/>
                <w:bCs w:val="0"/>
                <w:sz w:val="22"/>
                <w:szCs w:val="24"/>
                <w:rtl/>
                <w:lang w:eastAsia="en-US"/>
              </w:rPr>
              <w:t>ע"י ב"כ עוה"ד</w:t>
            </w:r>
          </w:p>
        </w:tc>
        <w:tc>
          <w:tcPr>
            <w:tcW w:w="3063" w:type="dxa"/>
          </w:tcPr>
          <w:p w14:paraId="2F1F571D" w14:textId="77777777" w:rsidR="000F6B81" w:rsidRDefault="000F6B81">
            <w:pPr>
              <w:spacing w:after="80" w:line="320" w:lineRule="exact"/>
              <w:ind w:firstLine="283"/>
              <w:rPr>
                <w:rFonts w:cs="David"/>
                <w:bCs w:val="0"/>
                <w:sz w:val="22"/>
                <w:szCs w:val="24"/>
                <w:lang w:eastAsia="en-US"/>
              </w:rPr>
            </w:pPr>
            <w:r>
              <w:rPr>
                <w:rFonts w:cs="David"/>
                <w:bCs w:val="0"/>
                <w:sz w:val="22"/>
                <w:szCs w:val="24"/>
                <w:rtl/>
                <w:lang w:eastAsia="en-US"/>
              </w:rPr>
              <w:t xml:space="preserve">דניאלי </w:t>
            </w:r>
          </w:p>
        </w:tc>
        <w:tc>
          <w:tcPr>
            <w:tcW w:w="2409" w:type="dxa"/>
            <w:gridSpan w:val="2"/>
          </w:tcPr>
          <w:p w14:paraId="605DB71E" w14:textId="77777777" w:rsidR="000F6B81" w:rsidRDefault="000F6B81">
            <w:pPr>
              <w:pStyle w:val="Heading6"/>
              <w:keepNext w:val="0"/>
              <w:spacing w:after="80" w:line="320" w:lineRule="exact"/>
              <w:ind w:firstLine="283"/>
              <w:rPr>
                <w:rFonts w:ascii="Times New Roman" w:hAnsi="Times New Roman" w:cs="David"/>
                <w:sz w:val="22"/>
                <w:szCs w:val="24"/>
                <w:u w:val="none"/>
              </w:rPr>
            </w:pPr>
            <w:r>
              <w:rPr>
                <w:rFonts w:ascii="Times New Roman" w:hAnsi="Times New Roman" w:cs="David" w:hint="cs"/>
                <w:sz w:val="22"/>
                <w:szCs w:val="24"/>
                <w:u w:val="none"/>
                <w:rtl/>
              </w:rPr>
              <w:t>המאשימה</w:t>
            </w:r>
          </w:p>
        </w:tc>
      </w:tr>
      <w:bookmarkEnd w:id="2"/>
      <w:bookmarkEnd w:id="3"/>
      <w:tr w:rsidR="000F6B81" w14:paraId="6FA4D79C" w14:textId="77777777">
        <w:tc>
          <w:tcPr>
            <w:tcW w:w="1418" w:type="dxa"/>
            <w:gridSpan w:val="2"/>
          </w:tcPr>
          <w:p w14:paraId="6B09D3B8" w14:textId="77777777" w:rsidR="000F6B81" w:rsidRDefault="000F6B81">
            <w:pPr>
              <w:spacing w:after="80" w:line="320" w:lineRule="exact"/>
              <w:ind w:firstLine="283"/>
              <w:rPr>
                <w:rFonts w:cs="David"/>
                <w:bCs w:val="0"/>
                <w:sz w:val="22"/>
                <w:szCs w:val="24"/>
                <w:lang w:eastAsia="en-US"/>
              </w:rPr>
            </w:pPr>
          </w:p>
        </w:tc>
        <w:tc>
          <w:tcPr>
            <w:tcW w:w="4820" w:type="dxa"/>
            <w:gridSpan w:val="2"/>
          </w:tcPr>
          <w:p w14:paraId="730C3240" w14:textId="77777777" w:rsidR="000F6B81" w:rsidRDefault="000F6B81">
            <w:pPr>
              <w:spacing w:after="80" w:line="320" w:lineRule="exact"/>
              <w:ind w:firstLine="283"/>
              <w:rPr>
                <w:rFonts w:cs="David"/>
                <w:sz w:val="22"/>
                <w:szCs w:val="24"/>
                <w:lang w:eastAsia="en-US"/>
              </w:rPr>
            </w:pPr>
            <w:r>
              <w:rPr>
                <w:rFonts w:cs="David"/>
                <w:sz w:val="22"/>
                <w:szCs w:val="24"/>
                <w:rtl/>
                <w:lang w:eastAsia="en-US"/>
              </w:rPr>
              <w:t>נגד</w:t>
            </w:r>
          </w:p>
        </w:tc>
        <w:tc>
          <w:tcPr>
            <w:tcW w:w="2409" w:type="dxa"/>
            <w:gridSpan w:val="2"/>
          </w:tcPr>
          <w:p w14:paraId="35F0BD8F" w14:textId="77777777" w:rsidR="000F6B81" w:rsidRDefault="000F6B81">
            <w:pPr>
              <w:spacing w:after="80" w:line="320" w:lineRule="exact"/>
              <w:ind w:firstLine="283"/>
              <w:rPr>
                <w:rFonts w:cs="David"/>
                <w:bCs w:val="0"/>
                <w:sz w:val="22"/>
                <w:szCs w:val="24"/>
                <w:lang w:eastAsia="en-US"/>
              </w:rPr>
            </w:pPr>
          </w:p>
        </w:tc>
      </w:tr>
      <w:tr w:rsidR="000F6B81" w14:paraId="3A905169" w14:textId="77777777">
        <w:tc>
          <w:tcPr>
            <w:tcW w:w="1418" w:type="dxa"/>
            <w:gridSpan w:val="2"/>
          </w:tcPr>
          <w:p w14:paraId="21F07283" w14:textId="77777777" w:rsidR="000F6B81" w:rsidRDefault="000F6B81">
            <w:pPr>
              <w:spacing w:after="80" w:line="320" w:lineRule="exact"/>
              <w:ind w:firstLine="283"/>
              <w:rPr>
                <w:rFonts w:cs="David"/>
                <w:bCs w:val="0"/>
                <w:sz w:val="22"/>
                <w:szCs w:val="24"/>
                <w:lang w:eastAsia="en-US"/>
              </w:rPr>
            </w:pPr>
            <w:bookmarkStart w:id="4" w:name="שם_ב" w:colFirst="0" w:colLast="0"/>
          </w:p>
        </w:tc>
        <w:tc>
          <w:tcPr>
            <w:tcW w:w="4820" w:type="dxa"/>
            <w:gridSpan w:val="2"/>
          </w:tcPr>
          <w:p w14:paraId="2065C25D" w14:textId="77777777" w:rsidR="000F6B81" w:rsidRDefault="000F6B81">
            <w:pPr>
              <w:spacing w:after="80" w:line="320" w:lineRule="exact"/>
              <w:ind w:firstLine="283"/>
              <w:rPr>
                <w:rFonts w:cs="David"/>
                <w:bCs w:val="0"/>
                <w:sz w:val="22"/>
                <w:szCs w:val="24"/>
                <w:lang w:eastAsia="en-US"/>
              </w:rPr>
            </w:pPr>
            <w:r>
              <w:rPr>
                <w:rFonts w:cs="David"/>
                <w:bCs w:val="0"/>
                <w:sz w:val="22"/>
                <w:szCs w:val="24"/>
                <w:rtl/>
                <w:lang w:eastAsia="en-US"/>
              </w:rPr>
              <w:t>מוסזון חנן</w:t>
            </w:r>
          </w:p>
        </w:tc>
        <w:tc>
          <w:tcPr>
            <w:tcW w:w="2409" w:type="dxa"/>
            <w:gridSpan w:val="2"/>
          </w:tcPr>
          <w:p w14:paraId="7ADE3B27" w14:textId="77777777" w:rsidR="000F6B81" w:rsidRDefault="000F6B81">
            <w:pPr>
              <w:spacing w:after="80" w:line="320" w:lineRule="exact"/>
              <w:ind w:firstLine="283"/>
              <w:rPr>
                <w:rFonts w:cs="David"/>
                <w:bCs w:val="0"/>
                <w:sz w:val="22"/>
                <w:szCs w:val="24"/>
                <w:lang w:eastAsia="en-US"/>
              </w:rPr>
            </w:pPr>
          </w:p>
        </w:tc>
      </w:tr>
      <w:tr w:rsidR="000F6B81" w14:paraId="1711A8CA" w14:textId="77777777">
        <w:tc>
          <w:tcPr>
            <w:tcW w:w="1418" w:type="dxa"/>
            <w:gridSpan w:val="2"/>
          </w:tcPr>
          <w:p w14:paraId="4D9007EE" w14:textId="77777777" w:rsidR="000F6B81" w:rsidRDefault="000F6B81">
            <w:pPr>
              <w:spacing w:after="80" w:line="320" w:lineRule="exact"/>
              <w:ind w:firstLine="283"/>
              <w:rPr>
                <w:rFonts w:cs="David"/>
                <w:bCs w:val="0"/>
                <w:sz w:val="22"/>
                <w:szCs w:val="24"/>
                <w:lang w:eastAsia="en-US"/>
              </w:rPr>
            </w:pPr>
            <w:bookmarkStart w:id="5" w:name="בא_כוח_ב" w:colFirst="1" w:colLast="1"/>
            <w:bookmarkEnd w:id="4"/>
          </w:p>
        </w:tc>
        <w:tc>
          <w:tcPr>
            <w:tcW w:w="1757" w:type="dxa"/>
          </w:tcPr>
          <w:p w14:paraId="298D06AF" w14:textId="77777777" w:rsidR="000F6B81" w:rsidRDefault="000F6B81">
            <w:pPr>
              <w:spacing w:after="80" w:line="320" w:lineRule="exact"/>
              <w:ind w:firstLine="283"/>
              <w:rPr>
                <w:rFonts w:cs="David"/>
                <w:bCs w:val="0"/>
                <w:sz w:val="22"/>
                <w:szCs w:val="24"/>
                <w:lang w:eastAsia="en-US"/>
              </w:rPr>
            </w:pPr>
            <w:r>
              <w:rPr>
                <w:rFonts w:cs="David"/>
                <w:bCs w:val="0"/>
                <w:sz w:val="22"/>
                <w:szCs w:val="24"/>
                <w:rtl/>
                <w:lang w:eastAsia="en-US"/>
              </w:rPr>
              <w:t>ע"י ב"כ עוה"ד</w:t>
            </w:r>
          </w:p>
        </w:tc>
        <w:tc>
          <w:tcPr>
            <w:tcW w:w="3063" w:type="dxa"/>
          </w:tcPr>
          <w:p w14:paraId="22463D85" w14:textId="77777777" w:rsidR="000F6B81" w:rsidRDefault="000F6B81">
            <w:pPr>
              <w:spacing w:after="80" w:line="320" w:lineRule="exact"/>
              <w:ind w:firstLine="283"/>
              <w:rPr>
                <w:rFonts w:cs="David"/>
                <w:bCs w:val="0"/>
                <w:sz w:val="22"/>
                <w:szCs w:val="24"/>
                <w:lang w:eastAsia="en-US"/>
              </w:rPr>
            </w:pPr>
            <w:r>
              <w:rPr>
                <w:rFonts w:cs="David"/>
                <w:bCs w:val="0"/>
                <w:sz w:val="22"/>
                <w:szCs w:val="24"/>
                <w:rtl/>
                <w:lang w:eastAsia="en-US"/>
              </w:rPr>
              <w:t>פרייזלר (מטעם הסניגוריה הציבורית)</w:t>
            </w:r>
          </w:p>
        </w:tc>
        <w:tc>
          <w:tcPr>
            <w:tcW w:w="2409" w:type="dxa"/>
            <w:gridSpan w:val="2"/>
          </w:tcPr>
          <w:p w14:paraId="7BB2D7E7" w14:textId="77777777" w:rsidR="000F6B81" w:rsidRDefault="000F6B81">
            <w:pPr>
              <w:pStyle w:val="Heading7"/>
              <w:keepNext w:val="0"/>
              <w:spacing w:after="80" w:line="320" w:lineRule="exact"/>
              <w:ind w:firstLine="283"/>
              <w:rPr>
                <w:rFonts w:ascii="Times New Roman" w:hAnsi="Times New Roman" w:cs="David"/>
                <w:sz w:val="22"/>
                <w:szCs w:val="24"/>
                <w:u w:val="none"/>
              </w:rPr>
            </w:pPr>
            <w:r>
              <w:rPr>
                <w:rFonts w:ascii="Times New Roman" w:hAnsi="Times New Roman" w:cs="David" w:hint="cs"/>
                <w:sz w:val="22"/>
                <w:szCs w:val="24"/>
                <w:u w:val="none"/>
                <w:rtl/>
              </w:rPr>
              <w:t>הנאשם</w:t>
            </w:r>
          </w:p>
        </w:tc>
      </w:tr>
      <w:bookmarkEnd w:id="5"/>
      <w:tr w:rsidR="000F6B81" w14:paraId="10FCD3C5" w14:textId="77777777">
        <w:trPr>
          <w:gridAfter w:val="1"/>
          <w:wAfter w:w="85" w:type="dxa"/>
        </w:trPr>
        <w:tc>
          <w:tcPr>
            <w:tcW w:w="1332" w:type="dxa"/>
          </w:tcPr>
          <w:p w14:paraId="1B850834" w14:textId="77777777" w:rsidR="000F6B81" w:rsidRDefault="000F6B81">
            <w:pPr>
              <w:spacing w:after="80" w:line="320" w:lineRule="exact"/>
              <w:ind w:firstLine="283"/>
              <w:rPr>
                <w:rFonts w:cs="David"/>
                <w:bCs w:val="0"/>
                <w:sz w:val="22"/>
                <w:szCs w:val="24"/>
                <w:lang w:eastAsia="en-US"/>
              </w:rPr>
            </w:pPr>
          </w:p>
        </w:tc>
        <w:tc>
          <w:tcPr>
            <w:tcW w:w="7230" w:type="dxa"/>
            <w:gridSpan w:val="4"/>
          </w:tcPr>
          <w:p w14:paraId="59987CEB" w14:textId="77777777" w:rsidR="000F6B81" w:rsidRDefault="000F6B81">
            <w:pPr>
              <w:spacing w:after="80" w:line="320" w:lineRule="exact"/>
              <w:ind w:firstLine="283"/>
              <w:rPr>
                <w:rFonts w:cs="David"/>
                <w:bCs w:val="0"/>
                <w:sz w:val="22"/>
                <w:szCs w:val="24"/>
                <w:rtl/>
                <w:lang w:eastAsia="en-US"/>
              </w:rPr>
            </w:pPr>
          </w:p>
          <w:p w14:paraId="49FD2EE5" w14:textId="77777777" w:rsidR="009E7562" w:rsidRDefault="009E7562">
            <w:pPr>
              <w:spacing w:after="80" w:line="320" w:lineRule="exact"/>
              <w:ind w:firstLine="283"/>
              <w:rPr>
                <w:rFonts w:cs="David" w:hint="cs"/>
                <w:bCs w:val="0"/>
                <w:sz w:val="22"/>
                <w:szCs w:val="24"/>
                <w:lang w:eastAsia="en-US"/>
              </w:rPr>
            </w:pPr>
          </w:p>
        </w:tc>
      </w:tr>
    </w:tbl>
    <w:p w14:paraId="4E54F878" w14:textId="77777777" w:rsidR="009E7562" w:rsidRPr="009E7562" w:rsidRDefault="009E7562" w:rsidP="009E7562">
      <w:pPr>
        <w:spacing w:after="120" w:line="240" w:lineRule="exact"/>
        <w:ind w:left="283" w:hanging="283"/>
        <w:rPr>
          <w:rFonts w:ascii="FrankRuehl" w:hAnsi="FrankRuehl" w:cs="FrankRuehl"/>
          <w:bCs w:val="0"/>
          <w:sz w:val="24"/>
          <w:szCs w:val="24"/>
          <w:rtl/>
          <w:lang w:eastAsia="en-US"/>
        </w:rPr>
      </w:pPr>
      <w:r w:rsidRPr="009E7562">
        <w:rPr>
          <w:rFonts w:ascii="FrankRuehl" w:hAnsi="FrankRuehl" w:cs="FrankRuehl"/>
          <w:bCs w:val="0"/>
          <w:sz w:val="24"/>
          <w:szCs w:val="24"/>
          <w:rtl/>
          <w:lang w:eastAsia="en-US"/>
        </w:rPr>
        <w:t xml:space="preserve">חקיקה שאוזכרה: </w:t>
      </w:r>
    </w:p>
    <w:p w14:paraId="2CCCED82" w14:textId="77777777" w:rsidR="009E7562" w:rsidRPr="009E7562" w:rsidRDefault="009E7562" w:rsidP="009E7562">
      <w:pPr>
        <w:spacing w:after="120" w:line="240" w:lineRule="exact"/>
        <w:ind w:left="283" w:hanging="283"/>
        <w:rPr>
          <w:rFonts w:ascii="FrankRuehl" w:hAnsi="FrankRuehl" w:cs="FrankRuehl"/>
          <w:bCs w:val="0"/>
          <w:sz w:val="24"/>
          <w:szCs w:val="24"/>
          <w:rtl/>
          <w:lang w:eastAsia="en-US"/>
        </w:rPr>
      </w:pPr>
      <w:hyperlink r:id="rId6" w:history="1">
        <w:r w:rsidRPr="009E7562">
          <w:rPr>
            <w:rFonts w:ascii="FrankRuehl" w:hAnsi="FrankRuehl" w:cs="FrankRuehl"/>
            <w:bCs w:val="0"/>
            <w:color w:val="0000FF"/>
            <w:sz w:val="24"/>
            <w:szCs w:val="24"/>
            <w:u w:val="single"/>
            <w:rtl/>
            <w:lang w:eastAsia="en-US"/>
          </w:rPr>
          <w:t>חוק העונשין, תשל"ז-1977</w:t>
        </w:r>
      </w:hyperlink>
      <w:r w:rsidRPr="009E7562">
        <w:rPr>
          <w:rFonts w:ascii="FrankRuehl" w:hAnsi="FrankRuehl" w:cs="FrankRuehl"/>
          <w:bCs w:val="0"/>
          <w:sz w:val="24"/>
          <w:szCs w:val="24"/>
          <w:rtl/>
          <w:lang w:eastAsia="en-US"/>
        </w:rPr>
        <w:t xml:space="preserve">: סע'  </w:t>
      </w:r>
      <w:hyperlink r:id="rId7" w:history="1">
        <w:r w:rsidRPr="009E7562">
          <w:rPr>
            <w:rFonts w:ascii="FrankRuehl" w:hAnsi="FrankRuehl" w:cs="FrankRuehl"/>
            <w:bCs w:val="0"/>
            <w:color w:val="0000FF"/>
            <w:sz w:val="24"/>
            <w:szCs w:val="24"/>
            <w:u w:val="single"/>
            <w:rtl/>
            <w:lang w:eastAsia="en-US"/>
          </w:rPr>
          <w:t>348 (ג)</w:t>
        </w:r>
      </w:hyperlink>
    </w:p>
    <w:p w14:paraId="4CC06CDE" w14:textId="77777777" w:rsidR="009E7562" w:rsidRDefault="009E7562">
      <w:pPr>
        <w:spacing w:after="80" w:line="320" w:lineRule="exact"/>
        <w:ind w:firstLine="283"/>
        <w:jc w:val="center"/>
        <w:rPr>
          <w:rFonts w:cs="David"/>
          <w:b/>
          <w:sz w:val="22"/>
          <w:szCs w:val="24"/>
          <w:rtl/>
          <w:lang w:eastAsia="en-US"/>
        </w:rPr>
      </w:pPr>
    </w:p>
    <w:p w14:paraId="0D1D55EC" w14:textId="77777777" w:rsidR="009E7562" w:rsidRDefault="009E7562">
      <w:pPr>
        <w:spacing w:after="80" w:line="320" w:lineRule="exact"/>
        <w:ind w:firstLine="283"/>
        <w:jc w:val="center"/>
        <w:rPr>
          <w:rFonts w:cs="David"/>
          <w:b/>
          <w:sz w:val="22"/>
          <w:szCs w:val="24"/>
          <w:rtl/>
          <w:lang w:eastAsia="en-US"/>
        </w:rPr>
      </w:pPr>
    </w:p>
    <w:p w14:paraId="3975E6F9" w14:textId="77777777" w:rsidR="007463DF" w:rsidRDefault="007463DF">
      <w:pPr>
        <w:spacing w:after="80" w:line="320" w:lineRule="exact"/>
        <w:ind w:firstLine="283"/>
        <w:jc w:val="center"/>
        <w:rPr>
          <w:rFonts w:cs="David"/>
          <w:b/>
          <w:sz w:val="22"/>
          <w:szCs w:val="24"/>
          <w:rtl/>
          <w:lang w:eastAsia="en-US"/>
        </w:rPr>
      </w:pPr>
      <w:r>
        <w:rPr>
          <w:rFonts w:cs="David"/>
          <w:b/>
          <w:sz w:val="22"/>
          <w:szCs w:val="24"/>
          <w:rtl/>
          <w:lang w:eastAsia="en-US"/>
        </w:rPr>
        <w:t>הכרעת דין וגזר דין</w:t>
      </w:r>
    </w:p>
    <w:p w14:paraId="7B2AA6AF" w14:textId="77777777" w:rsidR="007463DF" w:rsidRDefault="007463DF">
      <w:pPr>
        <w:spacing w:after="80" w:line="320" w:lineRule="exact"/>
        <w:ind w:firstLine="283"/>
        <w:rPr>
          <w:rFonts w:cs="David"/>
          <w:sz w:val="22"/>
          <w:szCs w:val="24"/>
          <w:rtl/>
          <w:lang w:eastAsia="en-US"/>
        </w:rPr>
      </w:pPr>
    </w:p>
    <w:p w14:paraId="2E498BAD" w14:textId="77777777" w:rsidR="00904033" w:rsidRDefault="007463DF" w:rsidP="00904033">
      <w:pPr>
        <w:spacing w:after="80" w:line="320" w:lineRule="exact"/>
        <w:ind w:firstLine="283"/>
        <w:rPr>
          <w:rFonts w:cs="David"/>
          <w:bCs w:val="0"/>
          <w:sz w:val="22"/>
          <w:szCs w:val="24"/>
          <w:rtl/>
          <w:lang w:eastAsia="en-US"/>
        </w:rPr>
      </w:pPr>
      <w:r>
        <w:rPr>
          <w:rFonts w:cs="David"/>
          <w:bCs w:val="0"/>
          <w:sz w:val="22"/>
          <w:szCs w:val="24"/>
          <w:rtl/>
          <w:lang w:eastAsia="en-US"/>
        </w:rPr>
        <w:t>הנאשם, חנן בן יוסף מוסזון, יליד 1979, הודה במסגרת הסדר טיעון בכתב אישום מתוקן ובשני אישומים</w:t>
      </w:r>
      <w:bookmarkStart w:id="6" w:name="LawTable"/>
      <w:bookmarkStart w:id="7" w:name="LawTable_End"/>
      <w:bookmarkEnd w:id="6"/>
      <w:bookmarkEnd w:id="7"/>
      <w:r w:rsidRPr="00FB3C4C">
        <w:rPr>
          <w:rFonts w:cs="David"/>
          <w:bCs w:val="0"/>
          <w:sz w:val="22"/>
          <w:szCs w:val="24"/>
          <w:rtl/>
          <w:lang w:eastAsia="en-US"/>
        </w:rPr>
        <w:t>.</w:t>
      </w:r>
    </w:p>
    <w:p w14:paraId="56802850" w14:textId="77777777" w:rsidR="007463DF" w:rsidRPr="00973D62" w:rsidRDefault="00FB3C4C" w:rsidP="00904033">
      <w:pPr>
        <w:spacing w:after="80" w:line="320" w:lineRule="exact"/>
        <w:ind w:firstLine="283"/>
        <w:rPr>
          <w:rFonts w:cs="David"/>
          <w:bCs w:val="0"/>
          <w:sz w:val="22"/>
          <w:szCs w:val="24"/>
          <w:rtl/>
          <w:lang w:eastAsia="en-US"/>
        </w:rPr>
      </w:pPr>
      <w:r w:rsidRPr="00973D62">
        <w:rPr>
          <w:rFonts w:cs="David"/>
          <w:bCs w:val="0"/>
          <w:sz w:val="22"/>
          <w:szCs w:val="24"/>
          <w:rtl/>
          <w:lang w:eastAsia="en-US"/>
        </w:rPr>
        <w:t xml:space="preserve"> </w:t>
      </w:r>
    </w:p>
    <w:p w14:paraId="0D97754F" w14:textId="77777777" w:rsidR="007463DF" w:rsidRDefault="007463DF">
      <w:pPr>
        <w:spacing w:after="80" w:line="320" w:lineRule="exact"/>
        <w:ind w:firstLine="283"/>
        <w:rPr>
          <w:rFonts w:cs="David"/>
          <w:bCs w:val="0"/>
          <w:sz w:val="22"/>
          <w:szCs w:val="24"/>
          <w:rtl/>
          <w:lang w:eastAsia="en-US"/>
        </w:rPr>
      </w:pPr>
      <w:bookmarkStart w:id="8" w:name="ABSTRACT_START"/>
      <w:bookmarkEnd w:id="8"/>
      <w:r>
        <w:rPr>
          <w:rFonts w:cs="David"/>
          <w:b/>
          <w:sz w:val="22"/>
          <w:szCs w:val="24"/>
          <w:rtl/>
          <w:lang w:eastAsia="en-US"/>
        </w:rPr>
        <w:t>באישום הראשון</w:t>
      </w:r>
      <w:r>
        <w:rPr>
          <w:rFonts w:cs="David"/>
          <w:bCs w:val="0"/>
          <w:sz w:val="22"/>
          <w:szCs w:val="24"/>
          <w:rtl/>
          <w:lang w:eastAsia="en-US"/>
        </w:rPr>
        <w:t xml:space="preserve"> – הודה כי במועד לא ידוע במהלך החודשים אפריל – מאי 2001 ביצע מעשה מגונה בא.י. ילידת 04.07.86, שהתגוררה אז בפנימית "אמית</w:t>
      </w:r>
      <w:bookmarkStart w:id="9" w:name="ABSTRACT_END"/>
      <w:bookmarkEnd w:id="9"/>
      <w:r>
        <w:rPr>
          <w:rFonts w:cs="David"/>
          <w:bCs w:val="0"/>
          <w:sz w:val="22"/>
          <w:szCs w:val="24"/>
          <w:rtl/>
          <w:lang w:eastAsia="en-US"/>
        </w:rPr>
        <w:t xml:space="preserve">". </w:t>
      </w:r>
    </w:p>
    <w:p w14:paraId="067C0EED" w14:textId="77777777" w:rsidR="007463DF" w:rsidRDefault="007463DF">
      <w:pPr>
        <w:spacing w:after="80" w:line="320" w:lineRule="exact"/>
        <w:ind w:firstLine="283"/>
        <w:rPr>
          <w:rFonts w:cs="David"/>
          <w:bCs w:val="0"/>
          <w:sz w:val="22"/>
          <w:szCs w:val="24"/>
          <w:rtl/>
          <w:lang w:eastAsia="en-US"/>
        </w:rPr>
      </w:pPr>
    </w:p>
    <w:p w14:paraId="6055488D"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על פי הודייתו פגשה בו המתלוננת מחוץ לפנימיה, כשהוא יושב ברכבו וממתין לחברתה שלא יכולה היתה להגיע לפגישה, ושלחה את המתלוננת במקומה.</w:t>
      </w:r>
    </w:p>
    <w:p w14:paraId="42CD3ABD" w14:textId="77777777" w:rsidR="007463DF" w:rsidRDefault="007463DF">
      <w:pPr>
        <w:spacing w:after="80" w:line="320" w:lineRule="exact"/>
        <w:ind w:firstLine="283"/>
        <w:rPr>
          <w:rFonts w:cs="David"/>
          <w:bCs w:val="0"/>
          <w:sz w:val="22"/>
          <w:szCs w:val="24"/>
          <w:rtl/>
          <w:lang w:eastAsia="en-US"/>
        </w:rPr>
      </w:pPr>
    </w:p>
    <w:p w14:paraId="5653459E"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הנאשם הציע לה להכנס לרכב והיא הסכימה וביקשה שיתרחק מהשער.</w:t>
      </w:r>
    </w:p>
    <w:p w14:paraId="53A299E3" w14:textId="77777777" w:rsidR="007463DF" w:rsidRDefault="007463DF">
      <w:pPr>
        <w:spacing w:after="80" w:line="320" w:lineRule="exact"/>
        <w:ind w:firstLine="283"/>
        <w:rPr>
          <w:rFonts w:cs="David"/>
          <w:bCs w:val="0"/>
          <w:sz w:val="22"/>
          <w:szCs w:val="24"/>
          <w:rtl/>
          <w:lang w:eastAsia="en-US"/>
        </w:rPr>
      </w:pPr>
    </w:p>
    <w:p w14:paraId="1FF66AFD"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 xml:space="preserve">הנאשם נסע עד לצומת סגולה, עצר רכבו, החמיא למתלוננת על שיש לה חזה גדול, משך אותה אליו ונשק לה ואיים שאם תתנגד למעשיו לא יחזירנה לפנימיה, ומשחדלה להתנגד החזירה מיד לפנימיה. </w:t>
      </w:r>
    </w:p>
    <w:p w14:paraId="4B73375D" w14:textId="77777777" w:rsidR="007463DF" w:rsidRDefault="007463DF">
      <w:pPr>
        <w:spacing w:after="80" w:line="320" w:lineRule="exact"/>
        <w:ind w:firstLine="283"/>
        <w:rPr>
          <w:rFonts w:cs="David"/>
          <w:bCs w:val="0"/>
          <w:sz w:val="22"/>
          <w:szCs w:val="24"/>
          <w:rtl/>
          <w:lang w:eastAsia="en-US"/>
        </w:rPr>
      </w:pPr>
    </w:p>
    <w:p w14:paraId="1E1FC141" w14:textId="77777777" w:rsidR="007463DF" w:rsidRDefault="007463DF">
      <w:pPr>
        <w:spacing w:after="80" w:line="320" w:lineRule="exact"/>
        <w:ind w:firstLine="283"/>
        <w:rPr>
          <w:rFonts w:cs="David"/>
          <w:bCs w:val="0"/>
          <w:sz w:val="22"/>
          <w:szCs w:val="24"/>
          <w:rtl/>
          <w:lang w:eastAsia="en-US"/>
        </w:rPr>
      </w:pPr>
      <w:r>
        <w:rPr>
          <w:rFonts w:cs="David"/>
          <w:b/>
          <w:sz w:val="22"/>
          <w:szCs w:val="24"/>
          <w:rtl/>
          <w:lang w:eastAsia="en-US"/>
        </w:rPr>
        <w:lastRenderedPageBreak/>
        <w:t>באישום השני</w:t>
      </w:r>
      <w:r>
        <w:rPr>
          <w:rFonts w:cs="David"/>
          <w:bCs w:val="0"/>
          <w:sz w:val="22"/>
          <w:szCs w:val="24"/>
          <w:rtl/>
          <w:lang w:eastAsia="en-US"/>
        </w:rPr>
        <w:t xml:space="preserve"> – הודה כי ביום 08.07.01 נפגש עם המתלוננת א.ח.  ילידת 08.12.85 מחוץ לפנימיה, בהתאם להדברות טלפונית ביניהם. הוא הזמינה להכנס לרכבו, ומשסרבה משך את תיק הצד שלה שהיה מונח על כתפה והכניסו לרכב.</w:t>
      </w:r>
    </w:p>
    <w:p w14:paraId="4345A59E" w14:textId="77777777" w:rsidR="007463DF" w:rsidRDefault="007463DF">
      <w:pPr>
        <w:spacing w:after="80" w:line="320" w:lineRule="exact"/>
        <w:ind w:firstLine="283"/>
        <w:rPr>
          <w:rFonts w:cs="David"/>
          <w:bCs w:val="0"/>
          <w:sz w:val="22"/>
          <w:szCs w:val="24"/>
          <w:rtl/>
          <w:lang w:eastAsia="en-US"/>
        </w:rPr>
      </w:pPr>
    </w:p>
    <w:p w14:paraId="61EF716B"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כשניסתה לקחת את התיק חזרה ונכנסה לשם כך לרכב, החל הנאשם נוגע בה באצבעותיו, בפלג גופה השמאלי, היא ביקשה שיחדל ממעשיו, אך הוא אחז בחולצתה והחל לנשקה, תוך שהוא מחדיר את לשונו לפיה ואוחז בידיה לבל תזוז, והמשיך לנשקה בצווארה וכשביקשה שיחזיר תיקה היתנה זאת בנשיקה נוספת, בשל חשש מפניו – הניחה לו לנשקה שוב, ואז החזיר לה את תיקה והיא נמלטה מרכבו, כשהוא נוסע אחריה וקורא בשמה.</w:t>
      </w:r>
    </w:p>
    <w:p w14:paraId="39DEF99A" w14:textId="77777777" w:rsidR="007463DF" w:rsidRDefault="007463DF">
      <w:pPr>
        <w:spacing w:after="80" w:line="320" w:lineRule="exact"/>
        <w:ind w:firstLine="283"/>
        <w:rPr>
          <w:rFonts w:cs="David"/>
          <w:bCs w:val="0"/>
          <w:sz w:val="22"/>
          <w:szCs w:val="24"/>
          <w:rtl/>
          <w:lang w:eastAsia="en-US"/>
        </w:rPr>
      </w:pPr>
    </w:p>
    <w:p w14:paraId="3A1A59B8"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 xml:space="preserve">גם בגין מעשה זה, הודה בביצועו של מעשה מגונה, בעבירה לפי </w:t>
      </w:r>
      <w:hyperlink r:id="rId8" w:history="1">
        <w:r w:rsidR="009E7562" w:rsidRPr="009E7562">
          <w:rPr>
            <w:rFonts w:cs="David"/>
            <w:bCs w:val="0"/>
            <w:color w:val="0000FF"/>
            <w:sz w:val="22"/>
            <w:szCs w:val="24"/>
            <w:u w:val="single"/>
            <w:rtl/>
            <w:lang w:eastAsia="en-US"/>
          </w:rPr>
          <w:t>סעיף 348 (ג)</w:t>
        </w:r>
      </w:hyperlink>
      <w:r>
        <w:rPr>
          <w:rFonts w:cs="David"/>
          <w:bCs w:val="0"/>
          <w:sz w:val="22"/>
          <w:szCs w:val="24"/>
          <w:rtl/>
          <w:lang w:eastAsia="en-US"/>
        </w:rPr>
        <w:t xml:space="preserve"> ל</w:t>
      </w:r>
      <w:hyperlink r:id="rId9" w:history="1">
        <w:r w:rsidR="00973D62" w:rsidRPr="00973D62">
          <w:rPr>
            <w:rStyle w:val="Hyperlink"/>
            <w:rFonts w:cs="David"/>
            <w:bCs w:val="0"/>
            <w:sz w:val="22"/>
            <w:szCs w:val="24"/>
            <w:rtl/>
            <w:lang w:eastAsia="en-US"/>
          </w:rPr>
          <w:t>חוק העונשין</w:t>
        </w:r>
      </w:hyperlink>
      <w:r>
        <w:rPr>
          <w:rFonts w:cs="David"/>
          <w:bCs w:val="0"/>
          <w:sz w:val="22"/>
          <w:szCs w:val="24"/>
          <w:rtl/>
          <w:lang w:eastAsia="en-US"/>
        </w:rPr>
        <w:t xml:space="preserve">, התשל"ז – 1977. </w:t>
      </w:r>
    </w:p>
    <w:p w14:paraId="1FF0BA58" w14:textId="77777777" w:rsidR="007463DF" w:rsidRDefault="007463DF">
      <w:pPr>
        <w:spacing w:after="80" w:line="320" w:lineRule="exact"/>
        <w:ind w:firstLine="283"/>
        <w:rPr>
          <w:rFonts w:cs="David"/>
          <w:bCs w:val="0"/>
          <w:sz w:val="22"/>
          <w:szCs w:val="24"/>
          <w:rtl/>
          <w:lang w:eastAsia="en-US"/>
        </w:rPr>
      </w:pPr>
    </w:p>
    <w:p w14:paraId="712974EB"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 xml:space="preserve">על פי הסדר שבין הצדדים הוריתי על קבלת תסקיר של שרות המבחן בטרם שהורשע, וזאת על מנת שיתאפשר לצדדים להערך לטיעוניהם – המדינה לבקש הרשעתו של הנאשם והטלת 6 חודשי מאסר שירוצו בעבודות שרות, מאסר על תנאי וקנס, והסניגוריה ביקשה להמנע מהרשעתו ולהטיל עליו של"צ. </w:t>
      </w:r>
    </w:p>
    <w:p w14:paraId="5E7748FD" w14:textId="77777777" w:rsidR="007463DF" w:rsidRDefault="007463DF">
      <w:pPr>
        <w:spacing w:after="80" w:line="320" w:lineRule="exact"/>
        <w:ind w:firstLine="283"/>
        <w:rPr>
          <w:rFonts w:cs="David"/>
          <w:bCs w:val="0"/>
          <w:sz w:val="22"/>
          <w:szCs w:val="24"/>
          <w:rtl/>
          <w:lang w:eastAsia="en-US"/>
        </w:rPr>
      </w:pPr>
    </w:p>
    <w:p w14:paraId="21380839"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לישיבת 02.11.03 נתקבל תסקיר של שירות המבחן, ובו סקירה קצרה ותמציתית על הנאשם שבפני, שנות לימוד ושירות צבאי קצר, ועבודה אצל קבלן עבור רשות הדואר.</w:t>
      </w:r>
    </w:p>
    <w:p w14:paraId="7DA04546" w14:textId="77777777" w:rsidR="007463DF" w:rsidRDefault="007463DF">
      <w:pPr>
        <w:spacing w:after="80" w:line="320" w:lineRule="exact"/>
        <w:ind w:firstLine="283"/>
        <w:rPr>
          <w:rFonts w:cs="David"/>
          <w:bCs w:val="0"/>
          <w:sz w:val="22"/>
          <w:szCs w:val="24"/>
          <w:rtl/>
          <w:lang w:eastAsia="en-US"/>
        </w:rPr>
      </w:pPr>
    </w:p>
    <w:p w14:paraId="088E9514"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 xml:space="preserve">בפני קצין המבחן תחילה הכחיש המיוחס לו, ובהמשך הודה במעשים אך ניכר היה שרואה עצמו קרבן הנסיבות שפותה בטענות שווא לבוא למקום ע"י המתלוננות. </w:t>
      </w:r>
    </w:p>
    <w:p w14:paraId="60F9E37A" w14:textId="77777777" w:rsidR="007463DF" w:rsidRDefault="007463DF">
      <w:pPr>
        <w:spacing w:after="80" w:line="320" w:lineRule="exact"/>
        <w:ind w:firstLine="283"/>
        <w:rPr>
          <w:rFonts w:cs="David"/>
          <w:bCs w:val="0"/>
          <w:sz w:val="22"/>
          <w:szCs w:val="24"/>
          <w:rtl/>
          <w:lang w:eastAsia="en-US"/>
        </w:rPr>
      </w:pPr>
    </w:p>
    <w:p w14:paraId="6D989689" w14:textId="77777777" w:rsidR="007463DF" w:rsidRDefault="007463DF">
      <w:pPr>
        <w:spacing w:after="80" w:line="320" w:lineRule="exact"/>
        <w:ind w:firstLine="283"/>
        <w:rPr>
          <w:rFonts w:cs="David"/>
          <w:sz w:val="22"/>
          <w:szCs w:val="24"/>
          <w:rtl/>
          <w:lang w:eastAsia="en-US"/>
        </w:rPr>
      </w:pPr>
      <w:r>
        <w:rPr>
          <w:rFonts w:cs="David"/>
          <w:bCs w:val="0"/>
          <w:sz w:val="22"/>
          <w:szCs w:val="24"/>
          <w:rtl/>
          <w:lang w:eastAsia="en-US"/>
        </w:rPr>
        <w:t>מכיוון שהתקשה לשתף את קצינת המבחן בתכנים הקשורים לעבירות ולהרגליו המיניים, רגשותיו ומחשבותיו עובר לאותה התנהגות מינית בעייתית , התקשה שירות המבחן להעריך את מסוכנותו, ומששלל נזקקות להמשך טיפול – אין המלצה להעמידו לפיקוח.</w:t>
      </w:r>
    </w:p>
    <w:p w14:paraId="11D3F019" w14:textId="77777777" w:rsidR="007463DF" w:rsidRDefault="007463DF">
      <w:pPr>
        <w:spacing w:after="80" w:line="320" w:lineRule="exact"/>
        <w:ind w:firstLine="283"/>
        <w:rPr>
          <w:rFonts w:cs="David"/>
          <w:sz w:val="22"/>
          <w:szCs w:val="24"/>
          <w:rtl/>
          <w:lang w:eastAsia="en-US"/>
        </w:rPr>
      </w:pPr>
    </w:p>
    <w:p w14:paraId="0AAE98F8"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יחד עם זאת, הציג קצין המבחן בפני את הדילימה שנוצרה, כאשר מחד גיסא – מפאת גילו הצעיר ובהתחשב בכך שלא נפתחו תיקים נוספים, הרשעתו יכולה לגרור פגיעה אפשרית בעתיד בעיסוקו, ומאידך גיסא – אי הרשעה בדין יכולה להעביר מסר שגוי בשל חוסר שתוף הפעולה שהקשה על עריכת אבחון מסוכנות.</w:t>
      </w:r>
    </w:p>
    <w:p w14:paraId="672F2A2C"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 xml:space="preserve">לכן – קצין המבחן התקשה להביא בפני עמדה חד משמעית באשר לאי הרשעתו במקרה שבפני. </w:t>
      </w:r>
    </w:p>
    <w:p w14:paraId="1771D026" w14:textId="77777777" w:rsidR="007463DF" w:rsidRDefault="007463DF">
      <w:pPr>
        <w:spacing w:after="80" w:line="320" w:lineRule="exact"/>
        <w:ind w:firstLine="283"/>
        <w:rPr>
          <w:rFonts w:cs="David"/>
          <w:bCs w:val="0"/>
          <w:sz w:val="22"/>
          <w:szCs w:val="24"/>
          <w:rtl/>
          <w:lang w:eastAsia="en-US"/>
        </w:rPr>
      </w:pPr>
    </w:p>
    <w:p w14:paraId="044B0671"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עמדת התביעה הינה שיש מקום להרשעתו של הנאשם שבמועד ביצוען של העבירות ביצע מעשיו תוך שימוש בכח ובאיומים, שהמדובר במקרים שונים ובמתלוננות שונות, והוא בגיל קרוב ל – 23 שנים, בעוד הן בגיל 15-16.</w:t>
      </w:r>
    </w:p>
    <w:p w14:paraId="4D42DF36" w14:textId="77777777" w:rsidR="007463DF" w:rsidRDefault="007463DF">
      <w:pPr>
        <w:spacing w:after="80" w:line="320" w:lineRule="exact"/>
        <w:ind w:firstLine="283"/>
        <w:rPr>
          <w:rFonts w:cs="David"/>
          <w:bCs w:val="0"/>
          <w:sz w:val="22"/>
          <w:szCs w:val="24"/>
          <w:rtl/>
          <w:lang w:eastAsia="en-US"/>
        </w:rPr>
      </w:pPr>
    </w:p>
    <w:p w14:paraId="197A035F"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בהתייחסו להלכות שב</w:t>
      </w:r>
      <w:hyperlink r:id="rId10" w:history="1">
        <w:r w:rsidR="00973D62" w:rsidRPr="00973D62">
          <w:rPr>
            <w:rStyle w:val="Hyperlink"/>
            <w:rFonts w:cs="David"/>
            <w:bCs w:val="0"/>
            <w:sz w:val="22"/>
            <w:szCs w:val="24"/>
            <w:rtl/>
            <w:lang w:eastAsia="en-US"/>
          </w:rPr>
          <w:t>ר"ע 432/85</w:t>
        </w:r>
      </w:hyperlink>
      <w:r>
        <w:rPr>
          <w:rFonts w:cs="David"/>
          <w:bCs w:val="0"/>
          <w:sz w:val="22"/>
          <w:szCs w:val="24"/>
          <w:rtl/>
          <w:lang w:eastAsia="en-US"/>
        </w:rPr>
        <w:t xml:space="preserve"> </w:t>
      </w:r>
      <w:r>
        <w:rPr>
          <w:rFonts w:cs="David"/>
          <w:b/>
          <w:sz w:val="22"/>
          <w:szCs w:val="24"/>
          <w:rtl/>
          <w:lang w:eastAsia="en-US"/>
        </w:rPr>
        <w:t>גדעון רומנו</w:t>
      </w:r>
      <w:r>
        <w:rPr>
          <w:rFonts w:cs="David"/>
          <w:bCs w:val="0"/>
          <w:sz w:val="22"/>
          <w:szCs w:val="24"/>
          <w:rtl/>
          <w:lang w:eastAsia="en-US"/>
        </w:rPr>
        <w:t xml:space="preserve"> נ' </w:t>
      </w:r>
      <w:r>
        <w:rPr>
          <w:rFonts w:cs="David"/>
          <w:b/>
          <w:sz w:val="22"/>
          <w:szCs w:val="24"/>
          <w:rtl/>
          <w:lang w:eastAsia="en-US"/>
        </w:rPr>
        <w:t>מדינת ישראל</w:t>
      </w:r>
      <w:r>
        <w:rPr>
          <w:rFonts w:cs="David"/>
          <w:bCs w:val="0"/>
          <w:sz w:val="22"/>
          <w:szCs w:val="24"/>
          <w:rtl/>
          <w:lang w:eastAsia="en-US"/>
        </w:rPr>
        <w:t xml:space="preserve">  , דינים עליון כרך א' 392 , וב</w:t>
      </w:r>
      <w:hyperlink r:id="rId11" w:history="1">
        <w:r w:rsidR="009E7562" w:rsidRPr="009E7562">
          <w:rPr>
            <w:rFonts w:cs="David"/>
            <w:bCs w:val="0"/>
            <w:color w:val="0000FF"/>
            <w:sz w:val="22"/>
            <w:szCs w:val="24"/>
            <w:u w:val="single"/>
            <w:rtl/>
            <w:lang w:eastAsia="en-US"/>
          </w:rPr>
          <w:t>ע"פ 2038/96</w:t>
        </w:r>
      </w:hyperlink>
      <w:r>
        <w:rPr>
          <w:rFonts w:cs="David"/>
          <w:bCs w:val="0"/>
          <w:sz w:val="22"/>
          <w:szCs w:val="24"/>
          <w:rtl/>
          <w:lang w:eastAsia="en-US"/>
        </w:rPr>
        <w:t xml:space="preserve"> </w:t>
      </w:r>
      <w:r>
        <w:rPr>
          <w:rFonts w:cs="David"/>
          <w:b/>
          <w:sz w:val="22"/>
          <w:szCs w:val="24"/>
          <w:rtl/>
          <w:lang w:eastAsia="en-US"/>
        </w:rPr>
        <w:t>תמר כתב</w:t>
      </w:r>
      <w:r>
        <w:rPr>
          <w:rFonts w:cs="David"/>
          <w:bCs w:val="0"/>
          <w:sz w:val="22"/>
          <w:szCs w:val="24"/>
          <w:rtl/>
          <w:lang w:eastAsia="en-US"/>
        </w:rPr>
        <w:t xml:space="preserve"> נ' </w:t>
      </w:r>
      <w:r>
        <w:rPr>
          <w:rFonts w:cs="David"/>
          <w:b/>
          <w:sz w:val="22"/>
          <w:szCs w:val="24"/>
          <w:rtl/>
          <w:lang w:eastAsia="en-US"/>
        </w:rPr>
        <w:t>מדינת ישראל</w:t>
      </w:r>
      <w:r>
        <w:rPr>
          <w:rFonts w:cs="David"/>
          <w:bCs w:val="0"/>
          <w:sz w:val="22"/>
          <w:szCs w:val="24"/>
          <w:rtl/>
          <w:lang w:eastAsia="en-US"/>
        </w:rPr>
        <w:t xml:space="preserve"> , פ"ד נב 3 , 337 ,  ציין שהמנעות מהרשעה היא החריג, והכלל הוא </w:t>
      </w:r>
      <w:r>
        <w:rPr>
          <w:rFonts w:cs="David"/>
          <w:bCs w:val="0"/>
          <w:sz w:val="22"/>
          <w:szCs w:val="24"/>
          <w:rtl/>
          <w:lang w:eastAsia="en-US"/>
        </w:rPr>
        <w:lastRenderedPageBreak/>
        <w:t>שיש להרשיע נאשמים שנמצא שביצעו עבירות, אא"כ יש יחס לא סביר בין הנזק הצפוי מהרשעה לבין טיבה של העבירה וחומרתה.</w:t>
      </w:r>
    </w:p>
    <w:p w14:paraId="78E00470" w14:textId="77777777" w:rsidR="007463DF" w:rsidRDefault="007463DF">
      <w:pPr>
        <w:spacing w:after="80" w:line="320" w:lineRule="exact"/>
        <w:ind w:firstLine="283"/>
        <w:rPr>
          <w:rFonts w:cs="David"/>
          <w:bCs w:val="0"/>
          <w:sz w:val="22"/>
          <w:szCs w:val="24"/>
          <w:rtl/>
          <w:lang w:eastAsia="en-US"/>
        </w:rPr>
      </w:pPr>
    </w:p>
    <w:p w14:paraId="45172DFB"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במקרה זה, כעולה מהדילמה שהציג קצין המבחן, ובהעדר יכולת להעריך מסוכנותו של הנאשם סבור הוא שההרשעה היא שתרתיעו בעתיד מלעבור על החוק, ואין נתונים לפיהם הרשעה עלולה לגרום נזק לעבודתו.</w:t>
      </w:r>
    </w:p>
    <w:p w14:paraId="254BC23D" w14:textId="77777777" w:rsidR="007463DF" w:rsidRDefault="007463DF">
      <w:pPr>
        <w:spacing w:after="80" w:line="320" w:lineRule="exact"/>
        <w:ind w:firstLine="283"/>
        <w:rPr>
          <w:rFonts w:cs="David"/>
          <w:bCs w:val="0"/>
          <w:sz w:val="22"/>
          <w:szCs w:val="24"/>
          <w:rtl/>
          <w:lang w:eastAsia="en-US"/>
        </w:rPr>
      </w:pPr>
    </w:p>
    <w:p w14:paraId="66675FA5"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 xml:space="preserve">לכן, בהתחשב בהודייה, בחסכון בזמן שיפוטי, בכך שהמתלוננות לא נדרשו להעיד ובגילו הצעיר של הנאשם עתר לענישה עליה הצהיר בתחילת ההליך. </w:t>
      </w:r>
    </w:p>
    <w:p w14:paraId="26CD33B4" w14:textId="77777777" w:rsidR="007463DF" w:rsidRDefault="007463DF">
      <w:pPr>
        <w:spacing w:after="80" w:line="320" w:lineRule="exact"/>
        <w:ind w:firstLine="283"/>
        <w:rPr>
          <w:rFonts w:cs="David"/>
          <w:sz w:val="22"/>
          <w:szCs w:val="24"/>
          <w:rtl/>
          <w:lang w:eastAsia="en-US"/>
        </w:rPr>
      </w:pPr>
    </w:p>
    <w:p w14:paraId="29455669" w14:textId="77777777" w:rsidR="007463DF" w:rsidRDefault="007463DF">
      <w:pPr>
        <w:pStyle w:val="BodyText"/>
        <w:spacing w:after="80" w:line="320" w:lineRule="exact"/>
        <w:ind w:firstLine="283"/>
        <w:rPr>
          <w:rFonts w:ascii="Times New Roman" w:hAnsi="Times New Roman" w:cs="David"/>
          <w:sz w:val="22"/>
          <w:rtl/>
        </w:rPr>
      </w:pPr>
      <w:r>
        <w:rPr>
          <w:rFonts w:ascii="Times New Roman" w:hAnsi="Times New Roman" w:cs="David" w:hint="cs"/>
          <w:sz w:val="22"/>
          <w:rtl/>
        </w:rPr>
        <w:t xml:space="preserve">עוה"ד הגב' פרייזלר פירטה באריכות את השתלשלות האירועים במטרה לשכנעני שאין זה המקרה הראוי להרשעה, ובעיקר שמה דגש על התנהגות המתלוננות. </w:t>
      </w:r>
    </w:p>
    <w:p w14:paraId="6410C1B3" w14:textId="77777777" w:rsidR="007463DF" w:rsidRDefault="007463DF">
      <w:pPr>
        <w:spacing w:after="80" w:line="320" w:lineRule="exact"/>
        <w:ind w:firstLine="283"/>
        <w:rPr>
          <w:rFonts w:cs="David" w:hint="cs"/>
          <w:bCs w:val="0"/>
          <w:sz w:val="22"/>
          <w:szCs w:val="24"/>
          <w:rtl/>
          <w:lang w:eastAsia="en-US"/>
        </w:rPr>
      </w:pPr>
    </w:p>
    <w:p w14:paraId="71E3DBC6"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 xml:space="preserve">עולה כי הנאשם פגש בחורה אחרת, גם היא מאותה פנימיה, ביקש את מספר הטלפון שלה ומסרה לו והיא מסרה את מספר הטלפון שלו לחברתה, ובשלב שני – חברתה היא שהגיעה לפגישה בשערי הפנימיה במקומה. </w:t>
      </w:r>
    </w:p>
    <w:p w14:paraId="4D731C69" w14:textId="77777777" w:rsidR="007463DF" w:rsidRDefault="007463DF">
      <w:pPr>
        <w:spacing w:after="80" w:line="320" w:lineRule="exact"/>
        <w:ind w:firstLine="283"/>
        <w:rPr>
          <w:rFonts w:cs="David"/>
          <w:bCs w:val="0"/>
          <w:sz w:val="22"/>
          <w:szCs w:val="24"/>
          <w:rtl/>
          <w:lang w:eastAsia="en-US"/>
        </w:rPr>
      </w:pPr>
    </w:p>
    <w:p w14:paraId="5415CE1F"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עוה"ד פרייזלר רואה את האירוע  שנעשה מרצון חופשי, כמשובת נעורים אופניית לאנשים צעירים שניתן היה לצפות שיגיע כדי מגע מיני מסויים.</w:t>
      </w:r>
    </w:p>
    <w:p w14:paraId="63915D44" w14:textId="77777777" w:rsidR="007463DF" w:rsidRDefault="007463DF">
      <w:pPr>
        <w:spacing w:after="80" w:line="320" w:lineRule="exact"/>
        <w:ind w:firstLine="283"/>
        <w:rPr>
          <w:rFonts w:cs="David"/>
          <w:bCs w:val="0"/>
          <w:sz w:val="22"/>
          <w:szCs w:val="24"/>
          <w:rtl/>
          <w:lang w:eastAsia="en-US"/>
        </w:rPr>
      </w:pPr>
    </w:p>
    <w:p w14:paraId="5AB3EA05"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לבקשת המתלוננת התרחקו משערי הפנימיה כדי שלא יראו וחנו קרוב למקום, כשהם יושבים ומשוחחים ברכב, אז איים איום ילדותי שלא יחזרינה לפנימיה שנמצאת בקירבת מקום אם לא תנשק לו, ואין לשכוח שלא היתה מניעה כלשהי שתצא את הרכב ותעזוב.</w:t>
      </w:r>
    </w:p>
    <w:p w14:paraId="4325A65F" w14:textId="77777777" w:rsidR="007463DF" w:rsidRDefault="007463DF">
      <w:pPr>
        <w:spacing w:after="80" w:line="320" w:lineRule="exact"/>
        <w:ind w:firstLine="283"/>
        <w:rPr>
          <w:rFonts w:cs="David"/>
          <w:bCs w:val="0"/>
          <w:sz w:val="22"/>
          <w:szCs w:val="24"/>
          <w:rtl/>
          <w:lang w:eastAsia="en-US"/>
        </w:rPr>
      </w:pPr>
    </w:p>
    <w:p w14:paraId="166C5B36"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לאחר שעזבה, לא הגישה תלונה ולא סיפרה על האירוע, וחברתה – המתלוננת השניה – קבעה אתו מפגש, שוב – המפגש מרצונה, ונכנסה לרכב מצחקקת עמו, כשחברותיה נמצאות שם ומסתכלות עליה נכנסת לרכב, והוא כלל לא יצא ממנו, ולמעשה – לא קרא נכון את התנהגות המתלוננת.</w:t>
      </w:r>
    </w:p>
    <w:p w14:paraId="55F3F225" w14:textId="77777777" w:rsidR="007463DF" w:rsidRDefault="007463DF">
      <w:pPr>
        <w:spacing w:after="80" w:line="320" w:lineRule="exact"/>
        <w:ind w:firstLine="283"/>
        <w:rPr>
          <w:rFonts w:cs="David"/>
          <w:bCs w:val="0"/>
          <w:sz w:val="22"/>
          <w:szCs w:val="24"/>
          <w:rtl/>
          <w:lang w:eastAsia="en-US"/>
        </w:rPr>
      </w:pPr>
    </w:p>
    <w:p w14:paraId="0A9D52E1"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 xml:space="preserve">התלונות הוגשו רק לאחר שהמתלוננת השניה איחרה להגיע והפרה הוראות שקיבלה, המדריכה שאלה שאלות ואז גם המתלוננת הראשונה סיפרה סיפורה, והוגשו התלונות, והנאשם – הופתע, חפץ בסיומו של אותו פרק, וביקש להודות ולהסיר הפרשה המעיבה על חייו מסדר יומו. </w:t>
      </w:r>
    </w:p>
    <w:p w14:paraId="5081489F" w14:textId="77777777" w:rsidR="007463DF" w:rsidRDefault="007463DF">
      <w:pPr>
        <w:spacing w:after="80" w:line="320" w:lineRule="exact"/>
        <w:ind w:firstLine="283"/>
        <w:rPr>
          <w:rFonts w:cs="David"/>
          <w:sz w:val="22"/>
          <w:szCs w:val="24"/>
          <w:rtl/>
          <w:lang w:eastAsia="en-US"/>
        </w:rPr>
      </w:pPr>
    </w:p>
    <w:p w14:paraId="0ACBCF29"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 xml:space="preserve">לדבריה, יש לקחת בחשבון את גילו  ואת כלל הנסיבות, הסבירה שאין ביכולתה להציג ראיות על חשש לפגיעה בעיסוקו, שמא ייפגע באופן  מיידי, לפיכך – ביקשה להתחשב בנאשם שמתפקד באופן נורמטיבי, עובד לפרנסתו ורוצה לבנות ביתו, ולהימנע מהרשעתו. </w:t>
      </w:r>
    </w:p>
    <w:p w14:paraId="47D711BD" w14:textId="77777777" w:rsidR="007463DF" w:rsidRDefault="007463DF">
      <w:pPr>
        <w:spacing w:after="80" w:line="320" w:lineRule="exact"/>
        <w:ind w:firstLine="283"/>
        <w:rPr>
          <w:rFonts w:cs="David"/>
          <w:bCs w:val="0"/>
          <w:sz w:val="22"/>
          <w:szCs w:val="24"/>
          <w:rtl/>
          <w:lang w:eastAsia="en-US"/>
        </w:rPr>
      </w:pPr>
    </w:p>
    <w:p w14:paraId="20D06231"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 xml:space="preserve">עוה"ד הגב' פרייזלר – לא הציעה מה ייעשה כאשר אין המלצה טיפולית – אלא רק ביקשה להסיק מהתסקיר מה שאין בו – היינו – עמדה חיובית של שירות המבחן . </w:t>
      </w:r>
    </w:p>
    <w:p w14:paraId="7553C62B" w14:textId="77777777" w:rsidR="007463DF" w:rsidRDefault="007463DF">
      <w:pPr>
        <w:spacing w:after="80" w:line="320" w:lineRule="exact"/>
        <w:ind w:firstLine="283"/>
        <w:rPr>
          <w:rFonts w:cs="David"/>
          <w:bCs w:val="0"/>
          <w:sz w:val="22"/>
          <w:szCs w:val="24"/>
          <w:rtl/>
          <w:lang w:eastAsia="en-US"/>
        </w:rPr>
      </w:pPr>
    </w:p>
    <w:p w14:paraId="29E64DB1"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lastRenderedPageBreak/>
        <w:t>לנאשם כאמור – הרשעה קודמת בעבירת גניבה משנת 1998, של בי"ד צבאי מחוזי – מטכ"ל מיום 15.03.00.</w:t>
      </w:r>
    </w:p>
    <w:p w14:paraId="033F52B3" w14:textId="77777777" w:rsidR="007463DF" w:rsidRDefault="007463DF">
      <w:pPr>
        <w:spacing w:after="80" w:line="320" w:lineRule="exact"/>
        <w:ind w:firstLine="283"/>
        <w:rPr>
          <w:rFonts w:cs="David"/>
          <w:bCs w:val="0"/>
          <w:sz w:val="22"/>
          <w:szCs w:val="24"/>
          <w:rtl/>
          <w:lang w:eastAsia="en-US"/>
        </w:rPr>
      </w:pPr>
    </w:p>
    <w:p w14:paraId="2F5456E0"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 xml:space="preserve">עברתי על כל ההפניות שבטבלה שהגישה עוה"ד פרייזלר בנושא אי הרשעה, ולא מצאתי שם דוגמא אחת דומה לענייננו, לא בסוג העבירות, ולא בנסיבות ביצוען, כמו כן אין דמיון בין כל שאר התקדימים שהוגשו לבין הענין דנן. </w:t>
      </w:r>
    </w:p>
    <w:p w14:paraId="51958B8B" w14:textId="77777777" w:rsidR="007463DF" w:rsidRDefault="007463DF">
      <w:pPr>
        <w:spacing w:after="80" w:line="320" w:lineRule="exact"/>
        <w:ind w:firstLine="283"/>
        <w:rPr>
          <w:rFonts w:cs="David"/>
          <w:sz w:val="22"/>
          <w:szCs w:val="24"/>
          <w:rtl/>
          <w:lang w:eastAsia="en-US"/>
        </w:rPr>
      </w:pPr>
    </w:p>
    <w:p w14:paraId="71173EDE"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 xml:space="preserve">שקלתי בכובד ראש את טיעוני הצדדים ובסופו של יום, לא מצאתי שעניינו של נאשם זה הוא חריג עד כדי שיצדיק סטיה מהכלל שמי שנמצא אשם בביצועה של עבירה – יורשע בדין. </w:t>
      </w:r>
    </w:p>
    <w:p w14:paraId="23D3AFA7" w14:textId="77777777" w:rsidR="007463DF" w:rsidRDefault="007463DF">
      <w:pPr>
        <w:spacing w:after="80" w:line="320" w:lineRule="exact"/>
        <w:ind w:firstLine="283"/>
        <w:rPr>
          <w:rFonts w:cs="David"/>
          <w:bCs w:val="0"/>
          <w:sz w:val="22"/>
          <w:szCs w:val="24"/>
          <w:rtl/>
          <w:lang w:eastAsia="en-US"/>
        </w:rPr>
      </w:pPr>
    </w:p>
    <w:p w14:paraId="0B066DD1"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 xml:space="preserve">עסקינן בשני מקרים נפרדים, בשתי נערות שונות, שעל אף הנסיבות המיוחדות של קביעות הפגישה </w:t>
      </w:r>
    </w:p>
    <w:p w14:paraId="10AF9DBB" w14:textId="77777777" w:rsidR="007463DF" w:rsidRDefault="007463DF">
      <w:pPr>
        <w:spacing w:after="80" w:line="320" w:lineRule="exact"/>
        <w:ind w:firstLine="283"/>
        <w:jc w:val="center"/>
        <w:rPr>
          <w:rFonts w:cs="David"/>
          <w:sz w:val="22"/>
          <w:szCs w:val="24"/>
          <w:rtl/>
          <w:lang w:eastAsia="en-US"/>
        </w:rPr>
      </w:pPr>
      <w:bookmarkStart w:id="10" w:name="PsakDin"/>
      <w:bookmarkEnd w:id="0"/>
      <w:r>
        <w:rPr>
          <w:rFonts w:cs="David"/>
          <w:sz w:val="22"/>
          <w:szCs w:val="24"/>
          <w:rtl/>
          <w:lang w:eastAsia="en-US"/>
        </w:rPr>
        <w:t>איתו – באופן חלקי מיוזמתן ומרצונן – הסתיימו שתיהן בדרך דומה, כאשר בכל אחד מן המקרים השיג</w:t>
      </w:r>
    </w:p>
    <w:bookmarkEnd w:id="10"/>
    <w:p w14:paraId="3C42C841"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 xml:space="preserve">הנאשם את מבוקשו שלא מרצונן החופשי של המתלוננות, ותוך שימוש בכח או באיום – שהפעיל על אותן מתלוננות. </w:t>
      </w:r>
    </w:p>
    <w:p w14:paraId="69093DBA" w14:textId="77777777" w:rsidR="007463DF" w:rsidRDefault="007463DF">
      <w:pPr>
        <w:spacing w:after="80" w:line="320" w:lineRule="exact"/>
        <w:ind w:firstLine="283"/>
        <w:rPr>
          <w:rFonts w:cs="David"/>
          <w:bCs w:val="0"/>
          <w:sz w:val="22"/>
          <w:szCs w:val="24"/>
          <w:rtl/>
          <w:lang w:eastAsia="en-US"/>
        </w:rPr>
      </w:pPr>
    </w:p>
    <w:p w14:paraId="2291F9CA"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 xml:space="preserve">אין ספק שהנאשם ניצל סיטואציה שנקרתה לו, בשני מקרים נפרדים – וביצע מעשים מגונים בלא הסכמה – לשם גרוי סיפוק או ביזוי מיני. </w:t>
      </w:r>
    </w:p>
    <w:p w14:paraId="55287F77" w14:textId="77777777" w:rsidR="007463DF" w:rsidRDefault="007463DF">
      <w:pPr>
        <w:spacing w:after="80" w:line="320" w:lineRule="exact"/>
        <w:ind w:firstLine="283"/>
        <w:rPr>
          <w:rFonts w:cs="David"/>
          <w:bCs w:val="0"/>
          <w:color w:val="FFFFFF"/>
          <w:sz w:val="4"/>
          <w:szCs w:val="4"/>
          <w:rtl/>
          <w:lang w:eastAsia="en-US"/>
        </w:rPr>
      </w:pPr>
      <w:r>
        <w:rPr>
          <w:rFonts w:cs="David"/>
          <w:bCs w:val="0"/>
          <w:color w:val="FFFFFF"/>
          <w:sz w:val="4"/>
          <w:szCs w:val="4"/>
          <w:rtl/>
          <w:lang w:eastAsia="en-US"/>
        </w:rPr>
        <w:t>5129371</w:t>
      </w:r>
    </w:p>
    <w:p w14:paraId="0DAEE435" w14:textId="77777777" w:rsidR="007463DF" w:rsidRDefault="007463DF">
      <w:pPr>
        <w:spacing w:after="80" w:line="320" w:lineRule="exact"/>
        <w:ind w:firstLine="283"/>
        <w:rPr>
          <w:rFonts w:cs="David"/>
          <w:bCs w:val="0"/>
          <w:sz w:val="22"/>
          <w:szCs w:val="24"/>
          <w:rtl/>
          <w:lang w:eastAsia="en-US"/>
        </w:rPr>
      </w:pPr>
      <w:r>
        <w:rPr>
          <w:rFonts w:cs="David"/>
          <w:bCs w:val="0"/>
          <w:color w:val="FFFFFF"/>
          <w:sz w:val="4"/>
          <w:szCs w:val="4"/>
          <w:rtl/>
          <w:lang w:eastAsia="en-US"/>
        </w:rPr>
        <w:t>5129371</w:t>
      </w:r>
      <w:r>
        <w:rPr>
          <w:rFonts w:cs="David"/>
          <w:bCs w:val="0"/>
          <w:sz w:val="22"/>
          <w:szCs w:val="24"/>
          <w:rtl/>
          <w:lang w:eastAsia="en-US"/>
        </w:rPr>
        <w:t xml:space="preserve">אין ספק – שהמעשים גלשו מעבר לנהוג בין צעירים, ובנסיבות הזמן והמקום – חשו המתלוננות מאויימות, גם אם בתחילה הסכימו לפגישה, ואולי ציפו שלא תהא זו בבחינת "שיח גלריה", אין לי ספק שלא תכננו להגרר בכח ובלא שתחפוצנה לסיטואציה מינית. </w:t>
      </w:r>
    </w:p>
    <w:p w14:paraId="09756EEB" w14:textId="77777777" w:rsidR="007463DF" w:rsidRDefault="007463DF">
      <w:pPr>
        <w:spacing w:after="80" w:line="320" w:lineRule="exact"/>
        <w:ind w:firstLine="283"/>
        <w:rPr>
          <w:rFonts w:cs="David"/>
          <w:bCs w:val="0"/>
          <w:sz w:val="22"/>
          <w:szCs w:val="24"/>
          <w:rtl/>
          <w:lang w:eastAsia="en-US"/>
        </w:rPr>
      </w:pPr>
    </w:p>
    <w:p w14:paraId="792CE08B"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גם נסיבות מסירת התלונות – באיחור או בשל חשיפת התנהגות שלא בהתאם לכללי הפנימיה – אין בהן לשכנעני שיש מקום להמנע מהרשעתו של הנאשם.</w:t>
      </w:r>
      <w:r>
        <w:rPr>
          <w:rFonts w:cs="David"/>
          <w:bCs w:val="0"/>
          <w:color w:val="FFFFFF"/>
          <w:sz w:val="4"/>
          <w:szCs w:val="4"/>
          <w:rtl/>
          <w:lang w:eastAsia="en-US"/>
        </w:rPr>
        <w:t>נ</w:t>
      </w:r>
    </w:p>
    <w:p w14:paraId="49AF3705" w14:textId="77777777" w:rsidR="007463DF" w:rsidRDefault="007463DF">
      <w:pPr>
        <w:spacing w:after="80" w:line="320" w:lineRule="exact"/>
        <w:ind w:firstLine="283"/>
        <w:rPr>
          <w:rFonts w:cs="David"/>
          <w:bCs w:val="0"/>
          <w:sz w:val="22"/>
          <w:szCs w:val="24"/>
          <w:rtl/>
          <w:lang w:eastAsia="en-US"/>
        </w:rPr>
      </w:pPr>
    </w:p>
    <w:p w14:paraId="61DEA4D7"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 xml:space="preserve">לפיכך – ומשלא שוכנעתי שהרשעה עלולה לפגוע בו יתר על המידה, יחסית לטיב העבירות, כדי לשמור על שויון בפני הדין ולהשיג את מטרת ההרתעה שבענישה – ובשל החשש הטמון בתסקיר – מוצאת אני להרשיע את הנאשם, בשתי עבירות לפי </w:t>
      </w:r>
      <w:hyperlink r:id="rId12" w:history="1">
        <w:r w:rsidR="009E7562" w:rsidRPr="009E7562">
          <w:rPr>
            <w:rFonts w:cs="David"/>
            <w:bCs w:val="0"/>
            <w:color w:val="0000FF"/>
            <w:sz w:val="22"/>
            <w:szCs w:val="24"/>
            <w:u w:val="single"/>
            <w:rtl/>
            <w:lang w:eastAsia="en-US"/>
          </w:rPr>
          <w:t>סעיף 348 (ג)</w:t>
        </w:r>
      </w:hyperlink>
      <w:r>
        <w:rPr>
          <w:rFonts w:cs="David"/>
          <w:bCs w:val="0"/>
          <w:sz w:val="22"/>
          <w:szCs w:val="24"/>
          <w:rtl/>
          <w:lang w:eastAsia="en-US"/>
        </w:rPr>
        <w:t xml:space="preserve"> ל</w:t>
      </w:r>
      <w:hyperlink r:id="rId13" w:history="1">
        <w:r w:rsidR="00973D62" w:rsidRPr="00973D62">
          <w:rPr>
            <w:rStyle w:val="Hyperlink"/>
            <w:rFonts w:cs="David"/>
            <w:bCs w:val="0"/>
            <w:sz w:val="22"/>
            <w:szCs w:val="24"/>
            <w:rtl/>
            <w:lang w:eastAsia="en-US"/>
          </w:rPr>
          <w:t>חוק העונשין</w:t>
        </w:r>
      </w:hyperlink>
      <w:r>
        <w:rPr>
          <w:rFonts w:cs="David"/>
          <w:bCs w:val="0"/>
          <w:sz w:val="22"/>
          <w:szCs w:val="24"/>
          <w:rtl/>
          <w:lang w:eastAsia="en-US"/>
        </w:rPr>
        <w:t xml:space="preserve">, התשל"ז – 1977. </w:t>
      </w:r>
    </w:p>
    <w:p w14:paraId="3566A6C5" w14:textId="77777777" w:rsidR="007463DF" w:rsidRDefault="007463DF">
      <w:pPr>
        <w:spacing w:after="80" w:line="320" w:lineRule="exact"/>
        <w:ind w:firstLine="283"/>
        <w:rPr>
          <w:rFonts w:cs="David"/>
          <w:bCs w:val="0"/>
          <w:sz w:val="22"/>
          <w:szCs w:val="24"/>
          <w:rtl/>
          <w:lang w:eastAsia="en-US"/>
        </w:rPr>
      </w:pPr>
    </w:p>
    <w:p w14:paraId="3E18A52A"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ענין אחר הוא העונש הראוי לנאשם זה.</w:t>
      </w:r>
      <w:r>
        <w:rPr>
          <w:rFonts w:cs="David"/>
          <w:bCs w:val="0"/>
          <w:color w:val="FFFFFF"/>
          <w:sz w:val="4"/>
          <w:szCs w:val="4"/>
          <w:rtl/>
          <w:lang w:eastAsia="en-US"/>
        </w:rPr>
        <w:t>ב</w:t>
      </w:r>
    </w:p>
    <w:p w14:paraId="52850EAE" w14:textId="77777777" w:rsidR="007463DF" w:rsidRDefault="007463DF">
      <w:pPr>
        <w:spacing w:after="80" w:line="320" w:lineRule="exact"/>
        <w:ind w:firstLine="283"/>
        <w:rPr>
          <w:rFonts w:cs="David"/>
          <w:bCs w:val="0"/>
          <w:sz w:val="22"/>
          <w:szCs w:val="24"/>
          <w:rtl/>
          <w:lang w:eastAsia="en-US"/>
        </w:rPr>
      </w:pPr>
    </w:p>
    <w:p w14:paraId="5590FB8E"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כאן – לוקחת אני בחשבון את הנסיבות שנפגש עם הנערות, את העובדה שהמתלוננת השניה נפגשה איתו בחפץ לב, והמתלוננת הראשונה לא התלוננה על מעשיו בפני איש, את הודייתו והחסכון בזמן שיפוטי ואת האיום המינורי שהשיג היעד – עוד נשיקה מבחורה.</w:t>
      </w:r>
      <w:r>
        <w:rPr>
          <w:rFonts w:cs="David"/>
          <w:bCs w:val="0"/>
          <w:color w:val="FFFFFF"/>
          <w:sz w:val="4"/>
          <w:szCs w:val="4"/>
          <w:rtl/>
          <w:lang w:eastAsia="en-US"/>
        </w:rPr>
        <w:t>ו</w:t>
      </w:r>
    </w:p>
    <w:p w14:paraId="360F6854" w14:textId="77777777" w:rsidR="007463DF" w:rsidRDefault="007463DF">
      <w:pPr>
        <w:spacing w:after="80" w:line="320" w:lineRule="exact"/>
        <w:ind w:firstLine="283"/>
        <w:rPr>
          <w:rFonts w:cs="David"/>
          <w:bCs w:val="0"/>
          <w:sz w:val="22"/>
          <w:szCs w:val="24"/>
          <w:rtl/>
          <w:lang w:eastAsia="en-US"/>
        </w:rPr>
      </w:pPr>
    </w:p>
    <w:p w14:paraId="08222E05"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 xml:space="preserve">איני סבורה שבמקרה מסוג זה רק מאסר ישיג את מטרת ההרתעה, ואת המסר הברור שיש לשגר לציבור, על מנת שתינתן הגנה לנערות צעירות ושלא תפגענה בנסיבות דומות. </w:t>
      </w:r>
    </w:p>
    <w:p w14:paraId="224C1E94" w14:textId="77777777" w:rsidR="007463DF" w:rsidRDefault="007463DF">
      <w:pPr>
        <w:spacing w:after="80" w:line="320" w:lineRule="exact"/>
        <w:ind w:firstLine="283"/>
        <w:rPr>
          <w:rFonts w:cs="David"/>
          <w:bCs w:val="0"/>
          <w:sz w:val="22"/>
          <w:szCs w:val="24"/>
          <w:rtl/>
          <w:lang w:eastAsia="en-US"/>
        </w:rPr>
      </w:pPr>
    </w:p>
    <w:p w14:paraId="5D3DE669"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אשר לי עונש מרתיע מכביד , ישיג את מטרת הענישה וההרתעה טוב יותר מעונש ממשי, במקרה זה.</w:t>
      </w:r>
      <w:r>
        <w:rPr>
          <w:rFonts w:cs="David"/>
          <w:bCs w:val="0"/>
          <w:color w:val="FFFFFF"/>
          <w:sz w:val="4"/>
          <w:szCs w:val="4"/>
          <w:rtl/>
          <w:lang w:eastAsia="en-US"/>
        </w:rPr>
        <w:t>נ</w:t>
      </w:r>
    </w:p>
    <w:p w14:paraId="2ABD3166" w14:textId="77777777" w:rsidR="007463DF" w:rsidRDefault="007463DF">
      <w:pPr>
        <w:spacing w:after="80" w:line="320" w:lineRule="exact"/>
        <w:ind w:firstLine="283"/>
        <w:rPr>
          <w:rFonts w:cs="David"/>
          <w:bCs w:val="0"/>
          <w:sz w:val="22"/>
          <w:szCs w:val="24"/>
          <w:rtl/>
          <w:lang w:eastAsia="en-US"/>
        </w:rPr>
      </w:pPr>
    </w:p>
    <w:p w14:paraId="371CD512"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לפיכך מוצאת אני להטיל על הנאשם 12 חודשי מאסר, אותם לא יישא אלא אם כן  תוך 3 שנים מהיום יעבור על העבירה בה הורשע.</w:t>
      </w:r>
      <w:r>
        <w:rPr>
          <w:rFonts w:cs="David"/>
          <w:bCs w:val="0"/>
          <w:color w:val="FFFFFF"/>
          <w:sz w:val="4"/>
          <w:szCs w:val="4"/>
          <w:rtl/>
          <w:lang w:eastAsia="en-US"/>
        </w:rPr>
        <w:t>ב</w:t>
      </w:r>
    </w:p>
    <w:p w14:paraId="6826E429" w14:textId="77777777" w:rsidR="007463DF" w:rsidRDefault="007463DF">
      <w:pPr>
        <w:spacing w:after="80" w:line="320" w:lineRule="exact"/>
        <w:ind w:firstLine="283"/>
        <w:rPr>
          <w:rFonts w:cs="David"/>
          <w:bCs w:val="0"/>
          <w:sz w:val="22"/>
          <w:szCs w:val="24"/>
          <w:rtl/>
          <w:lang w:eastAsia="en-US"/>
        </w:rPr>
      </w:pPr>
    </w:p>
    <w:p w14:paraId="370BE3D1"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 xml:space="preserve">חלוקה אני בדעתי עם שרות המבחן, שנמנע במקרה זה מהמלצה טיפולית. </w:t>
      </w:r>
    </w:p>
    <w:p w14:paraId="5E2FAA7B" w14:textId="77777777" w:rsidR="007463DF" w:rsidRDefault="007463DF">
      <w:pPr>
        <w:spacing w:after="80" w:line="320" w:lineRule="exact"/>
        <w:ind w:firstLine="283"/>
        <w:rPr>
          <w:rFonts w:cs="David"/>
          <w:bCs w:val="0"/>
          <w:sz w:val="22"/>
          <w:szCs w:val="24"/>
          <w:rtl/>
          <w:lang w:eastAsia="en-US"/>
        </w:rPr>
      </w:pPr>
    </w:p>
    <w:p w14:paraId="65AC1D8D"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כאמור, הפגישות עם הנאשם היו קצרות ולא הונח יסוד ליחסי אמון בין קצין המבחן לנאשם.</w:t>
      </w:r>
      <w:r>
        <w:rPr>
          <w:rFonts w:cs="David"/>
          <w:bCs w:val="0"/>
          <w:color w:val="FFFFFF"/>
          <w:sz w:val="4"/>
          <w:szCs w:val="4"/>
          <w:rtl/>
          <w:lang w:eastAsia="en-US"/>
        </w:rPr>
        <w:t>ו</w:t>
      </w:r>
    </w:p>
    <w:p w14:paraId="16F6A781" w14:textId="77777777" w:rsidR="007463DF" w:rsidRDefault="007463DF">
      <w:pPr>
        <w:spacing w:after="80" w:line="320" w:lineRule="exact"/>
        <w:ind w:firstLine="283"/>
        <w:rPr>
          <w:rFonts w:cs="David"/>
          <w:bCs w:val="0"/>
          <w:sz w:val="22"/>
          <w:szCs w:val="24"/>
          <w:rtl/>
          <w:lang w:eastAsia="en-US"/>
        </w:rPr>
      </w:pPr>
    </w:p>
    <w:p w14:paraId="0F84CE51"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דווקא על סמך האמור בתסקיר, ובהתחשב בסוג המעשים בו הודה הנאשם ובתפקודו הנורמטיבי בדרך –כלל, יש מקום להעמדתו במבחן שמא ירכוש כך – בשלבים – כלים נאותים להתמודד עם הקורה אתו בחייו.</w:t>
      </w:r>
      <w:r>
        <w:rPr>
          <w:rFonts w:cs="David"/>
          <w:bCs w:val="0"/>
          <w:color w:val="FFFFFF"/>
          <w:sz w:val="4"/>
          <w:szCs w:val="4"/>
          <w:rtl/>
          <w:lang w:eastAsia="en-US"/>
        </w:rPr>
        <w:t>נ</w:t>
      </w:r>
    </w:p>
    <w:p w14:paraId="74EBB3B8" w14:textId="77777777" w:rsidR="007463DF" w:rsidRDefault="007463DF">
      <w:pPr>
        <w:spacing w:after="80" w:line="320" w:lineRule="exact"/>
        <w:ind w:firstLine="283"/>
        <w:rPr>
          <w:rFonts w:cs="David"/>
          <w:bCs w:val="0"/>
          <w:sz w:val="22"/>
          <w:szCs w:val="24"/>
          <w:rtl/>
          <w:lang w:eastAsia="en-US"/>
        </w:rPr>
      </w:pPr>
    </w:p>
    <w:p w14:paraId="115A7FD3"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 xml:space="preserve">לפיכך – קובעת אני – כי בנוסף למאסר על תנאי, יעמוד לפיקוח של שרות המבחן למשך שנה מהיום, ומדי – 4 – חודשים יתקבל תסקיר מעקב לתיק ביהמ"ש. </w:t>
      </w:r>
    </w:p>
    <w:p w14:paraId="57E67D5E" w14:textId="77777777" w:rsidR="007463DF" w:rsidRDefault="007463DF">
      <w:pPr>
        <w:spacing w:after="80" w:line="320" w:lineRule="exact"/>
        <w:ind w:firstLine="283"/>
        <w:rPr>
          <w:rFonts w:cs="David"/>
          <w:bCs w:val="0"/>
          <w:sz w:val="22"/>
          <w:szCs w:val="24"/>
          <w:rtl/>
          <w:lang w:eastAsia="en-US"/>
        </w:rPr>
      </w:pPr>
    </w:p>
    <w:p w14:paraId="4064766F"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איני סבורה שיש הצדקה להטיל על הנאשם קנס במקרה זה, ודי בחתימת התחייבות בגובה 2,500 ₪ שתוקפה לשלוש שנים מהיום, שלא יעבור העבירה בה הורשע.</w:t>
      </w:r>
      <w:r>
        <w:rPr>
          <w:rFonts w:cs="David"/>
          <w:bCs w:val="0"/>
          <w:color w:val="FFFFFF"/>
          <w:sz w:val="4"/>
          <w:szCs w:val="4"/>
          <w:rtl/>
          <w:lang w:eastAsia="en-US"/>
        </w:rPr>
        <w:t>ב</w:t>
      </w:r>
    </w:p>
    <w:p w14:paraId="692060C1" w14:textId="77777777" w:rsidR="007463DF" w:rsidRDefault="007463DF">
      <w:pPr>
        <w:spacing w:after="80" w:line="320" w:lineRule="exact"/>
        <w:ind w:firstLine="283"/>
        <w:rPr>
          <w:rFonts w:cs="David"/>
          <w:bCs w:val="0"/>
          <w:sz w:val="22"/>
          <w:szCs w:val="24"/>
          <w:rtl/>
          <w:lang w:eastAsia="en-US"/>
        </w:rPr>
      </w:pPr>
    </w:p>
    <w:p w14:paraId="1A2CC38D"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לא תחתם ההתחייבות – ירצה 7 ימי מאסר.</w:t>
      </w:r>
      <w:r>
        <w:rPr>
          <w:rFonts w:cs="David"/>
          <w:bCs w:val="0"/>
          <w:color w:val="FFFFFF"/>
          <w:sz w:val="4"/>
          <w:szCs w:val="4"/>
          <w:rtl/>
          <w:lang w:eastAsia="en-US"/>
        </w:rPr>
        <w:t>ו</w:t>
      </w:r>
    </w:p>
    <w:p w14:paraId="4256C03B" w14:textId="77777777" w:rsidR="007463DF" w:rsidRDefault="007463DF">
      <w:pPr>
        <w:spacing w:after="80" w:line="320" w:lineRule="exact"/>
        <w:ind w:firstLine="283"/>
        <w:rPr>
          <w:rFonts w:cs="David"/>
          <w:bCs w:val="0"/>
          <w:sz w:val="22"/>
          <w:szCs w:val="24"/>
          <w:rtl/>
          <w:lang w:eastAsia="en-US"/>
        </w:rPr>
      </w:pPr>
    </w:p>
    <w:p w14:paraId="15196044"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סבורה הייתי כי היה טעם לשקול  פיצוי למתלוננות, אך משלא התבקשתי לעשות כך – אני נמנעת מלחייב בהוצאות.</w:t>
      </w:r>
      <w:r>
        <w:rPr>
          <w:rFonts w:cs="David"/>
          <w:bCs w:val="0"/>
          <w:color w:val="FFFFFF"/>
          <w:sz w:val="4"/>
          <w:szCs w:val="4"/>
          <w:rtl/>
          <w:lang w:eastAsia="en-US"/>
        </w:rPr>
        <w:t>נ</w:t>
      </w:r>
    </w:p>
    <w:p w14:paraId="098ED976" w14:textId="77777777" w:rsidR="007463DF" w:rsidRDefault="007463DF">
      <w:pPr>
        <w:spacing w:after="80" w:line="320" w:lineRule="exact"/>
        <w:ind w:firstLine="283"/>
        <w:rPr>
          <w:rFonts w:cs="David"/>
          <w:bCs w:val="0"/>
          <w:sz w:val="22"/>
          <w:szCs w:val="24"/>
          <w:rtl/>
          <w:lang w:eastAsia="en-US"/>
        </w:rPr>
      </w:pPr>
    </w:p>
    <w:p w14:paraId="483945A7" w14:textId="77777777" w:rsidR="007463DF" w:rsidRDefault="007463DF">
      <w:pPr>
        <w:spacing w:after="80" w:line="320" w:lineRule="exact"/>
        <w:ind w:firstLine="283"/>
        <w:rPr>
          <w:rFonts w:cs="David"/>
          <w:bCs w:val="0"/>
          <w:sz w:val="22"/>
          <w:szCs w:val="24"/>
          <w:rtl/>
          <w:lang w:eastAsia="en-US"/>
        </w:rPr>
      </w:pPr>
      <w:r>
        <w:rPr>
          <w:rFonts w:cs="David"/>
          <w:bCs w:val="0"/>
          <w:sz w:val="22"/>
          <w:szCs w:val="24"/>
          <w:rtl/>
          <w:lang w:eastAsia="en-US"/>
        </w:rPr>
        <w:t xml:space="preserve">מקווה אני – שהענישה כאן תשיג יעדיה – והנאשם לא יסתבך שוב עם החוק ולא תפגע פרנסתו. </w:t>
      </w:r>
    </w:p>
    <w:p w14:paraId="583203F0" w14:textId="77777777" w:rsidR="007463DF" w:rsidRDefault="007463DF">
      <w:pPr>
        <w:spacing w:after="80" w:line="320" w:lineRule="exact"/>
        <w:ind w:firstLine="283"/>
        <w:rPr>
          <w:rFonts w:cs="David"/>
          <w:bCs w:val="0"/>
          <w:sz w:val="22"/>
          <w:szCs w:val="24"/>
          <w:rtl/>
          <w:lang w:eastAsia="en-US"/>
        </w:rPr>
      </w:pPr>
    </w:p>
    <w:p w14:paraId="11CDFA16" w14:textId="77777777" w:rsidR="007463DF" w:rsidRDefault="007463DF">
      <w:pPr>
        <w:spacing w:after="80" w:line="320" w:lineRule="exact"/>
        <w:ind w:firstLine="283"/>
        <w:rPr>
          <w:rFonts w:cs="David"/>
          <w:bCs w:val="0"/>
          <w:sz w:val="22"/>
          <w:szCs w:val="24"/>
          <w:rtl/>
          <w:lang w:eastAsia="en-US"/>
        </w:rPr>
      </w:pPr>
      <w:r>
        <w:rPr>
          <w:rFonts w:cs="David"/>
          <w:b/>
          <w:sz w:val="22"/>
          <w:szCs w:val="24"/>
          <w:u w:val="single"/>
          <w:rtl/>
          <w:lang w:eastAsia="en-US"/>
        </w:rPr>
        <w:t>זכות ערעור תוך 45 יום לביהמ"ש המחוזי</w:t>
      </w:r>
      <w:r>
        <w:rPr>
          <w:rFonts w:cs="David"/>
          <w:bCs w:val="0"/>
          <w:sz w:val="22"/>
          <w:szCs w:val="24"/>
          <w:rtl/>
          <w:lang w:eastAsia="en-US"/>
        </w:rPr>
        <w:t xml:space="preserve">. </w:t>
      </w:r>
    </w:p>
    <w:p w14:paraId="25FFE70D" w14:textId="77777777" w:rsidR="007463DF" w:rsidRDefault="007463DF">
      <w:pPr>
        <w:spacing w:after="80" w:line="320" w:lineRule="exact"/>
        <w:ind w:firstLine="283"/>
        <w:rPr>
          <w:rFonts w:cs="David"/>
          <w:b/>
          <w:bCs w:val="0"/>
          <w:sz w:val="22"/>
          <w:szCs w:val="24"/>
          <w:rtl/>
        </w:rPr>
      </w:pPr>
      <w:bookmarkStart w:id="11" w:name="Decision1"/>
    </w:p>
    <w:p w14:paraId="654F9505" w14:textId="77777777" w:rsidR="007463DF" w:rsidRDefault="007463DF">
      <w:pPr>
        <w:spacing w:after="80" w:line="320" w:lineRule="exact"/>
        <w:ind w:firstLine="283"/>
        <w:rPr>
          <w:rFonts w:cs="David"/>
          <w:b/>
          <w:bCs w:val="0"/>
          <w:sz w:val="22"/>
          <w:szCs w:val="24"/>
          <w:rtl/>
        </w:rPr>
      </w:pPr>
      <w:r>
        <w:rPr>
          <w:rFonts w:cs="David"/>
          <w:b/>
          <w:bCs w:val="0"/>
          <w:sz w:val="22"/>
          <w:szCs w:val="24"/>
          <w:rtl/>
        </w:rPr>
        <w:t>ניתנה היום ט"ו בכסלו, תשס"ד (10 בדצמבר 2003) במעמד הצדדים.</w:t>
      </w:r>
      <w:r>
        <w:rPr>
          <w:rFonts w:cs="David"/>
          <w:b/>
          <w:bCs w:val="0"/>
          <w:color w:val="FFFFFF"/>
          <w:sz w:val="4"/>
          <w:szCs w:val="4"/>
          <w:rtl/>
        </w:rPr>
        <w:t>ב</w:t>
      </w:r>
    </w:p>
    <w:p w14:paraId="3914BC9B" w14:textId="77777777" w:rsidR="007463DF" w:rsidRDefault="007463DF">
      <w:pPr>
        <w:spacing w:after="80" w:line="320" w:lineRule="exact"/>
        <w:ind w:firstLine="283"/>
        <w:rPr>
          <w:rFonts w:cs="David"/>
          <w:sz w:val="22"/>
          <w:szCs w:val="24"/>
          <w:rtl/>
        </w:rPr>
      </w:pPr>
      <w:r>
        <w:rPr>
          <w:rFonts w:cs="David"/>
          <w:sz w:val="22"/>
          <w:szCs w:val="24"/>
          <w:rtl/>
        </w:rPr>
        <w:t xml:space="preserve">                                                                                </w:t>
      </w:r>
    </w:p>
    <w:tbl>
      <w:tblPr>
        <w:tblW w:w="0" w:type="auto"/>
        <w:tblInd w:w="6153" w:type="dxa"/>
        <w:tblBorders>
          <w:top w:val="single" w:sz="4" w:space="0" w:color="auto"/>
        </w:tblBorders>
        <w:tblLook w:val="0000" w:firstRow="0" w:lastRow="0" w:firstColumn="0" w:lastColumn="0" w:noHBand="0" w:noVBand="0"/>
      </w:tblPr>
      <w:tblGrid>
        <w:gridCol w:w="2376"/>
      </w:tblGrid>
      <w:tr w:rsidR="007463DF" w14:paraId="3367E3F0" w14:textId="77777777">
        <w:tc>
          <w:tcPr>
            <w:tcW w:w="2376" w:type="dxa"/>
            <w:tcBorders>
              <w:top w:val="single" w:sz="4" w:space="0" w:color="auto"/>
              <w:left w:val="nil"/>
              <w:bottom w:val="nil"/>
              <w:right w:val="nil"/>
            </w:tcBorders>
          </w:tcPr>
          <w:p w14:paraId="6B944D57" w14:textId="77777777" w:rsidR="007463DF" w:rsidRDefault="007463DF">
            <w:pPr>
              <w:spacing w:after="80" w:line="320" w:lineRule="exact"/>
              <w:ind w:firstLine="283"/>
              <w:rPr>
                <w:rFonts w:cs="David"/>
                <w:b/>
                <w:bCs w:val="0"/>
                <w:sz w:val="22"/>
                <w:szCs w:val="24"/>
              </w:rPr>
            </w:pPr>
            <w:r>
              <w:rPr>
                <w:rFonts w:cs="David"/>
                <w:b/>
                <w:bCs w:val="0"/>
                <w:sz w:val="22"/>
                <w:szCs w:val="24"/>
                <w:rtl/>
              </w:rPr>
              <w:t>ליה לב און, שופטת</w:t>
            </w:r>
          </w:p>
        </w:tc>
      </w:tr>
      <w:bookmarkEnd w:id="11"/>
    </w:tbl>
    <w:p w14:paraId="33A0463B" w14:textId="77777777" w:rsidR="007463DF" w:rsidRDefault="007463DF">
      <w:pPr>
        <w:spacing w:after="80" w:line="320" w:lineRule="exact"/>
        <w:ind w:firstLine="283"/>
        <w:rPr>
          <w:rFonts w:cs="David" w:hint="cs"/>
          <w:sz w:val="22"/>
          <w:szCs w:val="24"/>
          <w:rtl/>
        </w:rPr>
      </w:pPr>
    </w:p>
    <w:p w14:paraId="26B30952" w14:textId="77777777" w:rsidR="007463DF" w:rsidRDefault="007463DF">
      <w:pPr>
        <w:spacing w:after="80" w:line="320" w:lineRule="exact"/>
        <w:ind w:firstLine="283"/>
        <w:rPr>
          <w:rFonts w:cs="David"/>
          <w:sz w:val="22"/>
          <w:szCs w:val="24"/>
          <w:rtl/>
        </w:rPr>
      </w:pPr>
      <w:r>
        <w:rPr>
          <w:rFonts w:cs="David"/>
          <w:sz w:val="22"/>
          <w:szCs w:val="24"/>
          <w:rtl/>
        </w:rPr>
        <w:t>נוסח זה כפוף לשינויי עריכה וניסוח</w:t>
      </w:r>
    </w:p>
    <w:sectPr w:rsidR="007463DF">
      <w:headerReference w:type="even" r:id="rId14"/>
      <w:headerReference w:type="default" r:id="rId15"/>
      <w:footerReference w:type="even" r:id="rId16"/>
      <w:footerReference w:type="default" r:id="rId17"/>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39D17" w14:textId="77777777" w:rsidR="007F2957" w:rsidRDefault="007F2957">
      <w:pPr>
        <w:spacing w:line="240" w:lineRule="auto"/>
      </w:pPr>
      <w:r>
        <w:separator/>
      </w:r>
    </w:p>
  </w:endnote>
  <w:endnote w:type="continuationSeparator" w:id="0">
    <w:p w14:paraId="40A3BDE2" w14:textId="77777777" w:rsidR="007F2957" w:rsidRDefault="007F29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uttman Adii">
    <w:altName w:val="Arial"/>
    <w:charset w:val="B1"/>
    <w:family w:val="auto"/>
    <w:pitch w:val="variable"/>
    <w:sig w:usb0="00001801" w:usb1="4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7BC35" w14:textId="77777777" w:rsidR="001E6A86" w:rsidRDefault="001E6A8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w:t>
    </w:r>
    <w:r>
      <w:rPr>
        <w:rFonts w:hAnsi="FrankRuehl" w:cs="FrankRuehl"/>
        <w:sz w:val="24"/>
        <w:rtl/>
      </w:rPr>
      <w:fldChar w:fldCharType="end"/>
    </w:r>
  </w:p>
  <w:p w14:paraId="07DC3538" w14:textId="77777777" w:rsidR="001E6A86" w:rsidRDefault="001E6A8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5F2517A" w14:textId="77777777" w:rsidR="001E6A86" w:rsidRDefault="001E6A8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M:\00000000\03-12-11\ps-all\2-anat\OutDoc\s02002015-15.doc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8CA79" w14:textId="77777777" w:rsidR="001E6A86" w:rsidRDefault="001E6A86">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07450D">
      <w:rPr>
        <w:rFonts w:hAnsi="FrankRuehl" w:cs="FrankRuehl"/>
        <w:noProof/>
        <w:sz w:val="24"/>
        <w:rtl/>
      </w:rPr>
      <w:t>1</w:t>
    </w:r>
    <w:r>
      <w:rPr>
        <w:rFonts w:hAnsi="FrankRuehl" w:cs="FrankRuehl"/>
        <w:sz w:val="24"/>
        <w:rtl/>
      </w:rPr>
      <w:fldChar w:fldCharType="end"/>
    </w:r>
  </w:p>
  <w:p w14:paraId="332C53D5" w14:textId="77777777" w:rsidR="001E6A86" w:rsidRDefault="001E6A86">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698DDFB" w14:textId="77777777" w:rsidR="001E6A86" w:rsidRDefault="001E6A86">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M:\00000000\03-12-11\ps-all\2-anat\OutDoc\s02002015-15.doc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957FF" w14:textId="77777777" w:rsidR="007F2957" w:rsidRDefault="007F2957">
      <w:pPr>
        <w:spacing w:line="240" w:lineRule="auto"/>
      </w:pPr>
      <w:r>
        <w:separator/>
      </w:r>
    </w:p>
  </w:footnote>
  <w:footnote w:type="continuationSeparator" w:id="0">
    <w:p w14:paraId="5075BC8E" w14:textId="77777777" w:rsidR="007F2957" w:rsidRDefault="007F29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6578" w14:textId="77777777" w:rsidR="001E6A86" w:rsidRDefault="001E6A86">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(פ"ת) 2015/02</w:t>
    </w:r>
    <w:r>
      <w:rPr>
        <w:rFonts w:hAnsi="David"/>
        <w:color w:val="000000"/>
        <w:sz w:val="22"/>
        <w:szCs w:val="22"/>
        <w:rtl/>
      </w:rPr>
      <w:tab/>
      <w:t xml:space="preserve"> מדינת ישראל נ' מוסזון חנן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0856E" w14:textId="77777777" w:rsidR="001E6A86" w:rsidRDefault="001E6A86">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(פ"ת) 2015/02</w:t>
    </w:r>
    <w:r>
      <w:rPr>
        <w:rFonts w:hAnsi="David"/>
        <w:color w:val="000000"/>
        <w:sz w:val="22"/>
        <w:szCs w:val="22"/>
        <w:rtl/>
      </w:rPr>
      <w:tab/>
      <w:t xml:space="preserve"> מדינת ישראל נ' מוסזון חנן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0F6B81"/>
    <w:rsid w:val="0007450D"/>
    <w:rsid w:val="000F6B81"/>
    <w:rsid w:val="001E6A86"/>
    <w:rsid w:val="002F0B64"/>
    <w:rsid w:val="007463DF"/>
    <w:rsid w:val="007C45B2"/>
    <w:rsid w:val="007F2957"/>
    <w:rsid w:val="00904033"/>
    <w:rsid w:val="00973D62"/>
    <w:rsid w:val="009E7562"/>
    <w:rsid w:val="00D86461"/>
    <w:rsid w:val="00FB3C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1DAB82E"/>
  <w15:chartTrackingRefBased/>
  <w15:docId w15:val="{C1FB18BB-33CF-468A-B522-00AA0FB4E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Guttman Adii"/>
      <w:bCs/>
      <w:szCs w:val="26"/>
      <w:lang w:eastAsia="he-IL"/>
    </w:rPr>
  </w:style>
  <w:style w:type="paragraph" w:styleId="Heading1">
    <w:name w:val="heading 1"/>
    <w:basedOn w:val="Normal"/>
    <w:next w:val="Normal"/>
    <w:qFormat/>
    <w:pPr>
      <w:keepNext/>
      <w:outlineLvl w:val="0"/>
    </w:pPr>
    <w:rPr>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cs="David"/>
      <w:b/>
      <w:bCs w:val="0"/>
      <w:sz w:val="24"/>
      <w:szCs w:val="28"/>
      <w:u w:val="single"/>
    </w:rPr>
  </w:style>
  <w:style w:type="paragraph" w:styleId="Heading3">
    <w:name w:val="heading 3"/>
    <w:basedOn w:val="Normal"/>
    <w:next w:val="Normal"/>
    <w:qFormat/>
    <w:pPr>
      <w:keepNext/>
      <w:jc w:val="center"/>
      <w:outlineLvl w:val="2"/>
    </w:pPr>
  </w:style>
  <w:style w:type="paragraph" w:styleId="Heading4">
    <w:name w:val="heading 4"/>
    <w:basedOn w:val="Normal"/>
    <w:next w:val="Normal"/>
    <w:qFormat/>
    <w:pPr>
      <w:keepNext/>
      <w:outlineLvl w:val="3"/>
    </w:pPr>
    <w:rPr>
      <w:b/>
      <w:sz w:val="22"/>
      <w:szCs w:val="22"/>
      <w:lang w:eastAsia="en-US"/>
    </w:rPr>
  </w:style>
  <w:style w:type="paragraph" w:styleId="Heading5">
    <w:name w:val="heading 5"/>
    <w:basedOn w:val="Normal"/>
    <w:next w:val="Normal"/>
    <w:qFormat/>
    <w:pPr>
      <w:keepNext/>
      <w:outlineLvl w:val="4"/>
    </w:pPr>
    <w:rPr>
      <w:rFonts w:ascii="Arial" w:hAnsi="Arial" w:cs="Arial"/>
      <w:bCs w:val="0"/>
      <w:u w:val="single"/>
      <w:lang w:eastAsia="en-US"/>
    </w:rPr>
  </w:style>
  <w:style w:type="paragraph" w:styleId="Heading6">
    <w:name w:val="heading 6"/>
    <w:basedOn w:val="Normal"/>
    <w:next w:val="Normal"/>
    <w:qFormat/>
    <w:pPr>
      <w:keepNext/>
      <w:outlineLvl w:val="5"/>
    </w:pPr>
    <w:rPr>
      <w:rFonts w:ascii="Arial" w:hAnsi="Arial" w:cs="Arial"/>
      <w:bCs w:val="0"/>
      <w:u w:val="double"/>
      <w:lang w:eastAsia="en-US"/>
    </w:rPr>
  </w:style>
  <w:style w:type="paragraph" w:styleId="Heading7">
    <w:name w:val="heading 7"/>
    <w:basedOn w:val="Normal"/>
    <w:next w:val="Normal"/>
    <w:qFormat/>
    <w:pPr>
      <w:keepNext/>
      <w:outlineLvl w:val="6"/>
    </w:pPr>
    <w:rPr>
      <w:rFonts w:ascii="Arial" w:hAnsi="Arial" w:cs="Arial"/>
      <w:bCs w:val="0"/>
      <w:u w:val="double"/>
      <w:lang w:eastAsia="en-US"/>
    </w:rPr>
  </w:style>
  <w:style w:type="paragraph" w:styleId="Heading8">
    <w:name w:val="heading 8"/>
    <w:basedOn w:val="Normal"/>
    <w:next w:val="Normal"/>
    <w:qFormat/>
    <w:pPr>
      <w:keepNext/>
      <w:spacing w:after="80" w:line="320" w:lineRule="exact"/>
      <w:ind w:firstLine="283"/>
      <w:jc w:val="center"/>
      <w:outlineLvl w:val="7"/>
    </w:pPr>
    <w:rPr>
      <w:rFonts w:cs="David"/>
      <w:b/>
      <w:sz w:val="22"/>
      <w:szCs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rFonts w:cs="David"/>
      <w:szCs w:val="24"/>
    </w:rPr>
  </w:style>
  <w:style w:type="paragraph" w:styleId="Footer">
    <w:name w:val="footer"/>
    <w:basedOn w:val="Normal"/>
    <w:semiHidden/>
    <w:pPr>
      <w:tabs>
        <w:tab w:val="center" w:pos="4153"/>
        <w:tab w:val="right" w:pos="8306"/>
      </w:tabs>
      <w:snapToGrid w:val="0"/>
    </w:pPr>
    <w:rPr>
      <w:rFonts w:cs="David"/>
      <w:sz w:val="22"/>
      <w:szCs w:val="24"/>
    </w:rPr>
  </w:style>
  <w:style w:type="paragraph" w:styleId="Caption">
    <w:name w:val="caption"/>
    <w:basedOn w:val="Normal"/>
    <w:next w:val="Normal"/>
    <w:qFormat/>
    <w:pPr>
      <w:jc w:val="center"/>
    </w:pPr>
    <w:rPr>
      <w:i/>
      <w:iCs/>
      <w:sz w:val="32"/>
      <w:szCs w:val="32"/>
      <w:u w:val="single"/>
    </w:rPr>
  </w:style>
  <w:style w:type="paragraph" w:styleId="BodyText">
    <w:name w:val="Body Text"/>
    <w:basedOn w:val="Normal"/>
    <w:semiHidden/>
    <w:rPr>
      <w:rFonts w:ascii="Arial" w:hAnsi="Arial" w:cs="Arial"/>
      <w:bCs w:val="0"/>
      <w:sz w:val="24"/>
      <w:szCs w:val="24"/>
      <w:lang w:eastAsia="en-U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rFonts w:cs="David"/>
      <w:b/>
      <w:bCs w:val="0"/>
      <w:sz w:val="22"/>
      <w:szCs w:val="24"/>
    </w:rPr>
  </w:style>
  <w:style w:type="paragraph" w:customStyle="1" w:styleId="10">
    <w:name w:val="חתימה1"/>
    <w:basedOn w:val="Heading2"/>
    <w:pPr>
      <w:suppressLineNumbers/>
    </w:pPr>
    <w:rPr>
      <w:rFonts w:hAnsi="Arial"/>
      <w:bCs/>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Hyperlink">
    <w:name w:val="Hyperlink"/>
    <w:rsid w:val="00973D62"/>
    <w:rPr>
      <w:color w:val="0000FF"/>
      <w:u w:val="single"/>
    </w:rPr>
  </w:style>
  <w:style w:type="character" w:customStyle="1" w:styleId="a2">
    <w:name w:val="אזכור לא מזוהה"/>
    <w:uiPriority w:val="99"/>
    <w:semiHidden/>
    <w:unhideWhenUsed/>
    <w:rsid w:val="009E75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law/70301"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hyperlink" Target="http://www.nevo.co.il/law/70301/348.c"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810781"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case/17943750"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1279</Words>
  <Characters>7295</Characters>
  <Application>Microsoft Office Word</Application>
  <DocSecurity>0</DocSecurity>
  <Lines>60</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8557</CharactersWithSpaces>
  <SharedDoc>false</SharedDoc>
  <HLinks>
    <vt:vector size="48" baseType="variant">
      <vt:variant>
        <vt:i4>7995492</vt:i4>
      </vt:variant>
      <vt:variant>
        <vt:i4>21</vt:i4>
      </vt:variant>
      <vt:variant>
        <vt:i4>0</vt:i4>
      </vt:variant>
      <vt:variant>
        <vt:i4>5</vt:i4>
      </vt:variant>
      <vt:variant>
        <vt:lpwstr>http://www.nevo.co.il/law/70301</vt:lpwstr>
      </vt:variant>
      <vt:variant>
        <vt:lpwstr/>
      </vt:variant>
      <vt:variant>
        <vt:i4>5177438</vt:i4>
      </vt:variant>
      <vt:variant>
        <vt:i4>18</vt:i4>
      </vt:variant>
      <vt:variant>
        <vt:i4>0</vt:i4>
      </vt:variant>
      <vt:variant>
        <vt:i4>5</vt:i4>
      </vt:variant>
      <vt:variant>
        <vt:lpwstr>http://www.nevo.co.il/law/70301/348.c</vt:lpwstr>
      </vt:variant>
      <vt:variant>
        <vt:lpwstr/>
      </vt:variant>
      <vt:variant>
        <vt:i4>3276916</vt:i4>
      </vt:variant>
      <vt:variant>
        <vt:i4>15</vt:i4>
      </vt:variant>
      <vt:variant>
        <vt:i4>0</vt:i4>
      </vt:variant>
      <vt:variant>
        <vt:i4>5</vt:i4>
      </vt:variant>
      <vt:variant>
        <vt:lpwstr>http://www.nevo.co.il/case/5810781</vt:lpwstr>
      </vt:variant>
      <vt:variant>
        <vt:lpwstr/>
      </vt:variant>
      <vt:variant>
        <vt:i4>4063344</vt:i4>
      </vt:variant>
      <vt:variant>
        <vt:i4>12</vt:i4>
      </vt:variant>
      <vt:variant>
        <vt:i4>0</vt:i4>
      </vt:variant>
      <vt:variant>
        <vt:i4>5</vt:i4>
      </vt:variant>
      <vt:variant>
        <vt:lpwstr>http://www.nevo.co.il/case/17943750</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2003-12-10T07:56:00Z</cp:lastPrinted>
  <dcterms:created xsi:type="dcterms:W3CDTF">2022-05-24T10:13:00Z</dcterms:created>
  <dcterms:modified xsi:type="dcterms:W3CDTF">2022-05-24T10:13:00Z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2015</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מוסזון חנן</vt:lpwstr>
  </property>
  <property fmtid="{D5CDD505-2E9C-101B-9397-08002B2CF9AE}" pid="9" name="LAWYER">
    <vt:lpwstr>דניאלי;פרייזלר</vt:lpwstr>
  </property>
  <property fmtid="{D5CDD505-2E9C-101B-9397-08002B2CF9AE}" pid="10" name="JUDGE">
    <vt:lpwstr>ליה לב און</vt:lpwstr>
  </property>
  <property fmtid="{D5CDD505-2E9C-101B-9397-08002B2CF9AE}" pid="11" name="CITY">
    <vt:lpwstr>פ"ת</vt:lpwstr>
  </property>
  <property fmtid="{D5CDD505-2E9C-101B-9397-08002B2CF9AE}" pid="12" name="DATE">
    <vt:lpwstr>20031210</vt:lpwstr>
  </property>
  <property fmtid="{D5CDD505-2E9C-101B-9397-08002B2CF9AE}" pid="13" name="WORDNUMPAGES">
    <vt:lpwstr>6</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CASESLISTTMP1">
    <vt:lpwstr>17943750;5810781</vt:lpwstr>
  </property>
  <property fmtid="{D5CDD505-2E9C-101B-9397-08002B2CF9AE}" pid="35" name="LAWLISTTMP1">
    <vt:lpwstr>70301/348.c</vt:lpwstr>
  </property>
</Properties>
</file>